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8F89B" w14:textId="5AD981AC" w:rsidR="002731AE" w:rsidRPr="00446F9D" w:rsidRDefault="002731AE" w:rsidP="002731AE">
      <w:pPr>
        <w:pStyle w:val="Header"/>
        <w:tabs>
          <w:tab w:val="clear" w:pos="4536"/>
        </w:tabs>
        <w:rPr>
          <w:i/>
        </w:rPr>
      </w:pPr>
      <w:r>
        <w:t xml:space="preserve">3GPP </w:t>
      </w:r>
      <w:r w:rsidRPr="00446F9D">
        <w:t>TSG-RAN WG1</w:t>
      </w:r>
      <w:r w:rsidR="001A5604">
        <w:t xml:space="preserve"> #88</w:t>
      </w:r>
      <w:r w:rsidRPr="00446F9D">
        <w:tab/>
      </w:r>
      <w:r w:rsidR="00AF258E">
        <w:t>R1-1703286</w:t>
      </w:r>
    </w:p>
    <w:p w14:paraId="16064913" w14:textId="0752D5F8" w:rsidR="002731AE" w:rsidRPr="000833FA" w:rsidRDefault="001A5604" w:rsidP="002731AE">
      <w:pPr>
        <w:pStyle w:val="Header"/>
        <w:rPr>
          <w:color w:val="000000"/>
        </w:rPr>
      </w:pPr>
      <w:r>
        <w:t>Athens</w:t>
      </w:r>
      <w:r w:rsidR="008C24C8">
        <w:t xml:space="preserve">, </w:t>
      </w:r>
      <w:r>
        <w:t>Greece, February 13 – 17</w:t>
      </w:r>
      <w:r w:rsidR="002731AE">
        <w:t>, 2017</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28FC24F0" w:rsidR="00F618ED" w:rsidRPr="00E220C0" w:rsidRDefault="00F618ED" w:rsidP="00F618ED">
      <w:pPr>
        <w:pStyle w:val="Header"/>
        <w:tabs>
          <w:tab w:val="clear" w:pos="4536"/>
          <w:tab w:val="left" w:pos="1800"/>
        </w:tabs>
      </w:pPr>
      <w:r w:rsidRPr="0003368D">
        <w:t>Title:</w:t>
      </w:r>
      <w:bookmarkStart w:id="0" w:name="Title"/>
      <w:bookmarkEnd w:id="0"/>
      <w:r w:rsidRPr="0003368D">
        <w:tab/>
      </w:r>
      <w:r w:rsidR="00E20E32">
        <w:t xml:space="preserve">On </w:t>
      </w:r>
      <w:r w:rsidR="001A5604">
        <w:t>Aggregation Levels and DCI Formats</w:t>
      </w:r>
    </w:p>
    <w:p w14:paraId="0DB675C4" w14:textId="2721B638" w:rsidR="00F618ED" w:rsidRPr="00E220C0" w:rsidRDefault="00F618ED" w:rsidP="00F618ED">
      <w:pPr>
        <w:pStyle w:val="Header"/>
        <w:tabs>
          <w:tab w:val="left" w:pos="1800"/>
        </w:tabs>
      </w:pPr>
      <w:r w:rsidRPr="00E220C0">
        <w:t>Agenda Item:</w:t>
      </w:r>
      <w:bookmarkStart w:id="1" w:name="Source"/>
      <w:bookmarkEnd w:id="1"/>
      <w:r w:rsidRPr="00E220C0">
        <w:tab/>
      </w:r>
      <w:r w:rsidR="001A5604">
        <w:t>8</w:t>
      </w:r>
      <w:r w:rsidR="002731AE">
        <w:t>.1.3.1</w:t>
      </w:r>
      <w:r w:rsidR="001A5604">
        <w:t>.4</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31DF6CD7" w14:textId="0966833A" w:rsidR="00230310" w:rsidRDefault="0064000B" w:rsidP="009A0611">
      <w:pPr>
        <w:pStyle w:val="BodyText"/>
      </w:pPr>
      <w:r>
        <w:t>Downlink control channel need</w:t>
      </w:r>
      <w:r w:rsidR="0083452B">
        <w:t>s</w:t>
      </w:r>
      <w:r>
        <w:t xml:space="preserve"> to support a range of payload sizes to handle different control signaling messages as well as a range of code rates to enable different channel conditions. In LTE, blind detection is used to support this flexibility. </w:t>
      </w:r>
      <w:r w:rsidR="00230310">
        <w:t xml:space="preserve">In this contribution we discuss some </w:t>
      </w:r>
      <w:r w:rsidR="0017298C">
        <w:t>aspects of blind detection</w:t>
      </w:r>
      <w:r w:rsidR="00230310">
        <w:t>.</w:t>
      </w:r>
    </w:p>
    <w:p w14:paraId="7A54A202" w14:textId="77777777" w:rsidR="00B65108" w:rsidRDefault="00B65108" w:rsidP="009A0611">
      <w:pPr>
        <w:pStyle w:val="BodyText"/>
      </w:pPr>
    </w:p>
    <w:p w14:paraId="635F5223" w14:textId="70550894" w:rsidR="004B1C8B" w:rsidRDefault="00230310" w:rsidP="00230310">
      <w:pPr>
        <w:pStyle w:val="Heading1"/>
        <w:spacing w:before="180"/>
        <w:ind w:left="562" w:hanging="562"/>
      </w:pPr>
      <w:r>
        <w:t>Discussion</w:t>
      </w:r>
    </w:p>
    <w:p w14:paraId="374539A5" w14:textId="4E784FC3" w:rsidR="0017298C" w:rsidRDefault="0017298C" w:rsidP="0017298C">
      <w:pPr>
        <w:pStyle w:val="BodyText"/>
      </w:pPr>
      <w:r>
        <w:t>Blind decoding of PDCCH candidates and DCI formats is used in LTE. This principle can advantageously be reused in NR although the number of blind decoding attempts should preferably be kept low. In LTE, the number of different DCI formats are fairly large and many of them differ in payload size with just a few bits. One possibility to simplify this structure could be to define a relatively small number of DCI payload sizes (e.g. 30, 60, 90 bits</w:t>
      </w:r>
      <w:r w:rsidR="00B828BD">
        <w:t>, possibly depending on the UE bandwidth</w:t>
      </w:r>
      <w:r>
        <w:t>) and have a small header of a few bits indicating how the remaining bits should be interpreted</w:t>
      </w:r>
      <w:r w:rsidR="00A413C1">
        <w:t xml:space="preserve"> (</w:t>
      </w:r>
      <w:r w:rsidR="00A413C1">
        <w:fldChar w:fldCharType="begin"/>
      </w:r>
      <w:r w:rsidR="00A413C1">
        <w:instrText xml:space="preserve"> REF _Ref465771147 \h </w:instrText>
      </w:r>
      <w:r w:rsidR="00A413C1">
        <w:fldChar w:fldCharType="separate"/>
      </w:r>
      <w:r w:rsidR="00A413C1">
        <w:t xml:space="preserve">Figure </w:t>
      </w:r>
      <w:r w:rsidR="00A413C1">
        <w:rPr>
          <w:noProof/>
        </w:rPr>
        <w:t>1</w:t>
      </w:r>
      <w:r w:rsidR="00A413C1">
        <w:fldChar w:fldCharType="end"/>
      </w:r>
      <w:r w:rsidR="00A413C1">
        <w:t>)</w:t>
      </w:r>
      <w:r>
        <w:t>.</w:t>
      </w:r>
    </w:p>
    <w:p w14:paraId="75C148ED" w14:textId="5BDD6493" w:rsidR="0017298C" w:rsidRPr="00A413C1" w:rsidRDefault="0017298C" w:rsidP="0017298C">
      <w:pPr>
        <w:pStyle w:val="BodyText"/>
        <w:rPr>
          <w:b/>
        </w:rPr>
      </w:pPr>
      <w:r w:rsidRPr="00A413C1">
        <w:rPr>
          <w:b/>
        </w:rPr>
        <w:t>Proposal: Support a small number of DCI payload sizes. A header in the DCI indicates how to interpret the remaining bits.</w:t>
      </w:r>
    </w:p>
    <w:p w14:paraId="5579EC76" w14:textId="77777777" w:rsidR="00A413C1" w:rsidRDefault="00A413C1" w:rsidP="00A413C1">
      <w:pPr>
        <w:pStyle w:val="BodyText"/>
        <w:keepNext/>
      </w:pPr>
      <w:r w:rsidRPr="00A413C1">
        <w:rPr>
          <w:noProof/>
        </w:rPr>
        <w:drawing>
          <wp:inline distT="0" distB="0" distL="0" distR="0" wp14:anchorId="019460C1" wp14:editId="21763AB4">
            <wp:extent cx="3962400" cy="13770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1414" cy="1383650"/>
                    </a:xfrm>
                    <a:prstGeom prst="rect">
                      <a:avLst/>
                    </a:prstGeom>
                    <a:noFill/>
                    <a:ln>
                      <a:noFill/>
                    </a:ln>
                  </pic:spPr>
                </pic:pic>
              </a:graphicData>
            </a:graphic>
          </wp:inline>
        </w:drawing>
      </w:r>
    </w:p>
    <w:p w14:paraId="61EE4145" w14:textId="4041418D" w:rsidR="00A413C1" w:rsidRDefault="00A413C1" w:rsidP="00A413C1">
      <w:pPr>
        <w:pStyle w:val="Caption"/>
        <w:jc w:val="both"/>
      </w:pPr>
      <w:bookmarkStart w:id="3" w:name="_Ref465771147"/>
      <w:r>
        <w:t xml:space="preserve">Figure </w:t>
      </w:r>
      <w:fldSimple w:instr=" SEQ Figure \* ARABIC ">
        <w:r w:rsidR="00533F0E">
          <w:rPr>
            <w:noProof/>
          </w:rPr>
          <w:t>1</w:t>
        </w:r>
      </w:fldSimple>
      <w:bookmarkEnd w:id="3"/>
      <w:r>
        <w:t>: Example of a DCI message.</w:t>
      </w:r>
    </w:p>
    <w:p w14:paraId="6E0435E6" w14:textId="0A4EEDDD" w:rsidR="0017298C" w:rsidRDefault="00A413C1" w:rsidP="0017298C">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w:t>
      </w:r>
      <w:r w:rsidR="00533F0E">
        <w:t xml:space="preserve">at the top of </w:t>
      </w:r>
      <w:r w:rsidR="00533F0E">
        <w:fldChar w:fldCharType="begin"/>
      </w:r>
      <w:r w:rsidR="00533F0E">
        <w:instrText xml:space="preserve"> REF _Ref465772198 \h </w:instrText>
      </w:r>
      <w:r w:rsidR="00533F0E">
        <w:fldChar w:fldCharType="separate"/>
      </w:r>
      <w:r w:rsidR="00533F0E">
        <w:t xml:space="preserve">Figure </w:t>
      </w:r>
      <w:r w:rsidR="00533F0E">
        <w:rPr>
          <w:noProof/>
        </w:rPr>
        <w:t>2</w:t>
      </w:r>
      <w:r w:rsidR="00533F0E">
        <w:fldChar w:fldCharType="end"/>
      </w:r>
      <w:r w:rsidR="00533F0E">
        <w:t xml:space="preserve">. This way, the channel estimate for aggregation level </w:t>
      </w:r>
      <w:r w:rsidR="00533F0E" w:rsidRPr="00533F0E">
        <w:rPr>
          <w:i/>
        </w:rPr>
        <w:t>n</w:t>
      </w:r>
      <w:r w:rsidR="00533F0E">
        <w:t xml:space="preserve">+1 can be obtained from the channel estimated for the two underlying control channel candidates for aggregation level </w:t>
      </w:r>
      <w:r w:rsidR="00533F0E">
        <w:rPr>
          <w:i/>
        </w:rPr>
        <w:t>n</w:t>
      </w:r>
      <w:r w:rsidR="00533F0E">
        <w:t xml:space="preserve">, thereby possibly simplifying the UE implementation. </w:t>
      </w:r>
      <w:r w:rsidR="0083452B">
        <w:t xml:space="preserve">That is in-line with the agreement made in the last meeting </w:t>
      </w:r>
      <w:r w:rsidR="00A628AA">
        <w:t>as follows</w:t>
      </w:r>
      <w:bookmarkStart w:id="4" w:name="_GoBack"/>
      <w:bookmarkEnd w:id="4"/>
      <w:r w:rsidR="0083452B">
        <w:t>:</w:t>
      </w:r>
    </w:p>
    <w:p w14:paraId="112E3C75" w14:textId="77777777" w:rsidR="0083452B" w:rsidRPr="00F24B1D" w:rsidRDefault="0083452B" w:rsidP="000776F1">
      <w:pPr>
        <w:pStyle w:val="BodyText"/>
        <w:numPr>
          <w:ilvl w:val="0"/>
          <w:numId w:val="27"/>
        </w:numPr>
        <w:spacing w:after="0"/>
        <w:rPr>
          <w:szCs w:val="20"/>
        </w:rPr>
      </w:pPr>
      <w:r w:rsidRPr="00F24B1D">
        <w:rPr>
          <w:szCs w:val="20"/>
        </w:rPr>
        <w:t>For one UE, the channel estimate obtained for one R</w:t>
      </w:r>
      <w:r w:rsidRPr="00F24B1D">
        <w:rPr>
          <w:rFonts w:hint="eastAsia"/>
          <w:szCs w:val="20"/>
          <w:lang w:eastAsia="ja-JP"/>
        </w:rPr>
        <w:t>E</w:t>
      </w:r>
      <w:r w:rsidRPr="00F24B1D">
        <w:rPr>
          <w:szCs w:val="20"/>
        </w:rPr>
        <w:t xml:space="preserve"> </w:t>
      </w:r>
      <w:r w:rsidRPr="00F24B1D">
        <w:rPr>
          <w:szCs w:val="20"/>
          <w:lang w:eastAsia="ja-JP"/>
        </w:rPr>
        <w:t>should be</w:t>
      </w:r>
      <w:r w:rsidRPr="00F24B1D">
        <w:rPr>
          <w:szCs w:val="20"/>
        </w:rPr>
        <w:t xml:space="preserve"> reusable across multiple blind </w:t>
      </w:r>
      <w:proofErr w:type="spellStart"/>
      <w:r w:rsidRPr="00F24B1D">
        <w:rPr>
          <w:szCs w:val="20"/>
        </w:rPr>
        <w:t>decodings</w:t>
      </w:r>
      <w:proofErr w:type="spellEnd"/>
      <w:r w:rsidRPr="00F24B1D">
        <w:rPr>
          <w:szCs w:val="20"/>
        </w:rPr>
        <w:t xml:space="preserve"> involving that R</w:t>
      </w:r>
      <w:r w:rsidRPr="00F24B1D">
        <w:rPr>
          <w:rFonts w:hint="eastAsia"/>
          <w:szCs w:val="20"/>
          <w:lang w:eastAsia="ja-JP"/>
        </w:rPr>
        <w:t>E</w:t>
      </w:r>
      <w:r w:rsidRPr="00F24B1D">
        <w:rPr>
          <w:szCs w:val="20"/>
          <w:lang w:eastAsia="ja-JP"/>
        </w:rPr>
        <w:t xml:space="preserve"> in at least the same control resource set and type of search space (common or UE-specific).</w:t>
      </w:r>
    </w:p>
    <w:p w14:paraId="45E1F590" w14:textId="77777777" w:rsidR="00A628AA" w:rsidRDefault="00A628AA" w:rsidP="0017298C">
      <w:pPr>
        <w:pStyle w:val="BodyText"/>
      </w:pPr>
    </w:p>
    <w:p w14:paraId="0BD2D0B9" w14:textId="293DE0B3" w:rsidR="0083452B" w:rsidRDefault="0083452B" w:rsidP="0017298C">
      <w:pPr>
        <w:pStyle w:val="BodyText"/>
      </w:pPr>
      <w:r>
        <w:t>Therefore, we propose the following:</w:t>
      </w:r>
    </w:p>
    <w:p w14:paraId="2A901C99" w14:textId="6F62B193" w:rsidR="00737D53" w:rsidRDefault="00737D53" w:rsidP="0017298C">
      <w:pPr>
        <w:pStyle w:val="BodyText"/>
        <w:rPr>
          <w:b/>
        </w:rPr>
      </w:pPr>
      <w:r w:rsidRPr="00737D53">
        <w:rPr>
          <w:b/>
        </w:rPr>
        <w:t>Proposal: Adopt a nested structure of aggregation levels.</w:t>
      </w:r>
    </w:p>
    <w:p w14:paraId="3843489E" w14:textId="77777777" w:rsidR="00737D53" w:rsidRPr="00737D53" w:rsidRDefault="00737D53" w:rsidP="0017298C">
      <w:pPr>
        <w:pStyle w:val="BodyText"/>
        <w:rPr>
          <w:b/>
        </w:rPr>
      </w:pPr>
    </w:p>
    <w:p w14:paraId="2571F4D6" w14:textId="4A37E6E0" w:rsidR="00533F0E" w:rsidRDefault="00533F0E" w:rsidP="00533F0E">
      <w:pPr>
        <w:pStyle w:val="BodyText"/>
        <w:keepNext/>
      </w:pPr>
      <w:r w:rsidRPr="00533F0E">
        <w:rPr>
          <w:noProof/>
        </w:rPr>
        <w:lastRenderedPageBreak/>
        <w:drawing>
          <wp:inline distT="0" distB="0" distL="0" distR="0" wp14:anchorId="492F0AA5" wp14:editId="283E85B3">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D81781D" w14:textId="6E15E7BC" w:rsidR="00533F0E" w:rsidRDefault="00533F0E" w:rsidP="00533F0E">
      <w:pPr>
        <w:pStyle w:val="Caption"/>
        <w:jc w:val="both"/>
      </w:pPr>
      <w:bookmarkStart w:id="5" w:name="_Ref465772198"/>
      <w:r>
        <w:t xml:space="preserve">Figure </w:t>
      </w:r>
      <w:fldSimple w:instr=" SEQ Figure \* ARABIC ">
        <w:r>
          <w:rPr>
            <w:noProof/>
          </w:rPr>
          <w:t>2</w:t>
        </w:r>
      </w:fldSimple>
      <w:bookmarkEnd w:id="5"/>
      <w:r>
        <w:t>: Hierarchical structure of aggregation levels (top), random structure of aggregation levels (bottom).</w:t>
      </w:r>
    </w:p>
    <w:p w14:paraId="59680E5B" w14:textId="77777777" w:rsidR="00EE48AE" w:rsidRPr="00EE48AE" w:rsidRDefault="00EE48AE" w:rsidP="00EE48AE"/>
    <w:p w14:paraId="6C34731C" w14:textId="56AF8D32" w:rsidR="00DA7D33" w:rsidRDefault="00DA7D33" w:rsidP="00DA7D33">
      <w:pPr>
        <w:pStyle w:val="Heading1"/>
        <w:spacing w:before="180"/>
        <w:ind w:left="562" w:hanging="562"/>
      </w:pPr>
      <w:r>
        <w:t>Conclusion</w:t>
      </w:r>
    </w:p>
    <w:p w14:paraId="27C8A7A2" w14:textId="6DDEF21C" w:rsidR="00B650EF" w:rsidRDefault="00B650EF" w:rsidP="00B650EF">
      <w:pPr>
        <w:pStyle w:val="BodyText"/>
      </w:pPr>
      <w:r>
        <w:t>It is proposed to</w:t>
      </w:r>
    </w:p>
    <w:p w14:paraId="1CFB1E40" w14:textId="3376214C" w:rsidR="00B650EF" w:rsidRPr="00B650EF" w:rsidRDefault="00B650EF" w:rsidP="00B650EF">
      <w:pPr>
        <w:pStyle w:val="BodyText"/>
        <w:numPr>
          <w:ilvl w:val="0"/>
          <w:numId w:val="26"/>
        </w:numPr>
      </w:pPr>
      <w:r w:rsidRPr="00B650EF">
        <w:t>Support a small number of DCI payload sizes. A header in the DCI indicates how to interpret the remaining bits.</w:t>
      </w:r>
    </w:p>
    <w:p w14:paraId="55E8428A" w14:textId="4A4D917B" w:rsidR="00B650EF" w:rsidRPr="00B650EF" w:rsidRDefault="00B650EF" w:rsidP="00B650EF">
      <w:pPr>
        <w:pStyle w:val="BodyText"/>
        <w:numPr>
          <w:ilvl w:val="0"/>
          <w:numId w:val="26"/>
        </w:numPr>
      </w:pPr>
      <w:r w:rsidRPr="00B650EF">
        <w:t>Adopt a nested structure of aggregation levels.</w:t>
      </w:r>
    </w:p>
    <w:sectPr w:rsidR="00B650EF" w:rsidRPr="00B650E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2665A"/>
    <w:multiLevelType w:val="hybridMultilevel"/>
    <w:tmpl w:val="9C54D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F66E5F"/>
    <w:multiLevelType w:val="hybridMultilevel"/>
    <w:tmpl w:val="420666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0"/>
  </w:num>
  <w:num w:numId="4">
    <w:abstractNumId w:val="23"/>
  </w:num>
  <w:num w:numId="5">
    <w:abstractNumId w:val="20"/>
  </w:num>
  <w:num w:numId="6">
    <w:abstractNumId w:val="16"/>
  </w:num>
  <w:num w:numId="7">
    <w:abstractNumId w:val="22"/>
  </w:num>
  <w:num w:numId="8">
    <w:abstractNumId w:val="21"/>
  </w:num>
  <w:num w:numId="9">
    <w:abstractNumId w:val="9"/>
  </w:num>
  <w:num w:numId="10">
    <w:abstractNumId w:val="2"/>
  </w:num>
  <w:num w:numId="11">
    <w:abstractNumId w:val="15"/>
  </w:num>
  <w:num w:numId="12">
    <w:abstractNumId w:val="24"/>
  </w:num>
  <w:num w:numId="13">
    <w:abstractNumId w:val="1"/>
  </w:num>
  <w:num w:numId="14">
    <w:abstractNumId w:val="3"/>
  </w:num>
  <w:num w:numId="15">
    <w:abstractNumId w:val="10"/>
  </w:num>
  <w:num w:numId="16">
    <w:abstractNumId w:val="4"/>
  </w:num>
  <w:num w:numId="17">
    <w:abstractNumId w:val="23"/>
  </w:num>
  <w:num w:numId="18">
    <w:abstractNumId w:val="14"/>
  </w:num>
  <w:num w:numId="19">
    <w:abstractNumId w:val="17"/>
  </w:num>
  <w:num w:numId="20">
    <w:abstractNumId w:val="7"/>
  </w:num>
  <w:num w:numId="21">
    <w:abstractNumId w:val="6"/>
  </w:num>
  <w:num w:numId="22">
    <w:abstractNumId w:val="18"/>
  </w:num>
  <w:num w:numId="23">
    <w:abstractNumId w:val="13"/>
  </w:num>
  <w:num w:numId="24">
    <w:abstractNumId w:val="19"/>
  </w:num>
  <w:num w:numId="25">
    <w:abstractNumId w:val="12"/>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776F1"/>
    <w:rsid w:val="00106ABF"/>
    <w:rsid w:val="0017298C"/>
    <w:rsid w:val="001743D6"/>
    <w:rsid w:val="001A5604"/>
    <w:rsid w:val="001B243C"/>
    <w:rsid w:val="001F0CAF"/>
    <w:rsid w:val="00213303"/>
    <w:rsid w:val="00230310"/>
    <w:rsid w:val="002731AE"/>
    <w:rsid w:val="0028065B"/>
    <w:rsid w:val="00286B6D"/>
    <w:rsid w:val="002E444B"/>
    <w:rsid w:val="00335675"/>
    <w:rsid w:val="0034475B"/>
    <w:rsid w:val="0048093F"/>
    <w:rsid w:val="0049799A"/>
    <w:rsid w:val="004B1C8B"/>
    <w:rsid w:val="004C2C58"/>
    <w:rsid w:val="0052140E"/>
    <w:rsid w:val="00533F0E"/>
    <w:rsid w:val="00543E22"/>
    <w:rsid w:val="005514B5"/>
    <w:rsid w:val="005838EA"/>
    <w:rsid w:val="005A4592"/>
    <w:rsid w:val="00627565"/>
    <w:rsid w:val="0064000B"/>
    <w:rsid w:val="006A286A"/>
    <w:rsid w:val="006B481E"/>
    <w:rsid w:val="006D4A4B"/>
    <w:rsid w:val="006E3E51"/>
    <w:rsid w:val="006E6E6F"/>
    <w:rsid w:val="00737D53"/>
    <w:rsid w:val="007C7533"/>
    <w:rsid w:val="0083452B"/>
    <w:rsid w:val="008366AE"/>
    <w:rsid w:val="008A0342"/>
    <w:rsid w:val="008C24C8"/>
    <w:rsid w:val="0091297D"/>
    <w:rsid w:val="00942F98"/>
    <w:rsid w:val="00982801"/>
    <w:rsid w:val="009A0611"/>
    <w:rsid w:val="009B5722"/>
    <w:rsid w:val="009E46CD"/>
    <w:rsid w:val="00A413C1"/>
    <w:rsid w:val="00A628AA"/>
    <w:rsid w:val="00AF258E"/>
    <w:rsid w:val="00B03ED8"/>
    <w:rsid w:val="00B249BB"/>
    <w:rsid w:val="00B368D9"/>
    <w:rsid w:val="00B650EF"/>
    <w:rsid w:val="00B65108"/>
    <w:rsid w:val="00B828BD"/>
    <w:rsid w:val="00BB2430"/>
    <w:rsid w:val="00BB422B"/>
    <w:rsid w:val="00BB7B54"/>
    <w:rsid w:val="00BC0FFC"/>
    <w:rsid w:val="00BE4063"/>
    <w:rsid w:val="00C014C0"/>
    <w:rsid w:val="00C1560A"/>
    <w:rsid w:val="00C62894"/>
    <w:rsid w:val="00C663D3"/>
    <w:rsid w:val="00C8496C"/>
    <w:rsid w:val="00CA5E5D"/>
    <w:rsid w:val="00CB5A40"/>
    <w:rsid w:val="00CC1CA7"/>
    <w:rsid w:val="00CC260C"/>
    <w:rsid w:val="00CE6CB0"/>
    <w:rsid w:val="00D03072"/>
    <w:rsid w:val="00D22790"/>
    <w:rsid w:val="00D577BB"/>
    <w:rsid w:val="00D84D5E"/>
    <w:rsid w:val="00DA7D33"/>
    <w:rsid w:val="00DB6F36"/>
    <w:rsid w:val="00DD11CB"/>
    <w:rsid w:val="00DE0D8A"/>
    <w:rsid w:val="00DE1BAA"/>
    <w:rsid w:val="00E10C1F"/>
    <w:rsid w:val="00E20E32"/>
    <w:rsid w:val="00EB26FB"/>
    <w:rsid w:val="00EE48AE"/>
    <w:rsid w:val="00F116A9"/>
    <w:rsid w:val="00F346B4"/>
    <w:rsid w:val="00F618ED"/>
    <w:rsid w:val="00F81C1C"/>
    <w:rsid w:val="00F90A69"/>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1B21E-7604-45B7-BB27-052DD9A1A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 1</cp:lastModifiedBy>
  <cp:revision>3</cp:revision>
  <dcterms:created xsi:type="dcterms:W3CDTF">2017-02-07T04:26:00Z</dcterms:created>
  <dcterms:modified xsi:type="dcterms:W3CDTF">2017-02-07T04:26:00Z</dcterms:modified>
</cp:coreProperties>
</file>