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3B4DC7" w:rsidP="00210D5D">
      <w:pPr>
        <w:pStyle w:val="CRCoverPage"/>
        <w:tabs>
          <w:tab w:val="right" w:pos="9639"/>
        </w:tabs>
        <w:spacing w:after="0"/>
        <w:rPr>
          <w:b/>
          <w:i/>
          <w:noProof/>
          <w:sz w:val="24"/>
          <w:szCs w:val="24"/>
          <w:lang w:eastAsia="ko-KR"/>
        </w:rPr>
      </w:pPr>
      <w:r w:rsidRPr="00796E8D">
        <w:rPr>
          <w:b/>
          <w:sz w:val="24"/>
          <w:szCs w:val="24"/>
        </w:rPr>
        <w:t>3GPP TSG RAN WG1 Meeting #88</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A9490E">
        <w:rPr>
          <w:rFonts w:hint="eastAsia"/>
          <w:b/>
          <w:i/>
          <w:noProof/>
          <w:sz w:val="24"/>
          <w:szCs w:val="24"/>
          <w:lang w:eastAsia="ko-KR"/>
        </w:rPr>
        <w:t>02946</w:t>
      </w:r>
    </w:p>
    <w:p w:rsidR="003B4DC7" w:rsidRPr="002C3F0D" w:rsidRDefault="003B4DC7" w:rsidP="003B4DC7">
      <w:pPr>
        <w:pStyle w:val="CRCoverPage"/>
        <w:spacing w:after="240"/>
        <w:outlineLvl w:val="0"/>
        <w:rPr>
          <w:b/>
          <w:bCs/>
          <w:noProof/>
          <w:sz w:val="24"/>
          <w:szCs w:val="24"/>
        </w:rPr>
      </w:pPr>
      <w:r w:rsidRPr="00796E8D">
        <w:rPr>
          <w:b/>
          <w:bCs/>
          <w:noProof/>
          <w:sz w:val="24"/>
          <w:szCs w:val="24"/>
        </w:rPr>
        <w:t>Athens, Greece 13</w:t>
      </w:r>
      <w:r w:rsidRPr="00796E8D">
        <w:rPr>
          <w:b/>
          <w:bCs/>
          <w:noProof/>
          <w:sz w:val="24"/>
          <w:szCs w:val="24"/>
          <w:vertAlign w:val="superscript"/>
        </w:rPr>
        <w:t>th</w:t>
      </w:r>
      <w:r w:rsidRPr="00796E8D">
        <w:rPr>
          <w:b/>
          <w:bCs/>
          <w:noProof/>
          <w:sz w:val="24"/>
          <w:szCs w:val="24"/>
        </w:rPr>
        <w:t xml:space="preserve"> - 17</w:t>
      </w:r>
      <w:r w:rsidRPr="00796E8D">
        <w:rPr>
          <w:b/>
          <w:bCs/>
          <w:noProof/>
          <w:sz w:val="24"/>
          <w:szCs w:val="24"/>
          <w:vertAlign w:val="superscript"/>
        </w:rPr>
        <w:t>th</w:t>
      </w:r>
      <w:r w:rsidRPr="00796E8D">
        <w:rPr>
          <w:b/>
          <w:bCs/>
          <w:noProof/>
          <w:sz w:val="24"/>
          <w:szCs w:val="24"/>
        </w:rPr>
        <w:t xml:space="preserve"> February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3B4DC7">
        <w:rPr>
          <w:rFonts w:ascii="Arial" w:hAnsi="Arial" w:hint="eastAsia"/>
          <w:sz w:val="24"/>
          <w:lang w:eastAsia="ko-KR"/>
        </w:rPr>
        <w:t>8.1.2.3.1</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eMBB (enhanced mobile broadband), mMTC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1"/>
        <w:spacing w:after="180"/>
      </w:pPr>
      <w:r>
        <w:lastRenderedPageBreak/>
        <w:t>Discussion</w:t>
      </w:r>
    </w:p>
    <w:p w:rsidR="00210D5D" w:rsidRDefault="00210D5D" w:rsidP="00210D5D">
      <w:pPr>
        <w:pStyle w:val="maintext"/>
        <w:ind w:firstLine="400"/>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For example, user plane latency for URLLC is 0.5ms for UL and 0.5 for DL while eMBB requires 4ms for UL and 4ms for DL. Such different requirements should be considered in transmission scheme and CSI reporting. Considering KPIs for each use case, following aspects should be considered in CSI reporting. For example, UE need to support different reliability requirements with 1-10</w:t>
      </w:r>
      <w:r w:rsidRPr="00E61D2F">
        <w:rPr>
          <w:vertAlign w:val="superscript"/>
        </w:rPr>
        <w:t>-5</w:t>
      </w:r>
      <w:r>
        <w:t xml:space="preserve"> </w:t>
      </w:r>
      <w:r>
        <w:rPr>
          <w:rFonts w:hint="eastAsia"/>
        </w:rPr>
        <w:t>F</w:t>
      </w:r>
      <w:r>
        <w:t>or URLLC and eV2X.</w:t>
      </w:r>
    </w:p>
    <w:p w:rsidR="00210D5D" w:rsidRDefault="00210D5D" w:rsidP="00210D5D">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including services which require high reliability or low price implementation.</w:t>
      </w:r>
    </w:p>
    <w:p w:rsidR="00210D5D" w:rsidRDefault="00210D5D" w:rsidP="00210D5D">
      <w:pPr>
        <w:spacing w:before="60" w:after="60" w:line="288" w:lineRule="auto"/>
        <w:ind w:firstLine="448"/>
        <w:jc w:val="both"/>
      </w:pPr>
      <w:r>
        <w:t>In contrast to Type I feedback, the motivation of Type II feedback is to provide more accurate channel information for higher performance. For example, explicit CSI with direct (quantized) channel feedback, covariance matrix feedback, or eigenvector feedback can be considered for Type II feedback. For eMBB service, benefits of Type II feedback are clear. For example, in Rel-14 eFD-MIMO, support of high resolution CSI from linear combination codebook is decided since the performance are verified from the various evaluations. Additionally, in our companion contribution [</w:t>
      </w:r>
      <w:r w:rsidR="009253FC">
        <w:rPr>
          <w:rFonts w:hint="eastAsia"/>
          <w:lang w:eastAsia="ko-KR"/>
        </w:rPr>
        <w:t>6</w:t>
      </w:r>
      <w:r>
        <w:t xml:space="preserve">], initial simulation results on the performance benefits of explicit CSI are provided. In the evaluation result, linear combination codebook based explicit CSI can reduce performance gap with ideal CSI while the performance gap of implicit CSI is still large. However, support of Type II CSI is not adequate for services which requires high reliability and low price UE implementation. While explicit CSI provides large performance gain, support of the measurement also requires high degree of implementation and increases the price of UE modem. Furthermore, methods for performance enhancement (e.g. MU-MIMO transmission) may not be adequate for high reliability services considering inter-user interference. </w:t>
      </w:r>
    </w:p>
    <w:p w:rsidR="00210D5D" w:rsidRPr="00FB14A9" w:rsidRDefault="00210D5D" w:rsidP="00210D5D">
      <w:pPr>
        <w:pStyle w:val="maintext"/>
        <w:spacing w:after="180"/>
        <w:ind w:firstLine="400"/>
      </w:pPr>
      <w:r>
        <w:t xml:space="preserve">In order to achieve reliability requirements, diversity transmission scheme should be considered. </w:t>
      </w:r>
      <w:r w:rsidRPr="0091620D">
        <w:t xml:space="preserve">In LTE specification, SFBC/FSTD and large delay CDD are supported as open-loop transmission schemes. Both SFBC/FSTD and large delay CDD operate without any UE feedback on preferred precoding. Instead of </w:t>
      </w:r>
      <w:r>
        <w:t>the PMI</w:t>
      </w:r>
      <w:r w:rsidRPr="0091620D">
        <w:t xml:space="preserve"> feedback</w:t>
      </w:r>
      <w:r>
        <w:t xml:space="preserve">, </w:t>
      </w:r>
      <w:r w:rsidRPr="0091620D">
        <w:t xml:space="preserve">UE </w:t>
      </w:r>
      <w:r>
        <w:t>is required to report only CQIs</w:t>
      </w:r>
      <w:r w:rsidRPr="0091620D">
        <w:t xml:space="preserve"> </w:t>
      </w:r>
      <w:r>
        <w:t xml:space="preserve">(and RI for large delay CDD) </w:t>
      </w:r>
      <w:r w:rsidRPr="0091620D">
        <w:t xml:space="preserve">assuming </w:t>
      </w:r>
      <w:r>
        <w:t>data transmission with</w:t>
      </w:r>
      <w:r w:rsidRPr="0091620D">
        <w:t xml:space="preserve"> the pre-defined precoding. </w:t>
      </w:r>
      <w:r>
        <w:t>However, such</w:t>
      </w:r>
      <w:r w:rsidRPr="0091620D">
        <w:t xml:space="preserve"> open-loop transmission schemes relies on CRS</w:t>
      </w:r>
      <w:r>
        <w:t xml:space="preserve"> and DMRS based transmission schemes should be applied to NR</w:t>
      </w:r>
      <w:r w:rsidRPr="0091620D">
        <w:t>.</w:t>
      </w:r>
      <w:r>
        <w:t xml:space="preserve"> 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 xml:space="preserve">since the UE can only indicate an approximate (or a range of) information. For this purpose, precoder </w:t>
      </w:r>
      <w:r w:rsidRPr="00E61D2F">
        <w:lastRenderedPageBreak/>
        <w:t>(beam</w:t>
      </w:r>
      <w:r>
        <w:t>/co-phase</w:t>
      </w:r>
      <w:r w:rsidRPr="00E61D2F">
        <w:t xml:space="preserve">) cycling within a group of </w:t>
      </w:r>
      <w:r>
        <w:t>precoders</w:t>
      </w:r>
      <w:r w:rsidRPr="00E61D2F">
        <w:t xml:space="preserve"> in frequency domain can be employed. This approximate information can be reported via PMI or other precoding-related feedback which includes only long-term precoding information. Such long-term precoding information does not require subband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In this case, providing independent CQI table than common CQI table for all possible services should be considered.</w:t>
      </w:r>
    </w:p>
    <w:p w:rsidR="00210D5D" w:rsidRDefault="00210D5D" w:rsidP="00210D5D">
      <w:pPr>
        <w:pStyle w:val="maintext"/>
        <w:spacing w:after="180"/>
        <w:ind w:firstLine="400"/>
      </w:pPr>
      <w:r>
        <w:t>Additionally, service optimized CQI also should be considered. As mentioned earlier, reliability requirements of URLLC, eV2X and eMBB are different with each other. If we follow LTE reliability principle for eMBB, target BLER is 10%. However, URLLC and eV2X services should provide higher reliability (i.e. 1 - 10</w:t>
      </w:r>
      <w:r w:rsidRPr="00E61D2F">
        <w:rPr>
          <w:vertAlign w:val="superscript"/>
        </w:rPr>
        <w:t>-5</w:t>
      </w:r>
      <w:r>
        <w:t xml:space="preserve">) than eMBB and therefore, CQI which is targeted to 10% BLER would not be adequate. Considering such aspects, different CQI selection criteria may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Benefits of subband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lastRenderedPageBreak/>
        <w:t>While Type I feedback is beneficial for all services, benefits of Type II feedback except eMBB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Benefits of subband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210D5D" w:rsidRDefault="00210D5D" w:rsidP="00210D5D">
      <w:pPr>
        <w:pStyle w:val="2222"/>
        <w:numPr>
          <w:ilvl w:val="0"/>
          <w:numId w:val="2"/>
        </w:numPr>
        <w:spacing w:after="120" w:line="288" w:lineRule="auto"/>
        <w:ind w:left="357" w:firstLineChars="0" w:hanging="357"/>
        <w:rPr>
          <w:lang w:eastAsia="ko-KR"/>
        </w:rPr>
      </w:pPr>
      <w:bookmarkStart w:id="0"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0"/>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210D5D" w:rsidRDefault="00210D5D" w:rsidP="00210D5D">
      <w:pPr>
        <w:pStyle w:val="2222"/>
        <w:numPr>
          <w:ilvl w:val="0"/>
          <w:numId w:val="2"/>
        </w:numPr>
        <w:spacing w:after="120" w:line="288" w:lineRule="auto"/>
        <w:ind w:left="357" w:firstLineChars="0" w:hanging="357"/>
        <w:rPr>
          <w:lang w:eastAsia="ko-KR"/>
        </w:rPr>
      </w:pPr>
      <w:r>
        <w:rPr>
          <w:rFonts w:cs="Times New Roman"/>
          <w:lang w:eastAsia="ko-KR"/>
        </w:rPr>
        <w:t>R1-</w:t>
      </w:r>
      <w:r>
        <w:rPr>
          <w:lang w:eastAsia="ko-KR"/>
        </w:rPr>
        <w:t>17</w:t>
      </w:r>
      <w:r w:rsidR="00433CB6">
        <w:rPr>
          <w:rFonts w:hint="eastAsia"/>
          <w:lang w:eastAsia="ko-KR"/>
        </w:rPr>
        <w:t>02945</w:t>
      </w:r>
      <w:r>
        <w:rPr>
          <w:lang w:eastAsia="ko-KR"/>
        </w:rPr>
        <w:t xml:space="preserve"> , “Discussions on aperiodic CSI reporting for NR”, Samsung</w:t>
      </w:r>
    </w:p>
    <w:p w:rsidR="00210D5D" w:rsidRPr="003C33E0" w:rsidRDefault="00210D5D" w:rsidP="00210D5D">
      <w:pPr>
        <w:pStyle w:val="2222"/>
        <w:numPr>
          <w:ilvl w:val="0"/>
          <w:numId w:val="2"/>
        </w:numPr>
        <w:spacing w:after="120" w:line="288" w:lineRule="auto"/>
        <w:ind w:left="357" w:firstLineChars="0" w:hanging="357"/>
        <w:rPr>
          <w:rFonts w:cs="Times New Roman"/>
          <w:lang w:eastAsia="ko-KR"/>
        </w:rPr>
      </w:pPr>
      <w:r w:rsidRPr="003C33E0">
        <w:rPr>
          <w:rFonts w:cs="Times New Roman"/>
          <w:lang w:eastAsia="ko-KR"/>
        </w:rPr>
        <w:t>R1-17</w:t>
      </w:r>
      <w:r w:rsidR="00DF5A65">
        <w:rPr>
          <w:rFonts w:cs="Times New Roman" w:hint="eastAsia"/>
          <w:lang w:eastAsia="ko-KR"/>
        </w:rPr>
        <w:t>02949</w:t>
      </w:r>
      <w:bookmarkStart w:id="1" w:name="_GoBack"/>
      <w:bookmarkEnd w:id="1"/>
      <w:r w:rsidRPr="003C33E0">
        <w:rPr>
          <w:rFonts w:cs="Times New Roman"/>
          <w:lang w:eastAsia="ko-KR"/>
        </w:rPr>
        <w:t>, “Simulation results for Type II CSI reporting”, Samsung.</w:t>
      </w:r>
    </w:p>
    <w:p w:rsidR="0021397F" w:rsidRPr="00210D5D" w:rsidRDefault="0021397F"/>
    <w:sectPr w:rsidR="0021397F" w:rsidRPr="00210D5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9D" w:rsidRDefault="00D35B9D" w:rsidP="00210D5D">
      <w:pPr>
        <w:spacing w:after="0"/>
      </w:pPr>
      <w:r>
        <w:separator/>
      </w:r>
    </w:p>
  </w:endnote>
  <w:endnote w:type="continuationSeparator" w:id="0">
    <w:p w:rsidR="00D35B9D" w:rsidRDefault="00D35B9D"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9D" w:rsidRDefault="00D35B9D" w:rsidP="00210D5D">
      <w:pPr>
        <w:spacing w:after="0"/>
      </w:pPr>
      <w:r>
        <w:separator/>
      </w:r>
    </w:p>
  </w:footnote>
  <w:footnote w:type="continuationSeparator" w:id="0">
    <w:p w:rsidR="00D35B9D" w:rsidRDefault="00D35B9D"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E6E3E"/>
    <w:rsid w:val="00210D5D"/>
    <w:rsid w:val="0021397F"/>
    <w:rsid w:val="00236EEF"/>
    <w:rsid w:val="003B4DC7"/>
    <w:rsid w:val="00433CB6"/>
    <w:rsid w:val="004E596F"/>
    <w:rsid w:val="00723648"/>
    <w:rsid w:val="00800331"/>
    <w:rsid w:val="009253FC"/>
    <w:rsid w:val="009273F1"/>
    <w:rsid w:val="00A9490E"/>
    <w:rsid w:val="00D35B9D"/>
    <w:rsid w:val="00DE1109"/>
    <w:rsid w:val="00DF5A65"/>
    <w:rsid w:val="00FF5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1373</Words>
  <Characters>7828</Characters>
  <Application>Microsoft Office Word</Application>
  <DocSecurity>0</DocSecurity>
  <Lines>65</Lines>
  <Paragraphs>18</Paragraphs>
  <ScaleCrop>false</ScaleCrop>
  <Company>Samsung Electronics</Company>
  <LinksUpToDate>false</LinksUpToDate>
  <CharactersWithSpaces>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11</cp:revision>
  <dcterms:created xsi:type="dcterms:W3CDTF">2017-01-05T08:52:00Z</dcterms:created>
  <dcterms:modified xsi:type="dcterms:W3CDTF">2017-02-07T04:49:00Z</dcterms:modified>
</cp:coreProperties>
</file>