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42757D15"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00F15CF3">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3F128A">
        <w:rPr>
          <w:rFonts w:ascii="Arial" w:hAnsi="Arial" w:cs="Arial"/>
          <w:b/>
          <w:sz w:val="24"/>
          <w:szCs w:val="24"/>
        </w:rPr>
        <w:t>10177</w:t>
      </w:r>
    </w:p>
    <w:p w14:paraId="43B7F879" w14:textId="2F24AC58" w:rsidR="00D1303E" w:rsidRPr="00FD021C" w:rsidRDefault="00F15CF3" w:rsidP="00D1303E">
      <w:pPr>
        <w:tabs>
          <w:tab w:val="right" w:pos="9630"/>
        </w:tabs>
        <w:spacing w:after="0"/>
        <w:jc w:val="both"/>
        <w:rPr>
          <w:rFonts w:ascii="Arial" w:hAnsi="Arial" w:cs="Arial"/>
          <w:b/>
          <w:sz w:val="24"/>
          <w:szCs w:val="24"/>
        </w:rPr>
      </w:pPr>
      <w:r>
        <w:rPr>
          <w:rFonts w:ascii="Arial" w:hAnsi="Arial" w:cs="Arial"/>
          <w:b/>
          <w:sz w:val="24"/>
          <w:szCs w:val="24"/>
        </w:rPr>
        <w:t>10</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October</w:t>
      </w:r>
      <w:r w:rsidR="00CA6BDF">
        <w:rPr>
          <w:rFonts w:ascii="Arial" w:hAnsi="Arial" w:cs="Arial"/>
          <w:b/>
          <w:sz w:val="24"/>
          <w:szCs w:val="24"/>
        </w:rPr>
        <w:t xml:space="preserve"> 2016</w:t>
      </w:r>
    </w:p>
    <w:p w14:paraId="43B7F87A" w14:textId="5BF7B1C1" w:rsidR="00D1303E" w:rsidRPr="00FD021C" w:rsidRDefault="00F15CF3" w:rsidP="00D1303E">
      <w:pPr>
        <w:spacing w:after="0"/>
        <w:jc w:val="both"/>
        <w:rPr>
          <w:rFonts w:ascii="Arial" w:hAnsi="Arial" w:cs="Arial"/>
          <w:b/>
          <w:sz w:val="24"/>
          <w:szCs w:val="24"/>
        </w:rPr>
      </w:pPr>
      <w:r>
        <w:rPr>
          <w:rFonts w:ascii="Arial" w:hAnsi="Arial" w:cs="Arial"/>
          <w:b/>
          <w:sz w:val="24"/>
          <w:szCs w:val="24"/>
        </w:rPr>
        <w:t>Lisbon, Portugal</w:t>
      </w:r>
    </w:p>
    <w:p w14:paraId="43B7F87B" w14:textId="77777777" w:rsidR="0068226B" w:rsidRPr="000A64D8" w:rsidRDefault="0068226B" w:rsidP="00480B03">
      <w:pPr>
        <w:pStyle w:val="Footer"/>
        <w:jc w:val="both"/>
        <w:rPr>
          <w:noProof w:val="0"/>
        </w:rPr>
      </w:pPr>
    </w:p>
    <w:p w14:paraId="43B7F87C" w14:textId="59E420A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Pr>
          <w:rFonts w:ascii="Arial" w:hAnsi="Arial"/>
          <w:sz w:val="24"/>
        </w:rPr>
        <w:t>8</w:t>
      </w:r>
      <w:r w:rsidR="00CA6BDF">
        <w:rPr>
          <w:rFonts w:ascii="Arial" w:hAnsi="Arial"/>
          <w:sz w:val="24"/>
        </w:rPr>
        <w:t>.</w:t>
      </w:r>
      <w:r w:rsidR="005729A6">
        <w:rPr>
          <w:rFonts w:ascii="Arial" w:hAnsi="Arial"/>
          <w:sz w:val="24"/>
        </w:rPr>
        <w:t>1</w:t>
      </w:r>
      <w:r w:rsidR="00CA6BDF">
        <w:rPr>
          <w:rFonts w:ascii="Arial" w:hAnsi="Arial"/>
          <w:sz w:val="24"/>
        </w:rPr>
        <w:t>.</w:t>
      </w:r>
      <w:r w:rsidR="003F128A">
        <w:rPr>
          <w:rFonts w:ascii="Arial" w:hAnsi="Arial"/>
          <w:sz w:val="24"/>
        </w:rPr>
        <w:t>7.1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2530C1E"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60452">
        <w:rPr>
          <w:rFonts w:ascii="Arial" w:hAnsi="Arial"/>
          <w:sz w:val="22"/>
        </w:rPr>
        <w:t>DL control channels overview</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ADE699D" w14:textId="7AE91410" w:rsidR="0044173B" w:rsidRDefault="00595BE6" w:rsidP="004503F9">
      <w:pPr>
        <w:jc w:val="both"/>
        <w:rPr>
          <w:szCs w:val="22"/>
        </w:rPr>
      </w:pPr>
      <w:r>
        <w:rPr>
          <w:szCs w:val="22"/>
        </w:rPr>
        <w:t xml:space="preserve">This contribution provides overview on DL control channels </w:t>
      </w:r>
      <w:r w:rsidR="00CF3B65">
        <w:rPr>
          <w:szCs w:val="22"/>
        </w:rPr>
        <w:t xml:space="preserve">for NR and </w:t>
      </w:r>
      <w:r w:rsidR="00583DAF">
        <w:rPr>
          <w:szCs w:val="22"/>
        </w:rPr>
        <w:t xml:space="preserve">have detailed </w:t>
      </w:r>
      <w:r w:rsidR="00CF3B65">
        <w:rPr>
          <w:szCs w:val="22"/>
        </w:rPr>
        <w:t xml:space="preserve">discussion </w:t>
      </w:r>
      <w:r w:rsidR="00583DAF">
        <w:rPr>
          <w:szCs w:val="22"/>
        </w:rPr>
        <w:t>for PDCCH</w:t>
      </w:r>
      <w:r w:rsidR="00CF3B65">
        <w:rPr>
          <w:szCs w:val="22"/>
        </w:rPr>
        <w:t>.</w:t>
      </w:r>
    </w:p>
    <w:p w14:paraId="58352E5A" w14:textId="77777777" w:rsidR="00CF3B65" w:rsidRDefault="00CF3B65" w:rsidP="004503F9">
      <w:pPr>
        <w:jc w:val="both"/>
        <w:rPr>
          <w:szCs w:val="22"/>
        </w:rPr>
      </w:pPr>
    </w:p>
    <w:p w14:paraId="0B3BE98D" w14:textId="57201765" w:rsidR="0044173B" w:rsidRDefault="00CF3B65" w:rsidP="0044173B">
      <w:pPr>
        <w:pStyle w:val="Heading1"/>
      </w:pPr>
      <w:r>
        <w:t>Functional Description</w:t>
      </w:r>
      <w:r w:rsidR="00D50B7B">
        <w:t xml:space="preserve"> on DL Control Channels</w:t>
      </w:r>
    </w:p>
    <w:p w14:paraId="236F911F" w14:textId="0D13036C" w:rsidR="008065D0" w:rsidRDefault="003972DB" w:rsidP="008065D0">
      <w:pPr>
        <w:jc w:val="both"/>
        <w:rPr>
          <w:szCs w:val="22"/>
        </w:rPr>
      </w:pPr>
      <w:r>
        <w:rPr>
          <w:szCs w:val="22"/>
        </w:rPr>
        <w:t>This section summarizes</w:t>
      </w:r>
      <w:r w:rsidR="00F46A13">
        <w:rPr>
          <w:szCs w:val="22"/>
        </w:rPr>
        <w:t xml:space="preserve"> physical</w:t>
      </w:r>
      <w:r>
        <w:rPr>
          <w:szCs w:val="22"/>
        </w:rPr>
        <w:t xml:space="preserve"> downlink control channels that is envisioned for NR.</w:t>
      </w:r>
      <w:r w:rsidR="00F46A13">
        <w:rPr>
          <w:szCs w:val="22"/>
        </w:rPr>
        <w:t xml:space="preserve"> Reference signal for demodulating the control channels are not covered here.</w:t>
      </w:r>
    </w:p>
    <w:p w14:paraId="05498AC8" w14:textId="0F1A073A" w:rsidR="003972DB" w:rsidRPr="00BF0862" w:rsidRDefault="00B34D2A" w:rsidP="003972DB">
      <w:pPr>
        <w:pStyle w:val="ListParagraph"/>
        <w:numPr>
          <w:ilvl w:val="0"/>
          <w:numId w:val="23"/>
        </w:numPr>
        <w:jc w:val="both"/>
        <w:rPr>
          <w:rFonts w:ascii="Times New Roman" w:hAnsi="Times New Roman"/>
          <w:sz w:val="20"/>
          <w:szCs w:val="20"/>
        </w:rPr>
      </w:pPr>
      <w:r w:rsidRPr="00BF0862">
        <w:rPr>
          <w:rFonts w:ascii="Times New Roman" w:hAnsi="Times New Roman"/>
          <w:sz w:val="20"/>
          <w:szCs w:val="20"/>
        </w:rPr>
        <w:t>Physical Slot Format Indicator Channel (</w:t>
      </w:r>
      <w:r w:rsidR="003972DB" w:rsidRPr="00BF0862">
        <w:rPr>
          <w:rFonts w:ascii="Times New Roman" w:hAnsi="Times New Roman"/>
          <w:sz w:val="20"/>
          <w:szCs w:val="20"/>
        </w:rPr>
        <w:t>PSFICH</w:t>
      </w:r>
      <w:r w:rsidRPr="00BF0862">
        <w:rPr>
          <w:rFonts w:ascii="Times New Roman" w:hAnsi="Times New Roman"/>
          <w:sz w:val="20"/>
          <w:szCs w:val="20"/>
        </w:rPr>
        <w:t>)</w:t>
      </w:r>
    </w:p>
    <w:p w14:paraId="3602E32F" w14:textId="4B5F3BD5" w:rsidR="0033339B" w:rsidRPr="00BF0862" w:rsidRDefault="00D50B7B" w:rsidP="0033339B">
      <w:pPr>
        <w:pStyle w:val="ListParagraph"/>
        <w:numPr>
          <w:ilvl w:val="1"/>
          <w:numId w:val="23"/>
        </w:numPr>
        <w:jc w:val="both"/>
        <w:rPr>
          <w:rFonts w:ascii="Times New Roman" w:hAnsi="Times New Roman"/>
          <w:sz w:val="20"/>
          <w:szCs w:val="20"/>
        </w:rPr>
      </w:pPr>
      <w:r w:rsidRPr="00BF0862">
        <w:rPr>
          <w:rFonts w:ascii="Times New Roman" w:hAnsi="Times New Roman"/>
          <w:sz w:val="20"/>
          <w:szCs w:val="20"/>
        </w:rPr>
        <w:t>PSFICH carries slot (TTI) format indicator every slot such as:</w:t>
      </w:r>
    </w:p>
    <w:p w14:paraId="2CDB8176" w14:textId="006137D3" w:rsidR="00D50B7B" w:rsidRPr="00BF0862" w:rsidRDefault="00D50B7B" w:rsidP="00D50B7B">
      <w:pPr>
        <w:pStyle w:val="ListParagraph"/>
        <w:numPr>
          <w:ilvl w:val="2"/>
          <w:numId w:val="23"/>
        </w:numPr>
        <w:jc w:val="both"/>
        <w:rPr>
          <w:rFonts w:ascii="Times New Roman" w:hAnsi="Times New Roman"/>
          <w:sz w:val="20"/>
          <w:szCs w:val="20"/>
        </w:rPr>
      </w:pPr>
      <w:r w:rsidRPr="00BF0862">
        <w:rPr>
          <w:rFonts w:ascii="Times New Roman" w:hAnsi="Times New Roman"/>
          <w:sz w:val="20"/>
          <w:szCs w:val="20"/>
        </w:rPr>
        <w:t>Uplink centric</w:t>
      </w:r>
    </w:p>
    <w:p w14:paraId="19C0872C" w14:textId="6661F8A5" w:rsidR="00D50B7B" w:rsidRPr="00BF0862" w:rsidRDefault="00D50B7B" w:rsidP="00D50B7B">
      <w:pPr>
        <w:pStyle w:val="ListParagraph"/>
        <w:numPr>
          <w:ilvl w:val="2"/>
          <w:numId w:val="23"/>
        </w:numPr>
        <w:jc w:val="both"/>
        <w:rPr>
          <w:rFonts w:ascii="Times New Roman" w:hAnsi="Times New Roman"/>
          <w:sz w:val="20"/>
          <w:szCs w:val="20"/>
        </w:rPr>
      </w:pPr>
      <w:r w:rsidRPr="00BF0862">
        <w:rPr>
          <w:rFonts w:ascii="Times New Roman" w:hAnsi="Times New Roman"/>
          <w:sz w:val="20"/>
          <w:szCs w:val="20"/>
        </w:rPr>
        <w:t>Downlink centric</w:t>
      </w:r>
    </w:p>
    <w:p w14:paraId="0A0E6C6B" w14:textId="578CBF7C" w:rsidR="00D50B7B" w:rsidRPr="00BF0862" w:rsidRDefault="00D50B7B" w:rsidP="00D50B7B">
      <w:pPr>
        <w:pStyle w:val="ListParagraph"/>
        <w:numPr>
          <w:ilvl w:val="2"/>
          <w:numId w:val="23"/>
        </w:numPr>
        <w:jc w:val="both"/>
        <w:rPr>
          <w:rFonts w:ascii="Times New Roman" w:hAnsi="Times New Roman"/>
          <w:sz w:val="20"/>
          <w:szCs w:val="20"/>
        </w:rPr>
      </w:pPr>
      <w:r w:rsidRPr="00BF0862">
        <w:rPr>
          <w:rFonts w:ascii="Times New Roman" w:hAnsi="Times New Roman"/>
          <w:sz w:val="20"/>
          <w:szCs w:val="20"/>
        </w:rPr>
        <w:t>Blank</w:t>
      </w:r>
    </w:p>
    <w:p w14:paraId="4D9AE751" w14:textId="4AA8DE26" w:rsidR="00D50B7B" w:rsidRPr="00BF0862" w:rsidRDefault="00D50B7B" w:rsidP="00D50B7B">
      <w:pPr>
        <w:pStyle w:val="ListParagraph"/>
        <w:numPr>
          <w:ilvl w:val="2"/>
          <w:numId w:val="23"/>
        </w:numPr>
        <w:jc w:val="both"/>
        <w:rPr>
          <w:rFonts w:ascii="Times New Roman" w:hAnsi="Times New Roman"/>
          <w:sz w:val="20"/>
          <w:szCs w:val="20"/>
        </w:rPr>
      </w:pPr>
      <w:r w:rsidRPr="00BF0862">
        <w:rPr>
          <w:rFonts w:ascii="Times New Roman" w:hAnsi="Times New Roman"/>
          <w:sz w:val="20"/>
          <w:szCs w:val="20"/>
        </w:rPr>
        <w:t>Full-duplex</w:t>
      </w:r>
    </w:p>
    <w:p w14:paraId="1F874707" w14:textId="63782B94" w:rsidR="00D50B7B" w:rsidRPr="00BF0862" w:rsidRDefault="00D50B7B" w:rsidP="00D50B7B">
      <w:pPr>
        <w:pStyle w:val="ListParagraph"/>
        <w:numPr>
          <w:ilvl w:val="1"/>
          <w:numId w:val="23"/>
        </w:numPr>
        <w:jc w:val="both"/>
        <w:rPr>
          <w:rFonts w:ascii="Times New Roman" w:hAnsi="Times New Roman"/>
          <w:sz w:val="20"/>
          <w:szCs w:val="20"/>
        </w:rPr>
      </w:pPr>
      <w:r w:rsidRPr="00BF0862">
        <w:rPr>
          <w:rFonts w:ascii="Times New Roman" w:hAnsi="Times New Roman"/>
          <w:sz w:val="20"/>
          <w:szCs w:val="20"/>
        </w:rPr>
        <w:t xml:space="preserve">PSFICH can also </w:t>
      </w:r>
      <w:r w:rsidR="00D35F8E">
        <w:rPr>
          <w:rFonts w:ascii="Times New Roman" w:hAnsi="Times New Roman"/>
          <w:sz w:val="20"/>
          <w:szCs w:val="20"/>
        </w:rPr>
        <w:t xml:space="preserve">potentially </w:t>
      </w:r>
      <w:r w:rsidRPr="00BF0862">
        <w:rPr>
          <w:rFonts w:ascii="Times New Roman" w:hAnsi="Times New Roman"/>
          <w:sz w:val="20"/>
          <w:szCs w:val="20"/>
        </w:rPr>
        <w:t>carry other time-critical information</w:t>
      </w:r>
      <w:r w:rsidR="00571456" w:rsidRPr="00BF0862">
        <w:rPr>
          <w:rFonts w:ascii="Times New Roman" w:hAnsi="Times New Roman"/>
          <w:sz w:val="20"/>
          <w:szCs w:val="20"/>
        </w:rPr>
        <w:t xml:space="preserve"> such as the numerology</w:t>
      </w:r>
      <w:r w:rsidR="00D35F8E">
        <w:rPr>
          <w:rFonts w:ascii="Times New Roman" w:hAnsi="Times New Roman"/>
          <w:sz w:val="20"/>
          <w:szCs w:val="20"/>
        </w:rPr>
        <w:t>.</w:t>
      </w:r>
    </w:p>
    <w:p w14:paraId="0F135DE0" w14:textId="6E04126C" w:rsidR="00571456" w:rsidRPr="00BF0862" w:rsidRDefault="00D35F8E" w:rsidP="00D50B7B">
      <w:pPr>
        <w:pStyle w:val="ListParagraph"/>
        <w:numPr>
          <w:ilvl w:val="1"/>
          <w:numId w:val="23"/>
        </w:numPr>
        <w:jc w:val="both"/>
        <w:rPr>
          <w:rFonts w:ascii="Times New Roman" w:hAnsi="Times New Roman"/>
          <w:sz w:val="20"/>
          <w:szCs w:val="20"/>
        </w:rPr>
      </w:pPr>
      <w:r>
        <w:rPr>
          <w:rFonts w:ascii="Times New Roman" w:hAnsi="Times New Roman"/>
          <w:sz w:val="20"/>
          <w:szCs w:val="20"/>
        </w:rPr>
        <w:t>It</w:t>
      </w:r>
      <w:r w:rsidR="00571456" w:rsidRPr="00BF0862">
        <w:rPr>
          <w:rFonts w:ascii="Times New Roman" w:hAnsi="Times New Roman"/>
          <w:sz w:val="20"/>
          <w:szCs w:val="20"/>
        </w:rPr>
        <w:t xml:space="preserve"> provide faster delivery of time-critical information to facilitate self-contained slot processing [1] so that UE can prepare subsequent processing (e.g., PDCCH/PDSCH demodulation, PDCCH/uplink data transmission and etc.)</w:t>
      </w:r>
    </w:p>
    <w:p w14:paraId="3CC4BACD" w14:textId="653156F2" w:rsidR="00D35F8E" w:rsidRDefault="00D35F8E" w:rsidP="00D50B7B">
      <w:pPr>
        <w:pStyle w:val="ListParagraph"/>
        <w:numPr>
          <w:ilvl w:val="1"/>
          <w:numId w:val="23"/>
        </w:numPr>
        <w:jc w:val="both"/>
        <w:rPr>
          <w:rFonts w:ascii="Times New Roman" w:hAnsi="Times New Roman"/>
          <w:sz w:val="20"/>
          <w:szCs w:val="20"/>
        </w:rPr>
      </w:pPr>
      <w:r>
        <w:rPr>
          <w:rFonts w:ascii="Times New Roman" w:hAnsi="Times New Roman"/>
          <w:sz w:val="20"/>
          <w:szCs w:val="20"/>
        </w:rPr>
        <w:t xml:space="preserve">The content of PSFICH should be available for everyone (i.e., broadcast). </w:t>
      </w:r>
    </w:p>
    <w:p w14:paraId="0C34530B" w14:textId="30E17814" w:rsidR="00571456" w:rsidRPr="00BF0862" w:rsidRDefault="00571456" w:rsidP="00D50B7B">
      <w:pPr>
        <w:pStyle w:val="ListParagraph"/>
        <w:numPr>
          <w:ilvl w:val="1"/>
          <w:numId w:val="23"/>
        </w:numPr>
        <w:jc w:val="both"/>
        <w:rPr>
          <w:rFonts w:ascii="Times New Roman" w:hAnsi="Times New Roman"/>
          <w:sz w:val="20"/>
          <w:szCs w:val="20"/>
        </w:rPr>
      </w:pPr>
      <w:r w:rsidRPr="00BF0862">
        <w:rPr>
          <w:rFonts w:ascii="Times New Roman" w:hAnsi="Times New Roman"/>
          <w:sz w:val="20"/>
          <w:szCs w:val="20"/>
        </w:rPr>
        <w:t>It should reside on the first symbol in the slot and should not span into subsequent symbols for faster decoding at UE</w:t>
      </w:r>
      <w:r w:rsidR="00D35F8E">
        <w:rPr>
          <w:rFonts w:ascii="Times New Roman" w:hAnsi="Times New Roman"/>
          <w:sz w:val="20"/>
          <w:szCs w:val="20"/>
        </w:rPr>
        <w:t>.</w:t>
      </w:r>
    </w:p>
    <w:p w14:paraId="323E06C5" w14:textId="65043B03" w:rsidR="00571456" w:rsidRPr="00BF0862" w:rsidRDefault="00571456" w:rsidP="00D50B7B">
      <w:pPr>
        <w:pStyle w:val="ListParagraph"/>
        <w:numPr>
          <w:ilvl w:val="1"/>
          <w:numId w:val="23"/>
        </w:numPr>
        <w:jc w:val="both"/>
        <w:rPr>
          <w:rFonts w:ascii="Times New Roman" w:hAnsi="Times New Roman"/>
          <w:sz w:val="20"/>
          <w:szCs w:val="20"/>
        </w:rPr>
      </w:pPr>
      <w:r w:rsidRPr="00BF0862">
        <w:rPr>
          <w:rFonts w:ascii="Times New Roman" w:hAnsi="Times New Roman"/>
          <w:sz w:val="20"/>
          <w:szCs w:val="20"/>
        </w:rPr>
        <w:t>Encoding/modulation should be robust and simple enough for efficient processing</w:t>
      </w:r>
      <w:r w:rsidR="00D35F8E">
        <w:rPr>
          <w:rFonts w:ascii="Times New Roman" w:hAnsi="Times New Roman"/>
          <w:sz w:val="20"/>
          <w:szCs w:val="20"/>
        </w:rPr>
        <w:t>.</w:t>
      </w:r>
    </w:p>
    <w:p w14:paraId="137A1184" w14:textId="68E9B015" w:rsidR="003972DB" w:rsidRPr="00BF0862" w:rsidRDefault="00B34D2A" w:rsidP="003972DB">
      <w:pPr>
        <w:pStyle w:val="ListParagraph"/>
        <w:numPr>
          <w:ilvl w:val="0"/>
          <w:numId w:val="23"/>
        </w:numPr>
        <w:jc w:val="both"/>
        <w:rPr>
          <w:rFonts w:ascii="Times New Roman" w:hAnsi="Times New Roman"/>
          <w:sz w:val="20"/>
          <w:szCs w:val="20"/>
        </w:rPr>
      </w:pPr>
      <w:r w:rsidRPr="00BF0862">
        <w:rPr>
          <w:rFonts w:ascii="Times New Roman" w:hAnsi="Times New Roman"/>
          <w:sz w:val="20"/>
          <w:szCs w:val="20"/>
        </w:rPr>
        <w:t>Physical Downlink Control Channel (</w:t>
      </w:r>
      <w:r w:rsidR="003972DB" w:rsidRPr="00BF0862">
        <w:rPr>
          <w:rFonts w:ascii="Times New Roman" w:hAnsi="Times New Roman"/>
          <w:sz w:val="20"/>
          <w:szCs w:val="20"/>
        </w:rPr>
        <w:t>PDCCH</w:t>
      </w:r>
      <w:r w:rsidRPr="00BF0862">
        <w:rPr>
          <w:rFonts w:ascii="Times New Roman" w:hAnsi="Times New Roman"/>
          <w:sz w:val="20"/>
          <w:szCs w:val="20"/>
        </w:rPr>
        <w:t>)</w:t>
      </w:r>
    </w:p>
    <w:p w14:paraId="27D24F8D" w14:textId="404A887A" w:rsidR="0033339B" w:rsidRDefault="00571456" w:rsidP="0033339B">
      <w:pPr>
        <w:pStyle w:val="ListParagraph"/>
        <w:numPr>
          <w:ilvl w:val="1"/>
          <w:numId w:val="23"/>
        </w:numPr>
        <w:jc w:val="both"/>
        <w:rPr>
          <w:rFonts w:ascii="Times New Roman" w:hAnsi="Times New Roman"/>
          <w:sz w:val="20"/>
          <w:szCs w:val="20"/>
        </w:rPr>
      </w:pPr>
      <w:r w:rsidRPr="00BF0862">
        <w:rPr>
          <w:rFonts w:ascii="Times New Roman" w:hAnsi="Times New Roman"/>
          <w:sz w:val="20"/>
          <w:szCs w:val="20"/>
        </w:rPr>
        <w:t>PDCCH carries Downlink Control Information similar to LTE</w:t>
      </w:r>
      <w:r w:rsidR="00D35F8E">
        <w:rPr>
          <w:rFonts w:ascii="Times New Roman" w:hAnsi="Times New Roman"/>
          <w:sz w:val="20"/>
          <w:szCs w:val="20"/>
        </w:rPr>
        <w:t>.</w:t>
      </w:r>
    </w:p>
    <w:p w14:paraId="7D224893" w14:textId="0839A59F" w:rsidR="006845E1" w:rsidRPr="00BF0862" w:rsidRDefault="006845E1" w:rsidP="0033339B">
      <w:pPr>
        <w:pStyle w:val="ListParagraph"/>
        <w:numPr>
          <w:ilvl w:val="1"/>
          <w:numId w:val="23"/>
        </w:numPr>
        <w:jc w:val="both"/>
        <w:rPr>
          <w:rFonts w:ascii="Times New Roman" w:hAnsi="Times New Roman"/>
          <w:sz w:val="20"/>
          <w:szCs w:val="20"/>
        </w:rPr>
      </w:pPr>
      <w:r>
        <w:rPr>
          <w:rFonts w:ascii="Times New Roman" w:hAnsi="Times New Roman"/>
          <w:sz w:val="20"/>
          <w:szCs w:val="20"/>
        </w:rPr>
        <w:t>PDCCH also provides LTE PHICH functionality (ACK/NACK for PUSCH)</w:t>
      </w:r>
      <w:r w:rsidR="00D35F8E">
        <w:rPr>
          <w:rFonts w:ascii="Times New Roman" w:hAnsi="Times New Roman"/>
          <w:sz w:val="20"/>
          <w:szCs w:val="20"/>
        </w:rPr>
        <w:t>.</w:t>
      </w:r>
    </w:p>
    <w:p w14:paraId="08BD0501" w14:textId="0A77EF20" w:rsidR="003972DB" w:rsidRPr="00BF0862" w:rsidRDefault="00B34D2A" w:rsidP="003972DB">
      <w:pPr>
        <w:pStyle w:val="ListParagraph"/>
        <w:numPr>
          <w:ilvl w:val="0"/>
          <w:numId w:val="23"/>
        </w:numPr>
        <w:jc w:val="both"/>
        <w:rPr>
          <w:rFonts w:ascii="Times New Roman" w:hAnsi="Times New Roman"/>
          <w:sz w:val="20"/>
          <w:szCs w:val="20"/>
        </w:rPr>
      </w:pPr>
      <w:r w:rsidRPr="00BF0862">
        <w:rPr>
          <w:rFonts w:ascii="Times New Roman" w:hAnsi="Times New Roman"/>
          <w:sz w:val="20"/>
          <w:szCs w:val="20"/>
        </w:rPr>
        <w:t>Physical Keep Alive Channel (</w:t>
      </w:r>
      <w:r w:rsidR="003972DB" w:rsidRPr="00BF0862">
        <w:rPr>
          <w:rFonts w:ascii="Times New Roman" w:hAnsi="Times New Roman"/>
          <w:sz w:val="20"/>
          <w:szCs w:val="20"/>
        </w:rPr>
        <w:t>PKACH</w:t>
      </w:r>
      <w:r w:rsidRPr="00BF0862">
        <w:rPr>
          <w:rFonts w:ascii="Times New Roman" w:hAnsi="Times New Roman"/>
          <w:sz w:val="20"/>
          <w:szCs w:val="20"/>
        </w:rPr>
        <w:t>)</w:t>
      </w:r>
    </w:p>
    <w:p w14:paraId="4BF5178C" w14:textId="4D3D9870" w:rsidR="00B34D2A" w:rsidRPr="00BF0862" w:rsidRDefault="00F46A13" w:rsidP="0033339B">
      <w:pPr>
        <w:pStyle w:val="ListParagraph"/>
        <w:numPr>
          <w:ilvl w:val="1"/>
          <w:numId w:val="23"/>
        </w:numPr>
        <w:jc w:val="both"/>
        <w:rPr>
          <w:rFonts w:ascii="Times New Roman" w:hAnsi="Times New Roman"/>
          <w:sz w:val="20"/>
          <w:szCs w:val="20"/>
        </w:rPr>
      </w:pPr>
      <w:r w:rsidRPr="00BF0862">
        <w:rPr>
          <w:rFonts w:ascii="Times New Roman" w:hAnsi="Times New Roman"/>
          <w:sz w:val="20"/>
          <w:szCs w:val="20"/>
        </w:rPr>
        <w:t>PKACH carries</w:t>
      </w:r>
      <w:r w:rsidR="00D50B7B" w:rsidRPr="00BF0862">
        <w:rPr>
          <w:rFonts w:ascii="Times New Roman" w:hAnsi="Times New Roman"/>
          <w:sz w:val="20"/>
          <w:szCs w:val="20"/>
        </w:rPr>
        <w:t xml:space="preserve"> one-bit information for </w:t>
      </w:r>
    </w:p>
    <w:p w14:paraId="7EEB1024" w14:textId="0776D593" w:rsidR="00D50B7B" w:rsidRPr="00BF0862" w:rsidRDefault="00D50B7B" w:rsidP="00D50B7B">
      <w:pPr>
        <w:pStyle w:val="ListParagraph"/>
        <w:numPr>
          <w:ilvl w:val="2"/>
          <w:numId w:val="23"/>
        </w:numPr>
        <w:jc w:val="both"/>
        <w:rPr>
          <w:rFonts w:ascii="Times New Roman" w:hAnsi="Times New Roman"/>
          <w:sz w:val="20"/>
          <w:szCs w:val="20"/>
        </w:rPr>
      </w:pPr>
      <w:r w:rsidRPr="00BF0862">
        <w:rPr>
          <w:rFonts w:ascii="Times New Roman" w:hAnsi="Times New Roman"/>
          <w:sz w:val="20"/>
          <w:szCs w:val="20"/>
        </w:rPr>
        <w:t>Acknowledgment to Uplink Measurement Indication Channel (UMICH) for contention resolution and radio link monitoring</w:t>
      </w:r>
    </w:p>
    <w:p w14:paraId="13CD7CE8" w14:textId="52AEC95A" w:rsidR="00D50B7B" w:rsidRPr="00BF0862" w:rsidRDefault="00D50B7B" w:rsidP="0080720F">
      <w:pPr>
        <w:pStyle w:val="ListParagraph"/>
        <w:numPr>
          <w:ilvl w:val="2"/>
          <w:numId w:val="23"/>
        </w:numPr>
        <w:jc w:val="both"/>
        <w:rPr>
          <w:rFonts w:ascii="Times New Roman" w:hAnsi="Times New Roman"/>
          <w:sz w:val="20"/>
          <w:szCs w:val="20"/>
        </w:rPr>
      </w:pPr>
      <w:r w:rsidRPr="00BF0862">
        <w:rPr>
          <w:rFonts w:ascii="Times New Roman" w:hAnsi="Times New Roman"/>
          <w:sz w:val="20"/>
          <w:szCs w:val="20"/>
        </w:rPr>
        <w:t>Indication such as paging, on-demand SI etc.</w:t>
      </w:r>
    </w:p>
    <w:p w14:paraId="4A42A705" w14:textId="61B31C67" w:rsidR="0033339B" w:rsidRPr="00BF0862" w:rsidRDefault="0033339B" w:rsidP="0033339B">
      <w:pPr>
        <w:pStyle w:val="ListParagraph"/>
        <w:numPr>
          <w:ilvl w:val="1"/>
          <w:numId w:val="23"/>
        </w:numPr>
        <w:jc w:val="both"/>
        <w:rPr>
          <w:rFonts w:ascii="Times New Roman" w:hAnsi="Times New Roman"/>
          <w:sz w:val="20"/>
          <w:szCs w:val="20"/>
        </w:rPr>
      </w:pPr>
      <w:r w:rsidRPr="00BF0862">
        <w:rPr>
          <w:rFonts w:ascii="Times New Roman" w:hAnsi="Times New Roman"/>
          <w:sz w:val="20"/>
          <w:szCs w:val="20"/>
        </w:rPr>
        <w:t>For details, see [2]</w:t>
      </w:r>
      <w:r w:rsidR="00D35F8E">
        <w:rPr>
          <w:rFonts w:ascii="Times New Roman" w:hAnsi="Times New Roman"/>
          <w:sz w:val="20"/>
          <w:szCs w:val="20"/>
        </w:rPr>
        <w:t>.</w:t>
      </w:r>
    </w:p>
    <w:p w14:paraId="639E3274" w14:textId="4784C7E3" w:rsidR="003972DB" w:rsidRPr="00BF0862" w:rsidRDefault="00B34D2A" w:rsidP="003972DB">
      <w:pPr>
        <w:pStyle w:val="ListParagraph"/>
        <w:numPr>
          <w:ilvl w:val="0"/>
          <w:numId w:val="23"/>
        </w:numPr>
        <w:jc w:val="both"/>
        <w:rPr>
          <w:rFonts w:ascii="Times New Roman" w:hAnsi="Times New Roman"/>
          <w:sz w:val="20"/>
          <w:szCs w:val="20"/>
        </w:rPr>
      </w:pPr>
      <w:r w:rsidRPr="00BF0862">
        <w:rPr>
          <w:rFonts w:ascii="Times New Roman" w:hAnsi="Times New Roman"/>
          <w:sz w:val="20"/>
          <w:szCs w:val="20"/>
        </w:rPr>
        <w:t>Physical Cell Identity Channel (</w:t>
      </w:r>
      <w:r w:rsidR="003972DB" w:rsidRPr="00BF0862">
        <w:rPr>
          <w:rFonts w:ascii="Times New Roman" w:hAnsi="Times New Roman"/>
          <w:sz w:val="20"/>
          <w:szCs w:val="20"/>
        </w:rPr>
        <w:t>PCICH</w:t>
      </w:r>
      <w:r w:rsidRPr="00BF0862">
        <w:rPr>
          <w:rFonts w:ascii="Times New Roman" w:hAnsi="Times New Roman"/>
          <w:sz w:val="20"/>
          <w:szCs w:val="20"/>
        </w:rPr>
        <w:t>)</w:t>
      </w:r>
    </w:p>
    <w:p w14:paraId="39A85F2E" w14:textId="4FB26C9B" w:rsidR="00D50B7B" w:rsidRPr="00BF0862" w:rsidRDefault="00D50B7B" w:rsidP="00D50B7B">
      <w:pPr>
        <w:pStyle w:val="ListParagraph"/>
        <w:numPr>
          <w:ilvl w:val="1"/>
          <w:numId w:val="23"/>
        </w:numPr>
        <w:jc w:val="both"/>
        <w:rPr>
          <w:rFonts w:ascii="Times New Roman" w:hAnsi="Times New Roman"/>
          <w:sz w:val="20"/>
          <w:szCs w:val="20"/>
        </w:rPr>
      </w:pPr>
      <w:r w:rsidRPr="00BF0862">
        <w:rPr>
          <w:rFonts w:ascii="Times New Roman" w:hAnsi="Times New Roman"/>
          <w:sz w:val="20"/>
          <w:szCs w:val="20"/>
        </w:rPr>
        <w:t>PCICH carries PCI for the serving cell (or TRP) in uplink based mobility</w:t>
      </w:r>
      <w:r w:rsidR="00D35F8E">
        <w:rPr>
          <w:rFonts w:ascii="Times New Roman" w:hAnsi="Times New Roman"/>
          <w:sz w:val="20"/>
          <w:szCs w:val="20"/>
        </w:rPr>
        <w:t>.</w:t>
      </w:r>
    </w:p>
    <w:p w14:paraId="7A0E39A3" w14:textId="5BD87616" w:rsidR="0033339B" w:rsidRPr="00BF0862" w:rsidRDefault="0033339B" w:rsidP="0033339B">
      <w:pPr>
        <w:pStyle w:val="ListParagraph"/>
        <w:numPr>
          <w:ilvl w:val="1"/>
          <w:numId w:val="23"/>
        </w:numPr>
        <w:jc w:val="both"/>
        <w:rPr>
          <w:rFonts w:ascii="Times New Roman" w:hAnsi="Times New Roman"/>
          <w:sz w:val="20"/>
          <w:szCs w:val="20"/>
        </w:rPr>
      </w:pPr>
      <w:r w:rsidRPr="00BF0862">
        <w:rPr>
          <w:rFonts w:ascii="Times New Roman" w:hAnsi="Times New Roman"/>
          <w:sz w:val="20"/>
          <w:szCs w:val="20"/>
        </w:rPr>
        <w:t>For details, see [2]</w:t>
      </w:r>
      <w:r w:rsidR="00D35F8E">
        <w:rPr>
          <w:rFonts w:ascii="Times New Roman" w:hAnsi="Times New Roman"/>
          <w:sz w:val="20"/>
          <w:szCs w:val="20"/>
        </w:rPr>
        <w:t>.</w:t>
      </w:r>
    </w:p>
    <w:p w14:paraId="0C15E4F6" w14:textId="6245CDC9" w:rsidR="00392F4D" w:rsidRDefault="00392F4D" w:rsidP="00392F4D">
      <w:r>
        <w:rPr>
          <w:b/>
          <w:u w:val="single"/>
        </w:rPr>
        <w:t>Proposal</w:t>
      </w:r>
      <w:r w:rsidRPr="00392F4D">
        <w:rPr>
          <w:b/>
          <w:u w:val="single"/>
        </w:rPr>
        <w:t xml:space="preserve"> 1:</w:t>
      </w:r>
      <w:r w:rsidRPr="00392F4D">
        <w:t xml:space="preserve"> </w:t>
      </w:r>
      <w:r w:rsidR="006A51C9">
        <w:t>Agree on the need of PSFICH for NR.</w:t>
      </w:r>
    </w:p>
    <w:p w14:paraId="5294DB96" w14:textId="5D08433D" w:rsidR="00FC7227" w:rsidRDefault="00625791" w:rsidP="00FC7227">
      <w:pPr>
        <w:pStyle w:val="Heading1"/>
      </w:pPr>
      <w:r>
        <w:lastRenderedPageBreak/>
        <w:t>Discussion for</w:t>
      </w:r>
      <w:r w:rsidR="00571456">
        <w:t xml:space="preserve"> PDCCH</w:t>
      </w:r>
    </w:p>
    <w:p w14:paraId="41222B22" w14:textId="499E61FB" w:rsidR="00625791" w:rsidRDefault="00D66F02" w:rsidP="00625791">
      <w:pPr>
        <w:pStyle w:val="Heading2"/>
      </w:pPr>
      <w:r>
        <w:t>Multi-part PDCCH</w:t>
      </w:r>
    </w:p>
    <w:p w14:paraId="6ADEE399" w14:textId="2CA2705F" w:rsidR="00392F4D" w:rsidRDefault="00313E18" w:rsidP="00BE75A3">
      <w:r>
        <w:t xml:space="preserve">This contribution assumes the slot structure shown in [3], i.e., control </w:t>
      </w:r>
      <w:r w:rsidR="008464E1">
        <w:t xml:space="preserve">region in the beginning of the slot followed by the </w:t>
      </w:r>
      <w:r w:rsidR="00D35F8E">
        <w:t xml:space="preserve">data </w:t>
      </w:r>
      <w:r w:rsidR="008464E1">
        <w:t>region for UE to receive or transmit data</w:t>
      </w:r>
      <w:r>
        <w:t>.</w:t>
      </w:r>
      <w:r w:rsidR="00D35F8E">
        <w:t xml:space="preserve"> It is </w:t>
      </w:r>
      <w:r w:rsidR="00576F11">
        <w:t>proposed</w:t>
      </w:r>
      <w:r w:rsidR="00D35F8E">
        <w:t xml:space="preserve"> that the RS for PDCCH is transmitted on the 1</w:t>
      </w:r>
      <w:r w:rsidR="00D35F8E" w:rsidRPr="00D35F8E">
        <w:rPr>
          <w:vertAlign w:val="superscript"/>
        </w:rPr>
        <w:t>st</w:t>
      </w:r>
      <w:r w:rsidR="00D35F8E">
        <w:t xml:space="preserve"> symbol in DL control region to expedite the processing of channel estimation</w:t>
      </w:r>
      <w:r w:rsidR="00576F11">
        <w:t xml:space="preserve"> before processing PDCCH</w:t>
      </w:r>
      <w:r w:rsidR="00D35F8E">
        <w:t>.</w:t>
      </w:r>
    </w:p>
    <w:p w14:paraId="5081DC5B" w14:textId="21CBD8C3" w:rsidR="00BE75A3" w:rsidRDefault="0065134F" w:rsidP="00BE75A3">
      <w:r>
        <w:t xml:space="preserve">Potentially </w:t>
      </w:r>
      <w:r w:rsidR="00C5157C">
        <w:t xml:space="preserve">certain </w:t>
      </w:r>
      <w:r w:rsidR="00D66F02">
        <w:t>DCI</w:t>
      </w:r>
      <w:r w:rsidR="00901E89">
        <w:t xml:space="preserve"> (PDSCH</w:t>
      </w:r>
      <w:r w:rsidR="00576F11">
        <w:t xml:space="preserve"> scheduling</w:t>
      </w:r>
      <w:r w:rsidR="00901E89">
        <w:t xml:space="preserve">/PUSCH </w:t>
      </w:r>
      <w:r w:rsidR="00576F11">
        <w:t>grant</w:t>
      </w:r>
      <w:r w:rsidR="00901E89">
        <w:t>)</w:t>
      </w:r>
      <w:r w:rsidR="00D66F02">
        <w:t xml:space="preserve"> can be split into two parts, i.e., carried on different PDCCH symbols especially to help eNB timeline for single interlace transmission.</w:t>
      </w:r>
      <w:r w:rsidR="00B03573">
        <w:t xml:space="preserve"> Each part can be decoded separately but the entire DCI information will be retrieved together</w:t>
      </w:r>
      <w:r w:rsidR="00402122">
        <w:t xml:space="preserve"> to pass pruning for DCI</w:t>
      </w:r>
      <w:r w:rsidR="00B03573">
        <w:t>.</w:t>
      </w:r>
    </w:p>
    <w:p w14:paraId="4B9EB647" w14:textId="51160089" w:rsidR="00402122" w:rsidRPr="00BF0862" w:rsidRDefault="00402122" w:rsidP="00B03573">
      <w:pPr>
        <w:pStyle w:val="ListParagraph"/>
        <w:numPr>
          <w:ilvl w:val="0"/>
          <w:numId w:val="28"/>
        </w:numPr>
        <w:rPr>
          <w:rFonts w:ascii="Times New Roman" w:hAnsi="Times New Roman"/>
          <w:sz w:val="20"/>
          <w:szCs w:val="20"/>
        </w:rPr>
      </w:pPr>
      <w:r w:rsidRPr="00BF0862">
        <w:rPr>
          <w:rFonts w:ascii="Times New Roman" w:hAnsi="Times New Roman"/>
          <w:sz w:val="20"/>
          <w:szCs w:val="20"/>
        </w:rPr>
        <w:t xml:space="preserve">Two parts can contain different information </w:t>
      </w:r>
      <w:r w:rsidR="00901E89" w:rsidRPr="00BF0862">
        <w:rPr>
          <w:rFonts w:ascii="Times New Roman" w:hAnsi="Times New Roman"/>
          <w:sz w:val="20"/>
          <w:szCs w:val="20"/>
        </w:rPr>
        <w:t>for PDSCH scheduling</w:t>
      </w:r>
      <w:r w:rsidR="00576F11">
        <w:rPr>
          <w:rFonts w:ascii="Times New Roman" w:hAnsi="Times New Roman"/>
          <w:sz w:val="20"/>
          <w:szCs w:val="20"/>
        </w:rPr>
        <w:t>/PUSCH grant</w:t>
      </w:r>
      <w:r w:rsidR="00901E89" w:rsidRPr="00BF0862">
        <w:rPr>
          <w:rFonts w:ascii="Times New Roman" w:hAnsi="Times New Roman"/>
          <w:sz w:val="20"/>
          <w:szCs w:val="20"/>
        </w:rPr>
        <w:t xml:space="preserve"> </w:t>
      </w:r>
      <w:r w:rsidRPr="00BF0862">
        <w:rPr>
          <w:rFonts w:ascii="Times New Roman" w:hAnsi="Times New Roman"/>
          <w:sz w:val="20"/>
          <w:szCs w:val="20"/>
        </w:rPr>
        <w:t>such as:</w:t>
      </w:r>
    </w:p>
    <w:p w14:paraId="4163C815" w14:textId="4975FC12" w:rsidR="00B03573" w:rsidRPr="00BF0862" w:rsidRDefault="00B03573" w:rsidP="00402122">
      <w:pPr>
        <w:pStyle w:val="ListParagraph"/>
        <w:numPr>
          <w:ilvl w:val="1"/>
          <w:numId w:val="28"/>
        </w:numPr>
        <w:rPr>
          <w:rFonts w:ascii="Times New Roman" w:hAnsi="Times New Roman"/>
          <w:sz w:val="20"/>
          <w:szCs w:val="20"/>
        </w:rPr>
      </w:pPr>
      <w:r w:rsidRPr="00BF0862">
        <w:rPr>
          <w:rFonts w:ascii="Times New Roman" w:hAnsi="Times New Roman"/>
          <w:sz w:val="20"/>
          <w:szCs w:val="20"/>
        </w:rPr>
        <w:t>1</w:t>
      </w:r>
      <w:r w:rsidRPr="00BF0862">
        <w:rPr>
          <w:rFonts w:ascii="Times New Roman" w:hAnsi="Times New Roman"/>
          <w:sz w:val="20"/>
          <w:szCs w:val="20"/>
          <w:vertAlign w:val="superscript"/>
        </w:rPr>
        <w:t>st</w:t>
      </w:r>
      <w:r w:rsidRPr="00BF0862">
        <w:rPr>
          <w:rFonts w:ascii="Times New Roman" w:hAnsi="Times New Roman"/>
          <w:sz w:val="20"/>
          <w:szCs w:val="20"/>
        </w:rPr>
        <w:t xml:space="preserve"> part</w:t>
      </w:r>
    </w:p>
    <w:p w14:paraId="32D8FD30" w14:textId="541F7790" w:rsidR="00B03573" w:rsidRPr="00BF0862" w:rsidRDefault="00576F11" w:rsidP="00402122">
      <w:pPr>
        <w:pStyle w:val="ListParagraph"/>
        <w:numPr>
          <w:ilvl w:val="2"/>
          <w:numId w:val="28"/>
        </w:numPr>
        <w:rPr>
          <w:rFonts w:ascii="Times New Roman" w:hAnsi="Times New Roman"/>
          <w:sz w:val="20"/>
          <w:szCs w:val="20"/>
        </w:rPr>
      </w:pPr>
      <w:r>
        <w:rPr>
          <w:rFonts w:ascii="Times New Roman" w:hAnsi="Times New Roman"/>
          <w:sz w:val="20"/>
          <w:szCs w:val="20"/>
        </w:rPr>
        <w:t xml:space="preserve">Processing-time-critical information: </w:t>
      </w:r>
      <w:r w:rsidR="00B03573" w:rsidRPr="00BF0862">
        <w:rPr>
          <w:rFonts w:ascii="Times New Roman" w:hAnsi="Times New Roman"/>
          <w:sz w:val="20"/>
          <w:szCs w:val="20"/>
        </w:rPr>
        <w:t>PDSCH</w:t>
      </w:r>
      <w:r>
        <w:rPr>
          <w:rFonts w:ascii="Times New Roman" w:hAnsi="Times New Roman"/>
          <w:sz w:val="20"/>
          <w:szCs w:val="20"/>
        </w:rPr>
        <w:t>/PUSCH</w:t>
      </w:r>
      <w:r w:rsidR="00B03573" w:rsidRPr="00BF0862">
        <w:rPr>
          <w:rFonts w:ascii="Times New Roman" w:hAnsi="Times New Roman"/>
          <w:sz w:val="20"/>
          <w:szCs w:val="20"/>
        </w:rPr>
        <w:t xml:space="preserve"> allocation, rank information</w:t>
      </w:r>
    </w:p>
    <w:p w14:paraId="6DD80E12" w14:textId="1613B7FF" w:rsidR="00B03573" w:rsidRPr="00BF0862" w:rsidRDefault="00B03573" w:rsidP="00402122">
      <w:pPr>
        <w:pStyle w:val="ListParagraph"/>
        <w:numPr>
          <w:ilvl w:val="1"/>
          <w:numId w:val="28"/>
        </w:numPr>
        <w:rPr>
          <w:rFonts w:ascii="Times New Roman" w:hAnsi="Times New Roman"/>
          <w:sz w:val="20"/>
          <w:szCs w:val="20"/>
        </w:rPr>
      </w:pPr>
      <w:r w:rsidRPr="00BF0862">
        <w:rPr>
          <w:rFonts w:ascii="Times New Roman" w:hAnsi="Times New Roman"/>
          <w:sz w:val="20"/>
          <w:szCs w:val="20"/>
        </w:rPr>
        <w:t>2</w:t>
      </w:r>
      <w:r w:rsidRPr="00BF0862">
        <w:rPr>
          <w:rFonts w:ascii="Times New Roman" w:hAnsi="Times New Roman"/>
          <w:sz w:val="20"/>
          <w:szCs w:val="20"/>
          <w:vertAlign w:val="superscript"/>
        </w:rPr>
        <w:t>nd</w:t>
      </w:r>
      <w:r w:rsidRPr="00BF0862">
        <w:rPr>
          <w:rFonts w:ascii="Times New Roman" w:hAnsi="Times New Roman"/>
          <w:sz w:val="20"/>
          <w:szCs w:val="20"/>
        </w:rPr>
        <w:t xml:space="preserve"> part</w:t>
      </w:r>
    </w:p>
    <w:p w14:paraId="3623CA46" w14:textId="72E77747" w:rsidR="00B03573" w:rsidRPr="00BF0862" w:rsidRDefault="00576F11" w:rsidP="00402122">
      <w:pPr>
        <w:pStyle w:val="ListParagraph"/>
        <w:numPr>
          <w:ilvl w:val="2"/>
          <w:numId w:val="28"/>
        </w:numPr>
        <w:rPr>
          <w:rFonts w:ascii="Times New Roman" w:hAnsi="Times New Roman"/>
          <w:sz w:val="20"/>
          <w:szCs w:val="20"/>
        </w:rPr>
      </w:pPr>
      <w:r>
        <w:rPr>
          <w:rFonts w:ascii="Times New Roman" w:hAnsi="Times New Roman"/>
          <w:sz w:val="20"/>
          <w:szCs w:val="20"/>
        </w:rPr>
        <w:t xml:space="preserve">Data-processing-dependent information: </w:t>
      </w:r>
      <w:r w:rsidR="00B03573" w:rsidRPr="00BF0862">
        <w:rPr>
          <w:rFonts w:ascii="Times New Roman" w:hAnsi="Times New Roman"/>
          <w:sz w:val="20"/>
          <w:szCs w:val="20"/>
        </w:rPr>
        <w:t>NDI/RV/MCS</w:t>
      </w:r>
    </w:p>
    <w:p w14:paraId="23DE93DF" w14:textId="68A435C4" w:rsidR="00402122" w:rsidRPr="00BF0862" w:rsidRDefault="00402122" w:rsidP="00402122">
      <w:pPr>
        <w:pStyle w:val="ListParagraph"/>
        <w:numPr>
          <w:ilvl w:val="2"/>
          <w:numId w:val="28"/>
        </w:numPr>
        <w:rPr>
          <w:rFonts w:ascii="Times New Roman" w:hAnsi="Times New Roman"/>
          <w:sz w:val="20"/>
          <w:szCs w:val="20"/>
        </w:rPr>
      </w:pPr>
      <w:r w:rsidRPr="00BF0862">
        <w:rPr>
          <w:rFonts w:ascii="Times New Roman" w:hAnsi="Times New Roman"/>
          <w:sz w:val="20"/>
          <w:szCs w:val="20"/>
        </w:rPr>
        <w:t>Search space for the 2</w:t>
      </w:r>
      <w:r w:rsidRPr="00BF0862">
        <w:rPr>
          <w:rFonts w:ascii="Times New Roman" w:hAnsi="Times New Roman"/>
          <w:sz w:val="20"/>
          <w:szCs w:val="20"/>
          <w:vertAlign w:val="superscript"/>
        </w:rPr>
        <w:t>nd</w:t>
      </w:r>
      <w:r w:rsidRPr="00BF0862">
        <w:rPr>
          <w:rFonts w:ascii="Times New Roman" w:hAnsi="Times New Roman"/>
          <w:sz w:val="20"/>
          <w:szCs w:val="20"/>
        </w:rPr>
        <w:t xml:space="preserve"> part could be inferred from the 1</w:t>
      </w:r>
      <w:r w:rsidRPr="00BF0862">
        <w:rPr>
          <w:rFonts w:ascii="Times New Roman" w:hAnsi="Times New Roman"/>
          <w:sz w:val="20"/>
          <w:szCs w:val="20"/>
          <w:vertAlign w:val="superscript"/>
        </w:rPr>
        <w:t>st</w:t>
      </w:r>
      <w:r w:rsidRPr="00BF0862">
        <w:rPr>
          <w:rFonts w:ascii="Times New Roman" w:hAnsi="Times New Roman"/>
          <w:sz w:val="20"/>
          <w:szCs w:val="20"/>
        </w:rPr>
        <w:t xml:space="preserve"> part</w:t>
      </w:r>
      <w:r w:rsidR="0065134F" w:rsidRPr="00BF0862">
        <w:rPr>
          <w:rFonts w:ascii="Times New Roman" w:hAnsi="Times New Roman"/>
          <w:sz w:val="20"/>
          <w:szCs w:val="20"/>
        </w:rPr>
        <w:t>.</w:t>
      </w:r>
    </w:p>
    <w:p w14:paraId="1A8847CD" w14:textId="13AAEB8B" w:rsidR="0065134F" w:rsidRPr="00BF0862" w:rsidRDefault="004D70FB" w:rsidP="00402122">
      <w:pPr>
        <w:pStyle w:val="ListParagraph"/>
        <w:numPr>
          <w:ilvl w:val="0"/>
          <w:numId w:val="28"/>
        </w:numPr>
        <w:jc w:val="both"/>
        <w:rPr>
          <w:rFonts w:ascii="Times New Roman" w:hAnsi="Times New Roman"/>
          <w:sz w:val="20"/>
          <w:szCs w:val="20"/>
        </w:rPr>
      </w:pPr>
      <w:r w:rsidRPr="00BF0862">
        <w:rPr>
          <w:rFonts w:ascii="Times New Roman" w:hAnsi="Times New Roman"/>
          <w:sz w:val="20"/>
          <w:szCs w:val="20"/>
        </w:rPr>
        <w:t xml:space="preserve">Multi-part </w:t>
      </w:r>
      <w:r w:rsidR="00402122" w:rsidRPr="00BF0862">
        <w:rPr>
          <w:rFonts w:ascii="Times New Roman" w:hAnsi="Times New Roman"/>
          <w:sz w:val="20"/>
          <w:szCs w:val="20"/>
        </w:rPr>
        <w:t>DCI</w:t>
      </w:r>
      <w:r w:rsidRPr="00BF0862">
        <w:rPr>
          <w:rFonts w:ascii="Times New Roman" w:hAnsi="Times New Roman"/>
          <w:sz w:val="20"/>
          <w:szCs w:val="20"/>
        </w:rPr>
        <w:t xml:space="preserve"> </w:t>
      </w:r>
      <w:r w:rsidR="0065134F" w:rsidRPr="00BF0862">
        <w:rPr>
          <w:rFonts w:ascii="Times New Roman" w:hAnsi="Times New Roman"/>
          <w:sz w:val="20"/>
          <w:szCs w:val="20"/>
        </w:rPr>
        <w:t xml:space="preserve">transmission can </w:t>
      </w:r>
      <w:r w:rsidR="00C5157C" w:rsidRPr="00BF0862">
        <w:rPr>
          <w:rFonts w:ascii="Times New Roman" w:hAnsi="Times New Roman"/>
          <w:sz w:val="20"/>
          <w:szCs w:val="20"/>
        </w:rPr>
        <w:t>have the following</w:t>
      </w:r>
      <w:r w:rsidR="0065134F" w:rsidRPr="00BF0862">
        <w:rPr>
          <w:rFonts w:ascii="Times New Roman" w:hAnsi="Times New Roman"/>
          <w:sz w:val="20"/>
          <w:szCs w:val="20"/>
        </w:rPr>
        <w:t xml:space="preserve"> options</w:t>
      </w:r>
      <w:r w:rsidR="00C5157C" w:rsidRPr="00BF0862">
        <w:rPr>
          <w:rFonts w:ascii="Times New Roman" w:hAnsi="Times New Roman"/>
          <w:sz w:val="20"/>
          <w:szCs w:val="20"/>
        </w:rPr>
        <w:t>.</w:t>
      </w:r>
    </w:p>
    <w:p w14:paraId="0A426956" w14:textId="199D5CD6" w:rsidR="0065134F" w:rsidRPr="00BF0862" w:rsidRDefault="0065134F" w:rsidP="0065134F">
      <w:pPr>
        <w:pStyle w:val="ListParagraph"/>
        <w:numPr>
          <w:ilvl w:val="1"/>
          <w:numId w:val="28"/>
        </w:numPr>
        <w:jc w:val="both"/>
        <w:rPr>
          <w:rFonts w:ascii="Times New Roman" w:hAnsi="Times New Roman"/>
          <w:sz w:val="20"/>
          <w:szCs w:val="20"/>
        </w:rPr>
      </w:pPr>
      <w:r w:rsidRPr="00BF0862">
        <w:rPr>
          <w:rFonts w:ascii="Times New Roman" w:hAnsi="Times New Roman"/>
          <w:sz w:val="20"/>
          <w:szCs w:val="20"/>
        </w:rPr>
        <w:t>1</w:t>
      </w:r>
      <w:r w:rsidRPr="00BF0862">
        <w:rPr>
          <w:rFonts w:ascii="Times New Roman" w:hAnsi="Times New Roman"/>
          <w:sz w:val="20"/>
          <w:szCs w:val="20"/>
          <w:vertAlign w:val="superscript"/>
        </w:rPr>
        <w:t>st</w:t>
      </w:r>
      <w:r w:rsidRPr="00BF0862">
        <w:rPr>
          <w:rFonts w:ascii="Times New Roman" w:hAnsi="Times New Roman"/>
          <w:sz w:val="20"/>
          <w:szCs w:val="20"/>
        </w:rPr>
        <w:t xml:space="preserve"> part is transmitted on the 1</w:t>
      </w:r>
      <w:r w:rsidRPr="00BF0862">
        <w:rPr>
          <w:rFonts w:ascii="Times New Roman" w:hAnsi="Times New Roman"/>
          <w:sz w:val="20"/>
          <w:szCs w:val="20"/>
          <w:vertAlign w:val="superscript"/>
        </w:rPr>
        <w:t>st</w:t>
      </w:r>
      <w:r w:rsidRPr="00BF0862">
        <w:rPr>
          <w:rFonts w:ascii="Times New Roman" w:hAnsi="Times New Roman"/>
          <w:sz w:val="20"/>
          <w:szCs w:val="20"/>
        </w:rPr>
        <w:t xml:space="preserve"> symbol in </w:t>
      </w:r>
      <w:r w:rsidR="008464E1">
        <w:rPr>
          <w:rFonts w:ascii="Times New Roman" w:hAnsi="Times New Roman"/>
          <w:sz w:val="20"/>
          <w:szCs w:val="20"/>
        </w:rPr>
        <w:t xml:space="preserve">DL </w:t>
      </w:r>
      <w:r w:rsidRPr="00BF0862">
        <w:rPr>
          <w:rFonts w:ascii="Times New Roman" w:hAnsi="Times New Roman"/>
          <w:sz w:val="20"/>
          <w:szCs w:val="20"/>
        </w:rPr>
        <w:t xml:space="preserve">control </w:t>
      </w:r>
      <w:r w:rsidR="008464E1">
        <w:rPr>
          <w:rFonts w:ascii="Times New Roman" w:hAnsi="Times New Roman"/>
          <w:sz w:val="20"/>
          <w:szCs w:val="20"/>
        </w:rPr>
        <w:t>region</w:t>
      </w:r>
      <w:r w:rsidRPr="00BF0862">
        <w:rPr>
          <w:rFonts w:ascii="Times New Roman" w:hAnsi="Times New Roman"/>
          <w:sz w:val="20"/>
          <w:szCs w:val="20"/>
        </w:rPr>
        <w:t xml:space="preserve"> and 2</w:t>
      </w:r>
      <w:r w:rsidRPr="00BF0862">
        <w:rPr>
          <w:rFonts w:ascii="Times New Roman" w:hAnsi="Times New Roman"/>
          <w:sz w:val="20"/>
          <w:szCs w:val="20"/>
          <w:vertAlign w:val="superscript"/>
        </w:rPr>
        <w:t>nd</w:t>
      </w:r>
      <w:r w:rsidRPr="00BF0862">
        <w:rPr>
          <w:rFonts w:ascii="Times New Roman" w:hAnsi="Times New Roman"/>
          <w:sz w:val="20"/>
          <w:szCs w:val="20"/>
        </w:rPr>
        <w:t xml:space="preserve"> part is transmitted on the 2</w:t>
      </w:r>
      <w:r w:rsidRPr="00BF0862">
        <w:rPr>
          <w:rFonts w:ascii="Times New Roman" w:hAnsi="Times New Roman"/>
          <w:sz w:val="20"/>
          <w:szCs w:val="20"/>
          <w:vertAlign w:val="superscript"/>
        </w:rPr>
        <w:t>nd</w:t>
      </w:r>
      <w:r w:rsidRPr="00BF0862">
        <w:rPr>
          <w:rFonts w:ascii="Times New Roman" w:hAnsi="Times New Roman"/>
          <w:sz w:val="20"/>
          <w:szCs w:val="20"/>
        </w:rPr>
        <w:t xml:space="preserve"> symbol in </w:t>
      </w:r>
      <w:r w:rsidR="008464E1">
        <w:rPr>
          <w:rFonts w:ascii="Times New Roman" w:hAnsi="Times New Roman"/>
          <w:sz w:val="20"/>
          <w:szCs w:val="20"/>
        </w:rPr>
        <w:t xml:space="preserve">DL </w:t>
      </w:r>
      <w:r w:rsidRPr="00BF0862">
        <w:rPr>
          <w:rFonts w:ascii="Times New Roman" w:hAnsi="Times New Roman"/>
          <w:sz w:val="20"/>
          <w:szCs w:val="20"/>
        </w:rPr>
        <w:t xml:space="preserve">control </w:t>
      </w:r>
      <w:r w:rsidR="008464E1">
        <w:rPr>
          <w:rFonts w:ascii="Times New Roman" w:hAnsi="Times New Roman"/>
          <w:sz w:val="20"/>
          <w:szCs w:val="20"/>
        </w:rPr>
        <w:t>region</w:t>
      </w:r>
      <w:r w:rsidRPr="00BF0862">
        <w:rPr>
          <w:rFonts w:ascii="Times New Roman" w:hAnsi="Times New Roman"/>
          <w:sz w:val="20"/>
          <w:szCs w:val="20"/>
        </w:rPr>
        <w:t>.</w:t>
      </w:r>
    </w:p>
    <w:p w14:paraId="78C36615" w14:textId="26D423C4" w:rsidR="00015420" w:rsidRPr="00BF0862" w:rsidRDefault="0065134F" w:rsidP="0065134F">
      <w:pPr>
        <w:pStyle w:val="ListParagraph"/>
        <w:numPr>
          <w:ilvl w:val="1"/>
          <w:numId w:val="28"/>
        </w:numPr>
        <w:jc w:val="both"/>
        <w:rPr>
          <w:rFonts w:ascii="Times New Roman" w:hAnsi="Times New Roman"/>
          <w:sz w:val="20"/>
          <w:szCs w:val="20"/>
        </w:rPr>
      </w:pPr>
      <w:r w:rsidRPr="00BF0862">
        <w:rPr>
          <w:rFonts w:ascii="Times New Roman" w:hAnsi="Times New Roman"/>
          <w:sz w:val="20"/>
          <w:szCs w:val="20"/>
        </w:rPr>
        <w:t>1</w:t>
      </w:r>
      <w:r w:rsidRPr="00BF0862">
        <w:rPr>
          <w:rFonts w:ascii="Times New Roman" w:hAnsi="Times New Roman"/>
          <w:sz w:val="20"/>
          <w:szCs w:val="20"/>
          <w:vertAlign w:val="superscript"/>
        </w:rPr>
        <w:t>st</w:t>
      </w:r>
      <w:r w:rsidRPr="00BF0862">
        <w:rPr>
          <w:rFonts w:ascii="Times New Roman" w:hAnsi="Times New Roman"/>
          <w:sz w:val="20"/>
          <w:szCs w:val="20"/>
        </w:rPr>
        <w:t xml:space="preserve"> part is transmitted on the 1</w:t>
      </w:r>
      <w:r w:rsidRPr="00BF0862">
        <w:rPr>
          <w:rFonts w:ascii="Times New Roman" w:hAnsi="Times New Roman"/>
          <w:sz w:val="20"/>
          <w:szCs w:val="20"/>
          <w:vertAlign w:val="superscript"/>
        </w:rPr>
        <w:t>st</w:t>
      </w:r>
      <w:r w:rsidRPr="00BF0862">
        <w:rPr>
          <w:rFonts w:ascii="Times New Roman" w:hAnsi="Times New Roman"/>
          <w:sz w:val="20"/>
          <w:szCs w:val="20"/>
        </w:rPr>
        <w:t xml:space="preserve"> symbol in </w:t>
      </w:r>
      <w:r w:rsidR="008464E1">
        <w:rPr>
          <w:rFonts w:ascii="Times New Roman" w:hAnsi="Times New Roman"/>
          <w:sz w:val="20"/>
          <w:szCs w:val="20"/>
        </w:rPr>
        <w:t xml:space="preserve">DL </w:t>
      </w:r>
      <w:r w:rsidRPr="00BF0862">
        <w:rPr>
          <w:rFonts w:ascii="Times New Roman" w:hAnsi="Times New Roman"/>
          <w:sz w:val="20"/>
          <w:szCs w:val="20"/>
        </w:rPr>
        <w:t xml:space="preserve">control </w:t>
      </w:r>
      <w:r w:rsidR="008464E1">
        <w:rPr>
          <w:rFonts w:ascii="Times New Roman" w:hAnsi="Times New Roman"/>
          <w:sz w:val="20"/>
          <w:szCs w:val="20"/>
        </w:rPr>
        <w:t>region</w:t>
      </w:r>
      <w:r w:rsidRPr="00BF0862">
        <w:rPr>
          <w:rFonts w:ascii="Times New Roman" w:hAnsi="Times New Roman"/>
          <w:sz w:val="20"/>
          <w:szCs w:val="20"/>
        </w:rPr>
        <w:t xml:space="preserve"> and 2</w:t>
      </w:r>
      <w:r w:rsidRPr="00BF0862">
        <w:rPr>
          <w:rFonts w:ascii="Times New Roman" w:hAnsi="Times New Roman"/>
          <w:sz w:val="20"/>
          <w:szCs w:val="20"/>
          <w:vertAlign w:val="superscript"/>
        </w:rPr>
        <w:t>nd</w:t>
      </w:r>
      <w:r w:rsidRPr="00BF0862">
        <w:rPr>
          <w:rFonts w:ascii="Times New Roman" w:hAnsi="Times New Roman"/>
          <w:sz w:val="20"/>
          <w:szCs w:val="20"/>
        </w:rPr>
        <w:t xml:space="preserve"> part is transmitted in </w:t>
      </w:r>
      <w:r w:rsidR="008464E1">
        <w:rPr>
          <w:rFonts w:ascii="Times New Roman" w:hAnsi="Times New Roman"/>
          <w:sz w:val="20"/>
          <w:szCs w:val="20"/>
        </w:rPr>
        <w:t>the data region</w:t>
      </w:r>
      <w:r w:rsidR="00901E89" w:rsidRPr="00BF0862">
        <w:rPr>
          <w:rFonts w:ascii="Times New Roman" w:hAnsi="Times New Roman"/>
          <w:sz w:val="20"/>
          <w:szCs w:val="20"/>
        </w:rPr>
        <w:t xml:space="preserve"> for DL centric slot.</w:t>
      </w:r>
    </w:p>
    <w:p w14:paraId="7B302E5C" w14:textId="763E666A" w:rsidR="00015420" w:rsidRPr="00BF0862" w:rsidRDefault="004D70FB" w:rsidP="00402122">
      <w:pPr>
        <w:numPr>
          <w:ilvl w:val="0"/>
          <w:numId w:val="29"/>
        </w:numPr>
        <w:jc w:val="both"/>
      </w:pPr>
      <w:r w:rsidRPr="00BF0862">
        <w:t>DCIs</w:t>
      </w:r>
      <w:r w:rsidR="00901E89" w:rsidRPr="00BF0862">
        <w:t xml:space="preserve"> other than PDSCH</w:t>
      </w:r>
      <w:r w:rsidR="00576F11">
        <w:t xml:space="preserve"> scheduling</w:t>
      </w:r>
      <w:r w:rsidR="00901E89" w:rsidRPr="00BF0862">
        <w:t xml:space="preserve">/PUSCH </w:t>
      </w:r>
      <w:r w:rsidR="00576F11">
        <w:t>grant</w:t>
      </w:r>
      <w:r w:rsidRPr="00BF0862">
        <w:t xml:space="preserve"> are single part and could be associated with either the 1</w:t>
      </w:r>
      <w:r w:rsidRPr="00BF0862">
        <w:rPr>
          <w:vertAlign w:val="superscript"/>
        </w:rPr>
        <w:t>st</w:t>
      </w:r>
      <w:r w:rsidRPr="00BF0862">
        <w:t xml:space="preserve"> or 2</w:t>
      </w:r>
      <w:r w:rsidRPr="00BF0862">
        <w:rPr>
          <w:vertAlign w:val="superscript"/>
        </w:rPr>
        <w:t>nd</w:t>
      </w:r>
      <w:r w:rsidRPr="00BF0862">
        <w:t xml:space="preserve"> </w:t>
      </w:r>
      <w:r w:rsidR="00901E89" w:rsidRPr="00BF0862">
        <w:t xml:space="preserve">symbol in </w:t>
      </w:r>
      <w:r w:rsidR="008464E1">
        <w:t xml:space="preserve">DL </w:t>
      </w:r>
      <w:r w:rsidR="00901E89" w:rsidRPr="00BF0862">
        <w:t xml:space="preserve">control </w:t>
      </w:r>
      <w:r w:rsidR="008464E1">
        <w:t>region</w:t>
      </w:r>
    </w:p>
    <w:p w14:paraId="026F6DA5" w14:textId="2E6BAC16" w:rsidR="00015420" w:rsidRPr="00BF0862" w:rsidRDefault="004D70FB" w:rsidP="00402122">
      <w:pPr>
        <w:numPr>
          <w:ilvl w:val="1"/>
          <w:numId w:val="29"/>
        </w:numPr>
        <w:jc w:val="both"/>
      </w:pPr>
      <w:r w:rsidRPr="00BF0862">
        <w:t>1</w:t>
      </w:r>
      <w:r w:rsidRPr="00BF0862">
        <w:rPr>
          <w:vertAlign w:val="superscript"/>
        </w:rPr>
        <w:t>st</w:t>
      </w:r>
      <w:r w:rsidRPr="00BF0862">
        <w:t xml:space="preserve"> symbol PDCCH carries time-critical control</w:t>
      </w:r>
      <w:r w:rsidR="00901E89" w:rsidRPr="00BF0862">
        <w:t>:</w:t>
      </w:r>
    </w:p>
    <w:p w14:paraId="07CE0DEA" w14:textId="5BE8C61C" w:rsidR="00015420" w:rsidRPr="00BF0862" w:rsidRDefault="004D70FB" w:rsidP="00402122">
      <w:pPr>
        <w:numPr>
          <w:ilvl w:val="2"/>
          <w:numId w:val="29"/>
        </w:numPr>
        <w:jc w:val="both"/>
      </w:pPr>
      <w:r w:rsidRPr="00BF0862">
        <w:t xml:space="preserve">e.g. DL assignment for self-contained DL centric </w:t>
      </w:r>
      <w:r w:rsidR="00901E89" w:rsidRPr="00BF0862">
        <w:t>slot</w:t>
      </w:r>
      <w:r w:rsidRPr="00BF0862">
        <w:t xml:space="preserve"> (2 or more interlaces)</w:t>
      </w:r>
    </w:p>
    <w:p w14:paraId="06F87B9E" w14:textId="394530BE" w:rsidR="00015420" w:rsidRPr="00BF0862" w:rsidRDefault="004D70FB" w:rsidP="00402122">
      <w:pPr>
        <w:numPr>
          <w:ilvl w:val="1"/>
          <w:numId w:val="29"/>
        </w:numPr>
        <w:jc w:val="both"/>
      </w:pPr>
      <w:r w:rsidRPr="00BF0862">
        <w:t>2</w:t>
      </w:r>
      <w:r w:rsidRPr="00BF0862">
        <w:rPr>
          <w:vertAlign w:val="superscript"/>
        </w:rPr>
        <w:t>nd</w:t>
      </w:r>
      <w:r w:rsidRPr="00BF0862">
        <w:t xml:space="preserve"> symbol PDCCH carries non-time critical control:</w:t>
      </w:r>
    </w:p>
    <w:p w14:paraId="05AB09F3" w14:textId="4DBD6CAD" w:rsidR="00015420" w:rsidRPr="00BF0862" w:rsidRDefault="004D70FB" w:rsidP="00402122">
      <w:pPr>
        <w:numPr>
          <w:ilvl w:val="2"/>
          <w:numId w:val="29"/>
        </w:numPr>
        <w:jc w:val="both"/>
      </w:pPr>
      <w:r w:rsidRPr="00BF0862">
        <w:t xml:space="preserve">E.g. DCI for UL burst in DL centric </w:t>
      </w:r>
      <w:r w:rsidR="00901E89" w:rsidRPr="00BF0862">
        <w:t>slot</w:t>
      </w:r>
      <w:r w:rsidRPr="00BF0862">
        <w:t xml:space="preserve"> </w:t>
      </w:r>
      <w:r w:rsidRPr="00BF0862">
        <w:sym w:font="Wingdings" w:char="F0DF"/>
      </w:r>
      <w:r w:rsidRPr="00BF0862">
        <w:t xml:space="preserve"> still has much of the time budget for processing</w:t>
      </w:r>
    </w:p>
    <w:p w14:paraId="0DA96448" w14:textId="7BB24D16" w:rsidR="00015420" w:rsidRPr="00BF0862" w:rsidRDefault="00901E89" w:rsidP="00402122">
      <w:pPr>
        <w:numPr>
          <w:ilvl w:val="2"/>
          <w:numId w:val="29"/>
        </w:numPr>
        <w:jc w:val="both"/>
      </w:pPr>
      <w:r w:rsidRPr="00BF0862">
        <w:t>DCI for subsequent slots</w:t>
      </w:r>
      <w:r w:rsidR="004D70FB" w:rsidRPr="00BF0862">
        <w:t xml:space="preserve"> </w:t>
      </w:r>
      <w:r w:rsidR="004D70FB" w:rsidRPr="00BF0862">
        <w:sym w:font="Wingdings" w:char="F0DF"/>
      </w:r>
      <w:r w:rsidR="004D70FB" w:rsidRPr="00BF0862">
        <w:t xml:space="preserve"> E.g. prescheduling info, control applying to next </w:t>
      </w:r>
      <w:r w:rsidRPr="00BF0862">
        <w:t>slot</w:t>
      </w:r>
    </w:p>
    <w:p w14:paraId="61A7AF83" w14:textId="403386A6" w:rsidR="00625791" w:rsidRPr="00290D22" w:rsidRDefault="00763E6D" w:rsidP="00625791">
      <w:pPr>
        <w:jc w:val="both"/>
        <w:rPr>
          <w:szCs w:val="22"/>
        </w:rPr>
      </w:pPr>
      <w:r>
        <w:rPr>
          <w:szCs w:val="22"/>
        </w:rPr>
        <w:t xml:space="preserve">Note that multi-part PDCCH has independent coding every symbol. </w:t>
      </w:r>
      <w:r w:rsidR="00775C50">
        <w:rPr>
          <w:szCs w:val="22"/>
        </w:rPr>
        <w:t>M</w:t>
      </w:r>
      <w:r w:rsidR="00392F4D">
        <w:rPr>
          <w:szCs w:val="22"/>
        </w:rPr>
        <w:t>ulti-part PDCCH comes at the expense of less efficient coding overhead. Thus, the trade-off between</w:t>
      </w:r>
      <w:r w:rsidR="00775C50">
        <w:rPr>
          <w:szCs w:val="22"/>
        </w:rPr>
        <w:t xml:space="preserve"> performance loss and PDCCH scheduling flexibility needs to be </w:t>
      </w:r>
      <w:r w:rsidR="00576F11">
        <w:rPr>
          <w:szCs w:val="22"/>
        </w:rPr>
        <w:t>taken into account</w:t>
      </w:r>
      <w:r w:rsidR="00775C50">
        <w:rPr>
          <w:szCs w:val="22"/>
        </w:rPr>
        <w:t>.</w:t>
      </w:r>
    </w:p>
    <w:p w14:paraId="2341AE11" w14:textId="0173CF2F" w:rsidR="00D35F8E" w:rsidRDefault="00D35F8E" w:rsidP="00D35F8E">
      <w:r>
        <w:rPr>
          <w:b/>
          <w:u w:val="single"/>
        </w:rPr>
        <w:t>Proposal</w:t>
      </w:r>
      <w:r w:rsidRPr="00392F4D">
        <w:rPr>
          <w:b/>
          <w:u w:val="single"/>
        </w:rPr>
        <w:t xml:space="preserve"> </w:t>
      </w:r>
      <w:r>
        <w:rPr>
          <w:b/>
          <w:u w:val="single"/>
        </w:rPr>
        <w:t>2</w:t>
      </w:r>
      <w:r w:rsidRPr="00392F4D">
        <w:rPr>
          <w:b/>
          <w:u w:val="single"/>
        </w:rPr>
        <w:t>:</w:t>
      </w:r>
      <w:r w:rsidRPr="00392F4D">
        <w:t xml:space="preserve"> </w:t>
      </w:r>
      <w:r>
        <w:t>RS for PDCCH is transmitted on the 1</w:t>
      </w:r>
      <w:r w:rsidRPr="00D35F8E">
        <w:rPr>
          <w:vertAlign w:val="superscript"/>
        </w:rPr>
        <w:t>st</w:t>
      </w:r>
      <w:r>
        <w:t xml:space="preserve"> symbol in DL control region in each slot.</w:t>
      </w:r>
    </w:p>
    <w:p w14:paraId="589D1692" w14:textId="5CC180C2" w:rsidR="00B159DA" w:rsidRDefault="00B159DA" w:rsidP="00B159DA">
      <w:r>
        <w:rPr>
          <w:b/>
          <w:u w:val="single"/>
        </w:rPr>
        <w:t>Proposal</w:t>
      </w:r>
      <w:r w:rsidRPr="00392F4D">
        <w:rPr>
          <w:b/>
          <w:u w:val="single"/>
        </w:rPr>
        <w:t xml:space="preserve"> </w:t>
      </w:r>
      <w:r w:rsidR="00D35F8E">
        <w:rPr>
          <w:b/>
          <w:u w:val="single"/>
        </w:rPr>
        <w:t>3</w:t>
      </w:r>
      <w:r w:rsidRPr="00392F4D">
        <w:rPr>
          <w:b/>
          <w:u w:val="single"/>
        </w:rPr>
        <w:t>:</w:t>
      </w:r>
      <w:r w:rsidRPr="00392F4D">
        <w:t xml:space="preserve"> </w:t>
      </w:r>
      <w:r w:rsidR="00576F11">
        <w:t>Consider</w:t>
      </w:r>
      <w:r>
        <w:t xml:space="preserve"> the multi-part PDCCH structure.</w:t>
      </w:r>
    </w:p>
    <w:p w14:paraId="3C52710E" w14:textId="77777777" w:rsidR="00B1467C" w:rsidRDefault="00B1467C" w:rsidP="00625791">
      <w:pPr>
        <w:jc w:val="both"/>
        <w:rPr>
          <w:szCs w:val="22"/>
        </w:rPr>
      </w:pPr>
    </w:p>
    <w:p w14:paraId="5D04147C" w14:textId="77777777" w:rsidR="0004519B" w:rsidRDefault="0004519B" w:rsidP="0004519B">
      <w:pPr>
        <w:pStyle w:val="Heading2"/>
      </w:pPr>
      <w:r>
        <w:t>Control channel capacity</w:t>
      </w:r>
    </w:p>
    <w:p w14:paraId="0092CE77" w14:textId="2C0107A7" w:rsidR="0004519B" w:rsidRPr="00290D22" w:rsidRDefault="00F151CC" w:rsidP="0004519B">
      <w:r>
        <w:t xml:space="preserve">Assuming 30 kHz subcarrier spacing and 0.5 ms slot (TTI), the number of available symbols is 14. One of the main question is how many symbols should be allocated for </w:t>
      </w:r>
      <w:r w:rsidR="008464E1">
        <w:t xml:space="preserve">DL </w:t>
      </w:r>
      <w:r>
        <w:t xml:space="preserve">control </w:t>
      </w:r>
      <w:r w:rsidR="008464E1">
        <w:t>region</w:t>
      </w:r>
      <w:r>
        <w:t>.</w:t>
      </w:r>
    </w:p>
    <w:p w14:paraId="1B07508C" w14:textId="6A70CDC2" w:rsidR="0004519B" w:rsidRDefault="002A4438" w:rsidP="0004519B">
      <w:pPr>
        <w:jc w:val="both"/>
        <w:rPr>
          <w:szCs w:val="22"/>
        </w:rPr>
      </w:pPr>
      <w:r>
        <w:rPr>
          <w:szCs w:val="22"/>
        </w:rPr>
        <w:t xml:space="preserve">In order to provide a reference for control channel capacity, 10 MHz LTE with 2 control symbols with 2 port CRS is chosen. In that case, the number of available CCE </w:t>
      </w:r>
      <w:r w:rsidR="00401268">
        <w:rPr>
          <w:szCs w:val="22"/>
        </w:rPr>
        <w:t xml:space="preserve">for LTE </w:t>
      </w:r>
      <w:r>
        <w:rPr>
          <w:szCs w:val="22"/>
        </w:rPr>
        <w:t xml:space="preserve">is 27. </w:t>
      </w:r>
      <w:r w:rsidR="001E1EAE">
        <w:rPr>
          <w:szCs w:val="22"/>
        </w:rPr>
        <w:t>For NR, we assume 16 RE is allocated for PSFICH (similar to LTE PCFICH).</w:t>
      </w:r>
      <w:r w:rsidR="00401268">
        <w:rPr>
          <w:szCs w:val="22"/>
        </w:rPr>
        <w:t xml:space="preserve"> The number of available CCEs assuming that CRS exists only on the 1</w:t>
      </w:r>
      <w:r w:rsidR="00401268" w:rsidRPr="00401268">
        <w:rPr>
          <w:szCs w:val="22"/>
          <w:vertAlign w:val="superscript"/>
        </w:rPr>
        <w:t>st</w:t>
      </w:r>
      <w:r w:rsidR="00401268">
        <w:rPr>
          <w:szCs w:val="22"/>
        </w:rPr>
        <w:t xml:space="preserve"> symbol in </w:t>
      </w:r>
      <w:r w:rsidR="008464E1">
        <w:rPr>
          <w:szCs w:val="22"/>
        </w:rPr>
        <w:t xml:space="preserve">DL </w:t>
      </w:r>
      <w:r w:rsidR="00401268">
        <w:rPr>
          <w:szCs w:val="22"/>
        </w:rPr>
        <w:t xml:space="preserve">control </w:t>
      </w:r>
      <w:r w:rsidR="008464E1">
        <w:rPr>
          <w:szCs w:val="22"/>
        </w:rPr>
        <w:t>region</w:t>
      </w:r>
      <w:r w:rsidR="00401268">
        <w:rPr>
          <w:szCs w:val="22"/>
        </w:rPr>
        <w:t xml:space="preserve"> is shown in Table 1 with respect to each system BW. Given that NR is targeting higher</w:t>
      </w:r>
      <w:r w:rsidR="008939B6">
        <w:rPr>
          <w:szCs w:val="22"/>
        </w:rPr>
        <w:t xml:space="preserve"> transmission BW, 8% of guard band was chosen as an example. As seen in the table, it is observed that 1 symbol </w:t>
      </w:r>
      <w:r w:rsidR="008464E1">
        <w:rPr>
          <w:szCs w:val="22"/>
        </w:rPr>
        <w:t xml:space="preserve">DL </w:t>
      </w:r>
      <w:r w:rsidR="008939B6">
        <w:rPr>
          <w:szCs w:val="22"/>
        </w:rPr>
        <w:t xml:space="preserve">control </w:t>
      </w:r>
      <w:r w:rsidR="008464E1">
        <w:rPr>
          <w:szCs w:val="22"/>
        </w:rPr>
        <w:t>region</w:t>
      </w:r>
      <w:r w:rsidR="008939B6">
        <w:rPr>
          <w:szCs w:val="22"/>
        </w:rPr>
        <w:t xml:space="preserve"> alone is not enough to achieve similar control channel capacity to 10 MHz LTE unless system BW is very large. Thus, it is proposed </w:t>
      </w:r>
      <w:r w:rsidR="002E6D48">
        <w:rPr>
          <w:szCs w:val="22"/>
        </w:rPr>
        <w:t xml:space="preserve">to consider 2 symbol </w:t>
      </w:r>
      <w:r w:rsidR="008464E1">
        <w:rPr>
          <w:szCs w:val="22"/>
        </w:rPr>
        <w:t xml:space="preserve">DL </w:t>
      </w:r>
      <w:r w:rsidR="002E6D48">
        <w:rPr>
          <w:szCs w:val="22"/>
        </w:rPr>
        <w:t xml:space="preserve">control </w:t>
      </w:r>
      <w:r w:rsidR="008464E1">
        <w:rPr>
          <w:szCs w:val="22"/>
        </w:rPr>
        <w:t>region</w:t>
      </w:r>
      <w:r w:rsidR="002E6D48">
        <w:rPr>
          <w:szCs w:val="22"/>
        </w:rPr>
        <w:t xml:space="preserve"> or 1 symbol </w:t>
      </w:r>
      <w:r w:rsidR="008464E1">
        <w:rPr>
          <w:szCs w:val="22"/>
        </w:rPr>
        <w:t xml:space="preserve">DL </w:t>
      </w:r>
      <w:r w:rsidR="002E6D48">
        <w:rPr>
          <w:szCs w:val="22"/>
        </w:rPr>
        <w:t xml:space="preserve">control </w:t>
      </w:r>
      <w:r w:rsidR="008464E1">
        <w:rPr>
          <w:szCs w:val="22"/>
        </w:rPr>
        <w:t>region</w:t>
      </w:r>
      <w:r w:rsidR="002E6D48">
        <w:rPr>
          <w:szCs w:val="22"/>
        </w:rPr>
        <w:t xml:space="preserve"> with additional control channel in </w:t>
      </w:r>
      <w:r w:rsidR="008464E1">
        <w:rPr>
          <w:szCs w:val="22"/>
        </w:rPr>
        <w:t>the data region</w:t>
      </w:r>
      <w:r w:rsidR="002E6D48">
        <w:rPr>
          <w:szCs w:val="22"/>
        </w:rPr>
        <w:t>.</w:t>
      </w:r>
    </w:p>
    <w:p w14:paraId="3FAED49B" w14:textId="43600B33" w:rsidR="002E6D48" w:rsidRDefault="002E6D48" w:rsidP="0004519B">
      <w:pPr>
        <w:jc w:val="both"/>
        <w:rPr>
          <w:szCs w:val="22"/>
        </w:rPr>
      </w:pPr>
      <w:r>
        <w:rPr>
          <w:szCs w:val="22"/>
        </w:rPr>
        <w:lastRenderedPageBreak/>
        <w:t>In addition, given that very tight processing timeline is considered for NR, it is proposed not to consider dynamically configurable number of control symbols in NR. In other words, there is no need to have PCFICH in NR.</w:t>
      </w:r>
    </w:p>
    <w:p w14:paraId="74331F42" w14:textId="24626F3A" w:rsidR="002E6D48" w:rsidRDefault="002E6D48" w:rsidP="002E6D48">
      <w:r>
        <w:rPr>
          <w:b/>
          <w:u w:val="single"/>
        </w:rPr>
        <w:t>Proposal</w:t>
      </w:r>
      <w:r w:rsidRPr="00392F4D">
        <w:rPr>
          <w:b/>
          <w:u w:val="single"/>
        </w:rPr>
        <w:t xml:space="preserve"> </w:t>
      </w:r>
      <w:r w:rsidR="00D35F8E">
        <w:rPr>
          <w:b/>
          <w:u w:val="single"/>
        </w:rPr>
        <w:t>4</w:t>
      </w:r>
      <w:r w:rsidRPr="00392F4D">
        <w:rPr>
          <w:b/>
          <w:u w:val="single"/>
        </w:rPr>
        <w:t>:</w:t>
      </w:r>
      <w:r w:rsidRPr="00392F4D">
        <w:t xml:space="preserve"> </w:t>
      </w:r>
      <w:r>
        <w:t xml:space="preserve">Consider 2 symbol </w:t>
      </w:r>
      <w:r w:rsidR="008464E1">
        <w:t xml:space="preserve">DL </w:t>
      </w:r>
      <w:r>
        <w:t xml:space="preserve">control </w:t>
      </w:r>
      <w:r w:rsidR="008464E1">
        <w:t>region</w:t>
      </w:r>
      <w:r>
        <w:t xml:space="preserve"> or 1 symbol </w:t>
      </w:r>
      <w:r w:rsidR="008464E1">
        <w:t xml:space="preserve">DL </w:t>
      </w:r>
      <w:r>
        <w:t xml:space="preserve">control </w:t>
      </w:r>
      <w:r w:rsidR="008464E1">
        <w:t>region</w:t>
      </w:r>
      <w:r>
        <w:t xml:space="preserve"> with additional control channel in </w:t>
      </w:r>
      <w:r w:rsidR="008464E1">
        <w:t>the data region</w:t>
      </w:r>
      <w:r>
        <w:t>.</w:t>
      </w:r>
    </w:p>
    <w:p w14:paraId="7EE65DC2" w14:textId="63DF8B95" w:rsidR="002E6D48" w:rsidRDefault="002E6D48" w:rsidP="002E6D48">
      <w:r>
        <w:rPr>
          <w:b/>
          <w:u w:val="single"/>
        </w:rPr>
        <w:t>Proposal</w:t>
      </w:r>
      <w:r w:rsidRPr="00392F4D">
        <w:rPr>
          <w:b/>
          <w:u w:val="single"/>
        </w:rPr>
        <w:t xml:space="preserve"> </w:t>
      </w:r>
      <w:r w:rsidR="00D35F8E">
        <w:rPr>
          <w:b/>
          <w:u w:val="single"/>
        </w:rPr>
        <w:t>5</w:t>
      </w:r>
      <w:r w:rsidRPr="00392F4D">
        <w:rPr>
          <w:b/>
          <w:u w:val="single"/>
        </w:rPr>
        <w:t>:</w:t>
      </w:r>
      <w:r>
        <w:t xml:space="preserve"> Do not consider dynamically configurable number of control symbols.</w:t>
      </w:r>
    </w:p>
    <w:p w14:paraId="5D2A7C1E" w14:textId="77777777" w:rsidR="002A4438" w:rsidRDefault="002A4438" w:rsidP="0004519B">
      <w:pPr>
        <w:jc w:val="both"/>
        <w:rPr>
          <w:szCs w:val="22"/>
        </w:rPr>
      </w:pPr>
    </w:p>
    <w:p w14:paraId="5E1EFAE7" w14:textId="75CECD9E" w:rsidR="00401268" w:rsidRDefault="00401268" w:rsidP="0048221C">
      <w:pPr>
        <w:pStyle w:val="Caption"/>
        <w:keepNext/>
        <w:jc w:val="center"/>
      </w:pPr>
      <w:r>
        <w:t xml:space="preserve">Table </w:t>
      </w:r>
      <w:fldSimple w:instr=" SEQ Table \* ARABIC ">
        <w:r>
          <w:rPr>
            <w:noProof/>
          </w:rPr>
          <w:t>1</w:t>
        </w:r>
      </w:fldSimple>
      <w:r>
        <w:t>: Number of CCEs available for PDCCH in NR</w:t>
      </w:r>
    </w:p>
    <w:tbl>
      <w:tblPr>
        <w:tblStyle w:val="TableGrid"/>
        <w:tblW w:w="0" w:type="auto"/>
        <w:jc w:val="center"/>
        <w:tblLook w:val="04A0" w:firstRow="1" w:lastRow="0" w:firstColumn="1" w:lastColumn="0" w:noHBand="0" w:noVBand="1"/>
      </w:tblPr>
      <w:tblGrid>
        <w:gridCol w:w="1992"/>
        <w:gridCol w:w="1333"/>
        <w:gridCol w:w="1440"/>
        <w:gridCol w:w="1170"/>
        <w:gridCol w:w="1530"/>
      </w:tblGrid>
      <w:tr w:rsidR="001E1EAE" w14:paraId="2B457A58" w14:textId="77777777" w:rsidTr="0048221C">
        <w:trPr>
          <w:jc w:val="center"/>
        </w:trPr>
        <w:tc>
          <w:tcPr>
            <w:tcW w:w="1992" w:type="dxa"/>
          </w:tcPr>
          <w:p w14:paraId="05A2CB60" w14:textId="69084491" w:rsidR="001E1EAE" w:rsidRDefault="001E1EAE" w:rsidP="0004519B">
            <w:pPr>
              <w:rPr>
                <w:szCs w:val="22"/>
              </w:rPr>
            </w:pPr>
            <w:r>
              <w:rPr>
                <w:szCs w:val="22"/>
              </w:rPr>
              <w:t>System BW [MHz]</w:t>
            </w:r>
          </w:p>
        </w:tc>
        <w:tc>
          <w:tcPr>
            <w:tcW w:w="2773" w:type="dxa"/>
            <w:gridSpan w:val="2"/>
          </w:tcPr>
          <w:p w14:paraId="0B0DED8F" w14:textId="09454370" w:rsidR="001E1EAE" w:rsidRDefault="001E1EAE" w:rsidP="0004519B">
            <w:pPr>
              <w:rPr>
                <w:szCs w:val="22"/>
              </w:rPr>
            </w:pPr>
            <w:r>
              <w:rPr>
                <w:szCs w:val="22"/>
              </w:rPr>
              <w:t>RS overhead</w:t>
            </w:r>
            <w:r w:rsidR="00C17521">
              <w:rPr>
                <w:szCs w:val="22"/>
              </w:rPr>
              <w:t xml:space="preserve"> for PDCCH</w:t>
            </w:r>
            <w:r>
              <w:rPr>
                <w:szCs w:val="22"/>
              </w:rPr>
              <w:t xml:space="preserve"> 33%</w:t>
            </w:r>
          </w:p>
        </w:tc>
        <w:tc>
          <w:tcPr>
            <w:tcW w:w="2700" w:type="dxa"/>
            <w:gridSpan w:val="2"/>
          </w:tcPr>
          <w:p w14:paraId="531A1932" w14:textId="3CE15A3B" w:rsidR="001E1EAE" w:rsidRDefault="001E1EAE" w:rsidP="0004519B">
            <w:pPr>
              <w:rPr>
                <w:szCs w:val="22"/>
              </w:rPr>
            </w:pPr>
            <w:r>
              <w:rPr>
                <w:szCs w:val="22"/>
              </w:rPr>
              <w:t>RS overhead</w:t>
            </w:r>
            <w:r w:rsidR="00C17521">
              <w:rPr>
                <w:szCs w:val="22"/>
              </w:rPr>
              <w:t xml:space="preserve"> for PDCCH</w:t>
            </w:r>
            <w:r>
              <w:rPr>
                <w:szCs w:val="22"/>
              </w:rPr>
              <w:t xml:space="preserve"> 50%</w:t>
            </w:r>
          </w:p>
        </w:tc>
      </w:tr>
      <w:tr w:rsidR="001E1EAE" w14:paraId="2A6E7C43" w14:textId="77777777" w:rsidTr="0048221C">
        <w:trPr>
          <w:jc w:val="center"/>
        </w:trPr>
        <w:tc>
          <w:tcPr>
            <w:tcW w:w="1992" w:type="dxa"/>
          </w:tcPr>
          <w:p w14:paraId="788F8D78" w14:textId="760F7966" w:rsidR="001E1EAE" w:rsidRDefault="001E1EAE" w:rsidP="001E1EAE">
            <w:pPr>
              <w:jc w:val="left"/>
              <w:rPr>
                <w:szCs w:val="22"/>
              </w:rPr>
            </w:pPr>
            <w:r>
              <w:rPr>
                <w:szCs w:val="22"/>
              </w:rPr>
              <w:t xml:space="preserve">No. Symbols in </w:t>
            </w:r>
            <w:r w:rsidR="008464E1">
              <w:rPr>
                <w:szCs w:val="22"/>
              </w:rPr>
              <w:t>DL c</w:t>
            </w:r>
            <w:r>
              <w:rPr>
                <w:szCs w:val="22"/>
              </w:rPr>
              <w:t xml:space="preserve">ontrol </w:t>
            </w:r>
            <w:r w:rsidR="008464E1">
              <w:rPr>
                <w:szCs w:val="22"/>
              </w:rPr>
              <w:t>region</w:t>
            </w:r>
          </w:p>
        </w:tc>
        <w:tc>
          <w:tcPr>
            <w:tcW w:w="1333" w:type="dxa"/>
          </w:tcPr>
          <w:p w14:paraId="363334F2" w14:textId="0722BB27" w:rsidR="001E1EAE" w:rsidRDefault="001E1EAE" w:rsidP="001E1EAE">
            <w:pPr>
              <w:rPr>
                <w:szCs w:val="22"/>
              </w:rPr>
            </w:pPr>
            <w:r>
              <w:rPr>
                <w:szCs w:val="22"/>
              </w:rPr>
              <w:t>1</w:t>
            </w:r>
          </w:p>
        </w:tc>
        <w:tc>
          <w:tcPr>
            <w:tcW w:w="1440" w:type="dxa"/>
          </w:tcPr>
          <w:p w14:paraId="65830798" w14:textId="5A72759F" w:rsidR="001E1EAE" w:rsidRDefault="001E1EAE" w:rsidP="001E1EAE">
            <w:pPr>
              <w:rPr>
                <w:szCs w:val="22"/>
              </w:rPr>
            </w:pPr>
            <w:r>
              <w:rPr>
                <w:szCs w:val="22"/>
              </w:rPr>
              <w:t>2</w:t>
            </w:r>
          </w:p>
        </w:tc>
        <w:tc>
          <w:tcPr>
            <w:tcW w:w="1170" w:type="dxa"/>
          </w:tcPr>
          <w:p w14:paraId="6EC750B2" w14:textId="74174646" w:rsidR="001E1EAE" w:rsidRDefault="001E1EAE" w:rsidP="001E1EAE">
            <w:pPr>
              <w:rPr>
                <w:szCs w:val="22"/>
              </w:rPr>
            </w:pPr>
            <w:r>
              <w:rPr>
                <w:szCs w:val="22"/>
              </w:rPr>
              <w:t>1</w:t>
            </w:r>
          </w:p>
        </w:tc>
        <w:tc>
          <w:tcPr>
            <w:tcW w:w="1530" w:type="dxa"/>
          </w:tcPr>
          <w:p w14:paraId="6F6FADE1" w14:textId="3BEFF2C0" w:rsidR="001E1EAE" w:rsidRDefault="001E1EAE" w:rsidP="001E1EAE">
            <w:pPr>
              <w:rPr>
                <w:szCs w:val="22"/>
              </w:rPr>
            </w:pPr>
            <w:r>
              <w:rPr>
                <w:szCs w:val="22"/>
              </w:rPr>
              <w:t>2</w:t>
            </w:r>
          </w:p>
        </w:tc>
      </w:tr>
      <w:tr w:rsidR="001E1EAE" w14:paraId="501E18D6" w14:textId="77777777" w:rsidTr="0048221C">
        <w:trPr>
          <w:jc w:val="center"/>
        </w:trPr>
        <w:tc>
          <w:tcPr>
            <w:tcW w:w="1992" w:type="dxa"/>
          </w:tcPr>
          <w:p w14:paraId="23733A04" w14:textId="5E970DCC" w:rsidR="001E1EAE" w:rsidRDefault="001E1EAE" w:rsidP="001E1EAE">
            <w:pPr>
              <w:rPr>
                <w:szCs w:val="22"/>
              </w:rPr>
            </w:pPr>
            <w:r>
              <w:rPr>
                <w:szCs w:val="22"/>
              </w:rPr>
              <w:t>5</w:t>
            </w:r>
          </w:p>
        </w:tc>
        <w:tc>
          <w:tcPr>
            <w:tcW w:w="1333" w:type="dxa"/>
          </w:tcPr>
          <w:p w14:paraId="16858033" w14:textId="19B31D2A" w:rsidR="001E1EAE" w:rsidRDefault="00401268" w:rsidP="001E1EAE">
            <w:pPr>
              <w:rPr>
                <w:szCs w:val="22"/>
              </w:rPr>
            </w:pPr>
            <w:r>
              <w:rPr>
                <w:szCs w:val="22"/>
              </w:rPr>
              <w:t>2.3</w:t>
            </w:r>
          </w:p>
        </w:tc>
        <w:tc>
          <w:tcPr>
            <w:tcW w:w="1440" w:type="dxa"/>
          </w:tcPr>
          <w:p w14:paraId="1A93E8B7" w14:textId="482B92EE" w:rsidR="001E1EAE" w:rsidRDefault="00401268" w:rsidP="001E1EAE">
            <w:pPr>
              <w:rPr>
                <w:szCs w:val="22"/>
              </w:rPr>
            </w:pPr>
            <w:r>
              <w:rPr>
                <w:szCs w:val="22"/>
              </w:rPr>
              <w:t>6.6</w:t>
            </w:r>
          </w:p>
        </w:tc>
        <w:tc>
          <w:tcPr>
            <w:tcW w:w="1170" w:type="dxa"/>
          </w:tcPr>
          <w:p w14:paraId="37537332" w14:textId="0BD911FC" w:rsidR="001E1EAE" w:rsidRDefault="001E1EAE" w:rsidP="001E1EAE">
            <w:pPr>
              <w:rPr>
                <w:szCs w:val="22"/>
              </w:rPr>
            </w:pPr>
            <w:r>
              <w:rPr>
                <w:szCs w:val="22"/>
              </w:rPr>
              <w:t>1.</w:t>
            </w:r>
            <w:r w:rsidR="00401268">
              <w:rPr>
                <w:szCs w:val="22"/>
              </w:rPr>
              <w:t>6</w:t>
            </w:r>
          </w:p>
        </w:tc>
        <w:tc>
          <w:tcPr>
            <w:tcW w:w="1530" w:type="dxa"/>
          </w:tcPr>
          <w:p w14:paraId="17772048" w14:textId="2A5712B8" w:rsidR="001E1EAE" w:rsidRDefault="001E1EAE" w:rsidP="001E1EAE">
            <w:pPr>
              <w:rPr>
                <w:szCs w:val="22"/>
              </w:rPr>
            </w:pPr>
            <w:r>
              <w:rPr>
                <w:szCs w:val="22"/>
              </w:rPr>
              <w:t>5.9</w:t>
            </w:r>
          </w:p>
        </w:tc>
      </w:tr>
      <w:tr w:rsidR="001E1EAE" w14:paraId="2ED1832F" w14:textId="77777777" w:rsidTr="0048221C">
        <w:trPr>
          <w:jc w:val="center"/>
        </w:trPr>
        <w:tc>
          <w:tcPr>
            <w:tcW w:w="1992" w:type="dxa"/>
          </w:tcPr>
          <w:p w14:paraId="2DABA9CD" w14:textId="63F92B8A" w:rsidR="001E1EAE" w:rsidRDefault="001E1EAE" w:rsidP="001E1EAE">
            <w:pPr>
              <w:rPr>
                <w:szCs w:val="22"/>
              </w:rPr>
            </w:pPr>
            <w:r>
              <w:rPr>
                <w:szCs w:val="22"/>
              </w:rPr>
              <w:t>10</w:t>
            </w:r>
          </w:p>
        </w:tc>
        <w:tc>
          <w:tcPr>
            <w:tcW w:w="1333" w:type="dxa"/>
          </w:tcPr>
          <w:p w14:paraId="2D9DF211" w14:textId="077283FE" w:rsidR="001E1EAE" w:rsidRDefault="00401268" w:rsidP="001E1EAE">
            <w:pPr>
              <w:rPr>
                <w:szCs w:val="22"/>
              </w:rPr>
            </w:pPr>
            <w:r>
              <w:rPr>
                <w:szCs w:val="22"/>
              </w:rPr>
              <w:t>5.2</w:t>
            </w:r>
          </w:p>
        </w:tc>
        <w:tc>
          <w:tcPr>
            <w:tcW w:w="1440" w:type="dxa"/>
          </w:tcPr>
          <w:p w14:paraId="1F5C52CA" w14:textId="71CE9776" w:rsidR="001E1EAE" w:rsidRDefault="00401268" w:rsidP="001E1EAE">
            <w:pPr>
              <w:rPr>
                <w:szCs w:val="22"/>
              </w:rPr>
            </w:pPr>
            <w:r>
              <w:rPr>
                <w:szCs w:val="22"/>
              </w:rPr>
              <w:t>13.7</w:t>
            </w:r>
          </w:p>
        </w:tc>
        <w:tc>
          <w:tcPr>
            <w:tcW w:w="1170" w:type="dxa"/>
          </w:tcPr>
          <w:p w14:paraId="33E0D657" w14:textId="276318A4" w:rsidR="001E1EAE" w:rsidRDefault="001E1EAE" w:rsidP="001E1EAE">
            <w:pPr>
              <w:rPr>
                <w:szCs w:val="22"/>
              </w:rPr>
            </w:pPr>
            <w:r>
              <w:rPr>
                <w:szCs w:val="22"/>
              </w:rPr>
              <w:t>3.8</w:t>
            </w:r>
          </w:p>
        </w:tc>
        <w:tc>
          <w:tcPr>
            <w:tcW w:w="1530" w:type="dxa"/>
          </w:tcPr>
          <w:p w14:paraId="538BA1F8" w14:textId="6975EAC4" w:rsidR="001E1EAE" w:rsidRDefault="001E1EAE" w:rsidP="001E1EAE">
            <w:pPr>
              <w:rPr>
                <w:szCs w:val="22"/>
              </w:rPr>
            </w:pPr>
            <w:r>
              <w:rPr>
                <w:szCs w:val="22"/>
              </w:rPr>
              <w:t>12.3</w:t>
            </w:r>
          </w:p>
        </w:tc>
      </w:tr>
      <w:tr w:rsidR="001E1EAE" w14:paraId="53A45438" w14:textId="77777777" w:rsidTr="0048221C">
        <w:trPr>
          <w:jc w:val="center"/>
        </w:trPr>
        <w:tc>
          <w:tcPr>
            <w:tcW w:w="1992" w:type="dxa"/>
          </w:tcPr>
          <w:p w14:paraId="36A25E9E" w14:textId="7D3B5D0B" w:rsidR="001E1EAE" w:rsidRDefault="001E1EAE" w:rsidP="001E1EAE">
            <w:pPr>
              <w:rPr>
                <w:szCs w:val="22"/>
              </w:rPr>
            </w:pPr>
            <w:r>
              <w:rPr>
                <w:szCs w:val="22"/>
              </w:rPr>
              <w:t>20</w:t>
            </w:r>
          </w:p>
        </w:tc>
        <w:tc>
          <w:tcPr>
            <w:tcW w:w="1333" w:type="dxa"/>
          </w:tcPr>
          <w:p w14:paraId="0E14A440" w14:textId="4F3E4F6F" w:rsidR="001E1EAE" w:rsidRDefault="00401268" w:rsidP="001E1EAE">
            <w:pPr>
              <w:rPr>
                <w:szCs w:val="22"/>
              </w:rPr>
            </w:pPr>
            <w:r>
              <w:rPr>
                <w:szCs w:val="22"/>
              </w:rPr>
              <w:t>10.9</w:t>
            </w:r>
          </w:p>
        </w:tc>
        <w:tc>
          <w:tcPr>
            <w:tcW w:w="1440" w:type="dxa"/>
            <w:shd w:val="clear" w:color="auto" w:fill="C5E0B3" w:themeFill="accent6" w:themeFillTint="66"/>
          </w:tcPr>
          <w:p w14:paraId="48EDDE5A" w14:textId="37E09CBB" w:rsidR="001E1EAE" w:rsidRDefault="00401268" w:rsidP="001E1EAE">
            <w:pPr>
              <w:rPr>
                <w:szCs w:val="22"/>
              </w:rPr>
            </w:pPr>
            <w:r>
              <w:rPr>
                <w:szCs w:val="22"/>
              </w:rPr>
              <w:t>27.9</w:t>
            </w:r>
          </w:p>
        </w:tc>
        <w:tc>
          <w:tcPr>
            <w:tcW w:w="1170" w:type="dxa"/>
          </w:tcPr>
          <w:p w14:paraId="6877F7E3" w14:textId="36AC7B80" w:rsidR="001E1EAE" w:rsidRDefault="001E1EAE" w:rsidP="001E1EAE">
            <w:pPr>
              <w:rPr>
                <w:szCs w:val="22"/>
              </w:rPr>
            </w:pPr>
            <w:r>
              <w:rPr>
                <w:szCs w:val="22"/>
              </w:rPr>
              <w:t>8.</w:t>
            </w:r>
            <w:r w:rsidR="00401268">
              <w:rPr>
                <w:szCs w:val="22"/>
              </w:rPr>
              <w:t>0</w:t>
            </w:r>
          </w:p>
        </w:tc>
        <w:tc>
          <w:tcPr>
            <w:tcW w:w="1530" w:type="dxa"/>
            <w:shd w:val="clear" w:color="auto" w:fill="C5E0B3" w:themeFill="accent6" w:themeFillTint="66"/>
          </w:tcPr>
          <w:p w14:paraId="5D6DAD75" w14:textId="6BBC5DCE" w:rsidR="001E1EAE" w:rsidRDefault="001E1EAE" w:rsidP="001E1EAE">
            <w:pPr>
              <w:rPr>
                <w:szCs w:val="22"/>
              </w:rPr>
            </w:pPr>
            <w:r>
              <w:rPr>
                <w:szCs w:val="22"/>
              </w:rPr>
              <w:t>25.1</w:t>
            </w:r>
          </w:p>
        </w:tc>
      </w:tr>
      <w:tr w:rsidR="001E1EAE" w14:paraId="5AB58745" w14:textId="77777777" w:rsidTr="0048221C">
        <w:trPr>
          <w:jc w:val="center"/>
        </w:trPr>
        <w:tc>
          <w:tcPr>
            <w:tcW w:w="1992" w:type="dxa"/>
          </w:tcPr>
          <w:p w14:paraId="623FC5B4" w14:textId="696D5E30" w:rsidR="001E1EAE" w:rsidRDefault="001E1EAE" w:rsidP="001E1EAE">
            <w:pPr>
              <w:rPr>
                <w:szCs w:val="22"/>
              </w:rPr>
            </w:pPr>
            <w:r>
              <w:rPr>
                <w:szCs w:val="22"/>
              </w:rPr>
              <w:t>80</w:t>
            </w:r>
          </w:p>
        </w:tc>
        <w:tc>
          <w:tcPr>
            <w:tcW w:w="1333" w:type="dxa"/>
            <w:shd w:val="clear" w:color="auto" w:fill="C5E0B3" w:themeFill="accent6" w:themeFillTint="66"/>
          </w:tcPr>
          <w:p w14:paraId="439070AB" w14:textId="247A3CF4" w:rsidR="001E1EAE" w:rsidRDefault="00401268" w:rsidP="001E1EAE">
            <w:pPr>
              <w:rPr>
                <w:szCs w:val="22"/>
              </w:rPr>
            </w:pPr>
            <w:r>
              <w:rPr>
                <w:szCs w:val="22"/>
              </w:rPr>
              <w:t>44.9</w:t>
            </w:r>
          </w:p>
        </w:tc>
        <w:tc>
          <w:tcPr>
            <w:tcW w:w="1440" w:type="dxa"/>
            <w:shd w:val="clear" w:color="auto" w:fill="C5E0B3" w:themeFill="accent6" w:themeFillTint="66"/>
          </w:tcPr>
          <w:p w14:paraId="173F27A4" w14:textId="3EE98D6C" w:rsidR="001E1EAE" w:rsidRDefault="00401268" w:rsidP="001E1EAE">
            <w:pPr>
              <w:rPr>
                <w:szCs w:val="22"/>
              </w:rPr>
            </w:pPr>
            <w:r>
              <w:rPr>
                <w:szCs w:val="22"/>
              </w:rPr>
              <w:t>113.1</w:t>
            </w:r>
          </w:p>
        </w:tc>
        <w:tc>
          <w:tcPr>
            <w:tcW w:w="1170" w:type="dxa"/>
            <w:shd w:val="clear" w:color="auto" w:fill="C5E0B3" w:themeFill="accent6" w:themeFillTint="66"/>
          </w:tcPr>
          <w:p w14:paraId="6CE0780C" w14:textId="02669730" w:rsidR="001E1EAE" w:rsidRDefault="001E1EAE" w:rsidP="001E1EAE">
            <w:pPr>
              <w:rPr>
                <w:szCs w:val="22"/>
              </w:rPr>
            </w:pPr>
            <w:r>
              <w:rPr>
                <w:szCs w:val="22"/>
              </w:rPr>
              <w:t>33.6</w:t>
            </w:r>
          </w:p>
        </w:tc>
        <w:tc>
          <w:tcPr>
            <w:tcW w:w="1530" w:type="dxa"/>
            <w:shd w:val="clear" w:color="auto" w:fill="C5E0B3" w:themeFill="accent6" w:themeFillTint="66"/>
          </w:tcPr>
          <w:p w14:paraId="7A6A4A69" w14:textId="4014372F" w:rsidR="001E1EAE" w:rsidRDefault="001E1EAE" w:rsidP="001E1EAE">
            <w:pPr>
              <w:rPr>
                <w:szCs w:val="22"/>
              </w:rPr>
            </w:pPr>
            <w:r>
              <w:rPr>
                <w:szCs w:val="22"/>
              </w:rPr>
              <w:t>101.</w:t>
            </w:r>
            <w:r w:rsidR="00401268">
              <w:rPr>
                <w:szCs w:val="22"/>
              </w:rPr>
              <w:t>7</w:t>
            </w:r>
          </w:p>
        </w:tc>
      </w:tr>
    </w:tbl>
    <w:p w14:paraId="41E88315" w14:textId="77777777" w:rsidR="002A4438" w:rsidRDefault="002A4438" w:rsidP="0004519B">
      <w:pPr>
        <w:jc w:val="both"/>
        <w:rPr>
          <w:szCs w:val="22"/>
        </w:rPr>
      </w:pPr>
    </w:p>
    <w:p w14:paraId="2BF344B7" w14:textId="77777777" w:rsidR="00A87FF1" w:rsidRDefault="00A87FF1" w:rsidP="0004519B">
      <w:pPr>
        <w:pStyle w:val="Heading2"/>
      </w:pPr>
      <w:r>
        <w:t>Broadcast/Unicast PDCCH</w:t>
      </w:r>
    </w:p>
    <w:p w14:paraId="289E571D" w14:textId="2BC98997" w:rsidR="002E6D48" w:rsidRDefault="002E6D48" w:rsidP="00A87FF1">
      <w:pPr>
        <w:jc w:val="both"/>
        <w:rPr>
          <w:szCs w:val="22"/>
        </w:rPr>
      </w:pPr>
      <w:r>
        <w:rPr>
          <w:szCs w:val="22"/>
        </w:rPr>
        <w:t xml:space="preserve">RAN2 recently agreed that minimum SIB (MSIB) </w:t>
      </w:r>
      <w:r w:rsidR="000107CB">
        <w:rPr>
          <w:szCs w:val="22"/>
        </w:rPr>
        <w:t>needs to be broadcast</w:t>
      </w:r>
      <w:r w:rsidR="00E6369F">
        <w:rPr>
          <w:szCs w:val="22"/>
        </w:rPr>
        <w:t xml:space="preserve"> [4]</w:t>
      </w:r>
      <w:r w:rsidR="000107CB">
        <w:rPr>
          <w:szCs w:val="22"/>
        </w:rPr>
        <w:t xml:space="preserve">. It implies that NR need to </w:t>
      </w:r>
      <w:r w:rsidR="00A968F6">
        <w:rPr>
          <w:szCs w:val="22"/>
        </w:rPr>
        <w:t>support</w:t>
      </w:r>
      <w:r w:rsidR="000107CB">
        <w:rPr>
          <w:szCs w:val="22"/>
        </w:rPr>
        <w:t xml:space="preserve"> both broadcast/unicast PDCCH.</w:t>
      </w:r>
    </w:p>
    <w:p w14:paraId="59844839" w14:textId="2D55AFA0" w:rsidR="000107CB" w:rsidRDefault="00C17521" w:rsidP="00A87FF1">
      <w:pPr>
        <w:jc w:val="both"/>
        <w:rPr>
          <w:szCs w:val="22"/>
        </w:rPr>
      </w:pPr>
      <w:r>
        <w:rPr>
          <w:szCs w:val="22"/>
        </w:rPr>
        <w:t>For broadcast</w:t>
      </w:r>
      <w:r w:rsidR="000107CB">
        <w:rPr>
          <w:szCs w:val="22"/>
        </w:rPr>
        <w:t xml:space="preserve"> PDCCH, it is expected that the coverage should either omni or pseudo-omni. For unicast PDCCH, it can be omni/pseudo-omni or beamformed for the targeted UE.</w:t>
      </w:r>
      <w:r w:rsidR="00E6369F">
        <w:rPr>
          <w:szCs w:val="22"/>
        </w:rPr>
        <w:t xml:space="preserve"> For both broadcast and unicast PDCCH, it is proposed to consi</w:t>
      </w:r>
      <w:r>
        <w:rPr>
          <w:szCs w:val="22"/>
        </w:rPr>
        <w:t>der 2 port SFBC and CDD as a candidate transmit diversity scheme. Reference signals for PDCCH can be assumed to be on the same (virtual) antenna ports as SFBC/CDD.</w:t>
      </w:r>
    </w:p>
    <w:p w14:paraId="205628C2" w14:textId="0EF07DF7" w:rsidR="00A968F6" w:rsidRPr="0048221C" w:rsidRDefault="00A968F6" w:rsidP="00A968F6">
      <w:pPr>
        <w:pStyle w:val="ListParagraph"/>
        <w:numPr>
          <w:ilvl w:val="0"/>
          <w:numId w:val="30"/>
        </w:numPr>
        <w:jc w:val="both"/>
        <w:rPr>
          <w:rFonts w:ascii="Times New Roman" w:hAnsi="Times New Roman"/>
          <w:sz w:val="20"/>
          <w:szCs w:val="20"/>
        </w:rPr>
      </w:pPr>
      <w:r w:rsidRPr="0048221C">
        <w:rPr>
          <w:rFonts w:ascii="Times New Roman" w:hAnsi="Times New Roman"/>
          <w:sz w:val="20"/>
          <w:szCs w:val="20"/>
        </w:rPr>
        <w:t>Broadcast PDCCH</w:t>
      </w:r>
    </w:p>
    <w:p w14:paraId="490AB20B" w14:textId="0D6043F9" w:rsidR="00E6369F" w:rsidRPr="0048221C" w:rsidRDefault="00C17521" w:rsidP="00E6369F">
      <w:pPr>
        <w:pStyle w:val="ListParagraph"/>
        <w:numPr>
          <w:ilvl w:val="1"/>
          <w:numId w:val="30"/>
        </w:numPr>
        <w:jc w:val="both"/>
        <w:rPr>
          <w:rFonts w:ascii="Times New Roman" w:hAnsi="Times New Roman"/>
          <w:sz w:val="20"/>
          <w:szCs w:val="20"/>
        </w:rPr>
      </w:pPr>
      <w:r w:rsidRPr="0048221C">
        <w:rPr>
          <w:rFonts w:ascii="Times New Roman" w:hAnsi="Times New Roman"/>
          <w:sz w:val="20"/>
          <w:szCs w:val="20"/>
        </w:rPr>
        <w:t>Carries MSIB</w:t>
      </w:r>
    </w:p>
    <w:p w14:paraId="37391722" w14:textId="3DF0DE54" w:rsidR="00E6369F" w:rsidRPr="0048221C" w:rsidRDefault="00E6369F" w:rsidP="00E6369F">
      <w:pPr>
        <w:pStyle w:val="ListParagraph"/>
        <w:numPr>
          <w:ilvl w:val="1"/>
          <w:numId w:val="30"/>
        </w:numPr>
        <w:jc w:val="both"/>
        <w:rPr>
          <w:rFonts w:ascii="Times New Roman" w:hAnsi="Times New Roman"/>
          <w:sz w:val="20"/>
          <w:szCs w:val="20"/>
        </w:rPr>
      </w:pPr>
      <w:r w:rsidRPr="0048221C">
        <w:rPr>
          <w:rFonts w:ascii="Times New Roman" w:hAnsi="Times New Roman"/>
          <w:sz w:val="20"/>
          <w:szCs w:val="20"/>
        </w:rPr>
        <w:t>Reference signals can be potentially shared over multiple broadcast PDCCHs.</w:t>
      </w:r>
    </w:p>
    <w:p w14:paraId="4AB14D54" w14:textId="3B1D162B" w:rsidR="00A968F6" w:rsidRPr="0048221C" w:rsidRDefault="00A968F6" w:rsidP="00A968F6">
      <w:pPr>
        <w:pStyle w:val="ListParagraph"/>
        <w:numPr>
          <w:ilvl w:val="0"/>
          <w:numId w:val="30"/>
        </w:numPr>
        <w:jc w:val="both"/>
        <w:rPr>
          <w:rFonts w:ascii="Times New Roman" w:hAnsi="Times New Roman"/>
          <w:sz w:val="20"/>
          <w:szCs w:val="20"/>
        </w:rPr>
      </w:pPr>
      <w:r w:rsidRPr="0048221C">
        <w:rPr>
          <w:rFonts w:ascii="Times New Roman" w:hAnsi="Times New Roman"/>
          <w:sz w:val="20"/>
          <w:szCs w:val="20"/>
        </w:rPr>
        <w:t>Unicast PDCCH</w:t>
      </w:r>
    </w:p>
    <w:p w14:paraId="411C60DA" w14:textId="6F4612E3" w:rsidR="00C17521" w:rsidRPr="0048221C" w:rsidRDefault="00C17521" w:rsidP="00E6369F">
      <w:pPr>
        <w:pStyle w:val="ListParagraph"/>
        <w:numPr>
          <w:ilvl w:val="1"/>
          <w:numId w:val="30"/>
        </w:numPr>
        <w:jc w:val="both"/>
        <w:rPr>
          <w:rFonts w:ascii="Times New Roman" w:hAnsi="Times New Roman"/>
          <w:sz w:val="20"/>
          <w:szCs w:val="20"/>
        </w:rPr>
      </w:pPr>
      <w:r w:rsidRPr="0048221C">
        <w:rPr>
          <w:rFonts w:ascii="Times New Roman" w:hAnsi="Times New Roman"/>
          <w:sz w:val="20"/>
          <w:szCs w:val="20"/>
        </w:rPr>
        <w:t>Carries OSIB, data control</w:t>
      </w:r>
    </w:p>
    <w:p w14:paraId="5C8E189A" w14:textId="7A132B0B" w:rsidR="00E6369F" w:rsidRPr="0048221C" w:rsidRDefault="00E6369F" w:rsidP="00E6369F">
      <w:pPr>
        <w:pStyle w:val="ListParagraph"/>
        <w:numPr>
          <w:ilvl w:val="1"/>
          <w:numId w:val="30"/>
        </w:numPr>
        <w:jc w:val="both"/>
        <w:rPr>
          <w:rFonts w:ascii="Times New Roman" w:hAnsi="Times New Roman"/>
          <w:sz w:val="20"/>
          <w:szCs w:val="20"/>
        </w:rPr>
      </w:pPr>
      <w:r w:rsidRPr="0048221C">
        <w:rPr>
          <w:rFonts w:ascii="Times New Roman" w:hAnsi="Times New Roman"/>
          <w:sz w:val="20"/>
          <w:szCs w:val="20"/>
        </w:rPr>
        <w:t xml:space="preserve">Reference signals </w:t>
      </w:r>
      <w:r w:rsidR="00C17521" w:rsidRPr="0048221C">
        <w:rPr>
          <w:rFonts w:ascii="Times New Roman" w:hAnsi="Times New Roman"/>
          <w:sz w:val="20"/>
          <w:szCs w:val="20"/>
        </w:rPr>
        <w:t>may not be shared over multiple unicast PDCCHs targeting different UEs, given that they may be on different beams.</w:t>
      </w:r>
    </w:p>
    <w:p w14:paraId="588F1839" w14:textId="757ADFB9" w:rsidR="00C17521" w:rsidRDefault="00C17521" w:rsidP="00C17521">
      <w:r w:rsidRPr="00C17521">
        <w:rPr>
          <w:b/>
          <w:u w:val="single"/>
        </w:rPr>
        <w:t xml:space="preserve">Proposal </w:t>
      </w:r>
      <w:r w:rsidR="00D35F8E">
        <w:rPr>
          <w:b/>
          <w:u w:val="single"/>
        </w:rPr>
        <w:t>6</w:t>
      </w:r>
      <w:r w:rsidRPr="00C17521">
        <w:rPr>
          <w:b/>
          <w:u w:val="single"/>
        </w:rPr>
        <w:t>:</w:t>
      </w:r>
      <w:r>
        <w:t xml:space="preserve"> Consider 2 port SFBC and CDD as a candidate diversity scheme for PDCCH.</w:t>
      </w:r>
    </w:p>
    <w:p w14:paraId="47B423AE" w14:textId="77777777" w:rsidR="00A87FF1" w:rsidRDefault="00A87FF1" w:rsidP="00A87FF1">
      <w:pPr>
        <w:jc w:val="both"/>
        <w:rPr>
          <w:szCs w:val="22"/>
        </w:rPr>
      </w:pPr>
    </w:p>
    <w:p w14:paraId="64C9A087" w14:textId="77777777" w:rsidR="00A87FF1" w:rsidRDefault="00A87FF1" w:rsidP="00A87FF1">
      <w:pPr>
        <w:pStyle w:val="Heading2"/>
      </w:pPr>
      <w:r>
        <w:t>Subband PDCCH</w:t>
      </w:r>
    </w:p>
    <w:p w14:paraId="0C4499B8" w14:textId="067589C4" w:rsidR="00015420" w:rsidRDefault="00344500" w:rsidP="001840D8">
      <w:pPr>
        <w:jc w:val="both"/>
        <w:rPr>
          <w:szCs w:val="22"/>
        </w:rPr>
      </w:pPr>
      <w:r>
        <w:rPr>
          <w:szCs w:val="22"/>
        </w:rPr>
        <w:t xml:space="preserve">NR is expected to have a larger system bandwidth (BW) compared to LTE. </w:t>
      </w:r>
      <w:r w:rsidR="001840D8">
        <w:rPr>
          <w:szCs w:val="22"/>
        </w:rPr>
        <w:t xml:space="preserve">In LTE, PDCCH spans across the entire system bandwidth. </w:t>
      </w:r>
      <w:r w:rsidR="004D70FB" w:rsidRPr="001840D8">
        <w:rPr>
          <w:szCs w:val="22"/>
        </w:rPr>
        <w:t>DL control BW that a UE has to process has large implications on processing and power</w:t>
      </w:r>
      <w:r w:rsidR="001840D8">
        <w:rPr>
          <w:szCs w:val="22"/>
        </w:rPr>
        <w:t xml:space="preserve">. </w:t>
      </w:r>
      <w:r w:rsidR="00763E6D">
        <w:rPr>
          <w:szCs w:val="22"/>
        </w:rPr>
        <w:t>NR should allow UE to operate with BW which is smaller than the system BW. In that sense, n</w:t>
      </w:r>
      <w:r w:rsidR="004D70FB" w:rsidRPr="001840D8">
        <w:rPr>
          <w:szCs w:val="22"/>
        </w:rPr>
        <w:t xml:space="preserve">ot all UE categories </w:t>
      </w:r>
      <w:r w:rsidR="001840D8">
        <w:rPr>
          <w:szCs w:val="22"/>
        </w:rPr>
        <w:t>may be</w:t>
      </w:r>
      <w:r w:rsidR="004D70FB" w:rsidRPr="001840D8">
        <w:rPr>
          <w:szCs w:val="22"/>
        </w:rPr>
        <w:t xml:space="preserve"> capable of supporting the </w:t>
      </w:r>
      <w:r w:rsidR="001840D8">
        <w:rPr>
          <w:szCs w:val="22"/>
        </w:rPr>
        <w:t>entire system</w:t>
      </w:r>
      <w:r w:rsidR="004D70FB" w:rsidRPr="001840D8">
        <w:rPr>
          <w:szCs w:val="22"/>
        </w:rPr>
        <w:t xml:space="preserve"> BW</w:t>
      </w:r>
      <w:r w:rsidR="001840D8">
        <w:rPr>
          <w:szCs w:val="22"/>
        </w:rPr>
        <w:t xml:space="preserve"> supported by gNB. Thus, it is proposed that the carrier BW (system BW) be divided into subbands with </w:t>
      </w:r>
      <w:r w:rsidR="00763E6D">
        <w:rPr>
          <w:szCs w:val="22"/>
        </w:rPr>
        <w:t>5/</w:t>
      </w:r>
      <w:r w:rsidR="001840D8">
        <w:rPr>
          <w:szCs w:val="22"/>
        </w:rPr>
        <w:t>10/20 MHz granularity. Different subbands can have different configurations</w:t>
      </w:r>
      <w:r w:rsidR="00F10956">
        <w:rPr>
          <w:szCs w:val="22"/>
        </w:rPr>
        <w:t xml:space="preserve"> with following attributes.</w:t>
      </w:r>
    </w:p>
    <w:p w14:paraId="04879314" w14:textId="77777777" w:rsidR="0048221C" w:rsidRPr="0048221C" w:rsidRDefault="0048221C" w:rsidP="0048221C">
      <w:pPr>
        <w:pStyle w:val="ListParagraph"/>
        <w:numPr>
          <w:ilvl w:val="0"/>
          <w:numId w:val="34"/>
        </w:numPr>
        <w:jc w:val="both"/>
        <w:rPr>
          <w:rFonts w:ascii="Times New Roman" w:hAnsi="Times New Roman"/>
          <w:sz w:val="20"/>
          <w:szCs w:val="20"/>
        </w:rPr>
      </w:pPr>
      <w:r w:rsidRPr="0048221C">
        <w:rPr>
          <w:rFonts w:ascii="Times New Roman" w:hAnsi="Times New Roman"/>
          <w:sz w:val="20"/>
          <w:szCs w:val="20"/>
        </w:rPr>
        <w:lastRenderedPageBreak/>
        <w:t>UE specific search space / Common search space</w:t>
      </w:r>
    </w:p>
    <w:p w14:paraId="60222042" w14:textId="77777777" w:rsidR="0048221C" w:rsidRPr="0048221C" w:rsidRDefault="0048221C" w:rsidP="0048221C">
      <w:pPr>
        <w:pStyle w:val="ListParagraph"/>
        <w:numPr>
          <w:ilvl w:val="1"/>
          <w:numId w:val="34"/>
        </w:numPr>
        <w:jc w:val="both"/>
        <w:rPr>
          <w:rFonts w:ascii="Times New Roman" w:hAnsi="Times New Roman"/>
          <w:sz w:val="20"/>
          <w:szCs w:val="20"/>
        </w:rPr>
      </w:pPr>
      <w:r w:rsidRPr="0048221C">
        <w:rPr>
          <w:rFonts w:ascii="Times New Roman" w:hAnsi="Times New Roman"/>
          <w:sz w:val="20"/>
          <w:szCs w:val="20"/>
        </w:rPr>
        <w:t>CCE can be localized/distributed within a subband.</w:t>
      </w:r>
    </w:p>
    <w:p w14:paraId="183C7472" w14:textId="77777777" w:rsidR="0048221C" w:rsidRPr="0048221C" w:rsidRDefault="0048221C" w:rsidP="0048221C">
      <w:pPr>
        <w:pStyle w:val="ListParagraph"/>
        <w:numPr>
          <w:ilvl w:val="0"/>
          <w:numId w:val="34"/>
        </w:numPr>
        <w:jc w:val="both"/>
        <w:rPr>
          <w:rFonts w:ascii="Times New Roman" w:hAnsi="Times New Roman"/>
          <w:sz w:val="20"/>
          <w:szCs w:val="20"/>
        </w:rPr>
      </w:pPr>
      <w:r w:rsidRPr="0048221C">
        <w:rPr>
          <w:rFonts w:ascii="Times New Roman" w:hAnsi="Times New Roman"/>
          <w:sz w:val="20"/>
          <w:szCs w:val="20"/>
        </w:rPr>
        <w:t>Omni / Beamformed</w:t>
      </w:r>
    </w:p>
    <w:p w14:paraId="624C058A" w14:textId="77777777" w:rsidR="0048221C" w:rsidRPr="0048221C" w:rsidRDefault="0048221C" w:rsidP="0048221C">
      <w:pPr>
        <w:pStyle w:val="ListParagraph"/>
        <w:numPr>
          <w:ilvl w:val="1"/>
          <w:numId w:val="34"/>
        </w:numPr>
        <w:jc w:val="both"/>
        <w:rPr>
          <w:rFonts w:ascii="Times New Roman" w:hAnsi="Times New Roman"/>
          <w:sz w:val="20"/>
          <w:szCs w:val="20"/>
        </w:rPr>
      </w:pPr>
      <w:r w:rsidRPr="0048221C">
        <w:rPr>
          <w:rFonts w:ascii="Times New Roman" w:hAnsi="Times New Roman"/>
          <w:sz w:val="20"/>
          <w:szCs w:val="20"/>
        </w:rPr>
        <w:t>For omni subband, UE can have a wideband RS processing over the subband.</w:t>
      </w:r>
    </w:p>
    <w:p w14:paraId="197D6DF4" w14:textId="77777777" w:rsidR="0048221C" w:rsidRPr="0048221C" w:rsidRDefault="0048221C" w:rsidP="0048221C">
      <w:pPr>
        <w:pStyle w:val="ListParagraph"/>
        <w:numPr>
          <w:ilvl w:val="1"/>
          <w:numId w:val="34"/>
        </w:numPr>
        <w:jc w:val="both"/>
        <w:rPr>
          <w:rFonts w:ascii="Times New Roman" w:hAnsi="Times New Roman"/>
          <w:sz w:val="20"/>
          <w:szCs w:val="20"/>
        </w:rPr>
      </w:pPr>
      <w:r w:rsidRPr="0048221C">
        <w:rPr>
          <w:rFonts w:ascii="Times New Roman" w:hAnsi="Times New Roman"/>
          <w:sz w:val="20"/>
          <w:szCs w:val="20"/>
        </w:rPr>
        <w:t>For beamformed subband, UE should have per REG/CCE level RS processing.</w:t>
      </w:r>
    </w:p>
    <w:p w14:paraId="7BEFF5EA" w14:textId="77777777" w:rsidR="0048221C" w:rsidRPr="0048221C" w:rsidRDefault="0048221C" w:rsidP="0048221C">
      <w:pPr>
        <w:pStyle w:val="ListParagraph"/>
        <w:numPr>
          <w:ilvl w:val="0"/>
          <w:numId w:val="34"/>
        </w:numPr>
        <w:jc w:val="both"/>
        <w:rPr>
          <w:rFonts w:ascii="Times New Roman" w:hAnsi="Times New Roman"/>
          <w:sz w:val="20"/>
          <w:szCs w:val="20"/>
        </w:rPr>
      </w:pPr>
      <w:r w:rsidRPr="0048221C">
        <w:rPr>
          <w:rFonts w:ascii="Times New Roman" w:hAnsi="Times New Roman"/>
          <w:sz w:val="20"/>
          <w:szCs w:val="20"/>
        </w:rPr>
        <w:t>Single / Multi-part control</w:t>
      </w:r>
    </w:p>
    <w:p w14:paraId="23F1F645" w14:textId="54751DD8" w:rsidR="001840D8" w:rsidRPr="001840D8" w:rsidRDefault="005861F7" w:rsidP="005861F7">
      <w:pPr>
        <w:jc w:val="both"/>
      </w:pPr>
      <w:r w:rsidRPr="005861F7">
        <w:t xml:space="preserve">Each UE </w:t>
      </w:r>
      <w:r>
        <w:t>can</w:t>
      </w:r>
      <w:r w:rsidRPr="005861F7">
        <w:t xml:space="preserve"> monitor </w:t>
      </w:r>
      <w:r>
        <w:t xml:space="preserve">only </w:t>
      </w:r>
      <w:r w:rsidRPr="005861F7">
        <w:t xml:space="preserve">a subset of </w:t>
      </w:r>
      <w:r w:rsidR="007E678B">
        <w:t xml:space="preserve">configured </w:t>
      </w:r>
      <w:r w:rsidRPr="005861F7">
        <w:t>subbands</w:t>
      </w:r>
      <w:r>
        <w:t xml:space="preserve"> among the system BW</w:t>
      </w:r>
      <w:r w:rsidRPr="005861F7">
        <w:t xml:space="preserve"> to reduce search complexity</w:t>
      </w:r>
      <w:r>
        <w:t xml:space="preserve">. </w:t>
      </w:r>
      <w:r w:rsidRPr="005861F7">
        <w:t>A common</w:t>
      </w:r>
      <w:r>
        <w:t xml:space="preserve"> search s</w:t>
      </w:r>
      <w:r w:rsidRPr="005861F7">
        <w:t>pace subband can be set as the default subband upon initial access (indicated by MIB).</w:t>
      </w:r>
    </w:p>
    <w:p w14:paraId="52DFDF7E" w14:textId="2D195174" w:rsidR="00456C33" w:rsidRDefault="00456C33" w:rsidP="00456C33">
      <w:r>
        <w:rPr>
          <w:b/>
          <w:u w:val="single"/>
        </w:rPr>
        <w:t>Proposal</w:t>
      </w:r>
      <w:r w:rsidRPr="00392F4D">
        <w:rPr>
          <w:b/>
          <w:u w:val="single"/>
        </w:rPr>
        <w:t xml:space="preserve"> </w:t>
      </w:r>
      <w:r>
        <w:rPr>
          <w:b/>
          <w:u w:val="single"/>
        </w:rPr>
        <w:t>7</w:t>
      </w:r>
      <w:r w:rsidRPr="00392F4D">
        <w:rPr>
          <w:b/>
          <w:u w:val="single"/>
        </w:rPr>
        <w:t>:</w:t>
      </w:r>
      <w:r w:rsidRPr="00392F4D">
        <w:t xml:space="preserve"> </w:t>
      </w:r>
      <w:r>
        <w:t>NR shall allow a smaller BW UE to operate in the system. Minimum UE BW can be [5] MHz.</w:t>
      </w:r>
    </w:p>
    <w:p w14:paraId="0FD45A56" w14:textId="5601C0DE" w:rsidR="00C443BC" w:rsidRDefault="00C443BC" w:rsidP="00456C33">
      <w:r w:rsidRPr="00C17521">
        <w:rPr>
          <w:b/>
          <w:u w:val="single"/>
        </w:rPr>
        <w:t xml:space="preserve">Proposal </w:t>
      </w:r>
      <w:r w:rsidR="00456C33">
        <w:rPr>
          <w:b/>
          <w:u w:val="single"/>
        </w:rPr>
        <w:t>8</w:t>
      </w:r>
      <w:r w:rsidRPr="00C17521">
        <w:rPr>
          <w:b/>
          <w:u w:val="single"/>
        </w:rPr>
        <w:t>:</w:t>
      </w:r>
      <w:r>
        <w:t xml:space="preserve"> Introduce the subband concept for PDCCH search space with </w:t>
      </w:r>
      <w:r w:rsidR="0048221C">
        <w:t>the above</w:t>
      </w:r>
      <w:r>
        <w:t xml:space="preserve"> attributes per subband:</w:t>
      </w:r>
    </w:p>
    <w:p w14:paraId="3E098338" w14:textId="77777777" w:rsidR="00A87FF1" w:rsidRDefault="00A87FF1" w:rsidP="00A87FF1">
      <w:pPr>
        <w:jc w:val="both"/>
        <w:rPr>
          <w:szCs w:val="22"/>
        </w:rPr>
      </w:pPr>
    </w:p>
    <w:p w14:paraId="2E61D606" w14:textId="4C24CA7C" w:rsidR="00ED161E" w:rsidRDefault="00ED161E" w:rsidP="00BA0646">
      <w:pPr>
        <w:pStyle w:val="Heading2"/>
      </w:pPr>
      <w:r>
        <w:t>PDCCH search space</w:t>
      </w:r>
    </w:p>
    <w:p w14:paraId="3F505EA5" w14:textId="020EE6B6" w:rsidR="00ED161E" w:rsidRDefault="00ED161E" w:rsidP="00ED161E">
      <w:pPr>
        <w:jc w:val="both"/>
        <w:rPr>
          <w:szCs w:val="22"/>
        </w:rPr>
      </w:pPr>
      <w:r>
        <w:rPr>
          <w:szCs w:val="22"/>
        </w:rPr>
        <w:t>To further reduce the complexity for PDCCH decoding and improve the timeline, it is proposed to consider fewer hypotheses of blind decoding for PDCCH.</w:t>
      </w:r>
    </w:p>
    <w:p w14:paraId="10B57CF5" w14:textId="014821F2" w:rsidR="00ED161E" w:rsidRDefault="00ED161E" w:rsidP="00ED161E">
      <w:pPr>
        <w:jc w:val="both"/>
        <w:rPr>
          <w:szCs w:val="22"/>
        </w:rPr>
      </w:pPr>
      <w:r>
        <w:rPr>
          <w:szCs w:val="22"/>
        </w:rPr>
        <w:t>In LTE, there are 44 blind decodes.</w:t>
      </w:r>
    </w:p>
    <w:p w14:paraId="110133B8" w14:textId="77777777" w:rsidR="009A34AD" w:rsidRPr="00BA0646" w:rsidRDefault="00927085" w:rsidP="00BA0646">
      <w:pPr>
        <w:pStyle w:val="ListParagraph"/>
        <w:numPr>
          <w:ilvl w:val="0"/>
          <w:numId w:val="48"/>
        </w:numPr>
        <w:jc w:val="both"/>
      </w:pPr>
      <w:r w:rsidRPr="00BA0646">
        <w:rPr>
          <w:bCs/>
        </w:rPr>
        <w:t>UE specific</w:t>
      </w:r>
      <w:r w:rsidRPr="00BA0646">
        <w:t>: (6xAL1; 6xAL2; 2xAL4; 2xAL8) x (2 DCI lengths) = 32</w:t>
      </w:r>
    </w:p>
    <w:p w14:paraId="70D095BE" w14:textId="7629E704" w:rsidR="00ED161E" w:rsidRPr="00BA0646" w:rsidRDefault="00ED161E" w:rsidP="00BA0646">
      <w:pPr>
        <w:pStyle w:val="ListParagraph"/>
        <w:numPr>
          <w:ilvl w:val="0"/>
          <w:numId w:val="48"/>
        </w:numPr>
        <w:jc w:val="both"/>
      </w:pPr>
      <w:r w:rsidRPr="00BA0646">
        <w:rPr>
          <w:bCs/>
        </w:rPr>
        <w:t>Common</w:t>
      </w:r>
      <w:r w:rsidRPr="00BA0646">
        <w:t>: (4xAL4; 2xAL8) x (2 DCI lengths) = 12</w:t>
      </w:r>
    </w:p>
    <w:p w14:paraId="474AF07E" w14:textId="106FF24C" w:rsidR="00ED161E" w:rsidRDefault="00ED161E">
      <w:pPr>
        <w:jc w:val="both"/>
      </w:pPr>
      <w:r>
        <w:t>There could be multiple ways to reduce the number of hypotheses.</w:t>
      </w:r>
    </w:p>
    <w:p w14:paraId="033538C7" w14:textId="332919E6" w:rsidR="00F706FC" w:rsidRDefault="0068632B" w:rsidP="00BA0646">
      <w:pPr>
        <w:pStyle w:val="ListParagraph"/>
        <w:numPr>
          <w:ilvl w:val="0"/>
          <w:numId w:val="46"/>
        </w:numPr>
        <w:jc w:val="both"/>
      </w:pPr>
      <w:r>
        <w:t xml:space="preserve">Limit the DCI length options via </w:t>
      </w:r>
      <w:r w:rsidR="00F706FC">
        <w:t>quantized DCI length</w:t>
      </w:r>
    </w:p>
    <w:p w14:paraId="61AB49A5" w14:textId="4C2116A4" w:rsidR="00F706FC" w:rsidRDefault="00F706FC" w:rsidP="00BA0646">
      <w:pPr>
        <w:pStyle w:val="ListParagraph"/>
        <w:numPr>
          <w:ilvl w:val="0"/>
          <w:numId w:val="46"/>
        </w:numPr>
        <w:jc w:val="both"/>
      </w:pPr>
      <w:r>
        <w:t>Use nested search space for each subband (example shown in Figure 1)</w:t>
      </w:r>
    </w:p>
    <w:p w14:paraId="11A7DF9F" w14:textId="7EB1975A" w:rsidR="00F706FC" w:rsidRDefault="00F706FC" w:rsidP="00BA0646">
      <w:pPr>
        <w:pStyle w:val="ListParagraph"/>
        <w:numPr>
          <w:ilvl w:val="0"/>
          <w:numId w:val="46"/>
        </w:numPr>
        <w:jc w:val="both"/>
      </w:pPr>
      <w:r>
        <w:t xml:space="preserve">Reduce the number of options for </w:t>
      </w:r>
      <w:r w:rsidR="0068632B">
        <w:t>ea</w:t>
      </w:r>
      <w:r>
        <w:t>ch aggregation level</w:t>
      </w:r>
      <w:r w:rsidR="0068632B">
        <w:t xml:space="preserve"> compared to LTE</w:t>
      </w:r>
    </w:p>
    <w:p w14:paraId="1AC7E7A8" w14:textId="0FB4E68E" w:rsidR="00ED161E" w:rsidRDefault="00ED161E" w:rsidP="00ED161E">
      <w:r w:rsidRPr="00C17521">
        <w:rPr>
          <w:b/>
          <w:u w:val="single"/>
        </w:rPr>
        <w:t xml:space="preserve">Proposal </w:t>
      </w:r>
      <w:r w:rsidR="002F4C7F">
        <w:rPr>
          <w:b/>
          <w:u w:val="single"/>
        </w:rPr>
        <w:t>9</w:t>
      </w:r>
      <w:r w:rsidRPr="00C17521">
        <w:rPr>
          <w:b/>
          <w:u w:val="single"/>
        </w:rPr>
        <w:t>:</w:t>
      </w:r>
      <w:r>
        <w:t xml:space="preserve"> Consider fewer hypo</w:t>
      </w:r>
      <w:r w:rsidR="0068632B">
        <w:t>theses for PDCCH blind decoding based on the presented ways.</w:t>
      </w:r>
    </w:p>
    <w:p w14:paraId="485C9A9D" w14:textId="77777777" w:rsidR="00F706FC" w:rsidRDefault="00F706FC" w:rsidP="00ED161E"/>
    <w:p w14:paraId="0FE9E537" w14:textId="77777777" w:rsidR="00F706FC" w:rsidRDefault="00F706FC" w:rsidP="00BA0646">
      <w:pPr>
        <w:keepNext/>
        <w:jc w:val="center"/>
      </w:pPr>
      <w:r w:rsidRPr="00F706FC">
        <w:rPr>
          <w:noProof/>
          <w:lang w:eastAsia="ko-KR"/>
        </w:rPr>
        <w:drawing>
          <wp:inline distT="0" distB="0" distL="0" distR="0" wp14:anchorId="0318207E" wp14:editId="21B59500">
            <wp:extent cx="1170432" cy="2642616"/>
            <wp:effectExtent l="0" t="0" r="0" b="571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1170432" cy="2642616"/>
                    </a:xfrm>
                    <a:prstGeom prst="rect">
                      <a:avLst/>
                    </a:prstGeom>
                    <a:solidFill>
                      <a:schemeClr val="bg1"/>
                    </a:solidFill>
                  </pic:spPr>
                </pic:pic>
              </a:graphicData>
            </a:graphic>
          </wp:inline>
        </w:drawing>
      </w:r>
    </w:p>
    <w:p w14:paraId="1B0B235C" w14:textId="569F7201" w:rsidR="00F706FC" w:rsidRDefault="00F706FC" w:rsidP="00BA0646">
      <w:pPr>
        <w:pStyle w:val="Caption"/>
        <w:jc w:val="center"/>
      </w:pPr>
      <w:r>
        <w:t xml:space="preserve">Figure </w:t>
      </w:r>
      <w:fldSimple w:instr=" SEQ Figure \* ARABIC ">
        <w:r w:rsidR="002F4C7F">
          <w:rPr>
            <w:noProof/>
          </w:rPr>
          <w:t>1</w:t>
        </w:r>
      </w:fldSimple>
      <w:r>
        <w:t>: Illustration of nested search space</w:t>
      </w:r>
    </w:p>
    <w:p w14:paraId="643A9785" w14:textId="36399678" w:rsidR="002F4C7F" w:rsidRDefault="002F4C7F" w:rsidP="00BA0646">
      <w:pPr>
        <w:pStyle w:val="Heading2"/>
      </w:pPr>
      <w:r>
        <w:t>Flexible DCI</w:t>
      </w:r>
    </w:p>
    <w:p w14:paraId="2DE145A5" w14:textId="7E677AF0" w:rsidR="002F4C7F" w:rsidRDefault="002F4C7F" w:rsidP="00BA0646">
      <w:pPr>
        <w:rPr>
          <w:lang w:val="en-GB"/>
        </w:rPr>
      </w:pPr>
      <w:r>
        <w:rPr>
          <w:lang w:val="en-GB"/>
        </w:rPr>
        <w:t xml:space="preserve">To further improve PDCCH efficiency/performance, aggregating PDCCH for multiple UEs can be also considered. For example, UEs on a given AL can be coded together as shown in Figure 2. Pros for this approach are coding gain, flexible </w:t>
      </w:r>
      <w:r>
        <w:rPr>
          <w:lang w:val="en-GB"/>
        </w:rPr>
        <w:lastRenderedPageBreak/>
        <w:t>DCI size, potential reduction in number of blind searches and ICIC. This implies that additional MCS/message-size/resource size need to be informed to the UEs which may be the additional burden.</w:t>
      </w:r>
    </w:p>
    <w:p w14:paraId="3DE7BDC1" w14:textId="77777777" w:rsidR="002F4C7F" w:rsidRDefault="002F4C7F" w:rsidP="00BA0646">
      <w:pPr>
        <w:rPr>
          <w:lang w:val="en-GB"/>
        </w:rPr>
      </w:pPr>
    </w:p>
    <w:p w14:paraId="0D3575EB" w14:textId="77777777" w:rsidR="002F4C7F" w:rsidRDefault="002F4C7F" w:rsidP="00BA0646">
      <w:pPr>
        <w:keepNext/>
        <w:jc w:val="center"/>
      </w:pPr>
      <w:r w:rsidRPr="002F4C7F">
        <w:rPr>
          <w:noProof/>
          <w:lang w:eastAsia="ko-KR"/>
        </w:rPr>
        <w:drawing>
          <wp:inline distT="0" distB="0" distL="0" distR="0" wp14:anchorId="42E4B030" wp14:editId="7B483F3D">
            <wp:extent cx="4379976" cy="512064"/>
            <wp:effectExtent l="0" t="0" r="0" b="0"/>
            <wp:docPr id="1" name="Picture 1" descr="C:\Users\heechoon\Pictures\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eechoon\Pictures\Picture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9976" cy="512064"/>
                    </a:xfrm>
                    <a:prstGeom prst="rect">
                      <a:avLst/>
                    </a:prstGeom>
                    <a:noFill/>
                    <a:ln>
                      <a:noFill/>
                    </a:ln>
                  </pic:spPr>
                </pic:pic>
              </a:graphicData>
            </a:graphic>
          </wp:inline>
        </w:drawing>
      </w:r>
    </w:p>
    <w:p w14:paraId="56F96447" w14:textId="75FA245F" w:rsidR="002F4C7F" w:rsidRDefault="002F4C7F" w:rsidP="00BA0646">
      <w:pPr>
        <w:pStyle w:val="Caption"/>
        <w:jc w:val="center"/>
      </w:pPr>
      <w:r>
        <w:t xml:space="preserve">Figure </w:t>
      </w:r>
      <w:fldSimple w:instr=" SEQ Figure \* ARABIC ">
        <w:r>
          <w:rPr>
            <w:noProof/>
          </w:rPr>
          <w:t>2</w:t>
        </w:r>
      </w:fldSimple>
      <w:r>
        <w:t>: Illustration of Flexible DCI</w:t>
      </w:r>
    </w:p>
    <w:p w14:paraId="1D10E587" w14:textId="461BABCE" w:rsidR="002F4C7F" w:rsidRPr="002F4C7F" w:rsidRDefault="002F4C7F" w:rsidP="002F4C7F">
      <w:r w:rsidRPr="00C17521">
        <w:rPr>
          <w:b/>
          <w:u w:val="single"/>
        </w:rPr>
        <w:t xml:space="preserve">Proposal </w:t>
      </w:r>
      <w:r>
        <w:rPr>
          <w:b/>
          <w:u w:val="single"/>
        </w:rPr>
        <w:t>10</w:t>
      </w:r>
      <w:r w:rsidRPr="00C17521">
        <w:rPr>
          <w:b/>
          <w:u w:val="single"/>
        </w:rPr>
        <w:t>:</w:t>
      </w:r>
      <w:r w:rsidRPr="00BA0646">
        <w:t xml:space="preserve"> Consider </w:t>
      </w:r>
      <w:r>
        <w:t>flexible DCI multiplexing PDCCH for multiple UEs</w:t>
      </w:r>
      <w:r w:rsidRPr="002F4C7F">
        <w:t>.</w:t>
      </w:r>
    </w:p>
    <w:p w14:paraId="2B99DEF7" w14:textId="77777777" w:rsidR="002F4C7F" w:rsidRDefault="002F4C7F" w:rsidP="002F4C7F"/>
    <w:p w14:paraId="0653D117" w14:textId="23B2F8CC" w:rsidR="00A87FF1" w:rsidRDefault="00A87FF1" w:rsidP="00A87FF1">
      <w:pPr>
        <w:pStyle w:val="Heading2"/>
      </w:pPr>
      <w:r>
        <w:t>UE power saving</w:t>
      </w:r>
    </w:p>
    <w:p w14:paraId="4D73B9E3" w14:textId="73DD701E" w:rsidR="00015420" w:rsidRDefault="00C443BC" w:rsidP="006535EA">
      <w:pPr>
        <w:jc w:val="both"/>
        <w:rPr>
          <w:szCs w:val="22"/>
        </w:rPr>
      </w:pPr>
      <w:r>
        <w:rPr>
          <w:szCs w:val="22"/>
        </w:rPr>
        <w:t>For non-time critical data transmission, we can consider pre-indication / cross slot scheduling</w:t>
      </w:r>
      <w:r w:rsidR="00B26A45">
        <w:rPr>
          <w:szCs w:val="22"/>
        </w:rPr>
        <w:t xml:space="preserve"> (UL/DL)</w:t>
      </w:r>
      <w:r>
        <w:rPr>
          <w:szCs w:val="22"/>
        </w:rPr>
        <w:t xml:space="preserve"> for the purpose of UE power saving. </w:t>
      </w:r>
      <w:r w:rsidR="004D70FB" w:rsidRPr="00C443BC">
        <w:rPr>
          <w:szCs w:val="22"/>
        </w:rPr>
        <w:t>Pre-indication control refers to control info</w:t>
      </w:r>
      <w:r w:rsidR="006535EA">
        <w:rPr>
          <w:szCs w:val="22"/>
        </w:rPr>
        <w:t>rmation</w:t>
      </w:r>
      <w:r w:rsidR="004D70FB" w:rsidRPr="00C443BC">
        <w:rPr>
          <w:szCs w:val="22"/>
        </w:rPr>
        <w:t xml:space="preserve"> that does not apply to the immediate </w:t>
      </w:r>
      <w:r w:rsidR="006535EA">
        <w:rPr>
          <w:szCs w:val="22"/>
        </w:rPr>
        <w:t>slot but for subsequent slots</w:t>
      </w:r>
      <w:r w:rsidR="004D70FB" w:rsidRPr="00C443BC">
        <w:rPr>
          <w:szCs w:val="22"/>
        </w:rPr>
        <w:t>.</w:t>
      </w:r>
      <w:r w:rsidR="00345832">
        <w:rPr>
          <w:szCs w:val="22"/>
        </w:rPr>
        <w:t xml:space="preserve"> With pre-indication, dynamic BW switching can be </w:t>
      </w:r>
      <w:r w:rsidR="005D34A2">
        <w:rPr>
          <w:szCs w:val="22"/>
        </w:rPr>
        <w:t xml:space="preserve">also </w:t>
      </w:r>
      <w:r w:rsidR="00345832">
        <w:rPr>
          <w:szCs w:val="22"/>
        </w:rPr>
        <w:t xml:space="preserve">allowed for UE power saving </w:t>
      </w:r>
      <w:r w:rsidR="00B26A45">
        <w:rPr>
          <w:szCs w:val="22"/>
        </w:rPr>
        <w:t>between</w:t>
      </w:r>
      <w:r w:rsidR="00345832">
        <w:rPr>
          <w:szCs w:val="22"/>
        </w:rPr>
        <w:t xml:space="preserve"> active/non-</w:t>
      </w:r>
      <w:r w:rsidR="00B26A45">
        <w:rPr>
          <w:szCs w:val="22"/>
        </w:rPr>
        <w:t>active</w:t>
      </w:r>
      <w:r w:rsidR="00345832">
        <w:rPr>
          <w:szCs w:val="22"/>
        </w:rPr>
        <w:t xml:space="preserve"> traffic</w:t>
      </w:r>
      <w:r w:rsidR="00B26A45">
        <w:rPr>
          <w:szCs w:val="22"/>
        </w:rPr>
        <w:t>.</w:t>
      </w:r>
    </w:p>
    <w:p w14:paraId="3CB54BD8" w14:textId="50FD0BB6" w:rsidR="00015420" w:rsidRPr="00345832" w:rsidRDefault="00B26A45" w:rsidP="00B26A45">
      <w:pPr>
        <w:jc w:val="both"/>
      </w:pPr>
      <w:r>
        <w:t xml:space="preserve">Note that </w:t>
      </w:r>
      <w:r w:rsidR="004D70FB" w:rsidRPr="00345832">
        <w:t>RF BW determines the sampling rate. ADC/BBF power consumption is significant</w:t>
      </w:r>
      <w:r>
        <w:t>. Thus, s</w:t>
      </w:r>
      <w:r w:rsidR="004D70FB" w:rsidRPr="00345832">
        <w:t xml:space="preserve">ignificant </w:t>
      </w:r>
      <w:r>
        <w:t>power saving can be achieved</w:t>
      </w:r>
      <w:r w:rsidR="004D70FB" w:rsidRPr="00345832">
        <w:t xml:space="preserve"> if (i) UE’s full BW &gt;&gt; monitored control subband BW, (ii) Percentage of no DL assignment is significant, but not bursty enough to switch to DRX mode</w:t>
      </w:r>
      <w:r>
        <w:t>.</w:t>
      </w:r>
    </w:p>
    <w:p w14:paraId="122B8134" w14:textId="578F8074" w:rsidR="00015420" w:rsidRPr="00345832" w:rsidRDefault="00B26A45" w:rsidP="00B26A45">
      <w:pPr>
        <w:jc w:val="both"/>
      </w:pPr>
      <w:r>
        <w:t>UE in power saving mode may</w:t>
      </w:r>
      <w:r w:rsidR="004D70FB" w:rsidRPr="00345832">
        <w:t xml:space="preserve"> </w:t>
      </w:r>
      <w:r>
        <w:t xml:space="preserve">also </w:t>
      </w:r>
      <w:r w:rsidR="004D70FB" w:rsidRPr="00345832">
        <w:t xml:space="preserve">negotiate not monitoring common search space and to monitor only the </w:t>
      </w:r>
      <w:r>
        <w:t>UE specific search space.</w:t>
      </w:r>
    </w:p>
    <w:p w14:paraId="26CFF32E" w14:textId="3E480D4F" w:rsidR="00B26A45" w:rsidRDefault="00B26A45" w:rsidP="00B26A45">
      <w:r w:rsidRPr="00C17521">
        <w:rPr>
          <w:b/>
          <w:u w:val="single"/>
        </w:rPr>
        <w:t xml:space="preserve">Proposal </w:t>
      </w:r>
      <w:r w:rsidR="002F4C7F">
        <w:rPr>
          <w:b/>
          <w:u w:val="single"/>
        </w:rPr>
        <w:t>11</w:t>
      </w:r>
      <w:r w:rsidRPr="00C17521">
        <w:rPr>
          <w:b/>
          <w:u w:val="single"/>
        </w:rPr>
        <w:t>:</w:t>
      </w:r>
      <w:r>
        <w:t xml:space="preserve"> Introduce pre-indication / cross slot scheduling (UL/DL) PDCCH.</w:t>
      </w:r>
    </w:p>
    <w:p w14:paraId="439972D8" w14:textId="7CC5034D" w:rsidR="005D34A2" w:rsidRDefault="005D34A2" w:rsidP="005D34A2">
      <w:r w:rsidRPr="00C17521">
        <w:rPr>
          <w:b/>
          <w:u w:val="single"/>
        </w:rPr>
        <w:t xml:space="preserve">Proposal </w:t>
      </w:r>
      <w:r>
        <w:rPr>
          <w:b/>
          <w:u w:val="single"/>
        </w:rPr>
        <w:t>1</w:t>
      </w:r>
      <w:r w:rsidR="002F4C7F">
        <w:rPr>
          <w:b/>
          <w:u w:val="single"/>
        </w:rPr>
        <w:t>2</w:t>
      </w:r>
      <w:r w:rsidRPr="00C17521">
        <w:rPr>
          <w:b/>
          <w:u w:val="single"/>
        </w:rPr>
        <w:t>:</w:t>
      </w:r>
      <w:r>
        <w:t xml:space="preserve"> Introduce dynamic BW switching</w:t>
      </w:r>
      <w:r w:rsidR="00763E6D">
        <w:t>.</w:t>
      </w:r>
    </w:p>
    <w:p w14:paraId="047333BF" w14:textId="77777777" w:rsidR="00FC7227" w:rsidRDefault="00FC7227" w:rsidP="008065D0">
      <w:pPr>
        <w:jc w:val="both"/>
        <w:rPr>
          <w:szCs w:val="22"/>
        </w:rPr>
      </w:pPr>
    </w:p>
    <w:p w14:paraId="56D28D4B" w14:textId="26018A49" w:rsidR="00067CA8" w:rsidRPr="00226FE2" w:rsidRDefault="004503F9" w:rsidP="00067CA8">
      <w:pPr>
        <w:pStyle w:val="Heading1"/>
        <w:rPr>
          <w:lang w:eastAsia="zh-CN"/>
        </w:rPr>
      </w:pPr>
      <w:r>
        <w:rPr>
          <w:lang w:eastAsia="zh-CN"/>
        </w:rPr>
        <w:t>Conclusions</w:t>
      </w:r>
    </w:p>
    <w:p w14:paraId="4A8E4580" w14:textId="146CC939" w:rsidR="0048221C" w:rsidRDefault="00583DAF" w:rsidP="0048221C">
      <w:pPr>
        <w:jc w:val="both"/>
        <w:rPr>
          <w:szCs w:val="22"/>
        </w:rPr>
      </w:pPr>
      <w:r>
        <w:rPr>
          <w:szCs w:val="22"/>
        </w:rPr>
        <w:t xml:space="preserve">This contribution has provided overview on DL control channels for NR and has had detailed discussion for PDCCH. </w:t>
      </w:r>
      <w:r w:rsidR="0048221C">
        <w:rPr>
          <w:szCs w:val="22"/>
        </w:rPr>
        <w:t>The following proposals have been made.</w:t>
      </w:r>
    </w:p>
    <w:p w14:paraId="48C12EEB" w14:textId="77777777" w:rsidR="00927085" w:rsidRDefault="00927085" w:rsidP="00927085">
      <w:r>
        <w:rPr>
          <w:b/>
          <w:u w:val="single"/>
        </w:rPr>
        <w:t>Proposal</w:t>
      </w:r>
      <w:r w:rsidRPr="00392F4D">
        <w:rPr>
          <w:b/>
          <w:u w:val="single"/>
        </w:rPr>
        <w:t xml:space="preserve"> 1:</w:t>
      </w:r>
      <w:r w:rsidRPr="00392F4D">
        <w:t xml:space="preserve"> </w:t>
      </w:r>
      <w:r>
        <w:t>Agree on the need of PSFICH for NR.</w:t>
      </w:r>
    </w:p>
    <w:p w14:paraId="7726D9B2" w14:textId="38C150B9" w:rsidR="00927085" w:rsidRDefault="00927085" w:rsidP="00927085">
      <w:r>
        <w:rPr>
          <w:b/>
          <w:u w:val="single"/>
        </w:rPr>
        <w:t>Proposal</w:t>
      </w:r>
      <w:r w:rsidRPr="00392F4D">
        <w:rPr>
          <w:b/>
          <w:u w:val="single"/>
        </w:rPr>
        <w:t xml:space="preserve"> </w:t>
      </w:r>
      <w:r>
        <w:rPr>
          <w:b/>
          <w:u w:val="single"/>
        </w:rPr>
        <w:t>2</w:t>
      </w:r>
      <w:r w:rsidRPr="00392F4D">
        <w:rPr>
          <w:b/>
          <w:u w:val="single"/>
        </w:rPr>
        <w:t>:</w:t>
      </w:r>
      <w:r w:rsidRPr="00392F4D">
        <w:t xml:space="preserve"> </w:t>
      </w:r>
      <w:r>
        <w:t>RS for PDCCH is transmitted on the 1</w:t>
      </w:r>
      <w:r w:rsidRPr="00D35F8E">
        <w:rPr>
          <w:vertAlign w:val="superscript"/>
        </w:rPr>
        <w:t>st</w:t>
      </w:r>
      <w:r>
        <w:t xml:space="preserve"> symbol in DL control region in each slot.</w:t>
      </w:r>
    </w:p>
    <w:p w14:paraId="287A84CA" w14:textId="77777777" w:rsidR="00927085" w:rsidRDefault="00927085" w:rsidP="00927085">
      <w:r>
        <w:rPr>
          <w:b/>
          <w:u w:val="single"/>
        </w:rPr>
        <w:t>Proposal</w:t>
      </w:r>
      <w:r w:rsidRPr="00392F4D">
        <w:rPr>
          <w:b/>
          <w:u w:val="single"/>
        </w:rPr>
        <w:t xml:space="preserve"> </w:t>
      </w:r>
      <w:r>
        <w:rPr>
          <w:b/>
          <w:u w:val="single"/>
        </w:rPr>
        <w:t>3</w:t>
      </w:r>
      <w:r w:rsidRPr="00392F4D">
        <w:rPr>
          <w:b/>
          <w:u w:val="single"/>
        </w:rPr>
        <w:t>:</w:t>
      </w:r>
      <w:r w:rsidRPr="00392F4D">
        <w:t xml:space="preserve"> </w:t>
      </w:r>
      <w:r>
        <w:t>Consider the multi-part PDCCH structure.</w:t>
      </w:r>
    </w:p>
    <w:p w14:paraId="2669D82D" w14:textId="77777777" w:rsidR="00927085" w:rsidRDefault="00927085" w:rsidP="00927085">
      <w:r>
        <w:rPr>
          <w:b/>
          <w:u w:val="single"/>
        </w:rPr>
        <w:t>Proposal</w:t>
      </w:r>
      <w:r w:rsidRPr="00392F4D">
        <w:rPr>
          <w:b/>
          <w:u w:val="single"/>
        </w:rPr>
        <w:t xml:space="preserve"> </w:t>
      </w:r>
      <w:r>
        <w:rPr>
          <w:b/>
          <w:u w:val="single"/>
        </w:rPr>
        <w:t>4</w:t>
      </w:r>
      <w:r w:rsidRPr="00392F4D">
        <w:rPr>
          <w:b/>
          <w:u w:val="single"/>
        </w:rPr>
        <w:t>:</w:t>
      </w:r>
      <w:r w:rsidRPr="00392F4D">
        <w:t xml:space="preserve"> </w:t>
      </w:r>
      <w:r>
        <w:t>Consider 2 symbol DL control region or 1 symbol DL control region with additional control channel in the data region.</w:t>
      </w:r>
    </w:p>
    <w:p w14:paraId="4596F969" w14:textId="77777777" w:rsidR="00927085" w:rsidRDefault="00927085" w:rsidP="00927085">
      <w:r>
        <w:rPr>
          <w:b/>
          <w:u w:val="single"/>
        </w:rPr>
        <w:t>Proposal</w:t>
      </w:r>
      <w:r w:rsidRPr="00392F4D">
        <w:rPr>
          <w:b/>
          <w:u w:val="single"/>
        </w:rPr>
        <w:t xml:space="preserve"> </w:t>
      </w:r>
      <w:r>
        <w:rPr>
          <w:b/>
          <w:u w:val="single"/>
        </w:rPr>
        <w:t>5</w:t>
      </w:r>
      <w:r w:rsidRPr="00392F4D">
        <w:rPr>
          <w:b/>
          <w:u w:val="single"/>
        </w:rPr>
        <w:t>:</w:t>
      </w:r>
      <w:r>
        <w:t xml:space="preserve"> Do not consider dynamically configurable number of control symbols.</w:t>
      </w:r>
    </w:p>
    <w:p w14:paraId="52BC22CC" w14:textId="77777777" w:rsidR="00927085" w:rsidRDefault="00927085" w:rsidP="00927085">
      <w:r w:rsidRPr="00C17521">
        <w:rPr>
          <w:b/>
          <w:u w:val="single"/>
        </w:rPr>
        <w:t xml:space="preserve">Proposal </w:t>
      </w:r>
      <w:r>
        <w:rPr>
          <w:b/>
          <w:u w:val="single"/>
        </w:rPr>
        <w:t>6</w:t>
      </w:r>
      <w:r w:rsidRPr="00C17521">
        <w:rPr>
          <w:b/>
          <w:u w:val="single"/>
        </w:rPr>
        <w:t>:</w:t>
      </w:r>
      <w:r>
        <w:t xml:space="preserve"> Consider 2 port SFBC and CDD as a candidate diversity scheme for PDCCH.</w:t>
      </w:r>
    </w:p>
    <w:p w14:paraId="64A076A4" w14:textId="77777777" w:rsidR="00927085" w:rsidRDefault="00927085" w:rsidP="00927085">
      <w:r>
        <w:rPr>
          <w:b/>
          <w:u w:val="single"/>
        </w:rPr>
        <w:t>Proposal</w:t>
      </w:r>
      <w:r w:rsidRPr="00392F4D">
        <w:rPr>
          <w:b/>
          <w:u w:val="single"/>
        </w:rPr>
        <w:t xml:space="preserve"> </w:t>
      </w:r>
      <w:r>
        <w:rPr>
          <w:b/>
          <w:u w:val="single"/>
        </w:rPr>
        <w:t>7</w:t>
      </w:r>
      <w:r w:rsidRPr="00392F4D">
        <w:rPr>
          <w:b/>
          <w:u w:val="single"/>
        </w:rPr>
        <w:t>:</w:t>
      </w:r>
      <w:r w:rsidRPr="00392F4D">
        <w:t xml:space="preserve"> </w:t>
      </w:r>
      <w:r>
        <w:t>NR shall allow a smaller BW UE to operate in the system. Minimum UE BW can be [5] MHz.</w:t>
      </w:r>
    </w:p>
    <w:p w14:paraId="7AF45AB3" w14:textId="77777777" w:rsidR="00927085" w:rsidRDefault="00927085" w:rsidP="00927085">
      <w:r w:rsidRPr="00C17521">
        <w:rPr>
          <w:b/>
          <w:u w:val="single"/>
        </w:rPr>
        <w:t xml:space="preserve">Proposal </w:t>
      </w:r>
      <w:r>
        <w:rPr>
          <w:b/>
          <w:u w:val="single"/>
        </w:rPr>
        <w:t>8</w:t>
      </w:r>
      <w:r w:rsidRPr="00C17521">
        <w:rPr>
          <w:b/>
          <w:u w:val="single"/>
        </w:rPr>
        <w:t>:</w:t>
      </w:r>
      <w:r>
        <w:t xml:space="preserve"> Introduce the subband concept for PDCCH search space with the above attributes per subband:</w:t>
      </w:r>
    </w:p>
    <w:p w14:paraId="76EC29A5" w14:textId="77777777" w:rsidR="0048221C" w:rsidRPr="0048221C" w:rsidRDefault="0048221C" w:rsidP="0048221C">
      <w:pPr>
        <w:pStyle w:val="ListParagraph"/>
        <w:numPr>
          <w:ilvl w:val="0"/>
          <w:numId w:val="34"/>
        </w:numPr>
        <w:jc w:val="both"/>
        <w:rPr>
          <w:rFonts w:ascii="Times New Roman" w:hAnsi="Times New Roman"/>
          <w:sz w:val="20"/>
          <w:szCs w:val="20"/>
        </w:rPr>
      </w:pPr>
      <w:r w:rsidRPr="0048221C">
        <w:rPr>
          <w:rFonts w:ascii="Times New Roman" w:hAnsi="Times New Roman"/>
          <w:sz w:val="20"/>
          <w:szCs w:val="20"/>
        </w:rPr>
        <w:t>UE specific search space / Common search space</w:t>
      </w:r>
    </w:p>
    <w:p w14:paraId="5D0695C7" w14:textId="77777777" w:rsidR="0048221C" w:rsidRPr="0048221C" w:rsidRDefault="0048221C" w:rsidP="0048221C">
      <w:pPr>
        <w:pStyle w:val="ListParagraph"/>
        <w:numPr>
          <w:ilvl w:val="1"/>
          <w:numId w:val="34"/>
        </w:numPr>
        <w:jc w:val="both"/>
        <w:rPr>
          <w:rFonts w:ascii="Times New Roman" w:hAnsi="Times New Roman"/>
          <w:sz w:val="20"/>
          <w:szCs w:val="20"/>
        </w:rPr>
      </w:pPr>
      <w:r w:rsidRPr="0048221C">
        <w:rPr>
          <w:rFonts w:ascii="Times New Roman" w:hAnsi="Times New Roman"/>
          <w:sz w:val="20"/>
          <w:szCs w:val="20"/>
        </w:rPr>
        <w:t>CCE can be localized/distributed within a subband.</w:t>
      </w:r>
    </w:p>
    <w:p w14:paraId="60ACD06D" w14:textId="77777777" w:rsidR="0048221C" w:rsidRPr="0048221C" w:rsidRDefault="0048221C" w:rsidP="0048221C">
      <w:pPr>
        <w:pStyle w:val="ListParagraph"/>
        <w:numPr>
          <w:ilvl w:val="0"/>
          <w:numId w:val="34"/>
        </w:numPr>
        <w:jc w:val="both"/>
        <w:rPr>
          <w:rFonts w:ascii="Times New Roman" w:hAnsi="Times New Roman"/>
          <w:sz w:val="20"/>
          <w:szCs w:val="20"/>
        </w:rPr>
      </w:pPr>
      <w:r w:rsidRPr="0048221C">
        <w:rPr>
          <w:rFonts w:ascii="Times New Roman" w:hAnsi="Times New Roman"/>
          <w:sz w:val="20"/>
          <w:szCs w:val="20"/>
        </w:rPr>
        <w:t>Omni / Beamformed</w:t>
      </w:r>
      <w:bookmarkStart w:id="2" w:name="_GoBack"/>
      <w:bookmarkEnd w:id="2"/>
    </w:p>
    <w:p w14:paraId="60C4DD55" w14:textId="77777777" w:rsidR="0048221C" w:rsidRPr="0048221C" w:rsidRDefault="0048221C" w:rsidP="0048221C">
      <w:pPr>
        <w:pStyle w:val="ListParagraph"/>
        <w:numPr>
          <w:ilvl w:val="1"/>
          <w:numId w:val="34"/>
        </w:numPr>
        <w:jc w:val="both"/>
        <w:rPr>
          <w:rFonts w:ascii="Times New Roman" w:hAnsi="Times New Roman"/>
          <w:sz w:val="20"/>
          <w:szCs w:val="20"/>
        </w:rPr>
      </w:pPr>
      <w:r w:rsidRPr="0048221C">
        <w:rPr>
          <w:rFonts w:ascii="Times New Roman" w:hAnsi="Times New Roman"/>
          <w:sz w:val="20"/>
          <w:szCs w:val="20"/>
        </w:rPr>
        <w:t>For omni subband, UE can have a wideband RS processing over the subband.</w:t>
      </w:r>
    </w:p>
    <w:p w14:paraId="7B6BE9C1" w14:textId="77777777" w:rsidR="0048221C" w:rsidRPr="0048221C" w:rsidRDefault="0048221C" w:rsidP="0048221C">
      <w:pPr>
        <w:pStyle w:val="ListParagraph"/>
        <w:numPr>
          <w:ilvl w:val="1"/>
          <w:numId w:val="34"/>
        </w:numPr>
        <w:jc w:val="both"/>
        <w:rPr>
          <w:rFonts w:ascii="Times New Roman" w:hAnsi="Times New Roman"/>
          <w:sz w:val="20"/>
          <w:szCs w:val="20"/>
        </w:rPr>
      </w:pPr>
      <w:r w:rsidRPr="0048221C">
        <w:rPr>
          <w:rFonts w:ascii="Times New Roman" w:hAnsi="Times New Roman"/>
          <w:sz w:val="20"/>
          <w:szCs w:val="20"/>
        </w:rPr>
        <w:lastRenderedPageBreak/>
        <w:t>For beamformed subband, UE should have per REG/CCE level RS processing.</w:t>
      </w:r>
    </w:p>
    <w:p w14:paraId="75F3962F" w14:textId="77777777" w:rsidR="0048221C" w:rsidRPr="0048221C" w:rsidRDefault="0048221C" w:rsidP="0048221C">
      <w:pPr>
        <w:pStyle w:val="ListParagraph"/>
        <w:numPr>
          <w:ilvl w:val="0"/>
          <w:numId w:val="34"/>
        </w:numPr>
        <w:jc w:val="both"/>
        <w:rPr>
          <w:rFonts w:ascii="Times New Roman" w:hAnsi="Times New Roman"/>
          <w:sz w:val="20"/>
          <w:szCs w:val="20"/>
        </w:rPr>
      </w:pPr>
      <w:r w:rsidRPr="0048221C">
        <w:rPr>
          <w:rFonts w:ascii="Times New Roman" w:hAnsi="Times New Roman"/>
          <w:sz w:val="20"/>
          <w:szCs w:val="20"/>
        </w:rPr>
        <w:t>Single / Multi-part control</w:t>
      </w:r>
    </w:p>
    <w:p w14:paraId="127E7A14" w14:textId="77777777" w:rsidR="00927085" w:rsidRDefault="00927085" w:rsidP="00BA0646">
      <w:r w:rsidRPr="00BA0646">
        <w:rPr>
          <w:b/>
          <w:u w:val="single"/>
        </w:rPr>
        <w:t>Proposal 9:</w:t>
      </w:r>
      <w:r>
        <w:t xml:space="preserve"> Consider fewer hypotheses for PDCCH blind decoding based on the presented ways.</w:t>
      </w:r>
    </w:p>
    <w:p w14:paraId="6C779003" w14:textId="77777777" w:rsidR="00927085" w:rsidRPr="00BA0646" w:rsidRDefault="00927085" w:rsidP="00927085">
      <w:pPr>
        <w:pStyle w:val="ListParagraph"/>
        <w:numPr>
          <w:ilvl w:val="0"/>
          <w:numId w:val="46"/>
        </w:numPr>
        <w:jc w:val="both"/>
        <w:rPr>
          <w:rFonts w:ascii="Times New Roman" w:hAnsi="Times New Roman"/>
          <w:sz w:val="20"/>
          <w:szCs w:val="20"/>
        </w:rPr>
      </w:pPr>
      <w:r w:rsidRPr="00BA0646">
        <w:rPr>
          <w:rFonts w:ascii="Times New Roman" w:hAnsi="Times New Roman"/>
          <w:sz w:val="20"/>
          <w:szCs w:val="20"/>
        </w:rPr>
        <w:t>Limit the DCI length options via quantized DCI length</w:t>
      </w:r>
    </w:p>
    <w:p w14:paraId="41DCBF79" w14:textId="77777777" w:rsidR="00927085" w:rsidRPr="00BA0646" w:rsidRDefault="00927085" w:rsidP="00927085">
      <w:pPr>
        <w:pStyle w:val="ListParagraph"/>
        <w:numPr>
          <w:ilvl w:val="0"/>
          <w:numId w:val="46"/>
        </w:numPr>
        <w:jc w:val="both"/>
        <w:rPr>
          <w:rFonts w:ascii="Times New Roman" w:hAnsi="Times New Roman"/>
          <w:sz w:val="20"/>
          <w:szCs w:val="20"/>
        </w:rPr>
      </w:pPr>
      <w:r w:rsidRPr="00BA0646">
        <w:rPr>
          <w:rFonts w:ascii="Times New Roman" w:hAnsi="Times New Roman"/>
          <w:sz w:val="20"/>
          <w:szCs w:val="20"/>
        </w:rPr>
        <w:t>Use nested search space for each subband (example shown in Figure 1)</w:t>
      </w:r>
    </w:p>
    <w:p w14:paraId="4CAA4C83" w14:textId="77777777" w:rsidR="00927085" w:rsidRPr="00BA0646" w:rsidRDefault="00927085" w:rsidP="00927085">
      <w:pPr>
        <w:pStyle w:val="ListParagraph"/>
        <w:numPr>
          <w:ilvl w:val="0"/>
          <w:numId w:val="46"/>
        </w:numPr>
        <w:jc w:val="both"/>
        <w:rPr>
          <w:rFonts w:ascii="Times New Roman" w:hAnsi="Times New Roman"/>
          <w:sz w:val="20"/>
          <w:szCs w:val="20"/>
        </w:rPr>
      </w:pPr>
      <w:r w:rsidRPr="00BA0646">
        <w:rPr>
          <w:rFonts w:ascii="Times New Roman" w:hAnsi="Times New Roman"/>
          <w:sz w:val="20"/>
          <w:szCs w:val="20"/>
        </w:rPr>
        <w:t>Reduce the number of options for each aggregation level compared to LTE</w:t>
      </w:r>
    </w:p>
    <w:p w14:paraId="17462FEE" w14:textId="77777777" w:rsidR="00927085" w:rsidRPr="001C244D" w:rsidRDefault="00927085" w:rsidP="00927085">
      <w:r w:rsidRPr="00C17521">
        <w:rPr>
          <w:b/>
          <w:u w:val="single"/>
        </w:rPr>
        <w:t xml:space="preserve">Proposal </w:t>
      </w:r>
      <w:r>
        <w:rPr>
          <w:b/>
          <w:u w:val="single"/>
        </w:rPr>
        <w:t>10</w:t>
      </w:r>
      <w:r w:rsidRPr="00C17521">
        <w:rPr>
          <w:b/>
          <w:u w:val="single"/>
        </w:rPr>
        <w:t>:</w:t>
      </w:r>
      <w:r w:rsidRPr="001C244D">
        <w:t xml:space="preserve"> Consider </w:t>
      </w:r>
      <w:r>
        <w:t>flexible DCI multiplexing PDCCH for multiple UEs</w:t>
      </w:r>
      <w:r w:rsidRPr="001C244D">
        <w:t>.</w:t>
      </w:r>
    </w:p>
    <w:p w14:paraId="4A5FF8BD" w14:textId="77777777" w:rsidR="00927085" w:rsidRDefault="00927085" w:rsidP="00927085">
      <w:r w:rsidRPr="00C17521">
        <w:rPr>
          <w:b/>
          <w:u w:val="single"/>
        </w:rPr>
        <w:t xml:space="preserve">Proposal </w:t>
      </w:r>
      <w:r>
        <w:rPr>
          <w:b/>
          <w:u w:val="single"/>
        </w:rPr>
        <w:t>11</w:t>
      </w:r>
      <w:r w:rsidRPr="00C17521">
        <w:rPr>
          <w:b/>
          <w:u w:val="single"/>
        </w:rPr>
        <w:t>:</w:t>
      </w:r>
      <w:r>
        <w:t xml:space="preserve"> Introduce pre-indication / cross slot scheduling (UL/DL) PDCCH.</w:t>
      </w:r>
    </w:p>
    <w:p w14:paraId="5ED63A75" w14:textId="77777777" w:rsidR="00927085" w:rsidRDefault="00927085" w:rsidP="00927085">
      <w:r w:rsidRPr="00C17521">
        <w:rPr>
          <w:b/>
          <w:u w:val="single"/>
        </w:rPr>
        <w:t xml:space="preserve">Proposal </w:t>
      </w:r>
      <w:r>
        <w:rPr>
          <w:b/>
          <w:u w:val="single"/>
        </w:rPr>
        <w:t>12</w:t>
      </w:r>
      <w:r w:rsidRPr="00C17521">
        <w:rPr>
          <w:b/>
          <w:u w:val="single"/>
        </w:rPr>
        <w:t>:</w:t>
      </w:r>
      <w:r>
        <w:t xml:space="preserve"> Introduce dynamic BW switching.</w:t>
      </w:r>
    </w:p>
    <w:p w14:paraId="5F844392" w14:textId="47ECF155" w:rsidR="00EE6678" w:rsidRDefault="00927085" w:rsidP="00D14728">
      <w:pPr>
        <w:rPr>
          <w:lang w:eastAsia="ko-KR"/>
        </w:rPr>
      </w:pPr>
      <w:r w:rsidRPr="00C17521" w:rsidDel="00927085">
        <w:rPr>
          <w:b/>
          <w:u w:val="single"/>
        </w:rPr>
        <w:t xml:space="preserve"> </w:t>
      </w:r>
    </w:p>
    <w:p w14:paraId="43B7F896" w14:textId="5D50D665" w:rsidR="00E523F3" w:rsidRPr="000A64D8" w:rsidRDefault="00E523F3" w:rsidP="00E523F3">
      <w:pPr>
        <w:pStyle w:val="Heading1"/>
        <w:rPr>
          <w:lang w:val="en-US"/>
        </w:rPr>
      </w:pPr>
      <w:r w:rsidRPr="000A64D8">
        <w:rPr>
          <w:lang w:val="en-US"/>
        </w:rPr>
        <w:t>References</w:t>
      </w:r>
    </w:p>
    <w:p w14:paraId="687EB4EB" w14:textId="40B334F1" w:rsidR="00AB6910" w:rsidRDefault="00AB6910" w:rsidP="00804B56">
      <w:pPr>
        <w:numPr>
          <w:ilvl w:val="0"/>
          <w:numId w:val="2"/>
        </w:numPr>
        <w:spacing w:before="100" w:beforeAutospacing="1" w:after="100" w:afterAutospacing="1"/>
        <w:rPr>
          <w:szCs w:val="22"/>
        </w:rPr>
      </w:pPr>
      <w:r>
        <w:rPr>
          <w:szCs w:val="22"/>
        </w:rPr>
        <w:t>R1-16</w:t>
      </w:r>
      <w:r w:rsidR="0033339B">
        <w:rPr>
          <w:szCs w:val="22"/>
        </w:rPr>
        <w:t>6362</w:t>
      </w:r>
      <w:r>
        <w:rPr>
          <w:szCs w:val="22"/>
        </w:rPr>
        <w:t>, “</w:t>
      </w:r>
      <w:r w:rsidR="0033339B">
        <w:rPr>
          <w:szCs w:val="22"/>
        </w:rPr>
        <w:t>Self-contained subframe timeline analysis</w:t>
      </w:r>
      <w:r>
        <w:rPr>
          <w:szCs w:val="22"/>
        </w:rPr>
        <w:t xml:space="preserve">”, </w:t>
      </w:r>
      <w:r w:rsidR="0033339B">
        <w:rPr>
          <w:szCs w:val="22"/>
        </w:rPr>
        <w:t>RAN1#86</w:t>
      </w:r>
      <w:r>
        <w:rPr>
          <w:szCs w:val="22"/>
        </w:rPr>
        <w:t>, Qualcomm Incorporated</w:t>
      </w:r>
    </w:p>
    <w:p w14:paraId="70F21215" w14:textId="00EAA29E" w:rsidR="00804B56" w:rsidRDefault="00FC7227" w:rsidP="00804B56">
      <w:pPr>
        <w:numPr>
          <w:ilvl w:val="0"/>
          <w:numId w:val="2"/>
        </w:numPr>
        <w:spacing w:before="100" w:beforeAutospacing="1" w:after="100" w:afterAutospacing="1"/>
        <w:rPr>
          <w:szCs w:val="22"/>
        </w:rPr>
      </w:pPr>
      <w:r>
        <w:rPr>
          <w:szCs w:val="22"/>
        </w:rPr>
        <w:t>R1-16</w:t>
      </w:r>
      <w:r w:rsidR="003972DB">
        <w:rPr>
          <w:szCs w:val="22"/>
        </w:rPr>
        <w:t>6387</w:t>
      </w:r>
      <w:r>
        <w:rPr>
          <w:szCs w:val="22"/>
        </w:rPr>
        <w:t>, “U</w:t>
      </w:r>
      <w:r w:rsidR="003972DB">
        <w:rPr>
          <w:szCs w:val="22"/>
        </w:rPr>
        <w:t>plink</w:t>
      </w:r>
      <w:r>
        <w:rPr>
          <w:szCs w:val="22"/>
        </w:rPr>
        <w:t xml:space="preserve"> based mobility </w:t>
      </w:r>
      <w:r w:rsidR="003972DB">
        <w:rPr>
          <w:szCs w:val="22"/>
        </w:rPr>
        <w:t>physical</w:t>
      </w:r>
      <w:r>
        <w:rPr>
          <w:szCs w:val="22"/>
        </w:rPr>
        <w:t xml:space="preserve"> channels”, </w:t>
      </w:r>
      <w:r w:rsidR="003972DB">
        <w:rPr>
          <w:szCs w:val="22"/>
        </w:rPr>
        <w:t xml:space="preserve">RAN1#86, </w:t>
      </w:r>
      <w:r>
        <w:rPr>
          <w:szCs w:val="22"/>
        </w:rPr>
        <w:t>Qualcomm Incorporated</w:t>
      </w:r>
    </w:p>
    <w:p w14:paraId="038E8767" w14:textId="40DB6A87" w:rsidR="00313E18" w:rsidRDefault="00313E18" w:rsidP="00804B56">
      <w:pPr>
        <w:numPr>
          <w:ilvl w:val="0"/>
          <w:numId w:val="2"/>
        </w:numPr>
        <w:spacing w:before="100" w:beforeAutospacing="1" w:after="100" w:afterAutospacing="1"/>
        <w:rPr>
          <w:szCs w:val="22"/>
        </w:rPr>
      </w:pPr>
      <w:r>
        <w:rPr>
          <w:szCs w:val="22"/>
        </w:rPr>
        <w:t>R1-166361, “Control interval and scheduling interval”, RAN1#86, Qualcomm Incorporated</w:t>
      </w:r>
    </w:p>
    <w:p w14:paraId="3A5D2976" w14:textId="56D45B90" w:rsidR="00E6369F" w:rsidRDefault="00E6369F" w:rsidP="00804B56">
      <w:pPr>
        <w:numPr>
          <w:ilvl w:val="0"/>
          <w:numId w:val="2"/>
        </w:numPr>
        <w:spacing w:before="100" w:beforeAutospacing="1" w:after="100" w:afterAutospacing="1"/>
        <w:rPr>
          <w:szCs w:val="22"/>
        </w:rPr>
      </w:pPr>
      <w:r>
        <w:rPr>
          <w:szCs w:val="22"/>
        </w:rPr>
        <w:t>RAN2 chairman’s note, RAN2#95</w:t>
      </w:r>
    </w:p>
    <w:sectPr w:rsidR="00E6369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0A9AF" w14:textId="77777777" w:rsidR="0080720F" w:rsidRDefault="0080720F">
      <w:r>
        <w:separator/>
      </w:r>
    </w:p>
  </w:endnote>
  <w:endnote w:type="continuationSeparator" w:id="0">
    <w:p w14:paraId="7932C22E" w14:textId="77777777" w:rsidR="0080720F" w:rsidRDefault="0080720F">
      <w:r>
        <w:continuationSeparator/>
      </w:r>
    </w:p>
  </w:endnote>
  <w:endnote w:type="continuationNotice" w:id="1">
    <w:p w14:paraId="42060ED5" w14:textId="77777777" w:rsidR="0080720F" w:rsidRDefault="008072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80720F" w:rsidRDefault="0080720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0720F" w:rsidRDefault="0080720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80720F" w:rsidRDefault="0080720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A064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064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14683" w14:textId="77777777" w:rsidR="0080720F" w:rsidRDefault="0080720F">
      <w:r>
        <w:separator/>
      </w:r>
    </w:p>
  </w:footnote>
  <w:footnote w:type="continuationSeparator" w:id="0">
    <w:p w14:paraId="0F52CE50" w14:textId="77777777" w:rsidR="0080720F" w:rsidRDefault="0080720F">
      <w:r>
        <w:continuationSeparator/>
      </w:r>
    </w:p>
  </w:footnote>
  <w:footnote w:type="continuationNotice" w:id="1">
    <w:p w14:paraId="7930AF5A" w14:textId="77777777" w:rsidR="0080720F" w:rsidRDefault="008072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80720F" w:rsidRDefault="008072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95903"/>
    <w:multiLevelType w:val="hybridMultilevel"/>
    <w:tmpl w:val="02FAAF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8D4248"/>
    <w:multiLevelType w:val="hybridMultilevel"/>
    <w:tmpl w:val="1244182C"/>
    <w:lvl w:ilvl="0" w:tplc="A26EDD5C">
      <w:start w:val="1"/>
      <w:numFmt w:val="bullet"/>
      <w:lvlText w:val=""/>
      <w:lvlPicBulletId w:val="0"/>
      <w:lvlJc w:val="left"/>
      <w:pPr>
        <w:tabs>
          <w:tab w:val="num" w:pos="720"/>
        </w:tabs>
        <w:ind w:left="720" w:hanging="360"/>
      </w:pPr>
      <w:rPr>
        <w:rFonts w:ascii="Symbol" w:hAnsi="Symbol" w:hint="default"/>
      </w:rPr>
    </w:lvl>
    <w:lvl w:ilvl="1" w:tplc="B1D86104">
      <w:start w:val="62"/>
      <w:numFmt w:val="bullet"/>
      <w:lvlText w:val="−"/>
      <w:lvlJc w:val="left"/>
      <w:pPr>
        <w:tabs>
          <w:tab w:val="num" w:pos="1440"/>
        </w:tabs>
        <w:ind w:left="1440" w:hanging="360"/>
      </w:pPr>
      <w:rPr>
        <w:rFonts w:ascii="Calibre Regular" w:hAnsi="Calibre Regular" w:hint="default"/>
      </w:rPr>
    </w:lvl>
    <w:lvl w:ilvl="2" w:tplc="4E045D74" w:tentative="1">
      <w:start w:val="1"/>
      <w:numFmt w:val="bullet"/>
      <w:lvlText w:val=""/>
      <w:lvlPicBulletId w:val="0"/>
      <w:lvlJc w:val="left"/>
      <w:pPr>
        <w:tabs>
          <w:tab w:val="num" w:pos="2160"/>
        </w:tabs>
        <w:ind w:left="2160" w:hanging="360"/>
      </w:pPr>
      <w:rPr>
        <w:rFonts w:ascii="Symbol" w:hAnsi="Symbol" w:hint="default"/>
      </w:rPr>
    </w:lvl>
    <w:lvl w:ilvl="3" w:tplc="9076AC30" w:tentative="1">
      <w:start w:val="1"/>
      <w:numFmt w:val="bullet"/>
      <w:lvlText w:val=""/>
      <w:lvlPicBulletId w:val="0"/>
      <w:lvlJc w:val="left"/>
      <w:pPr>
        <w:tabs>
          <w:tab w:val="num" w:pos="2880"/>
        </w:tabs>
        <w:ind w:left="2880" w:hanging="360"/>
      </w:pPr>
      <w:rPr>
        <w:rFonts w:ascii="Symbol" w:hAnsi="Symbol" w:hint="default"/>
      </w:rPr>
    </w:lvl>
    <w:lvl w:ilvl="4" w:tplc="3B024E64" w:tentative="1">
      <w:start w:val="1"/>
      <w:numFmt w:val="bullet"/>
      <w:lvlText w:val=""/>
      <w:lvlPicBulletId w:val="0"/>
      <w:lvlJc w:val="left"/>
      <w:pPr>
        <w:tabs>
          <w:tab w:val="num" w:pos="3600"/>
        </w:tabs>
        <w:ind w:left="3600" w:hanging="360"/>
      </w:pPr>
      <w:rPr>
        <w:rFonts w:ascii="Symbol" w:hAnsi="Symbol" w:hint="default"/>
      </w:rPr>
    </w:lvl>
    <w:lvl w:ilvl="5" w:tplc="E1922202" w:tentative="1">
      <w:start w:val="1"/>
      <w:numFmt w:val="bullet"/>
      <w:lvlText w:val=""/>
      <w:lvlPicBulletId w:val="0"/>
      <w:lvlJc w:val="left"/>
      <w:pPr>
        <w:tabs>
          <w:tab w:val="num" w:pos="4320"/>
        </w:tabs>
        <w:ind w:left="4320" w:hanging="360"/>
      </w:pPr>
      <w:rPr>
        <w:rFonts w:ascii="Symbol" w:hAnsi="Symbol" w:hint="default"/>
      </w:rPr>
    </w:lvl>
    <w:lvl w:ilvl="6" w:tplc="204EC7A2" w:tentative="1">
      <w:start w:val="1"/>
      <w:numFmt w:val="bullet"/>
      <w:lvlText w:val=""/>
      <w:lvlPicBulletId w:val="0"/>
      <w:lvlJc w:val="left"/>
      <w:pPr>
        <w:tabs>
          <w:tab w:val="num" w:pos="5040"/>
        </w:tabs>
        <w:ind w:left="5040" w:hanging="360"/>
      </w:pPr>
      <w:rPr>
        <w:rFonts w:ascii="Symbol" w:hAnsi="Symbol" w:hint="default"/>
      </w:rPr>
    </w:lvl>
    <w:lvl w:ilvl="7" w:tplc="12BABC6C" w:tentative="1">
      <w:start w:val="1"/>
      <w:numFmt w:val="bullet"/>
      <w:lvlText w:val=""/>
      <w:lvlPicBulletId w:val="0"/>
      <w:lvlJc w:val="left"/>
      <w:pPr>
        <w:tabs>
          <w:tab w:val="num" w:pos="5760"/>
        </w:tabs>
        <w:ind w:left="5760" w:hanging="360"/>
      </w:pPr>
      <w:rPr>
        <w:rFonts w:ascii="Symbol" w:hAnsi="Symbol" w:hint="default"/>
      </w:rPr>
    </w:lvl>
    <w:lvl w:ilvl="8" w:tplc="21B6C98C"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557C71"/>
    <w:multiLevelType w:val="hybridMultilevel"/>
    <w:tmpl w:val="88E2CF14"/>
    <w:lvl w:ilvl="0" w:tplc="B65670EC">
      <w:start w:val="1"/>
      <w:numFmt w:val="bullet"/>
      <w:lvlText w:val=""/>
      <w:lvlPicBulletId w:val="0"/>
      <w:lvlJc w:val="left"/>
      <w:pPr>
        <w:tabs>
          <w:tab w:val="num" w:pos="720"/>
        </w:tabs>
        <w:ind w:left="720" w:hanging="360"/>
      </w:pPr>
      <w:rPr>
        <w:rFonts w:ascii="Symbol" w:hAnsi="Symbol" w:hint="default"/>
      </w:rPr>
    </w:lvl>
    <w:lvl w:ilvl="1" w:tplc="7E167F18">
      <w:start w:val="62"/>
      <w:numFmt w:val="bullet"/>
      <w:lvlText w:val="−"/>
      <w:lvlJc w:val="left"/>
      <w:pPr>
        <w:tabs>
          <w:tab w:val="num" w:pos="1440"/>
        </w:tabs>
        <w:ind w:left="1440" w:hanging="360"/>
      </w:pPr>
      <w:rPr>
        <w:rFonts w:ascii="Calibre Regular" w:hAnsi="Calibre Regular" w:hint="default"/>
      </w:rPr>
    </w:lvl>
    <w:lvl w:ilvl="2" w:tplc="3CF61286" w:tentative="1">
      <w:start w:val="1"/>
      <w:numFmt w:val="bullet"/>
      <w:lvlText w:val=""/>
      <w:lvlPicBulletId w:val="0"/>
      <w:lvlJc w:val="left"/>
      <w:pPr>
        <w:tabs>
          <w:tab w:val="num" w:pos="2160"/>
        </w:tabs>
        <w:ind w:left="2160" w:hanging="360"/>
      </w:pPr>
      <w:rPr>
        <w:rFonts w:ascii="Symbol" w:hAnsi="Symbol" w:hint="default"/>
      </w:rPr>
    </w:lvl>
    <w:lvl w:ilvl="3" w:tplc="E5603252" w:tentative="1">
      <w:start w:val="1"/>
      <w:numFmt w:val="bullet"/>
      <w:lvlText w:val=""/>
      <w:lvlPicBulletId w:val="0"/>
      <w:lvlJc w:val="left"/>
      <w:pPr>
        <w:tabs>
          <w:tab w:val="num" w:pos="2880"/>
        </w:tabs>
        <w:ind w:left="2880" w:hanging="360"/>
      </w:pPr>
      <w:rPr>
        <w:rFonts w:ascii="Symbol" w:hAnsi="Symbol" w:hint="default"/>
      </w:rPr>
    </w:lvl>
    <w:lvl w:ilvl="4" w:tplc="C6C60EEE" w:tentative="1">
      <w:start w:val="1"/>
      <w:numFmt w:val="bullet"/>
      <w:lvlText w:val=""/>
      <w:lvlPicBulletId w:val="0"/>
      <w:lvlJc w:val="left"/>
      <w:pPr>
        <w:tabs>
          <w:tab w:val="num" w:pos="3600"/>
        </w:tabs>
        <w:ind w:left="3600" w:hanging="360"/>
      </w:pPr>
      <w:rPr>
        <w:rFonts w:ascii="Symbol" w:hAnsi="Symbol" w:hint="default"/>
      </w:rPr>
    </w:lvl>
    <w:lvl w:ilvl="5" w:tplc="3EEC365C" w:tentative="1">
      <w:start w:val="1"/>
      <w:numFmt w:val="bullet"/>
      <w:lvlText w:val=""/>
      <w:lvlPicBulletId w:val="0"/>
      <w:lvlJc w:val="left"/>
      <w:pPr>
        <w:tabs>
          <w:tab w:val="num" w:pos="4320"/>
        </w:tabs>
        <w:ind w:left="4320" w:hanging="360"/>
      </w:pPr>
      <w:rPr>
        <w:rFonts w:ascii="Symbol" w:hAnsi="Symbol" w:hint="default"/>
      </w:rPr>
    </w:lvl>
    <w:lvl w:ilvl="6" w:tplc="B4BAF4F0" w:tentative="1">
      <w:start w:val="1"/>
      <w:numFmt w:val="bullet"/>
      <w:lvlText w:val=""/>
      <w:lvlPicBulletId w:val="0"/>
      <w:lvlJc w:val="left"/>
      <w:pPr>
        <w:tabs>
          <w:tab w:val="num" w:pos="5040"/>
        </w:tabs>
        <w:ind w:left="5040" w:hanging="360"/>
      </w:pPr>
      <w:rPr>
        <w:rFonts w:ascii="Symbol" w:hAnsi="Symbol" w:hint="default"/>
      </w:rPr>
    </w:lvl>
    <w:lvl w:ilvl="7" w:tplc="61CE76F8" w:tentative="1">
      <w:start w:val="1"/>
      <w:numFmt w:val="bullet"/>
      <w:lvlText w:val=""/>
      <w:lvlPicBulletId w:val="0"/>
      <w:lvlJc w:val="left"/>
      <w:pPr>
        <w:tabs>
          <w:tab w:val="num" w:pos="5760"/>
        </w:tabs>
        <w:ind w:left="5760" w:hanging="360"/>
      </w:pPr>
      <w:rPr>
        <w:rFonts w:ascii="Symbol" w:hAnsi="Symbol" w:hint="default"/>
      </w:rPr>
    </w:lvl>
    <w:lvl w:ilvl="8" w:tplc="A35A660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2A62393"/>
    <w:multiLevelType w:val="hybridMultilevel"/>
    <w:tmpl w:val="E654D9AC"/>
    <w:lvl w:ilvl="0" w:tplc="3B56B816">
      <w:start w:val="1"/>
      <w:numFmt w:val="bullet"/>
      <w:lvlText w:val=""/>
      <w:lvlPicBulletId w:val="0"/>
      <w:lvlJc w:val="left"/>
      <w:pPr>
        <w:tabs>
          <w:tab w:val="num" w:pos="720"/>
        </w:tabs>
        <w:ind w:left="720" w:hanging="360"/>
      </w:pPr>
      <w:rPr>
        <w:rFonts w:ascii="Symbol" w:hAnsi="Symbol" w:hint="default"/>
      </w:rPr>
    </w:lvl>
    <w:lvl w:ilvl="1" w:tplc="B76AF022">
      <w:start w:val="62"/>
      <w:numFmt w:val="bullet"/>
      <w:lvlText w:val="−"/>
      <w:lvlJc w:val="left"/>
      <w:pPr>
        <w:tabs>
          <w:tab w:val="num" w:pos="1440"/>
        </w:tabs>
        <w:ind w:left="1440" w:hanging="360"/>
      </w:pPr>
      <w:rPr>
        <w:rFonts w:ascii="Calibre Regular" w:hAnsi="Calibre Regular" w:hint="default"/>
      </w:rPr>
    </w:lvl>
    <w:lvl w:ilvl="2" w:tplc="E9446B80" w:tentative="1">
      <w:start w:val="1"/>
      <w:numFmt w:val="bullet"/>
      <w:lvlText w:val=""/>
      <w:lvlPicBulletId w:val="0"/>
      <w:lvlJc w:val="left"/>
      <w:pPr>
        <w:tabs>
          <w:tab w:val="num" w:pos="2160"/>
        </w:tabs>
        <w:ind w:left="2160" w:hanging="360"/>
      </w:pPr>
      <w:rPr>
        <w:rFonts w:ascii="Symbol" w:hAnsi="Symbol" w:hint="default"/>
      </w:rPr>
    </w:lvl>
    <w:lvl w:ilvl="3" w:tplc="A59E2FEA" w:tentative="1">
      <w:start w:val="1"/>
      <w:numFmt w:val="bullet"/>
      <w:lvlText w:val=""/>
      <w:lvlPicBulletId w:val="0"/>
      <w:lvlJc w:val="left"/>
      <w:pPr>
        <w:tabs>
          <w:tab w:val="num" w:pos="2880"/>
        </w:tabs>
        <w:ind w:left="2880" w:hanging="360"/>
      </w:pPr>
      <w:rPr>
        <w:rFonts w:ascii="Symbol" w:hAnsi="Symbol" w:hint="default"/>
      </w:rPr>
    </w:lvl>
    <w:lvl w:ilvl="4" w:tplc="6AEC61A8" w:tentative="1">
      <w:start w:val="1"/>
      <w:numFmt w:val="bullet"/>
      <w:lvlText w:val=""/>
      <w:lvlPicBulletId w:val="0"/>
      <w:lvlJc w:val="left"/>
      <w:pPr>
        <w:tabs>
          <w:tab w:val="num" w:pos="3600"/>
        </w:tabs>
        <w:ind w:left="3600" w:hanging="360"/>
      </w:pPr>
      <w:rPr>
        <w:rFonts w:ascii="Symbol" w:hAnsi="Symbol" w:hint="default"/>
      </w:rPr>
    </w:lvl>
    <w:lvl w:ilvl="5" w:tplc="0508819E" w:tentative="1">
      <w:start w:val="1"/>
      <w:numFmt w:val="bullet"/>
      <w:lvlText w:val=""/>
      <w:lvlPicBulletId w:val="0"/>
      <w:lvlJc w:val="left"/>
      <w:pPr>
        <w:tabs>
          <w:tab w:val="num" w:pos="4320"/>
        </w:tabs>
        <w:ind w:left="4320" w:hanging="360"/>
      </w:pPr>
      <w:rPr>
        <w:rFonts w:ascii="Symbol" w:hAnsi="Symbol" w:hint="default"/>
      </w:rPr>
    </w:lvl>
    <w:lvl w:ilvl="6" w:tplc="221C1448" w:tentative="1">
      <w:start w:val="1"/>
      <w:numFmt w:val="bullet"/>
      <w:lvlText w:val=""/>
      <w:lvlPicBulletId w:val="0"/>
      <w:lvlJc w:val="left"/>
      <w:pPr>
        <w:tabs>
          <w:tab w:val="num" w:pos="5040"/>
        </w:tabs>
        <w:ind w:left="5040" w:hanging="360"/>
      </w:pPr>
      <w:rPr>
        <w:rFonts w:ascii="Symbol" w:hAnsi="Symbol" w:hint="default"/>
      </w:rPr>
    </w:lvl>
    <w:lvl w:ilvl="7" w:tplc="6C5676FA" w:tentative="1">
      <w:start w:val="1"/>
      <w:numFmt w:val="bullet"/>
      <w:lvlText w:val=""/>
      <w:lvlPicBulletId w:val="0"/>
      <w:lvlJc w:val="left"/>
      <w:pPr>
        <w:tabs>
          <w:tab w:val="num" w:pos="5760"/>
        </w:tabs>
        <w:ind w:left="5760" w:hanging="360"/>
      </w:pPr>
      <w:rPr>
        <w:rFonts w:ascii="Symbol" w:hAnsi="Symbol" w:hint="default"/>
      </w:rPr>
    </w:lvl>
    <w:lvl w:ilvl="8" w:tplc="BAE20F9E"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34A42BA"/>
    <w:multiLevelType w:val="hybridMultilevel"/>
    <w:tmpl w:val="A73A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C3435"/>
    <w:multiLevelType w:val="hybridMultilevel"/>
    <w:tmpl w:val="47C253C2"/>
    <w:lvl w:ilvl="0" w:tplc="C42EC46C">
      <w:start w:val="1"/>
      <w:numFmt w:val="bullet"/>
      <w:lvlText w:val=""/>
      <w:lvlPicBulletId w:val="0"/>
      <w:lvlJc w:val="left"/>
      <w:pPr>
        <w:tabs>
          <w:tab w:val="num" w:pos="720"/>
        </w:tabs>
        <w:ind w:left="720" w:hanging="360"/>
      </w:pPr>
      <w:rPr>
        <w:rFonts w:ascii="Symbol" w:hAnsi="Symbol" w:hint="default"/>
      </w:rPr>
    </w:lvl>
    <w:lvl w:ilvl="1" w:tplc="F29E2192">
      <w:start w:val="62"/>
      <w:numFmt w:val="bullet"/>
      <w:lvlText w:val="−"/>
      <w:lvlJc w:val="left"/>
      <w:pPr>
        <w:tabs>
          <w:tab w:val="num" w:pos="1440"/>
        </w:tabs>
        <w:ind w:left="1440" w:hanging="360"/>
      </w:pPr>
      <w:rPr>
        <w:rFonts w:ascii="Calibre Regular" w:hAnsi="Calibre Regular" w:hint="default"/>
      </w:rPr>
    </w:lvl>
    <w:lvl w:ilvl="2" w:tplc="514A1440" w:tentative="1">
      <w:start w:val="1"/>
      <w:numFmt w:val="bullet"/>
      <w:lvlText w:val=""/>
      <w:lvlPicBulletId w:val="0"/>
      <w:lvlJc w:val="left"/>
      <w:pPr>
        <w:tabs>
          <w:tab w:val="num" w:pos="2160"/>
        </w:tabs>
        <w:ind w:left="2160" w:hanging="360"/>
      </w:pPr>
      <w:rPr>
        <w:rFonts w:ascii="Symbol" w:hAnsi="Symbol" w:hint="default"/>
      </w:rPr>
    </w:lvl>
    <w:lvl w:ilvl="3" w:tplc="485AF5B2" w:tentative="1">
      <w:start w:val="1"/>
      <w:numFmt w:val="bullet"/>
      <w:lvlText w:val=""/>
      <w:lvlPicBulletId w:val="0"/>
      <w:lvlJc w:val="left"/>
      <w:pPr>
        <w:tabs>
          <w:tab w:val="num" w:pos="2880"/>
        </w:tabs>
        <w:ind w:left="2880" w:hanging="360"/>
      </w:pPr>
      <w:rPr>
        <w:rFonts w:ascii="Symbol" w:hAnsi="Symbol" w:hint="default"/>
      </w:rPr>
    </w:lvl>
    <w:lvl w:ilvl="4" w:tplc="43B60B0A" w:tentative="1">
      <w:start w:val="1"/>
      <w:numFmt w:val="bullet"/>
      <w:lvlText w:val=""/>
      <w:lvlPicBulletId w:val="0"/>
      <w:lvlJc w:val="left"/>
      <w:pPr>
        <w:tabs>
          <w:tab w:val="num" w:pos="3600"/>
        </w:tabs>
        <w:ind w:left="3600" w:hanging="360"/>
      </w:pPr>
      <w:rPr>
        <w:rFonts w:ascii="Symbol" w:hAnsi="Symbol" w:hint="default"/>
      </w:rPr>
    </w:lvl>
    <w:lvl w:ilvl="5" w:tplc="D41A795A" w:tentative="1">
      <w:start w:val="1"/>
      <w:numFmt w:val="bullet"/>
      <w:lvlText w:val=""/>
      <w:lvlPicBulletId w:val="0"/>
      <w:lvlJc w:val="left"/>
      <w:pPr>
        <w:tabs>
          <w:tab w:val="num" w:pos="4320"/>
        </w:tabs>
        <w:ind w:left="4320" w:hanging="360"/>
      </w:pPr>
      <w:rPr>
        <w:rFonts w:ascii="Symbol" w:hAnsi="Symbol" w:hint="default"/>
      </w:rPr>
    </w:lvl>
    <w:lvl w:ilvl="6" w:tplc="E8BAB0FC" w:tentative="1">
      <w:start w:val="1"/>
      <w:numFmt w:val="bullet"/>
      <w:lvlText w:val=""/>
      <w:lvlPicBulletId w:val="0"/>
      <w:lvlJc w:val="left"/>
      <w:pPr>
        <w:tabs>
          <w:tab w:val="num" w:pos="5040"/>
        </w:tabs>
        <w:ind w:left="5040" w:hanging="360"/>
      </w:pPr>
      <w:rPr>
        <w:rFonts w:ascii="Symbol" w:hAnsi="Symbol" w:hint="default"/>
      </w:rPr>
    </w:lvl>
    <w:lvl w:ilvl="7" w:tplc="2C205264" w:tentative="1">
      <w:start w:val="1"/>
      <w:numFmt w:val="bullet"/>
      <w:lvlText w:val=""/>
      <w:lvlPicBulletId w:val="0"/>
      <w:lvlJc w:val="left"/>
      <w:pPr>
        <w:tabs>
          <w:tab w:val="num" w:pos="5760"/>
        </w:tabs>
        <w:ind w:left="5760" w:hanging="360"/>
      </w:pPr>
      <w:rPr>
        <w:rFonts w:ascii="Symbol" w:hAnsi="Symbol" w:hint="default"/>
      </w:rPr>
    </w:lvl>
    <w:lvl w:ilvl="8" w:tplc="33361952"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7F3033A"/>
    <w:multiLevelType w:val="hybridMultilevel"/>
    <w:tmpl w:val="0A2C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CD0CB8"/>
    <w:multiLevelType w:val="hybridMultilevel"/>
    <w:tmpl w:val="2C202388"/>
    <w:lvl w:ilvl="0" w:tplc="6E1CAFA2">
      <w:start w:val="1"/>
      <w:numFmt w:val="bullet"/>
      <w:lvlText w:val=""/>
      <w:lvlPicBulletId w:val="0"/>
      <w:lvlJc w:val="left"/>
      <w:pPr>
        <w:tabs>
          <w:tab w:val="num" w:pos="720"/>
        </w:tabs>
        <w:ind w:left="720" w:hanging="360"/>
      </w:pPr>
      <w:rPr>
        <w:rFonts w:ascii="Symbol" w:hAnsi="Symbol" w:hint="default"/>
      </w:rPr>
    </w:lvl>
    <w:lvl w:ilvl="1" w:tplc="5D2AB2BE">
      <w:start w:val="62"/>
      <w:numFmt w:val="bullet"/>
      <w:lvlText w:val="−"/>
      <w:lvlJc w:val="left"/>
      <w:pPr>
        <w:tabs>
          <w:tab w:val="num" w:pos="1440"/>
        </w:tabs>
        <w:ind w:left="1440" w:hanging="360"/>
      </w:pPr>
      <w:rPr>
        <w:rFonts w:ascii="Calibre Regular" w:hAnsi="Calibre Regular" w:hint="default"/>
      </w:rPr>
    </w:lvl>
    <w:lvl w:ilvl="2" w:tplc="9C7A69A8" w:tentative="1">
      <w:start w:val="1"/>
      <w:numFmt w:val="bullet"/>
      <w:lvlText w:val=""/>
      <w:lvlPicBulletId w:val="0"/>
      <w:lvlJc w:val="left"/>
      <w:pPr>
        <w:tabs>
          <w:tab w:val="num" w:pos="2160"/>
        </w:tabs>
        <w:ind w:left="2160" w:hanging="360"/>
      </w:pPr>
      <w:rPr>
        <w:rFonts w:ascii="Symbol" w:hAnsi="Symbol" w:hint="default"/>
      </w:rPr>
    </w:lvl>
    <w:lvl w:ilvl="3" w:tplc="C268C04E" w:tentative="1">
      <w:start w:val="1"/>
      <w:numFmt w:val="bullet"/>
      <w:lvlText w:val=""/>
      <w:lvlPicBulletId w:val="0"/>
      <w:lvlJc w:val="left"/>
      <w:pPr>
        <w:tabs>
          <w:tab w:val="num" w:pos="2880"/>
        </w:tabs>
        <w:ind w:left="2880" w:hanging="360"/>
      </w:pPr>
      <w:rPr>
        <w:rFonts w:ascii="Symbol" w:hAnsi="Symbol" w:hint="default"/>
      </w:rPr>
    </w:lvl>
    <w:lvl w:ilvl="4" w:tplc="E2A43CD0" w:tentative="1">
      <w:start w:val="1"/>
      <w:numFmt w:val="bullet"/>
      <w:lvlText w:val=""/>
      <w:lvlPicBulletId w:val="0"/>
      <w:lvlJc w:val="left"/>
      <w:pPr>
        <w:tabs>
          <w:tab w:val="num" w:pos="3600"/>
        </w:tabs>
        <w:ind w:left="3600" w:hanging="360"/>
      </w:pPr>
      <w:rPr>
        <w:rFonts w:ascii="Symbol" w:hAnsi="Symbol" w:hint="default"/>
      </w:rPr>
    </w:lvl>
    <w:lvl w:ilvl="5" w:tplc="7786D7F0" w:tentative="1">
      <w:start w:val="1"/>
      <w:numFmt w:val="bullet"/>
      <w:lvlText w:val=""/>
      <w:lvlPicBulletId w:val="0"/>
      <w:lvlJc w:val="left"/>
      <w:pPr>
        <w:tabs>
          <w:tab w:val="num" w:pos="4320"/>
        </w:tabs>
        <w:ind w:left="4320" w:hanging="360"/>
      </w:pPr>
      <w:rPr>
        <w:rFonts w:ascii="Symbol" w:hAnsi="Symbol" w:hint="default"/>
      </w:rPr>
    </w:lvl>
    <w:lvl w:ilvl="6" w:tplc="CB1452A4" w:tentative="1">
      <w:start w:val="1"/>
      <w:numFmt w:val="bullet"/>
      <w:lvlText w:val=""/>
      <w:lvlPicBulletId w:val="0"/>
      <w:lvlJc w:val="left"/>
      <w:pPr>
        <w:tabs>
          <w:tab w:val="num" w:pos="5040"/>
        </w:tabs>
        <w:ind w:left="5040" w:hanging="360"/>
      </w:pPr>
      <w:rPr>
        <w:rFonts w:ascii="Symbol" w:hAnsi="Symbol" w:hint="default"/>
      </w:rPr>
    </w:lvl>
    <w:lvl w:ilvl="7" w:tplc="D5409240" w:tentative="1">
      <w:start w:val="1"/>
      <w:numFmt w:val="bullet"/>
      <w:lvlText w:val=""/>
      <w:lvlPicBulletId w:val="0"/>
      <w:lvlJc w:val="left"/>
      <w:pPr>
        <w:tabs>
          <w:tab w:val="num" w:pos="5760"/>
        </w:tabs>
        <w:ind w:left="5760" w:hanging="360"/>
      </w:pPr>
      <w:rPr>
        <w:rFonts w:ascii="Symbol" w:hAnsi="Symbol" w:hint="default"/>
      </w:rPr>
    </w:lvl>
    <w:lvl w:ilvl="8" w:tplc="478045B0"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2A95E28"/>
    <w:multiLevelType w:val="hybridMultilevel"/>
    <w:tmpl w:val="EB884A5C"/>
    <w:lvl w:ilvl="0" w:tplc="33A6BCB2">
      <w:start w:val="1"/>
      <w:numFmt w:val="bullet"/>
      <w:lvlText w:val=""/>
      <w:lvlPicBulletId w:val="0"/>
      <w:lvlJc w:val="left"/>
      <w:pPr>
        <w:tabs>
          <w:tab w:val="num" w:pos="720"/>
        </w:tabs>
        <w:ind w:left="720" w:hanging="360"/>
      </w:pPr>
      <w:rPr>
        <w:rFonts w:ascii="Symbol" w:hAnsi="Symbol" w:hint="default"/>
      </w:rPr>
    </w:lvl>
    <w:lvl w:ilvl="1" w:tplc="A18AC48E" w:tentative="1">
      <w:start w:val="1"/>
      <w:numFmt w:val="bullet"/>
      <w:lvlText w:val=""/>
      <w:lvlPicBulletId w:val="0"/>
      <w:lvlJc w:val="left"/>
      <w:pPr>
        <w:tabs>
          <w:tab w:val="num" w:pos="1440"/>
        </w:tabs>
        <w:ind w:left="1440" w:hanging="360"/>
      </w:pPr>
      <w:rPr>
        <w:rFonts w:ascii="Symbol" w:hAnsi="Symbol" w:hint="default"/>
      </w:rPr>
    </w:lvl>
    <w:lvl w:ilvl="2" w:tplc="EDA0ADCC" w:tentative="1">
      <w:start w:val="1"/>
      <w:numFmt w:val="bullet"/>
      <w:lvlText w:val=""/>
      <w:lvlPicBulletId w:val="0"/>
      <w:lvlJc w:val="left"/>
      <w:pPr>
        <w:tabs>
          <w:tab w:val="num" w:pos="2160"/>
        </w:tabs>
        <w:ind w:left="2160" w:hanging="360"/>
      </w:pPr>
      <w:rPr>
        <w:rFonts w:ascii="Symbol" w:hAnsi="Symbol" w:hint="default"/>
      </w:rPr>
    </w:lvl>
    <w:lvl w:ilvl="3" w:tplc="02360CF0" w:tentative="1">
      <w:start w:val="1"/>
      <w:numFmt w:val="bullet"/>
      <w:lvlText w:val=""/>
      <w:lvlPicBulletId w:val="0"/>
      <w:lvlJc w:val="left"/>
      <w:pPr>
        <w:tabs>
          <w:tab w:val="num" w:pos="2880"/>
        </w:tabs>
        <w:ind w:left="2880" w:hanging="360"/>
      </w:pPr>
      <w:rPr>
        <w:rFonts w:ascii="Symbol" w:hAnsi="Symbol" w:hint="default"/>
      </w:rPr>
    </w:lvl>
    <w:lvl w:ilvl="4" w:tplc="D8E2D790" w:tentative="1">
      <w:start w:val="1"/>
      <w:numFmt w:val="bullet"/>
      <w:lvlText w:val=""/>
      <w:lvlPicBulletId w:val="0"/>
      <w:lvlJc w:val="left"/>
      <w:pPr>
        <w:tabs>
          <w:tab w:val="num" w:pos="3600"/>
        </w:tabs>
        <w:ind w:left="3600" w:hanging="360"/>
      </w:pPr>
      <w:rPr>
        <w:rFonts w:ascii="Symbol" w:hAnsi="Symbol" w:hint="default"/>
      </w:rPr>
    </w:lvl>
    <w:lvl w:ilvl="5" w:tplc="6D5E142A" w:tentative="1">
      <w:start w:val="1"/>
      <w:numFmt w:val="bullet"/>
      <w:lvlText w:val=""/>
      <w:lvlPicBulletId w:val="0"/>
      <w:lvlJc w:val="left"/>
      <w:pPr>
        <w:tabs>
          <w:tab w:val="num" w:pos="4320"/>
        </w:tabs>
        <w:ind w:left="4320" w:hanging="360"/>
      </w:pPr>
      <w:rPr>
        <w:rFonts w:ascii="Symbol" w:hAnsi="Symbol" w:hint="default"/>
      </w:rPr>
    </w:lvl>
    <w:lvl w:ilvl="6" w:tplc="14EE6F0C" w:tentative="1">
      <w:start w:val="1"/>
      <w:numFmt w:val="bullet"/>
      <w:lvlText w:val=""/>
      <w:lvlPicBulletId w:val="0"/>
      <w:lvlJc w:val="left"/>
      <w:pPr>
        <w:tabs>
          <w:tab w:val="num" w:pos="5040"/>
        </w:tabs>
        <w:ind w:left="5040" w:hanging="360"/>
      </w:pPr>
      <w:rPr>
        <w:rFonts w:ascii="Symbol" w:hAnsi="Symbol" w:hint="default"/>
      </w:rPr>
    </w:lvl>
    <w:lvl w:ilvl="7" w:tplc="A6020394" w:tentative="1">
      <w:start w:val="1"/>
      <w:numFmt w:val="bullet"/>
      <w:lvlText w:val=""/>
      <w:lvlPicBulletId w:val="0"/>
      <w:lvlJc w:val="left"/>
      <w:pPr>
        <w:tabs>
          <w:tab w:val="num" w:pos="5760"/>
        </w:tabs>
        <w:ind w:left="5760" w:hanging="360"/>
      </w:pPr>
      <w:rPr>
        <w:rFonts w:ascii="Symbol" w:hAnsi="Symbol" w:hint="default"/>
      </w:rPr>
    </w:lvl>
    <w:lvl w:ilvl="8" w:tplc="A7B416F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660727"/>
    <w:multiLevelType w:val="hybridMultilevel"/>
    <w:tmpl w:val="32880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BC1794"/>
    <w:multiLevelType w:val="hybridMultilevel"/>
    <w:tmpl w:val="D7BE4F44"/>
    <w:lvl w:ilvl="0" w:tplc="67FE136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FF0B88"/>
    <w:multiLevelType w:val="hybridMultilevel"/>
    <w:tmpl w:val="9E000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31582FAC"/>
    <w:multiLevelType w:val="hybridMultilevel"/>
    <w:tmpl w:val="50E6DA76"/>
    <w:lvl w:ilvl="0" w:tplc="6C4871E0">
      <w:start w:val="1"/>
      <w:numFmt w:val="bullet"/>
      <w:lvlText w:val=""/>
      <w:lvlPicBulletId w:val="0"/>
      <w:lvlJc w:val="left"/>
      <w:pPr>
        <w:tabs>
          <w:tab w:val="num" w:pos="720"/>
        </w:tabs>
        <w:ind w:left="720" w:hanging="360"/>
      </w:pPr>
      <w:rPr>
        <w:rFonts w:ascii="Symbol" w:hAnsi="Symbol" w:hint="default"/>
      </w:rPr>
    </w:lvl>
    <w:lvl w:ilvl="1" w:tplc="1A8025C0">
      <w:start w:val="62"/>
      <w:numFmt w:val="bullet"/>
      <w:lvlText w:val="−"/>
      <w:lvlJc w:val="left"/>
      <w:pPr>
        <w:tabs>
          <w:tab w:val="num" w:pos="1440"/>
        </w:tabs>
        <w:ind w:left="1440" w:hanging="360"/>
      </w:pPr>
      <w:rPr>
        <w:rFonts w:ascii="Calibre Regular" w:hAnsi="Calibre Regular" w:hint="default"/>
      </w:rPr>
    </w:lvl>
    <w:lvl w:ilvl="2" w:tplc="AEEC2EF2" w:tentative="1">
      <w:start w:val="1"/>
      <w:numFmt w:val="bullet"/>
      <w:lvlText w:val=""/>
      <w:lvlPicBulletId w:val="0"/>
      <w:lvlJc w:val="left"/>
      <w:pPr>
        <w:tabs>
          <w:tab w:val="num" w:pos="2160"/>
        </w:tabs>
        <w:ind w:left="2160" w:hanging="360"/>
      </w:pPr>
      <w:rPr>
        <w:rFonts w:ascii="Symbol" w:hAnsi="Symbol" w:hint="default"/>
      </w:rPr>
    </w:lvl>
    <w:lvl w:ilvl="3" w:tplc="54246980" w:tentative="1">
      <w:start w:val="1"/>
      <w:numFmt w:val="bullet"/>
      <w:lvlText w:val=""/>
      <w:lvlPicBulletId w:val="0"/>
      <w:lvlJc w:val="left"/>
      <w:pPr>
        <w:tabs>
          <w:tab w:val="num" w:pos="2880"/>
        </w:tabs>
        <w:ind w:left="2880" w:hanging="360"/>
      </w:pPr>
      <w:rPr>
        <w:rFonts w:ascii="Symbol" w:hAnsi="Symbol" w:hint="default"/>
      </w:rPr>
    </w:lvl>
    <w:lvl w:ilvl="4" w:tplc="B4D6F84E" w:tentative="1">
      <w:start w:val="1"/>
      <w:numFmt w:val="bullet"/>
      <w:lvlText w:val=""/>
      <w:lvlPicBulletId w:val="0"/>
      <w:lvlJc w:val="left"/>
      <w:pPr>
        <w:tabs>
          <w:tab w:val="num" w:pos="3600"/>
        </w:tabs>
        <w:ind w:left="3600" w:hanging="360"/>
      </w:pPr>
      <w:rPr>
        <w:rFonts w:ascii="Symbol" w:hAnsi="Symbol" w:hint="default"/>
      </w:rPr>
    </w:lvl>
    <w:lvl w:ilvl="5" w:tplc="79ECD6FE" w:tentative="1">
      <w:start w:val="1"/>
      <w:numFmt w:val="bullet"/>
      <w:lvlText w:val=""/>
      <w:lvlPicBulletId w:val="0"/>
      <w:lvlJc w:val="left"/>
      <w:pPr>
        <w:tabs>
          <w:tab w:val="num" w:pos="4320"/>
        </w:tabs>
        <w:ind w:left="4320" w:hanging="360"/>
      </w:pPr>
      <w:rPr>
        <w:rFonts w:ascii="Symbol" w:hAnsi="Symbol" w:hint="default"/>
      </w:rPr>
    </w:lvl>
    <w:lvl w:ilvl="6" w:tplc="4948E1BC" w:tentative="1">
      <w:start w:val="1"/>
      <w:numFmt w:val="bullet"/>
      <w:lvlText w:val=""/>
      <w:lvlPicBulletId w:val="0"/>
      <w:lvlJc w:val="left"/>
      <w:pPr>
        <w:tabs>
          <w:tab w:val="num" w:pos="5040"/>
        </w:tabs>
        <w:ind w:left="5040" w:hanging="360"/>
      </w:pPr>
      <w:rPr>
        <w:rFonts w:ascii="Symbol" w:hAnsi="Symbol" w:hint="default"/>
      </w:rPr>
    </w:lvl>
    <w:lvl w:ilvl="7" w:tplc="AF920B08" w:tentative="1">
      <w:start w:val="1"/>
      <w:numFmt w:val="bullet"/>
      <w:lvlText w:val=""/>
      <w:lvlPicBulletId w:val="0"/>
      <w:lvlJc w:val="left"/>
      <w:pPr>
        <w:tabs>
          <w:tab w:val="num" w:pos="5760"/>
        </w:tabs>
        <w:ind w:left="5760" w:hanging="360"/>
      </w:pPr>
      <w:rPr>
        <w:rFonts w:ascii="Symbol" w:hAnsi="Symbol" w:hint="default"/>
      </w:rPr>
    </w:lvl>
    <w:lvl w:ilvl="8" w:tplc="B7E2DD9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19A2F21"/>
    <w:multiLevelType w:val="hybridMultilevel"/>
    <w:tmpl w:val="DA4C4FAC"/>
    <w:lvl w:ilvl="0" w:tplc="F2CC28F2">
      <w:start w:val="1"/>
      <w:numFmt w:val="bullet"/>
      <w:lvlText w:val=""/>
      <w:lvlPicBulletId w:val="0"/>
      <w:lvlJc w:val="left"/>
      <w:pPr>
        <w:tabs>
          <w:tab w:val="num" w:pos="360"/>
        </w:tabs>
        <w:ind w:left="360" w:hanging="360"/>
      </w:pPr>
      <w:rPr>
        <w:rFonts w:ascii="Symbol" w:hAnsi="Symbol" w:hint="default"/>
      </w:rPr>
    </w:lvl>
    <w:lvl w:ilvl="1" w:tplc="43380BDA">
      <w:start w:val="62"/>
      <w:numFmt w:val="bullet"/>
      <w:lvlText w:val="−"/>
      <w:lvlJc w:val="left"/>
      <w:pPr>
        <w:tabs>
          <w:tab w:val="num" w:pos="1080"/>
        </w:tabs>
        <w:ind w:left="1080" w:hanging="360"/>
      </w:pPr>
      <w:rPr>
        <w:rFonts w:ascii="Calibre Regular" w:hAnsi="Calibre Regular" w:hint="default"/>
      </w:rPr>
    </w:lvl>
    <w:lvl w:ilvl="2" w:tplc="226AB69A">
      <w:start w:val="62"/>
      <w:numFmt w:val="bullet"/>
      <w:lvlText w:val="−"/>
      <w:lvlJc w:val="left"/>
      <w:pPr>
        <w:tabs>
          <w:tab w:val="num" w:pos="1800"/>
        </w:tabs>
        <w:ind w:left="1800" w:hanging="360"/>
      </w:pPr>
      <w:rPr>
        <w:rFonts w:ascii="Calibre Regular" w:hAnsi="Calibre Regular" w:hint="default"/>
      </w:rPr>
    </w:lvl>
    <w:lvl w:ilvl="3" w:tplc="A06CEF62" w:tentative="1">
      <w:start w:val="1"/>
      <w:numFmt w:val="bullet"/>
      <w:lvlText w:val=""/>
      <w:lvlPicBulletId w:val="0"/>
      <w:lvlJc w:val="left"/>
      <w:pPr>
        <w:tabs>
          <w:tab w:val="num" w:pos="2520"/>
        </w:tabs>
        <w:ind w:left="2520" w:hanging="360"/>
      </w:pPr>
      <w:rPr>
        <w:rFonts w:ascii="Symbol" w:hAnsi="Symbol" w:hint="default"/>
      </w:rPr>
    </w:lvl>
    <w:lvl w:ilvl="4" w:tplc="0134803E" w:tentative="1">
      <w:start w:val="1"/>
      <w:numFmt w:val="bullet"/>
      <w:lvlText w:val=""/>
      <w:lvlPicBulletId w:val="0"/>
      <w:lvlJc w:val="left"/>
      <w:pPr>
        <w:tabs>
          <w:tab w:val="num" w:pos="3240"/>
        </w:tabs>
        <w:ind w:left="3240" w:hanging="360"/>
      </w:pPr>
      <w:rPr>
        <w:rFonts w:ascii="Symbol" w:hAnsi="Symbol" w:hint="default"/>
      </w:rPr>
    </w:lvl>
    <w:lvl w:ilvl="5" w:tplc="424CE9C8" w:tentative="1">
      <w:start w:val="1"/>
      <w:numFmt w:val="bullet"/>
      <w:lvlText w:val=""/>
      <w:lvlPicBulletId w:val="0"/>
      <w:lvlJc w:val="left"/>
      <w:pPr>
        <w:tabs>
          <w:tab w:val="num" w:pos="3960"/>
        </w:tabs>
        <w:ind w:left="3960" w:hanging="360"/>
      </w:pPr>
      <w:rPr>
        <w:rFonts w:ascii="Symbol" w:hAnsi="Symbol" w:hint="default"/>
      </w:rPr>
    </w:lvl>
    <w:lvl w:ilvl="6" w:tplc="3D9CD808" w:tentative="1">
      <w:start w:val="1"/>
      <w:numFmt w:val="bullet"/>
      <w:lvlText w:val=""/>
      <w:lvlPicBulletId w:val="0"/>
      <w:lvlJc w:val="left"/>
      <w:pPr>
        <w:tabs>
          <w:tab w:val="num" w:pos="4680"/>
        </w:tabs>
        <w:ind w:left="4680" w:hanging="360"/>
      </w:pPr>
      <w:rPr>
        <w:rFonts w:ascii="Symbol" w:hAnsi="Symbol" w:hint="default"/>
      </w:rPr>
    </w:lvl>
    <w:lvl w:ilvl="7" w:tplc="3216D816" w:tentative="1">
      <w:start w:val="1"/>
      <w:numFmt w:val="bullet"/>
      <w:lvlText w:val=""/>
      <w:lvlPicBulletId w:val="0"/>
      <w:lvlJc w:val="left"/>
      <w:pPr>
        <w:tabs>
          <w:tab w:val="num" w:pos="5400"/>
        </w:tabs>
        <w:ind w:left="5400" w:hanging="360"/>
      </w:pPr>
      <w:rPr>
        <w:rFonts w:ascii="Symbol" w:hAnsi="Symbol" w:hint="default"/>
      </w:rPr>
    </w:lvl>
    <w:lvl w:ilvl="8" w:tplc="3CCA705C" w:tentative="1">
      <w:start w:val="1"/>
      <w:numFmt w:val="bullet"/>
      <w:lvlText w:val=""/>
      <w:lvlPicBulletId w:val="0"/>
      <w:lvlJc w:val="left"/>
      <w:pPr>
        <w:tabs>
          <w:tab w:val="num" w:pos="6120"/>
        </w:tabs>
        <w:ind w:left="6120" w:hanging="360"/>
      </w:pPr>
      <w:rPr>
        <w:rFonts w:ascii="Symbol" w:hAnsi="Symbol" w:hint="default"/>
      </w:rPr>
    </w:lvl>
  </w:abstractNum>
  <w:abstractNum w:abstractNumId="27" w15:restartNumberingAfterBreak="0">
    <w:nsid w:val="321B7955"/>
    <w:multiLevelType w:val="hybridMultilevel"/>
    <w:tmpl w:val="29D086E0"/>
    <w:lvl w:ilvl="0" w:tplc="CA2E0334">
      <w:start w:val="1"/>
      <w:numFmt w:val="bullet"/>
      <w:lvlText w:val="−"/>
      <w:lvlJc w:val="left"/>
      <w:pPr>
        <w:tabs>
          <w:tab w:val="num" w:pos="720"/>
        </w:tabs>
        <w:ind w:left="720" w:hanging="360"/>
      </w:pPr>
      <w:rPr>
        <w:rFonts w:ascii="Calibre Regular" w:hAnsi="Calibre Regular" w:hint="default"/>
      </w:rPr>
    </w:lvl>
    <w:lvl w:ilvl="1" w:tplc="62AA9F22">
      <w:start w:val="1"/>
      <w:numFmt w:val="bullet"/>
      <w:lvlText w:val="−"/>
      <w:lvlJc w:val="left"/>
      <w:pPr>
        <w:tabs>
          <w:tab w:val="num" w:pos="1440"/>
        </w:tabs>
        <w:ind w:left="1440" w:hanging="360"/>
      </w:pPr>
      <w:rPr>
        <w:rFonts w:ascii="Calibre Regular" w:hAnsi="Calibre Regular" w:hint="default"/>
      </w:rPr>
    </w:lvl>
    <w:lvl w:ilvl="2" w:tplc="5EA6971A" w:tentative="1">
      <w:start w:val="1"/>
      <w:numFmt w:val="bullet"/>
      <w:lvlText w:val="−"/>
      <w:lvlJc w:val="left"/>
      <w:pPr>
        <w:tabs>
          <w:tab w:val="num" w:pos="2160"/>
        </w:tabs>
        <w:ind w:left="2160" w:hanging="360"/>
      </w:pPr>
      <w:rPr>
        <w:rFonts w:ascii="Calibre Regular" w:hAnsi="Calibre Regular" w:hint="default"/>
      </w:rPr>
    </w:lvl>
    <w:lvl w:ilvl="3" w:tplc="65CCBEAE" w:tentative="1">
      <w:start w:val="1"/>
      <w:numFmt w:val="bullet"/>
      <w:lvlText w:val="−"/>
      <w:lvlJc w:val="left"/>
      <w:pPr>
        <w:tabs>
          <w:tab w:val="num" w:pos="2880"/>
        </w:tabs>
        <w:ind w:left="2880" w:hanging="360"/>
      </w:pPr>
      <w:rPr>
        <w:rFonts w:ascii="Calibre Regular" w:hAnsi="Calibre Regular" w:hint="default"/>
      </w:rPr>
    </w:lvl>
    <w:lvl w:ilvl="4" w:tplc="92927B3C" w:tentative="1">
      <w:start w:val="1"/>
      <w:numFmt w:val="bullet"/>
      <w:lvlText w:val="−"/>
      <w:lvlJc w:val="left"/>
      <w:pPr>
        <w:tabs>
          <w:tab w:val="num" w:pos="3600"/>
        </w:tabs>
        <w:ind w:left="3600" w:hanging="360"/>
      </w:pPr>
      <w:rPr>
        <w:rFonts w:ascii="Calibre Regular" w:hAnsi="Calibre Regular" w:hint="default"/>
      </w:rPr>
    </w:lvl>
    <w:lvl w:ilvl="5" w:tplc="42367ACA" w:tentative="1">
      <w:start w:val="1"/>
      <w:numFmt w:val="bullet"/>
      <w:lvlText w:val="−"/>
      <w:lvlJc w:val="left"/>
      <w:pPr>
        <w:tabs>
          <w:tab w:val="num" w:pos="4320"/>
        </w:tabs>
        <w:ind w:left="4320" w:hanging="360"/>
      </w:pPr>
      <w:rPr>
        <w:rFonts w:ascii="Calibre Regular" w:hAnsi="Calibre Regular" w:hint="default"/>
      </w:rPr>
    </w:lvl>
    <w:lvl w:ilvl="6" w:tplc="0C7AFFF6" w:tentative="1">
      <w:start w:val="1"/>
      <w:numFmt w:val="bullet"/>
      <w:lvlText w:val="−"/>
      <w:lvlJc w:val="left"/>
      <w:pPr>
        <w:tabs>
          <w:tab w:val="num" w:pos="5040"/>
        </w:tabs>
        <w:ind w:left="5040" w:hanging="360"/>
      </w:pPr>
      <w:rPr>
        <w:rFonts w:ascii="Calibre Regular" w:hAnsi="Calibre Regular" w:hint="default"/>
      </w:rPr>
    </w:lvl>
    <w:lvl w:ilvl="7" w:tplc="1B96BD64" w:tentative="1">
      <w:start w:val="1"/>
      <w:numFmt w:val="bullet"/>
      <w:lvlText w:val="−"/>
      <w:lvlJc w:val="left"/>
      <w:pPr>
        <w:tabs>
          <w:tab w:val="num" w:pos="5760"/>
        </w:tabs>
        <w:ind w:left="5760" w:hanging="360"/>
      </w:pPr>
      <w:rPr>
        <w:rFonts w:ascii="Calibre Regular" w:hAnsi="Calibre Regular" w:hint="default"/>
      </w:rPr>
    </w:lvl>
    <w:lvl w:ilvl="8" w:tplc="5B343F36"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386E08D7"/>
    <w:multiLevelType w:val="hybridMultilevel"/>
    <w:tmpl w:val="92CE7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9EF4AF9"/>
    <w:multiLevelType w:val="hybridMultilevel"/>
    <w:tmpl w:val="FAF04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986771"/>
    <w:multiLevelType w:val="hybridMultilevel"/>
    <w:tmpl w:val="5302D0A0"/>
    <w:lvl w:ilvl="0" w:tplc="43380BDA">
      <w:start w:val="62"/>
      <w:numFmt w:val="bullet"/>
      <w:lvlText w:val="−"/>
      <w:lvlJc w:val="left"/>
      <w:pPr>
        <w:tabs>
          <w:tab w:val="num" w:pos="648"/>
        </w:tabs>
        <w:ind w:left="648" w:hanging="360"/>
      </w:pPr>
      <w:rPr>
        <w:rFonts w:ascii="Calibre Regular" w:hAnsi="Calibre Regular" w:hint="default"/>
      </w:rPr>
    </w:lvl>
    <w:lvl w:ilvl="1" w:tplc="04090003" w:tentative="1">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start w:val="1"/>
      <w:numFmt w:val="bullet"/>
      <w:lvlText w:val=""/>
      <w:lvlJc w:val="left"/>
      <w:pPr>
        <w:ind w:left="5688" w:hanging="360"/>
      </w:pPr>
      <w:rPr>
        <w:rFonts w:ascii="Wingdings" w:hAnsi="Wingdings" w:hint="default"/>
      </w:rPr>
    </w:lvl>
  </w:abstractNum>
  <w:abstractNum w:abstractNumId="33" w15:restartNumberingAfterBreak="0">
    <w:nsid w:val="3D192438"/>
    <w:multiLevelType w:val="hybridMultilevel"/>
    <w:tmpl w:val="7C0C3F86"/>
    <w:lvl w:ilvl="0" w:tplc="785E0F2A">
      <w:start w:val="1"/>
      <w:numFmt w:val="bullet"/>
      <w:lvlText w:val=""/>
      <w:lvlPicBulletId w:val="0"/>
      <w:lvlJc w:val="left"/>
      <w:pPr>
        <w:tabs>
          <w:tab w:val="num" w:pos="720"/>
        </w:tabs>
        <w:ind w:left="720" w:hanging="360"/>
      </w:pPr>
      <w:rPr>
        <w:rFonts w:ascii="Symbol" w:hAnsi="Symbol" w:hint="default"/>
      </w:rPr>
    </w:lvl>
    <w:lvl w:ilvl="1" w:tplc="201AD748">
      <w:start w:val="62"/>
      <w:numFmt w:val="bullet"/>
      <w:lvlText w:val="−"/>
      <w:lvlJc w:val="left"/>
      <w:pPr>
        <w:tabs>
          <w:tab w:val="num" w:pos="1440"/>
        </w:tabs>
        <w:ind w:left="1440" w:hanging="360"/>
      </w:pPr>
      <w:rPr>
        <w:rFonts w:ascii="Calibre Regular" w:hAnsi="Calibre Regular" w:hint="default"/>
      </w:rPr>
    </w:lvl>
    <w:lvl w:ilvl="2" w:tplc="5F9EBFFE" w:tentative="1">
      <w:start w:val="1"/>
      <w:numFmt w:val="bullet"/>
      <w:lvlText w:val=""/>
      <w:lvlPicBulletId w:val="0"/>
      <w:lvlJc w:val="left"/>
      <w:pPr>
        <w:tabs>
          <w:tab w:val="num" w:pos="2160"/>
        </w:tabs>
        <w:ind w:left="2160" w:hanging="360"/>
      </w:pPr>
      <w:rPr>
        <w:rFonts w:ascii="Symbol" w:hAnsi="Symbol" w:hint="default"/>
      </w:rPr>
    </w:lvl>
    <w:lvl w:ilvl="3" w:tplc="27426BCA" w:tentative="1">
      <w:start w:val="1"/>
      <w:numFmt w:val="bullet"/>
      <w:lvlText w:val=""/>
      <w:lvlPicBulletId w:val="0"/>
      <w:lvlJc w:val="left"/>
      <w:pPr>
        <w:tabs>
          <w:tab w:val="num" w:pos="2880"/>
        </w:tabs>
        <w:ind w:left="2880" w:hanging="360"/>
      </w:pPr>
      <w:rPr>
        <w:rFonts w:ascii="Symbol" w:hAnsi="Symbol" w:hint="default"/>
      </w:rPr>
    </w:lvl>
    <w:lvl w:ilvl="4" w:tplc="C63805AE" w:tentative="1">
      <w:start w:val="1"/>
      <w:numFmt w:val="bullet"/>
      <w:lvlText w:val=""/>
      <w:lvlPicBulletId w:val="0"/>
      <w:lvlJc w:val="left"/>
      <w:pPr>
        <w:tabs>
          <w:tab w:val="num" w:pos="3600"/>
        </w:tabs>
        <w:ind w:left="3600" w:hanging="360"/>
      </w:pPr>
      <w:rPr>
        <w:rFonts w:ascii="Symbol" w:hAnsi="Symbol" w:hint="default"/>
      </w:rPr>
    </w:lvl>
    <w:lvl w:ilvl="5" w:tplc="4FA4D95E" w:tentative="1">
      <w:start w:val="1"/>
      <w:numFmt w:val="bullet"/>
      <w:lvlText w:val=""/>
      <w:lvlPicBulletId w:val="0"/>
      <w:lvlJc w:val="left"/>
      <w:pPr>
        <w:tabs>
          <w:tab w:val="num" w:pos="4320"/>
        </w:tabs>
        <w:ind w:left="4320" w:hanging="360"/>
      </w:pPr>
      <w:rPr>
        <w:rFonts w:ascii="Symbol" w:hAnsi="Symbol" w:hint="default"/>
      </w:rPr>
    </w:lvl>
    <w:lvl w:ilvl="6" w:tplc="6EA2BFEE" w:tentative="1">
      <w:start w:val="1"/>
      <w:numFmt w:val="bullet"/>
      <w:lvlText w:val=""/>
      <w:lvlPicBulletId w:val="0"/>
      <w:lvlJc w:val="left"/>
      <w:pPr>
        <w:tabs>
          <w:tab w:val="num" w:pos="5040"/>
        </w:tabs>
        <w:ind w:left="5040" w:hanging="360"/>
      </w:pPr>
      <w:rPr>
        <w:rFonts w:ascii="Symbol" w:hAnsi="Symbol" w:hint="default"/>
      </w:rPr>
    </w:lvl>
    <w:lvl w:ilvl="7" w:tplc="AECC4886" w:tentative="1">
      <w:start w:val="1"/>
      <w:numFmt w:val="bullet"/>
      <w:lvlText w:val=""/>
      <w:lvlPicBulletId w:val="0"/>
      <w:lvlJc w:val="left"/>
      <w:pPr>
        <w:tabs>
          <w:tab w:val="num" w:pos="5760"/>
        </w:tabs>
        <w:ind w:left="5760" w:hanging="360"/>
      </w:pPr>
      <w:rPr>
        <w:rFonts w:ascii="Symbol" w:hAnsi="Symbol" w:hint="default"/>
      </w:rPr>
    </w:lvl>
    <w:lvl w:ilvl="8" w:tplc="9D5074D2"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3E3D17"/>
    <w:multiLevelType w:val="hybridMultilevel"/>
    <w:tmpl w:val="1C182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017871"/>
    <w:multiLevelType w:val="hybridMultilevel"/>
    <w:tmpl w:val="CADE23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875973"/>
    <w:multiLevelType w:val="hybridMultilevel"/>
    <w:tmpl w:val="8D64AF52"/>
    <w:lvl w:ilvl="0" w:tplc="5AFCF5CE">
      <w:start w:val="1"/>
      <w:numFmt w:val="bullet"/>
      <w:lvlText w:val=""/>
      <w:lvlPicBulletId w:val="0"/>
      <w:lvlJc w:val="left"/>
      <w:pPr>
        <w:tabs>
          <w:tab w:val="num" w:pos="720"/>
        </w:tabs>
        <w:ind w:left="720" w:hanging="360"/>
      </w:pPr>
      <w:rPr>
        <w:rFonts w:ascii="Symbol" w:hAnsi="Symbol" w:hint="default"/>
      </w:rPr>
    </w:lvl>
    <w:lvl w:ilvl="1" w:tplc="85EE5D5C">
      <w:start w:val="62"/>
      <w:numFmt w:val="bullet"/>
      <w:lvlText w:val="−"/>
      <w:lvlJc w:val="left"/>
      <w:pPr>
        <w:tabs>
          <w:tab w:val="num" w:pos="1440"/>
        </w:tabs>
        <w:ind w:left="1440" w:hanging="360"/>
      </w:pPr>
      <w:rPr>
        <w:rFonts w:ascii="Calibre Regular" w:hAnsi="Calibre Regular" w:hint="default"/>
      </w:rPr>
    </w:lvl>
    <w:lvl w:ilvl="2" w:tplc="2744CF50">
      <w:start w:val="62"/>
      <w:numFmt w:val="bullet"/>
      <w:lvlText w:val="−"/>
      <w:lvlJc w:val="left"/>
      <w:pPr>
        <w:tabs>
          <w:tab w:val="num" w:pos="2160"/>
        </w:tabs>
        <w:ind w:left="2160" w:hanging="360"/>
      </w:pPr>
      <w:rPr>
        <w:rFonts w:ascii="Calibre Regular" w:hAnsi="Calibre Regular" w:hint="default"/>
      </w:rPr>
    </w:lvl>
    <w:lvl w:ilvl="3" w:tplc="AFBA047E" w:tentative="1">
      <w:start w:val="1"/>
      <w:numFmt w:val="bullet"/>
      <w:lvlText w:val=""/>
      <w:lvlPicBulletId w:val="0"/>
      <w:lvlJc w:val="left"/>
      <w:pPr>
        <w:tabs>
          <w:tab w:val="num" w:pos="2880"/>
        </w:tabs>
        <w:ind w:left="2880" w:hanging="360"/>
      </w:pPr>
      <w:rPr>
        <w:rFonts w:ascii="Symbol" w:hAnsi="Symbol" w:hint="default"/>
      </w:rPr>
    </w:lvl>
    <w:lvl w:ilvl="4" w:tplc="9B3E3A94" w:tentative="1">
      <w:start w:val="1"/>
      <w:numFmt w:val="bullet"/>
      <w:lvlText w:val=""/>
      <w:lvlPicBulletId w:val="0"/>
      <w:lvlJc w:val="left"/>
      <w:pPr>
        <w:tabs>
          <w:tab w:val="num" w:pos="3600"/>
        </w:tabs>
        <w:ind w:left="3600" w:hanging="360"/>
      </w:pPr>
      <w:rPr>
        <w:rFonts w:ascii="Symbol" w:hAnsi="Symbol" w:hint="default"/>
      </w:rPr>
    </w:lvl>
    <w:lvl w:ilvl="5" w:tplc="9FFC2676" w:tentative="1">
      <w:start w:val="1"/>
      <w:numFmt w:val="bullet"/>
      <w:lvlText w:val=""/>
      <w:lvlPicBulletId w:val="0"/>
      <w:lvlJc w:val="left"/>
      <w:pPr>
        <w:tabs>
          <w:tab w:val="num" w:pos="4320"/>
        </w:tabs>
        <w:ind w:left="4320" w:hanging="360"/>
      </w:pPr>
      <w:rPr>
        <w:rFonts w:ascii="Symbol" w:hAnsi="Symbol" w:hint="default"/>
      </w:rPr>
    </w:lvl>
    <w:lvl w:ilvl="6" w:tplc="0A9076E8" w:tentative="1">
      <w:start w:val="1"/>
      <w:numFmt w:val="bullet"/>
      <w:lvlText w:val=""/>
      <w:lvlPicBulletId w:val="0"/>
      <w:lvlJc w:val="left"/>
      <w:pPr>
        <w:tabs>
          <w:tab w:val="num" w:pos="5040"/>
        </w:tabs>
        <w:ind w:left="5040" w:hanging="360"/>
      </w:pPr>
      <w:rPr>
        <w:rFonts w:ascii="Symbol" w:hAnsi="Symbol" w:hint="default"/>
      </w:rPr>
    </w:lvl>
    <w:lvl w:ilvl="7" w:tplc="266C7DCA" w:tentative="1">
      <w:start w:val="1"/>
      <w:numFmt w:val="bullet"/>
      <w:lvlText w:val=""/>
      <w:lvlPicBulletId w:val="0"/>
      <w:lvlJc w:val="left"/>
      <w:pPr>
        <w:tabs>
          <w:tab w:val="num" w:pos="5760"/>
        </w:tabs>
        <w:ind w:left="5760" w:hanging="360"/>
      </w:pPr>
      <w:rPr>
        <w:rFonts w:ascii="Symbol" w:hAnsi="Symbol" w:hint="default"/>
      </w:rPr>
    </w:lvl>
    <w:lvl w:ilvl="8" w:tplc="422279FE"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A85C2A"/>
    <w:multiLevelType w:val="hybridMultilevel"/>
    <w:tmpl w:val="F8B4B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D6864C9"/>
    <w:multiLevelType w:val="hybridMultilevel"/>
    <w:tmpl w:val="6240A1E4"/>
    <w:lvl w:ilvl="0" w:tplc="43380BDA">
      <w:start w:val="62"/>
      <w:numFmt w:val="bullet"/>
      <w:lvlText w:val="−"/>
      <w:lvlJc w:val="left"/>
      <w:pPr>
        <w:tabs>
          <w:tab w:val="num" w:pos="360"/>
        </w:tabs>
        <w:ind w:left="360" w:hanging="360"/>
      </w:pPr>
      <w:rPr>
        <w:rFonts w:ascii="Calibre Regular" w:hAnsi="Calibre Regular" w:hint="default"/>
      </w:rPr>
    </w:lvl>
    <w:lvl w:ilvl="1" w:tplc="04090003" w:tentative="1">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6"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6"/>
  </w:num>
  <w:num w:numId="4">
    <w:abstractNumId w:val="31"/>
  </w:num>
  <w:num w:numId="5">
    <w:abstractNumId w:val="7"/>
  </w:num>
  <w:num w:numId="6">
    <w:abstractNumId w:val="15"/>
  </w:num>
  <w:num w:numId="7">
    <w:abstractNumId w:val="17"/>
  </w:num>
  <w:num w:numId="8">
    <w:abstractNumId w:val="1"/>
  </w:num>
  <w:num w:numId="9">
    <w:abstractNumId w:val="44"/>
    <w:lvlOverride w:ilvl="0">
      <w:startOverride w:val="1"/>
    </w:lvlOverride>
  </w:num>
  <w:num w:numId="10">
    <w:abstractNumId w:val="34"/>
  </w:num>
  <w:num w:numId="11">
    <w:abstractNumId w:val="38"/>
  </w:num>
  <w:num w:numId="12">
    <w:abstractNumId w:val="40"/>
  </w:num>
  <w:num w:numId="13">
    <w:abstractNumId w:val="21"/>
  </w:num>
  <w:num w:numId="14">
    <w:abstractNumId w:val="37"/>
  </w:num>
  <w:num w:numId="15">
    <w:abstractNumId w:val="9"/>
  </w:num>
  <w:num w:numId="16">
    <w:abstractNumId w:val="29"/>
  </w:num>
  <w:num w:numId="17">
    <w:abstractNumId w:val="20"/>
  </w:num>
  <w:num w:numId="18">
    <w:abstractNumId w:val="43"/>
  </w:num>
  <w:num w:numId="19">
    <w:abstractNumId w:val="47"/>
  </w:num>
  <w:num w:numId="20">
    <w:abstractNumId w:val="18"/>
  </w:num>
  <w:num w:numId="21">
    <w:abstractNumId w:val="42"/>
  </w:num>
  <w:num w:numId="22">
    <w:abstractNumId w:val="5"/>
  </w:num>
  <w:num w:numId="23">
    <w:abstractNumId w:val="28"/>
  </w:num>
  <w:num w:numId="24">
    <w:abstractNumId w:val="8"/>
  </w:num>
  <w:num w:numId="25">
    <w:abstractNumId w:val="16"/>
  </w:num>
  <w:num w:numId="26">
    <w:abstractNumId w:val="39"/>
  </w:num>
  <w:num w:numId="27">
    <w:abstractNumId w:val="25"/>
  </w:num>
  <w:num w:numId="28">
    <w:abstractNumId w:val="23"/>
  </w:num>
  <w:num w:numId="29">
    <w:abstractNumId w:val="36"/>
  </w:num>
  <w:num w:numId="30">
    <w:abstractNumId w:val="19"/>
  </w:num>
  <w:num w:numId="31">
    <w:abstractNumId w:val="3"/>
  </w:num>
  <w:num w:numId="32">
    <w:abstractNumId w:val="10"/>
  </w:num>
  <w:num w:numId="33">
    <w:abstractNumId w:val="33"/>
  </w:num>
  <w:num w:numId="34">
    <w:abstractNumId w:val="13"/>
  </w:num>
  <w:num w:numId="35">
    <w:abstractNumId w:val="12"/>
  </w:num>
  <w:num w:numId="36">
    <w:abstractNumId w:val="14"/>
  </w:num>
  <w:num w:numId="37">
    <w:abstractNumId w:val="26"/>
  </w:num>
  <w:num w:numId="38">
    <w:abstractNumId w:val="45"/>
  </w:num>
  <w:num w:numId="39">
    <w:abstractNumId w:val="32"/>
  </w:num>
  <w:num w:numId="40">
    <w:abstractNumId w:val="41"/>
  </w:num>
  <w:num w:numId="41">
    <w:abstractNumId w:val="30"/>
  </w:num>
  <w:num w:numId="42">
    <w:abstractNumId w:val="11"/>
  </w:num>
  <w:num w:numId="43">
    <w:abstractNumId w:val="22"/>
  </w:num>
  <w:num w:numId="44">
    <w:abstractNumId w:val="27"/>
  </w:num>
  <w:num w:numId="45">
    <w:abstractNumId w:val="35"/>
  </w:num>
  <w:num w:numId="46">
    <w:abstractNumId w:val="46"/>
  </w:num>
  <w:num w:numId="47">
    <w:abstractNumId w:val="2"/>
  </w:num>
  <w:num w:numId="4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7CB"/>
    <w:rsid w:val="00010E97"/>
    <w:rsid w:val="00010FD1"/>
    <w:rsid w:val="0001117C"/>
    <w:rsid w:val="000124D1"/>
    <w:rsid w:val="00012D57"/>
    <w:rsid w:val="0001321B"/>
    <w:rsid w:val="000137BA"/>
    <w:rsid w:val="00013B63"/>
    <w:rsid w:val="00013F64"/>
    <w:rsid w:val="000141F0"/>
    <w:rsid w:val="00014E0E"/>
    <w:rsid w:val="00015420"/>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9B"/>
    <w:rsid w:val="000451E5"/>
    <w:rsid w:val="000453F6"/>
    <w:rsid w:val="00045A54"/>
    <w:rsid w:val="00046CD6"/>
    <w:rsid w:val="00046CE4"/>
    <w:rsid w:val="00046E6F"/>
    <w:rsid w:val="00046F9A"/>
    <w:rsid w:val="00047142"/>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D8"/>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1EAE"/>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0D22"/>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8"/>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8"/>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7F"/>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3E18"/>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39B"/>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500"/>
    <w:rsid w:val="00344725"/>
    <w:rsid w:val="00344901"/>
    <w:rsid w:val="0034511B"/>
    <w:rsid w:val="003453BF"/>
    <w:rsid w:val="0034583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2F4D"/>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2DB"/>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1D1"/>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28A"/>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268"/>
    <w:rsid w:val="004017C6"/>
    <w:rsid w:val="00402122"/>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C33"/>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21C"/>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0FB"/>
    <w:rsid w:val="004D710C"/>
    <w:rsid w:val="004E0033"/>
    <w:rsid w:val="004E00F1"/>
    <w:rsid w:val="004E03BE"/>
    <w:rsid w:val="004E071E"/>
    <w:rsid w:val="004E0CD0"/>
    <w:rsid w:val="004E1260"/>
    <w:rsid w:val="004E1CBB"/>
    <w:rsid w:val="004E1D07"/>
    <w:rsid w:val="004E209D"/>
    <w:rsid w:val="004E21D3"/>
    <w:rsid w:val="004E2E33"/>
    <w:rsid w:val="004E2F51"/>
    <w:rsid w:val="004E3350"/>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456"/>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6F11"/>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AF"/>
    <w:rsid w:val="00583DEF"/>
    <w:rsid w:val="00583E78"/>
    <w:rsid w:val="00584496"/>
    <w:rsid w:val="005852AA"/>
    <w:rsid w:val="00585867"/>
    <w:rsid w:val="00585C3A"/>
    <w:rsid w:val="00586013"/>
    <w:rsid w:val="005861F7"/>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BE6"/>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4A2"/>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79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4F"/>
    <w:rsid w:val="006513D5"/>
    <w:rsid w:val="006518B1"/>
    <w:rsid w:val="00651AD3"/>
    <w:rsid w:val="00651B74"/>
    <w:rsid w:val="00651FA0"/>
    <w:rsid w:val="00653217"/>
    <w:rsid w:val="00653273"/>
    <w:rsid w:val="006535EA"/>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5E1"/>
    <w:rsid w:val="006853FF"/>
    <w:rsid w:val="00685725"/>
    <w:rsid w:val="00685834"/>
    <w:rsid w:val="00685D3B"/>
    <w:rsid w:val="00685DB7"/>
    <w:rsid w:val="0068623E"/>
    <w:rsid w:val="0068632B"/>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1C9"/>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6D"/>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C50"/>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8B"/>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0F"/>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4E1"/>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9B6"/>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0F3F"/>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E89"/>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085"/>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BF8"/>
    <w:rsid w:val="00997CA3"/>
    <w:rsid w:val="009A0212"/>
    <w:rsid w:val="009A031F"/>
    <w:rsid w:val="009A0C1F"/>
    <w:rsid w:val="009A12A5"/>
    <w:rsid w:val="009A1DFF"/>
    <w:rsid w:val="009A2144"/>
    <w:rsid w:val="009A246A"/>
    <w:rsid w:val="009A3183"/>
    <w:rsid w:val="009A32D7"/>
    <w:rsid w:val="009A34AD"/>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EE"/>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87FF1"/>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8F6"/>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910"/>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573"/>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67C"/>
    <w:rsid w:val="00B147CC"/>
    <w:rsid w:val="00B150FE"/>
    <w:rsid w:val="00B15141"/>
    <w:rsid w:val="00B151C6"/>
    <w:rsid w:val="00B15916"/>
    <w:rsid w:val="00B159DA"/>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A45"/>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D2A"/>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4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5A3"/>
    <w:rsid w:val="00BE7B27"/>
    <w:rsid w:val="00BF02E6"/>
    <w:rsid w:val="00BF0862"/>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21"/>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71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3BC"/>
    <w:rsid w:val="00C447FB"/>
    <w:rsid w:val="00C44F96"/>
    <w:rsid w:val="00C44FF2"/>
    <w:rsid w:val="00C4587D"/>
    <w:rsid w:val="00C45C66"/>
    <w:rsid w:val="00C470AA"/>
    <w:rsid w:val="00C47AE8"/>
    <w:rsid w:val="00C47B93"/>
    <w:rsid w:val="00C47BDE"/>
    <w:rsid w:val="00C47EC4"/>
    <w:rsid w:val="00C508B7"/>
    <w:rsid w:val="00C509D3"/>
    <w:rsid w:val="00C5157C"/>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B65"/>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8E"/>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A29"/>
    <w:rsid w:val="00D50B7B"/>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02"/>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69F"/>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61E"/>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0956"/>
    <w:rsid w:val="00F1165E"/>
    <w:rsid w:val="00F11CF5"/>
    <w:rsid w:val="00F12B3D"/>
    <w:rsid w:val="00F13242"/>
    <w:rsid w:val="00F1403E"/>
    <w:rsid w:val="00F140FE"/>
    <w:rsid w:val="00F1415B"/>
    <w:rsid w:val="00F1418D"/>
    <w:rsid w:val="00F14FB4"/>
    <w:rsid w:val="00F151CC"/>
    <w:rsid w:val="00F15CF3"/>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38C"/>
    <w:rsid w:val="00F45B82"/>
    <w:rsid w:val="00F46694"/>
    <w:rsid w:val="00F467B0"/>
    <w:rsid w:val="00F4683A"/>
    <w:rsid w:val="00F46A13"/>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6FC"/>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227"/>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806228">
      <w:bodyDiv w:val="1"/>
      <w:marLeft w:val="0"/>
      <w:marRight w:val="0"/>
      <w:marTop w:val="0"/>
      <w:marBottom w:val="0"/>
      <w:divBdr>
        <w:top w:val="none" w:sz="0" w:space="0" w:color="auto"/>
        <w:left w:val="none" w:sz="0" w:space="0" w:color="auto"/>
        <w:bottom w:val="none" w:sz="0" w:space="0" w:color="auto"/>
        <w:right w:val="none" w:sz="0" w:space="0" w:color="auto"/>
      </w:divBdr>
      <w:divsChild>
        <w:div w:id="1042048602">
          <w:marLeft w:val="547"/>
          <w:marRight w:val="0"/>
          <w:marTop w:val="115"/>
          <w:marBottom w:val="0"/>
          <w:divBdr>
            <w:top w:val="none" w:sz="0" w:space="0" w:color="auto"/>
            <w:left w:val="none" w:sz="0" w:space="0" w:color="auto"/>
            <w:bottom w:val="none" w:sz="0" w:space="0" w:color="auto"/>
            <w:right w:val="none" w:sz="0" w:space="0" w:color="auto"/>
          </w:divBdr>
        </w:div>
        <w:div w:id="291715590">
          <w:marLeft w:val="1166"/>
          <w:marRight w:val="0"/>
          <w:marTop w:val="96"/>
          <w:marBottom w:val="0"/>
          <w:divBdr>
            <w:top w:val="none" w:sz="0" w:space="0" w:color="auto"/>
            <w:left w:val="none" w:sz="0" w:space="0" w:color="auto"/>
            <w:bottom w:val="none" w:sz="0" w:space="0" w:color="auto"/>
            <w:right w:val="none" w:sz="0" w:space="0" w:color="auto"/>
          </w:divBdr>
        </w:div>
      </w:divsChild>
    </w:div>
    <w:div w:id="37903027">
      <w:bodyDiv w:val="1"/>
      <w:marLeft w:val="0"/>
      <w:marRight w:val="0"/>
      <w:marTop w:val="0"/>
      <w:marBottom w:val="0"/>
      <w:divBdr>
        <w:top w:val="none" w:sz="0" w:space="0" w:color="auto"/>
        <w:left w:val="none" w:sz="0" w:space="0" w:color="auto"/>
        <w:bottom w:val="none" w:sz="0" w:space="0" w:color="auto"/>
        <w:right w:val="none" w:sz="0" w:space="0" w:color="auto"/>
      </w:divBdr>
      <w:divsChild>
        <w:div w:id="1519392529">
          <w:marLeft w:val="1166"/>
          <w:marRight w:val="0"/>
          <w:marTop w:val="9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84430">
      <w:bodyDiv w:val="1"/>
      <w:marLeft w:val="0"/>
      <w:marRight w:val="0"/>
      <w:marTop w:val="0"/>
      <w:marBottom w:val="0"/>
      <w:divBdr>
        <w:top w:val="none" w:sz="0" w:space="0" w:color="auto"/>
        <w:left w:val="none" w:sz="0" w:space="0" w:color="auto"/>
        <w:bottom w:val="none" w:sz="0" w:space="0" w:color="auto"/>
        <w:right w:val="none" w:sz="0" w:space="0" w:color="auto"/>
      </w:divBdr>
      <w:divsChild>
        <w:div w:id="129977370">
          <w:marLeft w:val="547"/>
          <w:marRight w:val="0"/>
          <w:marTop w:val="115"/>
          <w:marBottom w:val="0"/>
          <w:divBdr>
            <w:top w:val="none" w:sz="0" w:space="0" w:color="auto"/>
            <w:left w:val="none" w:sz="0" w:space="0" w:color="auto"/>
            <w:bottom w:val="none" w:sz="0" w:space="0" w:color="auto"/>
            <w:right w:val="none" w:sz="0" w:space="0" w:color="auto"/>
          </w:divBdr>
        </w:div>
        <w:div w:id="624967531">
          <w:marLeft w:val="1166"/>
          <w:marRight w:val="0"/>
          <w:marTop w:val="86"/>
          <w:marBottom w:val="0"/>
          <w:divBdr>
            <w:top w:val="none" w:sz="0" w:space="0" w:color="auto"/>
            <w:left w:val="none" w:sz="0" w:space="0" w:color="auto"/>
            <w:bottom w:val="none" w:sz="0" w:space="0" w:color="auto"/>
            <w:right w:val="none" w:sz="0" w:space="0" w:color="auto"/>
          </w:divBdr>
        </w:div>
        <w:div w:id="1075588840">
          <w:marLeft w:val="1166"/>
          <w:marRight w:val="0"/>
          <w:marTop w:val="86"/>
          <w:marBottom w:val="0"/>
          <w:divBdr>
            <w:top w:val="none" w:sz="0" w:space="0" w:color="auto"/>
            <w:left w:val="none" w:sz="0" w:space="0" w:color="auto"/>
            <w:bottom w:val="none" w:sz="0" w:space="0" w:color="auto"/>
            <w:right w:val="none" w:sz="0" w:space="0" w:color="auto"/>
          </w:divBdr>
        </w:div>
        <w:div w:id="1172260392">
          <w:marLeft w:val="1166"/>
          <w:marRight w:val="0"/>
          <w:marTop w:val="86"/>
          <w:marBottom w:val="0"/>
          <w:divBdr>
            <w:top w:val="none" w:sz="0" w:space="0" w:color="auto"/>
            <w:left w:val="none" w:sz="0" w:space="0" w:color="auto"/>
            <w:bottom w:val="none" w:sz="0" w:space="0" w:color="auto"/>
            <w:right w:val="none" w:sz="0" w:space="0" w:color="auto"/>
          </w:divBdr>
        </w:div>
        <w:div w:id="575627257">
          <w:marLeft w:val="547"/>
          <w:marRight w:val="0"/>
          <w:marTop w:val="115"/>
          <w:marBottom w:val="0"/>
          <w:divBdr>
            <w:top w:val="none" w:sz="0" w:space="0" w:color="auto"/>
            <w:left w:val="none" w:sz="0" w:space="0" w:color="auto"/>
            <w:bottom w:val="none" w:sz="0" w:space="0" w:color="auto"/>
            <w:right w:val="none" w:sz="0" w:space="0" w:color="auto"/>
          </w:divBdr>
        </w:div>
        <w:div w:id="1161193337">
          <w:marLeft w:val="1166"/>
          <w:marRight w:val="0"/>
          <w:marTop w:val="86"/>
          <w:marBottom w:val="0"/>
          <w:divBdr>
            <w:top w:val="none" w:sz="0" w:space="0" w:color="auto"/>
            <w:left w:val="none" w:sz="0" w:space="0" w:color="auto"/>
            <w:bottom w:val="none" w:sz="0" w:space="0" w:color="auto"/>
            <w:right w:val="none" w:sz="0" w:space="0" w:color="auto"/>
          </w:divBdr>
        </w:div>
        <w:div w:id="1968586129">
          <w:marLeft w:val="547"/>
          <w:marRight w:val="0"/>
          <w:marTop w:val="115"/>
          <w:marBottom w:val="0"/>
          <w:divBdr>
            <w:top w:val="none" w:sz="0" w:space="0" w:color="auto"/>
            <w:left w:val="none" w:sz="0" w:space="0" w:color="auto"/>
            <w:bottom w:val="none" w:sz="0" w:space="0" w:color="auto"/>
            <w:right w:val="none" w:sz="0" w:space="0" w:color="auto"/>
          </w:divBdr>
        </w:div>
        <w:div w:id="1817989375">
          <w:marLeft w:val="1166"/>
          <w:marRight w:val="0"/>
          <w:marTop w:val="86"/>
          <w:marBottom w:val="0"/>
          <w:divBdr>
            <w:top w:val="none" w:sz="0" w:space="0" w:color="auto"/>
            <w:left w:val="none" w:sz="0" w:space="0" w:color="auto"/>
            <w:bottom w:val="none" w:sz="0" w:space="0" w:color="auto"/>
            <w:right w:val="none" w:sz="0" w:space="0" w:color="auto"/>
          </w:divBdr>
        </w:div>
        <w:div w:id="897472080">
          <w:marLeft w:val="1166"/>
          <w:marRight w:val="0"/>
          <w:marTop w:val="86"/>
          <w:marBottom w:val="0"/>
          <w:divBdr>
            <w:top w:val="none" w:sz="0" w:space="0" w:color="auto"/>
            <w:left w:val="none" w:sz="0" w:space="0" w:color="auto"/>
            <w:bottom w:val="none" w:sz="0" w:space="0" w:color="auto"/>
            <w:right w:val="none" w:sz="0" w:space="0" w:color="auto"/>
          </w:divBdr>
        </w:div>
        <w:div w:id="2081442237">
          <w:marLeft w:val="1166"/>
          <w:marRight w:val="0"/>
          <w:marTop w:val="86"/>
          <w:marBottom w:val="0"/>
          <w:divBdr>
            <w:top w:val="none" w:sz="0" w:space="0" w:color="auto"/>
            <w:left w:val="none" w:sz="0" w:space="0" w:color="auto"/>
            <w:bottom w:val="none" w:sz="0" w:space="0" w:color="auto"/>
            <w:right w:val="none" w:sz="0" w:space="0" w:color="auto"/>
          </w:divBdr>
        </w:div>
        <w:div w:id="757601273">
          <w:marLeft w:val="1627"/>
          <w:marRight w:val="0"/>
          <w:marTop w:val="77"/>
          <w:marBottom w:val="0"/>
          <w:divBdr>
            <w:top w:val="none" w:sz="0" w:space="0" w:color="auto"/>
            <w:left w:val="none" w:sz="0" w:space="0" w:color="auto"/>
            <w:bottom w:val="none" w:sz="0" w:space="0" w:color="auto"/>
            <w:right w:val="none" w:sz="0" w:space="0" w:color="auto"/>
          </w:divBdr>
        </w:div>
        <w:div w:id="549608425">
          <w:marLeft w:val="1627"/>
          <w:marRight w:val="0"/>
          <w:marTop w:val="7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275093">
      <w:bodyDiv w:val="1"/>
      <w:marLeft w:val="0"/>
      <w:marRight w:val="0"/>
      <w:marTop w:val="0"/>
      <w:marBottom w:val="0"/>
      <w:divBdr>
        <w:top w:val="none" w:sz="0" w:space="0" w:color="auto"/>
        <w:left w:val="none" w:sz="0" w:space="0" w:color="auto"/>
        <w:bottom w:val="none" w:sz="0" w:space="0" w:color="auto"/>
        <w:right w:val="none" w:sz="0" w:space="0" w:color="auto"/>
      </w:divBdr>
      <w:divsChild>
        <w:div w:id="26680732">
          <w:marLeft w:val="547"/>
          <w:marRight w:val="0"/>
          <w:marTop w:val="115"/>
          <w:marBottom w:val="0"/>
          <w:divBdr>
            <w:top w:val="none" w:sz="0" w:space="0" w:color="auto"/>
            <w:left w:val="none" w:sz="0" w:space="0" w:color="auto"/>
            <w:bottom w:val="none" w:sz="0" w:space="0" w:color="auto"/>
            <w:right w:val="none" w:sz="0" w:space="0" w:color="auto"/>
          </w:divBdr>
        </w:div>
        <w:div w:id="1387753437">
          <w:marLeft w:val="1166"/>
          <w:marRight w:val="0"/>
          <w:marTop w:val="96"/>
          <w:marBottom w:val="0"/>
          <w:divBdr>
            <w:top w:val="none" w:sz="0" w:space="0" w:color="auto"/>
            <w:left w:val="none" w:sz="0" w:space="0" w:color="auto"/>
            <w:bottom w:val="none" w:sz="0" w:space="0" w:color="auto"/>
            <w:right w:val="none" w:sz="0" w:space="0" w:color="auto"/>
          </w:divBdr>
        </w:div>
        <w:div w:id="2056007014">
          <w:marLeft w:val="547"/>
          <w:marRight w:val="0"/>
          <w:marTop w:val="115"/>
          <w:marBottom w:val="0"/>
          <w:divBdr>
            <w:top w:val="none" w:sz="0" w:space="0" w:color="auto"/>
            <w:left w:val="none" w:sz="0" w:space="0" w:color="auto"/>
            <w:bottom w:val="none" w:sz="0" w:space="0" w:color="auto"/>
            <w:right w:val="none" w:sz="0" w:space="0" w:color="auto"/>
          </w:divBdr>
        </w:div>
        <w:div w:id="1147674094">
          <w:marLeft w:val="1166"/>
          <w:marRight w:val="0"/>
          <w:marTop w:val="96"/>
          <w:marBottom w:val="0"/>
          <w:divBdr>
            <w:top w:val="none" w:sz="0" w:space="0" w:color="auto"/>
            <w:left w:val="none" w:sz="0" w:space="0" w:color="auto"/>
            <w:bottom w:val="none" w:sz="0" w:space="0" w:color="auto"/>
            <w:right w:val="none" w:sz="0" w:space="0" w:color="auto"/>
          </w:divBdr>
        </w:div>
        <w:div w:id="937327235">
          <w:marLeft w:val="547"/>
          <w:marRight w:val="0"/>
          <w:marTop w:val="115"/>
          <w:marBottom w:val="0"/>
          <w:divBdr>
            <w:top w:val="none" w:sz="0" w:space="0" w:color="auto"/>
            <w:left w:val="none" w:sz="0" w:space="0" w:color="auto"/>
            <w:bottom w:val="none" w:sz="0" w:space="0" w:color="auto"/>
            <w:right w:val="none" w:sz="0" w:space="0" w:color="auto"/>
          </w:divBdr>
        </w:div>
        <w:div w:id="2027176135">
          <w:marLeft w:val="1166"/>
          <w:marRight w:val="0"/>
          <w:marTop w:val="96"/>
          <w:marBottom w:val="0"/>
          <w:divBdr>
            <w:top w:val="none" w:sz="0" w:space="0" w:color="auto"/>
            <w:left w:val="none" w:sz="0" w:space="0" w:color="auto"/>
            <w:bottom w:val="none" w:sz="0" w:space="0" w:color="auto"/>
            <w:right w:val="none" w:sz="0" w:space="0" w:color="auto"/>
          </w:divBdr>
        </w:div>
        <w:div w:id="86968642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560103">
      <w:bodyDiv w:val="1"/>
      <w:marLeft w:val="0"/>
      <w:marRight w:val="0"/>
      <w:marTop w:val="0"/>
      <w:marBottom w:val="0"/>
      <w:divBdr>
        <w:top w:val="none" w:sz="0" w:space="0" w:color="auto"/>
        <w:left w:val="none" w:sz="0" w:space="0" w:color="auto"/>
        <w:bottom w:val="none" w:sz="0" w:space="0" w:color="auto"/>
        <w:right w:val="none" w:sz="0" w:space="0" w:color="auto"/>
      </w:divBdr>
      <w:divsChild>
        <w:div w:id="759836560">
          <w:marLeft w:val="547"/>
          <w:marRight w:val="0"/>
          <w:marTop w:val="96"/>
          <w:marBottom w:val="0"/>
          <w:divBdr>
            <w:top w:val="none" w:sz="0" w:space="0" w:color="auto"/>
            <w:left w:val="none" w:sz="0" w:space="0" w:color="auto"/>
            <w:bottom w:val="none" w:sz="0" w:space="0" w:color="auto"/>
            <w:right w:val="none" w:sz="0" w:space="0" w:color="auto"/>
          </w:divBdr>
        </w:div>
        <w:div w:id="89199599">
          <w:marLeft w:val="1166"/>
          <w:marRight w:val="0"/>
          <w:marTop w:val="86"/>
          <w:marBottom w:val="0"/>
          <w:divBdr>
            <w:top w:val="none" w:sz="0" w:space="0" w:color="auto"/>
            <w:left w:val="none" w:sz="0" w:space="0" w:color="auto"/>
            <w:bottom w:val="none" w:sz="0" w:space="0" w:color="auto"/>
            <w:right w:val="none" w:sz="0" w:space="0" w:color="auto"/>
          </w:divBdr>
        </w:div>
        <w:div w:id="1883008062">
          <w:marLeft w:val="1166"/>
          <w:marRight w:val="0"/>
          <w:marTop w:val="86"/>
          <w:marBottom w:val="0"/>
          <w:divBdr>
            <w:top w:val="none" w:sz="0" w:space="0" w:color="auto"/>
            <w:left w:val="none" w:sz="0" w:space="0" w:color="auto"/>
            <w:bottom w:val="none" w:sz="0" w:space="0" w:color="auto"/>
            <w:right w:val="none" w:sz="0" w:space="0" w:color="auto"/>
          </w:divBdr>
        </w:div>
        <w:div w:id="59331582">
          <w:marLeft w:val="1166"/>
          <w:marRight w:val="0"/>
          <w:marTop w:val="86"/>
          <w:marBottom w:val="0"/>
          <w:divBdr>
            <w:top w:val="none" w:sz="0" w:space="0" w:color="auto"/>
            <w:left w:val="none" w:sz="0" w:space="0" w:color="auto"/>
            <w:bottom w:val="none" w:sz="0" w:space="0" w:color="auto"/>
            <w:right w:val="none" w:sz="0" w:space="0" w:color="auto"/>
          </w:divBdr>
        </w:div>
        <w:div w:id="1847665884">
          <w:marLeft w:val="1166"/>
          <w:marRight w:val="0"/>
          <w:marTop w:val="86"/>
          <w:marBottom w:val="0"/>
          <w:divBdr>
            <w:top w:val="none" w:sz="0" w:space="0" w:color="auto"/>
            <w:left w:val="none" w:sz="0" w:space="0" w:color="auto"/>
            <w:bottom w:val="none" w:sz="0" w:space="0" w:color="auto"/>
            <w:right w:val="none" w:sz="0" w:space="0" w:color="auto"/>
          </w:divBdr>
        </w:div>
        <w:div w:id="191307639">
          <w:marLeft w:val="547"/>
          <w:marRight w:val="0"/>
          <w:marTop w:val="96"/>
          <w:marBottom w:val="0"/>
          <w:divBdr>
            <w:top w:val="none" w:sz="0" w:space="0" w:color="auto"/>
            <w:left w:val="none" w:sz="0" w:space="0" w:color="auto"/>
            <w:bottom w:val="none" w:sz="0" w:space="0" w:color="auto"/>
            <w:right w:val="none" w:sz="0" w:space="0" w:color="auto"/>
          </w:divBdr>
        </w:div>
        <w:div w:id="1146817487">
          <w:marLeft w:val="547"/>
          <w:marRight w:val="0"/>
          <w:marTop w:val="96"/>
          <w:marBottom w:val="0"/>
          <w:divBdr>
            <w:top w:val="none" w:sz="0" w:space="0" w:color="auto"/>
            <w:left w:val="none" w:sz="0" w:space="0" w:color="auto"/>
            <w:bottom w:val="none" w:sz="0" w:space="0" w:color="auto"/>
            <w:right w:val="none" w:sz="0" w:space="0" w:color="auto"/>
          </w:divBdr>
        </w:div>
        <w:div w:id="841166582">
          <w:marLeft w:val="1166"/>
          <w:marRight w:val="0"/>
          <w:marTop w:val="86"/>
          <w:marBottom w:val="0"/>
          <w:divBdr>
            <w:top w:val="none" w:sz="0" w:space="0" w:color="auto"/>
            <w:left w:val="none" w:sz="0" w:space="0" w:color="auto"/>
            <w:bottom w:val="none" w:sz="0" w:space="0" w:color="auto"/>
            <w:right w:val="none" w:sz="0" w:space="0" w:color="auto"/>
          </w:divBdr>
        </w:div>
        <w:div w:id="1931960464">
          <w:marLeft w:val="1627"/>
          <w:marRight w:val="0"/>
          <w:marTop w:val="77"/>
          <w:marBottom w:val="0"/>
          <w:divBdr>
            <w:top w:val="none" w:sz="0" w:space="0" w:color="auto"/>
            <w:left w:val="none" w:sz="0" w:space="0" w:color="auto"/>
            <w:bottom w:val="none" w:sz="0" w:space="0" w:color="auto"/>
            <w:right w:val="none" w:sz="0" w:space="0" w:color="auto"/>
          </w:divBdr>
        </w:div>
        <w:div w:id="1461650680">
          <w:marLeft w:val="1166"/>
          <w:marRight w:val="0"/>
          <w:marTop w:val="86"/>
          <w:marBottom w:val="0"/>
          <w:divBdr>
            <w:top w:val="none" w:sz="0" w:space="0" w:color="auto"/>
            <w:left w:val="none" w:sz="0" w:space="0" w:color="auto"/>
            <w:bottom w:val="none" w:sz="0" w:space="0" w:color="auto"/>
            <w:right w:val="none" w:sz="0" w:space="0" w:color="auto"/>
          </w:divBdr>
        </w:div>
        <w:div w:id="578247587">
          <w:marLeft w:val="1627"/>
          <w:marRight w:val="0"/>
          <w:marTop w:val="77"/>
          <w:marBottom w:val="0"/>
          <w:divBdr>
            <w:top w:val="none" w:sz="0" w:space="0" w:color="auto"/>
            <w:left w:val="none" w:sz="0" w:space="0" w:color="auto"/>
            <w:bottom w:val="none" w:sz="0" w:space="0" w:color="auto"/>
            <w:right w:val="none" w:sz="0" w:space="0" w:color="auto"/>
          </w:divBdr>
        </w:div>
        <w:div w:id="1744644666">
          <w:marLeft w:val="1627"/>
          <w:marRight w:val="0"/>
          <w:marTop w:val="77"/>
          <w:marBottom w:val="0"/>
          <w:divBdr>
            <w:top w:val="none" w:sz="0" w:space="0" w:color="auto"/>
            <w:left w:val="none" w:sz="0" w:space="0" w:color="auto"/>
            <w:bottom w:val="none" w:sz="0" w:space="0" w:color="auto"/>
            <w:right w:val="none" w:sz="0" w:space="0" w:color="auto"/>
          </w:divBdr>
        </w:div>
        <w:div w:id="649791153">
          <w:marLeft w:val="547"/>
          <w:marRight w:val="0"/>
          <w:marTop w:val="96"/>
          <w:marBottom w:val="0"/>
          <w:divBdr>
            <w:top w:val="none" w:sz="0" w:space="0" w:color="auto"/>
            <w:left w:val="none" w:sz="0" w:space="0" w:color="auto"/>
            <w:bottom w:val="none" w:sz="0" w:space="0" w:color="auto"/>
            <w:right w:val="none" w:sz="0" w:space="0" w:color="auto"/>
          </w:divBdr>
        </w:div>
        <w:div w:id="1572302771">
          <w:marLeft w:val="1166"/>
          <w:marRight w:val="0"/>
          <w:marTop w:val="8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5734961">
      <w:bodyDiv w:val="1"/>
      <w:marLeft w:val="0"/>
      <w:marRight w:val="0"/>
      <w:marTop w:val="0"/>
      <w:marBottom w:val="0"/>
      <w:divBdr>
        <w:top w:val="none" w:sz="0" w:space="0" w:color="auto"/>
        <w:left w:val="none" w:sz="0" w:space="0" w:color="auto"/>
        <w:bottom w:val="none" w:sz="0" w:space="0" w:color="auto"/>
        <w:right w:val="none" w:sz="0" w:space="0" w:color="auto"/>
      </w:divBdr>
      <w:divsChild>
        <w:div w:id="849682656">
          <w:marLeft w:val="547"/>
          <w:marRight w:val="0"/>
          <w:marTop w:val="96"/>
          <w:marBottom w:val="0"/>
          <w:divBdr>
            <w:top w:val="none" w:sz="0" w:space="0" w:color="auto"/>
            <w:left w:val="none" w:sz="0" w:space="0" w:color="auto"/>
            <w:bottom w:val="none" w:sz="0" w:space="0" w:color="auto"/>
            <w:right w:val="none" w:sz="0" w:space="0" w:color="auto"/>
          </w:divBdr>
        </w:div>
        <w:div w:id="1295982850">
          <w:marLeft w:val="1166"/>
          <w:marRight w:val="0"/>
          <w:marTop w:val="86"/>
          <w:marBottom w:val="0"/>
          <w:divBdr>
            <w:top w:val="none" w:sz="0" w:space="0" w:color="auto"/>
            <w:left w:val="none" w:sz="0" w:space="0" w:color="auto"/>
            <w:bottom w:val="none" w:sz="0" w:space="0" w:color="auto"/>
            <w:right w:val="none" w:sz="0" w:space="0" w:color="auto"/>
          </w:divBdr>
        </w:div>
        <w:div w:id="1683390003">
          <w:marLeft w:val="1166"/>
          <w:marRight w:val="0"/>
          <w:marTop w:val="86"/>
          <w:marBottom w:val="0"/>
          <w:divBdr>
            <w:top w:val="none" w:sz="0" w:space="0" w:color="auto"/>
            <w:left w:val="none" w:sz="0" w:space="0" w:color="auto"/>
            <w:bottom w:val="none" w:sz="0" w:space="0" w:color="auto"/>
            <w:right w:val="none" w:sz="0" w:space="0" w:color="auto"/>
          </w:divBdr>
        </w:div>
        <w:div w:id="471950498">
          <w:marLeft w:val="1166"/>
          <w:marRight w:val="0"/>
          <w:marTop w:val="86"/>
          <w:marBottom w:val="0"/>
          <w:divBdr>
            <w:top w:val="none" w:sz="0" w:space="0" w:color="auto"/>
            <w:left w:val="none" w:sz="0" w:space="0" w:color="auto"/>
            <w:bottom w:val="none" w:sz="0" w:space="0" w:color="auto"/>
            <w:right w:val="none" w:sz="0" w:space="0" w:color="auto"/>
          </w:divBdr>
        </w:div>
        <w:div w:id="375083728">
          <w:marLeft w:val="1166"/>
          <w:marRight w:val="0"/>
          <w:marTop w:val="86"/>
          <w:marBottom w:val="0"/>
          <w:divBdr>
            <w:top w:val="none" w:sz="0" w:space="0" w:color="auto"/>
            <w:left w:val="none" w:sz="0" w:space="0" w:color="auto"/>
            <w:bottom w:val="none" w:sz="0" w:space="0" w:color="auto"/>
            <w:right w:val="none" w:sz="0" w:space="0" w:color="auto"/>
          </w:divBdr>
        </w:div>
        <w:div w:id="1523978604">
          <w:marLeft w:val="547"/>
          <w:marRight w:val="0"/>
          <w:marTop w:val="96"/>
          <w:marBottom w:val="0"/>
          <w:divBdr>
            <w:top w:val="none" w:sz="0" w:space="0" w:color="auto"/>
            <w:left w:val="none" w:sz="0" w:space="0" w:color="auto"/>
            <w:bottom w:val="none" w:sz="0" w:space="0" w:color="auto"/>
            <w:right w:val="none" w:sz="0" w:space="0" w:color="auto"/>
          </w:divBdr>
        </w:div>
        <w:div w:id="734428630">
          <w:marLeft w:val="547"/>
          <w:marRight w:val="0"/>
          <w:marTop w:val="96"/>
          <w:marBottom w:val="0"/>
          <w:divBdr>
            <w:top w:val="none" w:sz="0" w:space="0" w:color="auto"/>
            <w:left w:val="none" w:sz="0" w:space="0" w:color="auto"/>
            <w:bottom w:val="none" w:sz="0" w:space="0" w:color="auto"/>
            <w:right w:val="none" w:sz="0" w:space="0" w:color="auto"/>
          </w:divBdr>
        </w:div>
        <w:div w:id="582951286">
          <w:marLeft w:val="1166"/>
          <w:marRight w:val="0"/>
          <w:marTop w:val="86"/>
          <w:marBottom w:val="0"/>
          <w:divBdr>
            <w:top w:val="none" w:sz="0" w:space="0" w:color="auto"/>
            <w:left w:val="none" w:sz="0" w:space="0" w:color="auto"/>
            <w:bottom w:val="none" w:sz="0" w:space="0" w:color="auto"/>
            <w:right w:val="none" w:sz="0" w:space="0" w:color="auto"/>
          </w:divBdr>
        </w:div>
        <w:div w:id="609431415">
          <w:marLeft w:val="1627"/>
          <w:marRight w:val="0"/>
          <w:marTop w:val="77"/>
          <w:marBottom w:val="0"/>
          <w:divBdr>
            <w:top w:val="none" w:sz="0" w:space="0" w:color="auto"/>
            <w:left w:val="none" w:sz="0" w:space="0" w:color="auto"/>
            <w:bottom w:val="none" w:sz="0" w:space="0" w:color="auto"/>
            <w:right w:val="none" w:sz="0" w:space="0" w:color="auto"/>
          </w:divBdr>
        </w:div>
        <w:div w:id="1288395412">
          <w:marLeft w:val="1166"/>
          <w:marRight w:val="0"/>
          <w:marTop w:val="86"/>
          <w:marBottom w:val="0"/>
          <w:divBdr>
            <w:top w:val="none" w:sz="0" w:space="0" w:color="auto"/>
            <w:left w:val="none" w:sz="0" w:space="0" w:color="auto"/>
            <w:bottom w:val="none" w:sz="0" w:space="0" w:color="auto"/>
            <w:right w:val="none" w:sz="0" w:space="0" w:color="auto"/>
          </w:divBdr>
        </w:div>
        <w:div w:id="1573808412">
          <w:marLeft w:val="1627"/>
          <w:marRight w:val="0"/>
          <w:marTop w:val="77"/>
          <w:marBottom w:val="0"/>
          <w:divBdr>
            <w:top w:val="none" w:sz="0" w:space="0" w:color="auto"/>
            <w:left w:val="none" w:sz="0" w:space="0" w:color="auto"/>
            <w:bottom w:val="none" w:sz="0" w:space="0" w:color="auto"/>
            <w:right w:val="none" w:sz="0" w:space="0" w:color="auto"/>
          </w:divBdr>
        </w:div>
        <w:div w:id="966274599">
          <w:marLeft w:val="1627"/>
          <w:marRight w:val="0"/>
          <w:marTop w:val="77"/>
          <w:marBottom w:val="0"/>
          <w:divBdr>
            <w:top w:val="none" w:sz="0" w:space="0" w:color="auto"/>
            <w:left w:val="none" w:sz="0" w:space="0" w:color="auto"/>
            <w:bottom w:val="none" w:sz="0" w:space="0" w:color="auto"/>
            <w:right w:val="none" w:sz="0" w:space="0" w:color="auto"/>
          </w:divBdr>
        </w:div>
        <w:div w:id="1956595855">
          <w:marLeft w:val="547"/>
          <w:marRight w:val="0"/>
          <w:marTop w:val="96"/>
          <w:marBottom w:val="0"/>
          <w:divBdr>
            <w:top w:val="none" w:sz="0" w:space="0" w:color="auto"/>
            <w:left w:val="none" w:sz="0" w:space="0" w:color="auto"/>
            <w:bottom w:val="none" w:sz="0" w:space="0" w:color="auto"/>
            <w:right w:val="none" w:sz="0" w:space="0" w:color="auto"/>
          </w:divBdr>
        </w:div>
        <w:div w:id="413284652">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HR33RHYHUWRF-4-529</_dlc_DocId>
    <_dlc_DocIdUrl xmlns="c06861ca-3f08-4d07-bff7-bb15bac121f4">
      <Url>https://projects.qualcomm.com/sites/pentari/_layouts/15/DocIdRedir.aspx?ID=HR33RHYHUWRF-4-529</Url>
      <Description>HR33RHYHUWRF-4-529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elements/1.1/"/>
    <ds:schemaRef ds:uri="http://purl.org/dc/dcmitype/"/>
    <ds:schemaRef ds:uri="http://schemas.openxmlformats.org/package/2006/metadata/core-properties"/>
    <ds:schemaRef ds:uri="http://schemas.microsoft.com/office/2006/documentManagement/types"/>
    <ds:schemaRef ds:uri="c06861ca-3f08-4d07-bff7-bb15bac121f4"/>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C3A618AC-CE82-4EE8-92DD-69BB535A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5ECE34A9-2501-4D91-8D8D-D0A99B36B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1994</Words>
  <Characters>10225</Characters>
  <Application>Microsoft Office Word</Application>
  <DocSecurity>4</DocSecurity>
  <Lines>85</Lines>
  <Paragraphs>24</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12195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Lee, Heechoon</cp:lastModifiedBy>
  <cp:revision>2</cp:revision>
  <cp:lastPrinted>2014-11-07T05:38:00Z</cp:lastPrinted>
  <dcterms:created xsi:type="dcterms:W3CDTF">2016-10-01T02:18:00Z</dcterms:created>
  <dcterms:modified xsi:type="dcterms:W3CDTF">2016-10-01T02:18:00Z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927b8d6d-c521-4df7-bb74-998981f6667c</vt:lpwstr>
  </property>
</Properties>
</file>