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E05FE9" w14:textId="02037224"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1B0075">
        <w:rPr>
          <w:rFonts w:cs="Arial" w:hint="eastAsia"/>
          <w:bCs/>
          <w:sz w:val="20"/>
          <w:lang w:eastAsia="ja-JP"/>
        </w:rPr>
        <w:t>6</w:t>
      </w:r>
      <w:r w:rsidR="00AE28C9">
        <w:rPr>
          <w:rFonts w:cs="Arial" w:hint="eastAsia"/>
          <w:bCs/>
          <w:sz w:val="20"/>
          <w:lang w:eastAsia="ja-JP"/>
        </w:rPr>
        <w:t>bis</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A97A6A" w:rsidRPr="00A97A6A">
        <w:rPr>
          <w:rFonts w:cs="Arial"/>
          <w:bCs/>
          <w:sz w:val="20"/>
          <w:lang w:eastAsia="ja-JP"/>
        </w:rPr>
        <w:t>R1-1609702</w:t>
      </w:r>
    </w:p>
    <w:p w14:paraId="14CC3E1F" w14:textId="1EAAE1AD" w:rsidR="00941D27" w:rsidRPr="0093682F" w:rsidRDefault="00AE28C9" w:rsidP="00941D27">
      <w:pPr>
        <w:pStyle w:val="TdocHeader2"/>
        <w:jc w:val="left"/>
        <w:rPr>
          <w:rFonts w:eastAsiaTheme="minorEastAsia"/>
          <w:lang w:val="en-US"/>
        </w:rPr>
      </w:pPr>
      <w:r>
        <w:rPr>
          <w:rFonts w:eastAsia="ＭＳ 明朝" w:cs="Arial" w:hint="eastAsia"/>
          <w:bCs/>
          <w:sz w:val="20"/>
          <w:lang w:val="en-US" w:eastAsia="ja-JP"/>
        </w:rPr>
        <w:t>Lisbon</w:t>
      </w:r>
      <w:r w:rsidR="00100F32" w:rsidRPr="00100F32">
        <w:rPr>
          <w:rFonts w:eastAsia="ＭＳ 明朝" w:cs="Arial"/>
          <w:bCs/>
          <w:sz w:val="20"/>
          <w:lang w:val="en-US" w:eastAsia="ja-JP"/>
        </w:rPr>
        <w:t xml:space="preserve">, </w:t>
      </w:r>
      <w:r>
        <w:rPr>
          <w:rFonts w:eastAsia="ＭＳ 明朝" w:cs="Arial" w:hint="eastAsia"/>
          <w:bCs/>
          <w:sz w:val="20"/>
          <w:lang w:val="en-US" w:eastAsia="ja-JP"/>
        </w:rPr>
        <w:t>Portugal</w:t>
      </w:r>
      <w:r w:rsidR="00100F32" w:rsidRPr="00100F32">
        <w:rPr>
          <w:rFonts w:eastAsia="ＭＳ 明朝" w:cs="Arial"/>
          <w:bCs/>
          <w:sz w:val="20"/>
          <w:lang w:val="en-US" w:eastAsia="ja-JP"/>
        </w:rPr>
        <w:t xml:space="preserve"> </w:t>
      </w:r>
      <w:r>
        <w:rPr>
          <w:rFonts w:eastAsia="ＭＳ 明朝" w:cs="Arial" w:hint="eastAsia"/>
          <w:bCs/>
          <w:sz w:val="20"/>
          <w:lang w:val="en-US" w:eastAsia="ja-JP"/>
        </w:rPr>
        <w:t>10th</w:t>
      </w:r>
      <w:r w:rsidR="00100F32" w:rsidRPr="00100F32">
        <w:rPr>
          <w:rFonts w:eastAsia="ＭＳ 明朝" w:cs="Arial"/>
          <w:bCs/>
          <w:sz w:val="20"/>
          <w:lang w:val="en-US" w:eastAsia="ja-JP"/>
        </w:rPr>
        <w:t xml:space="preserve"> - </w:t>
      </w:r>
      <w:r>
        <w:rPr>
          <w:rFonts w:eastAsia="ＭＳ 明朝" w:cs="Arial" w:hint="eastAsia"/>
          <w:bCs/>
          <w:sz w:val="20"/>
          <w:lang w:val="en-US" w:eastAsia="ja-JP"/>
        </w:rPr>
        <w:t>14</w:t>
      </w:r>
      <w:r w:rsidR="00100F32" w:rsidRPr="00100F32">
        <w:rPr>
          <w:rFonts w:eastAsia="ＭＳ 明朝" w:cs="Arial"/>
          <w:bCs/>
          <w:sz w:val="20"/>
          <w:lang w:val="en-US" w:eastAsia="ja-JP"/>
        </w:rPr>
        <w:t xml:space="preserve">6th </w:t>
      </w:r>
      <w:r>
        <w:rPr>
          <w:rFonts w:eastAsia="ＭＳ 明朝" w:cs="Arial" w:hint="eastAsia"/>
          <w:bCs/>
          <w:sz w:val="20"/>
          <w:lang w:val="en-US" w:eastAsia="ja-JP"/>
        </w:rPr>
        <w:t>October</w:t>
      </w:r>
      <w:r w:rsidR="00100F32" w:rsidRPr="00100F32">
        <w:rPr>
          <w:rFonts w:eastAsia="ＭＳ 明朝" w:cs="Arial"/>
          <w:bCs/>
          <w:sz w:val="20"/>
          <w:lang w:val="en-US" w:eastAsia="ja-JP"/>
        </w:rPr>
        <w:t xml:space="preserve"> 2016</w:t>
      </w:r>
    </w:p>
    <w:p w14:paraId="7A77E1E2" w14:textId="77777777" w:rsidR="005479EF" w:rsidRDefault="005479EF" w:rsidP="001455E4">
      <w:pPr>
        <w:pStyle w:val="a6"/>
        <w:widowControl w:val="0"/>
      </w:pPr>
    </w:p>
    <w:p w14:paraId="642184E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4F457AC" w14:textId="6977C834"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25DAC">
        <w:rPr>
          <w:rFonts w:eastAsia="ＭＳ 明朝" w:hint="eastAsia"/>
          <w:b w:val="0"/>
          <w:sz w:val="20"/>
          <w:lang w:eastAsia="ja-JP"/>
        </w:rPr>
        <w:t>Discussion on the NR mobility</w:t>
      </w:r>
    </w:p>
    <w:p w14:paraId="5CD465CE" w14:textId="512242DF"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513EF">
        <w:rPr>
          <w:rFonts w:ascii="Arial" w:hAnsi="Arial" w:hint="eastAsia"/>
          <w:lang w:eastAsia="ja-JP"/>
        </w:rPr>
        <w:t>8.1.</w:t>
      </w:r>
      <w:r w:rsidR="00D31BCF">
        <w:rPr>
          <w:rFonts w:ascii="Arial" w:hAnsi="Arial" w:hint="eastAsia"/>
          <w:lang w:eastAsia="ja-JP"/>
        </w:rPr>
        <w:t>5</w:t>
      </w:r>
      <w:r w:rsidR="00AE28C9">
        <w:rPr>
          <w:rFonts w:ascii="Arial" w:hAnsi="Arial" w:hint="eastAsia"/>
          <w:lang w:eastAsia="ja-JP"/>
        </w:rPr>
        <w:t>.</w:t>
      </w:r>
      <w:r w:rsidR="00B37963">
        <w:rPr>
          <w:rFonts w:ascii="Arial" w:hAnsi="Arial" w:hint="eastAsia"/>
          <w:lang w:eastAsia="ja-JP"/>
        </w:rPr>
        <w:t>3</w:t>
      </w:r>
    </w:p>
    <w:p w14:paraId="5B5287A5"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82AAFCB" w14:textId="77777777"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14:paraId="5E2CC516" w14:textId="510742FC" w:rsidR="00A22D0C" w:rsidRDefault="002B6040" w:rsidP="00AD2A18">
      <w:pPr>
        <w:tabs>
          <w:tab w:val="left" w:pos="4008"/>
        </w:tabs>
        <w:rPr>
          <w:lang w:eastAsia="ja-JP"/>
        </w:rPr>
      </w:pPr>
      <w:bookmarkStart w:id="0" w:name="OLE_LINK10"/>
      <w:bookmarkStart w:id="1" w:name="OLE_LINK11"/>
      <w:r>
        <w:rPr>
          <w:rFonts w:hint="eastAsia"/>
          <w:lang w:eastAsia="ja-JP"/>
        </w:rPr>
        <w:t xml:space="preserve">This document </w:t>
      </w:r>
      <w:r w:rsidR="00AD2A18">
        <w:rPr>
          <w:rFonts w:hint="eastAsia"/>
          <w:lang w:eastAsia="ja-JP"/>
        </w:rPr>
        <w:t>discuss</w:t>
      </w:r>
      <w:r w:rsidR="003918C0">
        <w:rPr>
          <w:rFonts w:hint="eastAsia"/>
          <w:lang w:eastAsia="ja-JP"/>
        </w:rPr>
        <w:t>es</w:t>
      </w:r>
      <w:r w:rsidR="00F21367">
        <w:rPr>
          <w:rFonts w:hint="eastAsia"/>
          <w:lang w:eastAsia="ja-JP"/>
        </w:rPr>
        <w:t xml:space="preserve"> </w:t>
      </w:r>
      <w:r w:rsidR="00DD507A">
        <w:rPr>
          <w:rFonts w:hint="eastAsia"/>
          <w:lang w:eastAsia="ja-JP"/>
        </w:rPr>
        <w:t>the mobility</w:t>
      </w:r>
      <w:r w:rsidR="00865032">
        <w:rPr>
          <w:rFonts w:hint="eastAsia"/>
          <w:lang w:eastAsia="ja-JP"/>
        </w:rPr>
        <w:t xml:space="preserve"> of NR from RAN1 perspective.</w:t>
      </w:r>
    </w:p>
    <w:p w14:paraId="3577D2DA" w14:textId="77777777" w:rsidR="00AD2A18" w:rsidRPr="00CB0F2D" w:rsidRDefault="00AD2A18" w:rsidP="00AD2A18">
      <w:pPr>
        <w:tabs>
          <w:tab w:val="left" w:pos="4008"/>
        </w:tabs>
        <w:rPr>
          <w:lang w:eastAsia="ja-JP"/>
        </w:rPr>
      </w:pPr>
    </w:p>
    <w:bookmarkEnd w:id="0"/>
    <w:bookmarkEnd w:id="1"/>
    <w:p w14:paraId="7691B388" w14:textId="77777777" w:rsidR="00465C03" w:rsidRDefault="007513EF" w:rsidP="002D4DCA">
      <w:pPr>
        <w:pStyle w:val="1"/>
        <w:tabs>
          <w:tab w:val="num" w:pos="426"/>
        </w:tabs>
        <w:ind w:left="426" w:hanging="426"/>
        <w:rPr>
          <w:szCs w:val="36"/>
          <w:lang w:eastAsia="ja-JP"/>
        </w:rPr>
      </w:pPr>
      <w:r>
        <w:rPr>
          <w:rFonts w:hint="eastAsia"/>
          <w:szCs w:val="36"/>
          <w:lang w:eastAsia="ja-JP"/>
        </w:rPr>
        <w:t>Discussion</w:t>
      </w:r>
    </w:p>
    <w:p w14:paraId="64960975" w14:textId="79F22019" w:rsidR="005F1555" w:rsidRPr="007B7205" w:rsidRDefault="005F1555" w:rsidP="005F1555">
      <w:pPr>
        <w:tabs>
          <w:tab w:val="left" w:pos="0"/>
        </w:tabs>
        <w:spacing w:beforeLines="50" w:before="120" w:after="0"/>
        <w:rPr>
          <w:b/>
          <w:u w:val="single"/>
          <w:lang w:eastAsia="ja-JP"/>
        </w:rPr>
      </w:pPr>
      <w:r>
        <w:rPr>
          <w:rFonts w:hint="eastAsia"/>
          <w:b/>
          <w:u w:val="single"/>
          <w:lang w:eastAsia="ja-JP"/>
        </w:rPr>
        <w:t>Assumption on the mobility states</w:t>
      </w:r>
    </w:p>
    <w:p w14:paraId="726E6F99" w14:textId="4BD70096" w:rsidR="005F1555" w:rsidRDefault="005F1555" w:rsidP="005F1555">
      <w:pPr>
        <w:tabs>
          <w:tab w:val="left" w:pos="0"/>
        </w:tabs>
        <w:spacing w:beforeLines="50" w:before="120" w:after="0"/>
        <w:ind w:left="568"/>
        <w:rPr>
          <w:lang w:eastAsia="ja-JP"/>
        </w:rPr>
      </w:pPr>
      <w:r>
        <w:rPr>
          <w:rFonts w:hint="eastAsia"/>
          <w:lang w:eastAsia="ja-JP"/>
        </w:rPr>
        <w:t xml:space="preserve">Although RAN2 didn't yet agree the existence of idle mode and connected mode, this document assume the existence of idle mode and connected mode similar to LTE. Our understanding of current RAN2 discussion of new state is </w:t>
      </w:r>
      <w:r w:rsidR="00F10F48">
        <w:rPr>
          <w:rFonts w:hint="eastAsia"/>
          <w:lang w:eastAsia="ja-JP"/>
        </w:rPr>
        <w:t>to have additional mode which is in the middle between connected and idle states i.e. low power consumption during aperiodic small data traffic.</w:t>
      </w:r>
    </w:p>
    <w:p w14:paraId="7A55DA86" w14:textId="08AC9ABD" w:rsidR="005466EE" w:rsidRDefault="002F1E0E" w:rsidP="005F1555">
      <w:pPr>
        <w:tabs>
          <w:tab w:val="left" w:pos="0"/>
        </w:tabs>
        <w:spacing w:beforeLines="50" w:before="120" w:after="0"/>
        <w:ind w:left="568"/>
        <w:rPr>
          <w:lang w:eastAsia="ja-JP"/>
        </w:rPr>
      </w:pPr>
      <w:r>
        <w:rPr>
          <w:rFonts w:hint="eastAsia"/>
          <w:lang w:eastAsia="ja-JP"/>
        </w:rPr>
        <w:t>We propose to progress RAN1 discussion based on the assumption of existence of idle mode and connected mode. When RAN2 states discussion is progressed, the alignment with RAN2 discussion is further discussed.</w:t>
      </w:r>
      <w:r w:rsidR="00E35BBE">
        <w:rPr>
          <w:rFonts w:hint="eastAsia"/>
          <w:lang w:eastAsia="ja-JP"/>
        </w:rPr>
        <w:t xml:space="preserve"> </w:t>
      </w:r>
      <w:r w:rsidR="00CA6D08">
        <w:rPr>
          <w:rFonts w:hint="eastAsia"/>
          <w:lang w:eastAsia="ja-JP"/>
        </w:rPr>
        <w:t xml:space="preserve">This is especially new state. </w:t>
      </w:r>
      <w:r w:rsidR="00E35BBE">
        <w:rPr>
          <w:rFonts w:hint="eastAsia"/>
          <w:lang w:eastAsia="ja-JP"/>
        </w:rPr>
        <w:t>RAN1 should not just wait RAN2 progress.</w:t>
      </w:r>
    </w:p>
    <w:p w14:paraId="4DC29C6E" w14:textId="60B90120" w:rsidR="00E35BBE" w:rsidRPr="00CA6D08" w:rsidRDefault="005466EE" w:rsidP="005F1555">
      <w:pPr>
        <w:tabs>
          <w:tab w:val="left" w:pos="0"/>
        </w:tabs>
        <w:spacing w:beforeLines="50" w:before="120" w:after="0"/>
        <w:ind w:left="568"/>
        <w:rPr>
          <w:b/>
          <w:lang w:eastAsia="ja-JP"/>
        </w:rPr>
      </w:pPr>
      <w:r>
        <w:rPr>
          <w:rFonts w:hint="eastAsia"/>
          <w:b/>
          <w:lang w:eastAsia="ja-JP"/>
        </w:rPr>
        <w:t xml:space="preserve">Proposal 1: To progress </w:t>
      </w:r>
      <w:r w:rsidRPr="005466EE">
        <w:rPr>
          <w:b/>
          <w:lang w:eastAsia="ja-JP"/>
        </w:rPr>
        <w:t>RAN1 discussion based on the assumption of existence of idle mode and connected mode.</w:t>
      </w:r>
      <w:r>
        <w:rPr>
          <w:rFonts w:hint="eastAsia"/>
          <w:b/>
          <w:lang w:eastAsia="ja-JP"/>
        </w:rPr>
        <w:t xml:space="preserve"> The alignment with RAN2 discussion should be carried out later.</w:t>
      </w:r>
    </w:p>
    <w:p w14:paraId="3073C695" w14:textId="77777777" w:rsidR="005F1555" w:rsidRDefault="005F1555" w:rsidP="00E028BD">
      <w:pPr>
        <w:tabs>
          <w:tab w:val="left" w:pos="0"/>
        </w:tabs>
        <w:spacing w:beforeLines="50" w:before="120" w:after="0"/>
        <w:rPr>
          <w:b/>
          <w:u w:val="single"/>
          <w:lang w:eastAsia="ja-JP"/>
        </w:rPr>
      </w:pPr>
    </w:p>
    <w:p w14:paraId="36A2491E" w14:textId="0F49EBE4" w:rsidR="003D5367" w:rsidRPr="007B7205" w:rsidRDefault="003D5367" w:rsidP="003D5367">
      <w:pPr>
        <w:tabs>
          <w:tab w:val="left" w:pos="0"/>
        </w:tabs>
        <w:spacing w:beforeLines="50" w:before="120" w:after="0"/>
        <w:rPr>
          <w:b/>
          <w:u w:val="single"/>
          <w:lang w:eastAsia="ja-JP"/>
        </w:rPr>
      </w:pPr>
      <w:r>
        <w:rPr>
          <w:rFonts w:hint="eastAsia"/>
          <w:b/>
          <w:u w:val="single"/>
          <w:lang w:eastAsia="ja-JP"/>
        </w:rPr>
        <w:t>Definition of cell</w:t>
      </w:r>
    </w:p>
    <w:p w14:paraId="500834B6" w14:textId="72EC85C7" w:rsidR="00AA4C58" w:rsidRDefault="00AA4C58" w:rsidP="003D5367">
      <w:pPr>
        <w:tabs>
          <w:tab w:val="left" w:pos="0"/>
        </w:tabs>
        <w:spacing w:beforeLines="50" w:before="120" w:after="0"/>
        <w:ind w:left="568"/>
        <w:rPr>
          <w:lang w:eastAsia="ja-JP"/>
        </w:rPr>
      </w:pPr>
      <w:r>
        <w:rPr>
          <w:rFonts w:hint="eastAsia"/>
          <w:lang w:eastAsia="ja-JP"/>
        </w:rPr>
        <w:t xml:space="preserve">In LTE, "cell" is used for spatial meaning of the certain coverage and for frequency domain meaning as one component carrier. The frequency domain usage of cell should be discussed related to carrier aggregation discussion. Here we discuss spatial domain definition of the cell. </w:t>
      </w:r>
    </w:p>
    <w:p w14:paraId="1957FC10" w14:textId="170FD339" w:rsidR="00AA4C58" w:rsidRDefault="00AA4C58" w:rsidP="003D5367">
      <w:pPr>
        <w:tabs>
          <w:tab w:val="left" w:pos="0"/>
        </w:tabs>
        <w:spacing w:beforeLines="50" w:before="120" w:after="0"/>
        <w:ind w:left="568"/>
        <w:rPr>
          <w:lang w:eastAsia="ja-JP"/>
        </w:rPr>
      </w:pPr>
      <w:r>
        <w:rPr>
          <w:rFonts w:hint="eastAsia"/>
          <w:lang w:eastAsia="ja-JP"/>
        </w:rPr>
        <w:t xml:space="preserve">Our view of the definition of the cell is similar to LTE. One spatial coverage covered by PSS/SSS and essential SIBs (including </w:t>
      </w:r>
      <w:r w:rsidR="0021365C">
        <w:rPr>
          <w:rFonts w:hint="eastAsia"/>
          <w:lang w:eastAsia="ja-JP"/>
        </w:rPr>
        <w:t>MIB) determines one cell.</w:t>
      </w:r>
      <w:r w:rsidR="009A6B22">
        <w:rPr>
          <w:rFonts w:hint="eastAsia"/>
          <w:lang w:eastAsia="ja-JP"/>
        </w:rPr>
        <w:t xml:space="preserve"> More exact</w:t>
      </w:r>
      <w:r w:rsidR="001D49FE">
        <w:rPr>
          <w:rFonts w:hint="eastAsia"/>
          <w:lang w:eastAsia="ja-JP"/>
        </w:rPr>
        <w:t xml:space="preserve"> definition involves the certain RS</w:t>
      </w:r>
      <w:r w:rsidR="00903623">
        <w:rPr>
          <w:rFonts w:hint="eastAsia"/>
          <w:lang w:eastAsia="ja-JP"/>
        </w:rPr>
        <w:t>R</w:t>
      </w:r>
      <w:r w:rsidR="001D49FE">
        <w:rPr>
          <w:rFonts w:hint="eastAsia"/>
          <w:lang w:eastAsia="ja-JP"/>
        </w:rPr>
        <w:t>P/RS</w:t>
      </w:r>
      <w:r w:rsidR="009C2D8F">
        <w:rPr>
          <w:rFonts w:hint="eastAsia"/>
          <w:lang w:eastAsia="ja-JP"/>
        </w:rPr>
        <w:t>R</w:t>
      </w:r>
      <w:r w:rsidR="001D49FE">
        <w:rPr>
          <w:rFonts w:hint="eastAsia"/>
          <w:lang w:eastAsia="ja-JP"/>
        </w:rPr>
        <w:t xml:space="preserve">Q criteria to satisfy </w:t>
      </w:r>
      <w:r w:rsidR="009A6B22" w:rsidRPr="009A6B22">
        <w:rPr>
          <w:lang w:eastAsia="ja-JP"/>
        </w:rPr>
        <w:t>the minimum required quality level in the cell in dB</w:t>
      </w:r>
      <w:r w:rsidR="009A6B22">
        <w:rPr>
          <w:rFonts w:hint="eastAsia"/>
          <w:lang w:eastAsia="ja-JP"/>
        </w:rPr>
        <w:t xml:space="preserve"> related to mobility procedure but this exact definition should be discussed related to exact mobility procedure in RAN2.</w:t>
      </w:r>
    </w:p>
    <w:p w14:paraId="49E4B406" w14:textId="4332C6C2" w:rsidR="00764AED" w:rsidRDefault="00F773BF" w:rsidP="00764AED">
      <w:pPr>
        <w:tabs>
          <w:tab w:val="left" w:pos="0"/>
        </w:tabs>
        <w:spacing w:beforeLines="50" w:before="120" w:after="0"/>
        <w:ind w:left="568"/>
        <w:rPr>
          <w:b/>
          <w:lang w:eastAsia="ja-JP"/>
        </w:rPr>
      </w:pPr>
      <w:r>
        <w:rPr>
          <w:rFonts w:hint="eastAsia"/>
          <w:b/>
          <w:lang w:eastAsia="ja-JP"/>
        </w:rPr>
        <w:t>Proposal 2</w:t>
      </w:r>
      <w:r w:rsidR="00764AED">
        <w:rPr>
          <w:rFonts w:hint="eastAsia"/>
          <w:b/>
          <w:lang w:eastAsia="ja-JP"/>
        </w:rPr>
        <w:t>: The definition of the cell in high level is o</w:t>
      </w:r>
      <w:r w:rsidR="00764AED" w:rsidRPr="00764AED">
        <w:rPr>
          <w:b/>
          <w:lang w:eastAsia="ja-JP"/>
        </w:rPr>
        <w:t xml:space="preserve">ne spatial coverage covered by </w:t>
      </w:r>
      <w:r w:rsidR="00764AED">
        <w:rPr>
          <w:rFonts w:hint="eastAsia"/>
          <w:b/>
          <w:lang w:eastAsia="ja-JP"/>
        </w:rPr>
        <w:t xml:space="preserve">a </w:t>
      </w:r>
      <w:r w:rsidR="00764AED" w:rsidRPr="00764AED">
        <w:rPr>
          <w:b/>
          <w:lang w:eastAsia="ja-JP"/>
        </w:rPr>
        <w:t>PSS/SSS and essential SIBs (including MIB)</w:t>
      </w:r>
      <w:r w:rsidR="00764AED">
        <w:rPr>
          <w:rFonts w:hint="eastAsia"/>
          <w:b/>
          <w:lang w:eastAsia="ja-JP"/>
        </w:rPr>
        <w:t>.</w:t>
      </w:r>
    </w:p>
    <w:p w14:paraId="62B2FD29" w14:textId="77777777" w:rsidR="009A6B22" w:rsidRDefault="009A6B22" w:rsidP="003D5367">
      <w:pPr>
        <w:tabs>
          <w:tab w:val="left" w:pos="0"/>
        </w:tabs>
        <w:spacing w:beforeLines="50" w:before="120" w:after="0"/>
        <w:ind w:left="568"/>
        <w:rPr>
          <w:lang w:eastAsia="ja-JP"/>
        </w:rPr>
      </w:pPr>
    </w:p>
    <w:p w14:paraId="5B213541" w14:textId="09DB64C9" w:rsidR="00CF553B" w:rsidRPr="007B7205" w:rsidRDefault="00CF553B" w:rsidP="00CF553B">
      <w:pPr>
        <w:tabs>
          <w:tab w:val="left" w:pos="0"/>
        </w:tabs>
        <w:spacing w:beforeLines="50" w:before="120" w:after="0"/>
        <w:rPr>
          <w:b/>
          <w:u w:val="single"/>
          <w:lang w:eastAsia="ja-JP"/>
        </w:rPr>
      </w:pPr>
      <w:r>
        <w:rPr>
          <w:rFonts w:hint="eastAsia"/>
          <w:b/>
          <w:u w:val="single"/>
          <w:lang w:eastAsia="ja-JP"/>
        </w:rPr>
        <w:t>Cell and a beam</w:t>
      </w:r>
    </w:p>
    <w:p w14:paraId="05451767" w14:textId="52A8E5BE" w:rsidR="00D001D4" w:rsidRDefault="00D001D4" w:rsidP="00CF553B">
      <w:pPr>
        <w:tabs>
          <w:tab w:val="left" w:pos="0"/>
        </w:tabs>
        <w:spacing w:beforeLines="50" w:before="120" w:after="0"/>
        <w:ind w:left="568"/>
        <w:rPr>
          <w:lang w:eastAsia="ja-JP"/>
        </w:rPr>
      </w:pPr>
      <w:r>
        <w:rPr>
          <w:rFonts w:hint="eastAsia"/>
          <w:lang w:eastAsia="ja-JP"/>
        </w:rPr>
        <w:t xml:space="preserve">A cell can </w:t>
      </w:r>
      <w:r w:rsidR="00DF7277">
        <w:rPr>
          <w:lang w:eastAsia="ja-JP"/>
        </w:rPr>
        <w:t>contain</w:t>
      </w:r>
      <w:r>
        <w:rPr>
          <w:rFonts w:hint="eastAsia"/>
          <w:lang w:eastAsia="ja-JP"/>
        </w:rPr>
        <w:t xml:space="preserve"> multiple beams. Although there are beams transparent to UE, here we discuss the beams identified by UEs like beam ID. One TRPx may transmit one or </w:t>
      </w:r>
      <w:bookmarkStart w:id="2" w:name="_GoBack"/>
      <w:bookmarkEnd w:id="2"/>
      <w:r>
        <w:rPr>
          <w:rFonts w:hint="eastAsia"/>
          <w:lang w:eastAsia="ja-JP"/>
        </w:rPr>
        <w:t>more beams.</w:t>
      </w:r>
      <w:r w:rsidR="005E6CDA">
        <w:rPr>
          <w:rFonts w:hint="eastAsia"/>
          <w:lang w:eastAsia="ja-JP"/>
        </w:rPr>
        <w:t xml:space="preserve"> TRPx itself is transparent to UE.</w:t>
      </w:r>
      <w:r w:rsidR="00A46A2E">
        <w:rPr>
          <w:rFonts w:hint="eastAsia"/>
          <w:lang w:eastAsia="ja-JP"/>
        </w:rPr>
        <w:t xml:space="preserve"> When one cell is realized multiple TDMed beams (like the case of analogue beam forming), </w:t>
      </w:r>
      <w:r w:rsidR="000130BB">
        <w:rPr>
          <w:rFonts w:hint="eastAsia"/>
          <w:lang w:eastAsia="ja-JP"/>
        </w:rPr>
        <w:t xml:space="preserve">one </w:t>
      </w:r>
    </w:p>
    <w:p w14:paraId="43CAAF72" w14:textId="77777777" w:rsidR="005E6CDA" w:rsidRDefault="005E6CDA" w:rsidP="00CF553B">
      <w:pPr>
        <w:tabs>
          <w:tab w:val="left" w:pos="0"/>
        </w:tabs>
        <w:spacing w:beforeLines="50" w:before="120" w:after="0"/>
        <w:ind w:left="568"/>
        <w:rPr>
          <w:lang w:eastAsia="ja-JP"/>
        </w:rPr>
      </w:pPr>
    </w:p>
    <w:p w14:paraId="6548E98F" w14:textId="7E705C80" w:rsidR="005E6CDA" w:rsidRPr="007B7205" w:rsidRDefault="005E6CDA" w:rsidP="005E6CDA">
      <w:pPr>
        <w:tabs>
          <w:tab w:val="left" w:pos="0"/>
        </w:tabs>
        <w:spacing w:beforeLines="50" w:before="120" w:after="0"/>
        <w:rPr>
          <w:b/>
          <w:u w:val="single"/>
          <w:lang w:eastAsia="ja-JP"/>
        </w:rPr>
      </w:pPr>
      <w:r>
        <w:rPr>
          <w:rFonts w:hint="eastAsia"/>
          <w:b/>
          <w:u w:val="single"/>
          <w:lang w:eastAsia="ja-JP"/>
        </w:rPr>
        <w:t>Idle mode mobility</w:t>
      </w:r>
    </w:p>
    <w:p w14:paraId="180F66A7" w14:textId="724FAAD0" w:rsidR="00F773BF" w:rsidRDefault="00F773BF" w:rsidP="005E6CDA">
      <w:pPr>
        <w:tabs>
          <w:tab w:val="left" w:pos="0"/>
        </w:tabs>
        <w:spacing w:beforeLines="50" w:before="120" w:after="0"/>
        <w:ind w:left="568"/>
        <w:rPr>
          <w:lang w:eastAsia="ja-JP"/>
        </w:rPr>
      </w:pPr>
      <w:r>
        <w:rPr>
          <w:rFonts w:hint="eastAsia"/>
          <w:lang w:eastAsia="ja-JP"/>
        </w:rPr>
        <w:t>In idle mode, the mobility (selection of cell/beam) is by UE autonomous selection. In idle mode, we propose only cell based mobility is supported. To identify beam based mobility increase UE power consumption for the measurement.</w:t>
      </w:r>
    </w:p>
    <w:p w14:paraId="572A5A91" w14:textId="77777777" w:rsidR="005E2B32" w:rsidRDefault="005E2B32" w:rsidP="005E2B32">
      <w:pPr>
        <w:tabs>
          <w:tab w:val="left" w:pos="0"/>
        </w:tabs>
        <w:spacing w:beforeLines="50" w:before="120" w:after="0"/>
        <w:ind w:left="568"/>
        <w:rPr>
          <w:b/>
          <w:lang w:eastAsia="ja-JP"/>
        </w:rPr>
      </w:pPr>
      <w:r>
        <w:rPr>
          <w:rFonts w:hint="eastAsia"/>
          <w:b/>
          <w:lang w:eastAsia="ja-JP"/>
        </w:rPr>
        <w:t>Proposal 3: Cell based mobility only is supported in idle mode.</w:t>
      </w:r>
    </w:p>
    <w:p w14:paraId="7B3FEFA1" w14:textId="77777777" w:rsidR="005E2B32" w:rsidRDefault="005E2B32" w:rsidP="005E6CDA">
      <w:pPr>
        <w:tabs>
          <w:tab w:val="left" w:pos="0"/>
        </w:tabs>
        <w:spacing w:beforeLines="50" w:before="120" w:after="0"/>
        <w:ind w:left="568"/>
        <w:rPr>
          <w:lang w:eastAsia="ja-JP"/>
        </w:rPr>
      </w:pPr>
    </w:p>
    <w:p w14:paraId="0E27012B" w14:textId="4B734052" w:rsidR="005E2B32" w:rsidRPr="007B7205" w:rsidRDefault="00DA020F" w:rsidP="005E2B32">
      <w:pPr>
        <w:tabs>
          <w:tab w:val="left" w:pos="0"/>
        </w:tabs>
        <w:spacing w:beforeLines="50" w:before="120" w:after="0"/>
        <w:rPr>
          <w:b/>
          <w:u w:val="single"/>
          <w:lang w:eastAsia="ja-JP"/>
        </w:rPr>
      </w:pPr>
      <w:r>
        <w:rPr>
          <w:rFonts w:hint="eastAsia"/>
          <w:b/>
          <w:u w:val="single"/>
          <w:lang w:eastAsia="ja-JP"/>
        </w:rPr>
        <w:t>Connected</w:t>
      </w:r>
      <w:r w:rsidR="005E2B32">
        <w:rPr>
          <w:rFonts w:hint="eastAsia"/>
          <w:b/>
          <w:u w:val="single"/>
          <w:lang w:eastAsia="ja-JP"/>
        </w:rPr>
        <w:t xml:space="preserve"> mode mobility</w:t>
      </w:r>
    </w:p>
    <w:p w14:paraId="2983196C" w14:textId="77777777" w:rsidR="00155CF3" w:rsidRDefault="005E2B32" w:rsidP="005E2B32">
      <w:pPr>
        <w:tabs>
          <w:tab w:val="left" w:pos="0"/>
        </w:tabs>
        <w:spacing w:beforeLines="50" w:before="120" w:after="0"/>
        <w:ind w:left="568"/>
        <w:rPr>
          <w:lang w:eastAsia="ja-JP"/>
        </w:rPr>
      </w:pPr>
      <w:r>
        <w:rPr>
          <w:rFonts w:hint="eastAsia"/>
          <w:lang w:eastAsia="ja-JP"/>
        </w:rPr>
        <w:lastRenderedPageBreak/>
        <w:t xml:space="preserve">In </w:t>
      </w:r>
      <w:r w:rsidR="00DA020F">
        <w:rPr>
          <w:rFonts w:hint="eastAsia"/>
          <w:lang w:eastAsia="ja-JP"/>
        </w:rPr>
        <w:t xml:space="preserve">connected mode, there is unicast traffic in DL and UL. </w:t>
      </w:r>
      <w:r w:rsidR="00F878D4">
        <w:rPr>
          <w:rFonts w:hint="eastAsia"/>
          <w:lang w:eastAsia="ja-JP"/>
        </w:rPr>
        <w:t xml:space="preserve">To identify </w:t>
      </w:r>
      <w:r w:rsidR="00155CF3">
        <w:rPr>
          <w:rFonts w:hint="eastAsia"/>
          <w:lang w:eastAsia="ja-JP"/>
        </w:rPr>
        <w:t xml:space="preserve">beam can improve the efficiency of unicast traffic. </w:t>
      </w:r>
    </w:p>
    <w:p w14:paraId="27D32540" w14:textId="464EF455" w:rsidR="00155CF3" w:rsidRDefault="00155CF3" w:rsidP="00155CF3">
      <w:pPr>
        <w:tabs>
          <w:tab w:val="left" w:pos="0"/>
        </w:tabs>
        <w:spacing w:beforeLines="50" w:before="120" w:after="0"/>
        <w:ind w:left="568"/>
        <w:rPr>
          <w:b/>
          <w:lang w:eastAsia="ja-JP"/>
        </w:rPr>
      </w:pPr>
      <w:r>
        <w:rPr>
          <w:rFonts w:hint="eastAsia"/>
          <w:b/>
          <w:lang w:eastAsia="ja-JP"/>
        </w:rPr>
        <w:t>Proposal 4: Cell based mobility and beam based mobility are supported in connected mode.</w:t>
      </w:r>
    </w:p>
    <w:p w14:paraId="76890465" w14:textId="77777777" w:rsidR="00244033" w:rsidRDefault="00244033" w:rsidP="005E2B32">
      <w:pPr>
        <w:tabs>
          <w:tab w:val="left" w:pos="0"/>
        </w:tabs>
        <w:spacing w:beforeLines="50" w:before="120" w:after="0"/>
        <w:ind w:left="568"/>
        <w:rPr>
          <w:lang w:eastAsia="ja-JP"/>
        </w:rPr>
      </w:pPr>
    </w:p>
    <w:p w14:paraId="1F776AF9" w14:textId="2A432053" w:rsidR="00DA020F" w:rsidRDefault="00DA020F" w:rsidP="005E2B32">
      <w:pPr>
        <w:tabs>
          <w:tab w:val="left" w:pos="0"/>
        </w:tabs>
        <w:spacing w:beforeLines="50" w:before="120" w:after="0"/>
        <w:ind w:left="568"/>
        <w:rPr>
          <w:lang w:eastAsia="ja-JP"/>
        </w:rPr>
      </w:pPr>
    </w:p>
    <w:p w14:paraId="4D7E2DFB"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51B29C01" w14:textId="195D4FDA" w:rsidR="00280C15" w:rsidRDefault="00280C15" w:rsidP="00AD2A18">
      <w:pPr>
        <w:tabs>
          <w:tab w:val="left" w:pos="4008"/>
        </w:tabs>
        <w:rPr>
          <w:lang w:eastAsia="ja-JP"/>
        </w:rPr>
      </w:pPr>
      <w:r>
        <w:rPr>
          <w:lang w:eastAsia="ja-JP"/>
        </w:rPr>
        <w:t>This document discusse</w:t>
      </w:r>
      <w:r>
        <w:rPr>
          <w:rFonts w:hint="eastAsia"/>
          <w:lang w:eastAsia="ja-JP"/>
        </w:rPr>
        <w:t>d</w:t>
      </w:r>
      <w:r w:rsidRPr="00280C15">
        <w:rPr>
          <w:lang w:eastAsia="ja-JP"/>
        </w:rPr>
        <w:t xml:space="preserve"> synchronization signal and DL broadcast signal.</w:t>
      </w:r>
    </w:p>
    <w:p w14:paraId="61F2C784" w14:textId="77777777" w:rsidR="005804FE" w:rsidRPr="00CA6D08" w:rsidRDefault="005804FE" w:rsidP="005804FE">
      <w:pPr>
        <w:tabs>
          <w:tab w:val="left" w:pos="0"/>
        </w:tabs>
        <w:spacing w:beforeLines="50" w:before="120" w:after="0"/>
        <w:ind w:left="568"/>
        <w:rPr>
          <w:b/>
          <w:lang w:eastAsia="ja-JP"/>
        </w:rPr>
      </w:pPr>
      <w:r>
        <w:rPr>
          <w:rFonts w:hint="eastAsia"/>
          <w:b/>
          <w:lang w:eastAsia="ja-JP"/>
        </w:rPr>
        <w:t xml:space="preserve">Proposal 1: To progress </w:t>
      </w:r>
      <w:r w:rsidRPr="005466EE">
        <w:rPr>
          <w:b/>
          <w:lang w:eastAsia="ja-JP"/>
        </w:rPr>
        <w:t>RAN1 discussion based on the assumption of existence of idle mode and connected mode.</w:t>
      </w:r>
      <w:r>
        <w:rPr>
          <w:rFonts w:hint="eastAsia"/>
          <w:b/>
          <w:lang w:eastAsia="ja-JP"/>
        </w:rPr>
        <w:t xml:space="preserve"> The alignment with RAN2 discussion should be carried out later.</w:t>
      </w:r>
    </w:p>
    <w:p w14:paraId="5DC60C0B" w14:textId="77777777" w:rsidR="005804FE" w:rsidRDefault="005804FE" w:rsidP="005804FE">
      <w:pPr>
        <w:tabs>
          <w:tab w:val="left" w:pos="0"/>
        </w:tabs>
        <w:spacing w:beforeLines="50" w:before="120" w:after="0"/>
        <w:ind w:left="568"/>
        <w:rPr>
          <w:b/>
          <w:lang w:eastAsia="ja-JP"/>
        </w:rPr>
      </w:pPr>
      <w:r>
        <w:rPr>
          <w:rFonts w:hint="eastAsia"/>
          <w:b/>
          <w:lang w:eastAsia="ja-JP"/>
        </w:rPr>
        <w:t>Proposal 2: The definition of the cell in high level is o</w:t>
      </w:r>
      <w:r w:rsidRPr="00764AED">
        <w:rPr>
          <w:b/>
          <w:lang w:eastAsia="ja-JP"/>
        </w:rPr>
        <w:t xml:space="preserve">ne spatial coverage covered by </w:t>
      </w:r>
      <w:r>
        <w:rPr>
          <w:rFonts w:hint="eastAsia"/>
          <w:b/>
          <w:lang w:eastAsia="ja-JP"/>
        </w:rPr>
        <w:t xml:space="preserve">a </w:t>
      </w:r>
      <w:r w:rsidRPr="00764AED">
        <w:rPr>
          <w:b/>
          <w:lang w:eastAsia="ja-JP"/>
        </w:rPr>
        <w:t>PSS/SSS and essential SIBs (including MIB)</w:t>
      </w:r>
      <w:r>
        <w:rPr>
          <w:rFonts w:hint="eastAsia"/>
          <w:b/>
          <w:lang w:eastAsia="ja-JP"/>
        </w:rPr>
        <w:t>.</w:t>
      </w:r>
    </w:p>
    <w:p w14:paraId="66329E09" w14:textId="77777777" w:rsidR="005804FE" w:rsidRDefault="005804FE" w:rsidP="005804FE">
      <w:pPr>
        <w:tabs>
          <w:tab w:val="left" w:pos="0"/>
        </w:tabs>
        <w:spacing w:beforeLines="50" w:before="120" w:after="0"/>
        <w:ind w:left="568"/>
        <w:rPr>
          <w:b/>
          <w:lang w:eastAsia="ja-JP"/>
        </w:rPr>
      </w:pPr>
      <w:r>
        <w:rPr>
          <w:rFonts w:hint="eastAsia"/>
          <w:b/>
          <w:lang w:eastAsia="ja-JP"/>
        </w:rPr>
        <w:t>Proposal 3: Cell based mobility only is supported in idle mode.</w:t>
      </w:r>
    </w:p>
    <w:p w14:paraId="0BF598E7" w14:textId="77777777" w:rsidR="005804FE" w:rsidRDefault="005804FE" w:rsidP="005804FE">
      <w:pPr>
        <w:tabs>
          <w:tab w:val="left" w:pos="0"/>
        </w:tabs>
        <w:spacing w:beforeLines="50" w:before="120" w:after="0"/>
        <w:ind w:left="568"/>
        <w:rPr>
          <w:b/>
          <w:lang w:eastAsia="ja-JP"/>
        </w:rPr>
      </w:pPr>
      <w:r>
        <w:rPr>
          <w:rFonts w:hint="eastAsia"/>
          <w:b/>
          <w:lang w:eastAsia="ja-JP"/>
        </w:rPr>
        <w:t>Proposal 4: Cell based mobility and beam based mobility are supported in connected mode.</w:t>
      </w:r>
    </w:p>
    <w:p w14:paraId="39DD0D76" w14:textId="77777777" w:rsidR="005804FE" w:rsidRDefault="005804FE" w:rsidP="00A60CED">
      <w:pPr>
        <w:tabs>
          <w:tab w:val="left" w:pos="0"/>
        </w:tabs>
        <w:spacing w:beforeLines="50" w:before="120" w:after="0"/>
        <w:ind w:left="568"/>
        <w:rPr>
          <w:b/>
          <w:lang w:eastAsia="ja-JP"/>
        </w:rPr>
      </w:pPr>
    </w:p>
    <w:p w14:paraId="3659DFEC" w14:textId="77777777" w:rsidR="00400773" w:rsidRDefault="00400773" w:rsidP="00400773">
      <w:pPr>
        <w:pStyle w:val="1"/>
        <w:tabs>
          <w:tab w:val="num" w:pos="426"/>
        </w:tabs>
        <w:ind w:left="426" w:hanging="426"/>
        <w:rPr>
          <w:szCs w:val="36"/>
          <w:lang w:eastAsia="ja-JP"/>
        </w:rPr>
      </w:pPr>
      <w:r>
        <w:rPr>
          <w:rFonts w:hint="eastAsia"/>
          <w:szCs w:val="36"/>
          <w:lang w:eastAsia="ja-JP"/>
        </w:rPr>
        <w:t>Reference</w:t>
      </w:r>
    </w:p>
    <w:p w14:paraId="671005AF" w14:textId="4695F5BA" w:rsidR="002744F3" w:rsidRDefault="00D573E6" w:rsidP="005804FE">
      <w:pPr>
        <w:rPr>
          <w:lang w:eastAsia="ja-JP"/>
        </w:rPr>
      </w:pPr>
      <w:r>
        <w:rPr>
          <w:rFonts w:hint="eastAsia"/>
          <w:lang w:eastAsia="ja-JP"/>
        </w:rPr>
        <w:t xml:space="preserve">[1] </w:t>
      </w:r>
      <w:r w:rsidR="007D1E6C">
        <w:rPr>
          <w:rFonts w:hint="eastAsia"/>
          <w:lang w:eastAsia="ja-JP"/>
        </w:rPr>
        <w:t xml:space="preserve"> </w:t>
      </w:r>
      <w:r w:rsidR="005804FE">
        <w:rPr>
          <w:rFonts w:hint="eastAsia"/>
          <w:lang w:eastAsia="ja-JP"/>
        </w:rPr>
        <w:t>RAN2#94  minutes</w:t>
      </w:r>
    </w:p>
    <w:p w14:paraId="0C0A9D0D" w14:textId="77777777" w:rsidR="00F95708" w:rsidRDefault="00F95708" w:rsidP="00C10935">
      <w:pPr>
        <w:rPr>
          <w:lang w:eastAsia="ja-JP"/>
        </w:rPr>
      </w:pPr>
    </w:p>
    <w:sectPr w:rsidR="00F95708">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5B4644" w14:textId="77777777" w:rsidR="00554E81" w:rsidRDefault="00554E81">
      <w:r>
        <w:separator/>
      </w:r>
    </w:p>
  </w:endnote>
  <w:endnote w:type="continuationSeparator" w:id="0">
    <w:p w14:paraId="6CE09560" w14:textId="77777777" w:rsidR="00554E81" w:rsidRDefault="00554E81">
      <w:r>
        <w:continuationSeparator/>
      </w:r>
    </w:p>
  </w:endnote>
  <w:endnote w:type="continuationNotice" w:id="1">
    <w:p w14:paraId="75959847" w14:textId="77777777" w:rsidR="00554E81" w:rsidRDefault="00554E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9040B"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18CEC46"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736F1"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E32D2A">
      <w:rPr>
        <w:rStyle w:val="af5"/>
      </w:rPr>
      <w:t>1</w:t>
    </w:r>
    <w:r>
      <w:rPr>
        <w:rStyle w:val="af5"/>
      </w:rPr>
      <w:fldChar w:fldCharType="end"/>
    </w:r>
  </w:p>
  <w:p w14:paraId="30B395CE"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A79D47" w14:textId="77777777" w:rsidR="00554E81" w:rsidRDefault="00554E81">
      <w:r>
        <w:separator/>
      </w:r>
    </w:p>
  </w:footnote>
  <w:footnote w:type="continuationSeparator" w:id="0">
    <w:p w14:paraId="23DB02B4" w14:textId="77777777" w:rsidR="00554E81" w:rsidRDefault="00554E81">
      <w:r>
        <w:continuationSeparator/>
      </w:r>
    </w:p>
  </w:footnote>
  <w:footnote w:type="continuationNotice" w:id="1">
    <w:p w14:paraId="32E714CD" w14:textId="77777777" w:rsidR="00554E81" w:rsidRDefault="00554E8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3">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6">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18">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9">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3"/>
  </w:num>
  <w:num w:numId="2">
    <w:abstractNumId w:val="25"/>
  </w:num>
  <w:num w:numId="3">
    <w:abstractNumId w:val="7"/>
  </w:num>
  <w:num w:numId="4">
    <w:abstractNumId w:val="20"/>
  </w:num>
  <w:num w:numId="5">
    <w:abstractNumId w:val="10"/>
  </w:num>
  <w:num w:numId="6">
    <w:abstractNumId w:val="11"/>
  </w:num>
  <w:num w:numId="7">
    <w:abstractNumId w:val="9"/>
  </w:num>
  <w:num w:numId="8">
    <w:abstractNumId w:val="24"/>
  </w:num>
  <w:num w:numId="9">
    <w:abstractNumId w:val="4"/>
  </w:num>
  <w:num w:numId="10">
    <w:abstractNumId w:val="6"/>
  </w:num>
  <w:num w:numId="11">
    <w:abstractNumId w:val="8"/>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1"/>
  </w:num>
  <w:num w:numId="16">
    <w:abstractNumId w:val="1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0"/>
  </w:num>
  <w:num w:numId="20">
    <w:abstractNumId w:val="5"/>
  </w:num>
  <w:num w:numId="21">
    <w:abstractNumId w:val="26"/>
  </w:num>
  <w:num w:numId="22">
    <w:abstractNumId w:val="3"/>
  </w:num>
  <w:num w:numId="23">
    <w:abstractNumId w:val="14"/>
  </w:num>
  <w:num w:numId="24">
    <w:abstractNumId w:val="1"/>
  </w:num>
  <w:num w:numId="25">
    <w:abstractNumId w:val="19"/>
  </w:num>
  <w:num w:numId="26">
    <w:abstractNumId w:val="12"/>
  </w:num>
  <w:num w:numId="27">
    <w:abstractNumId w:val="15"/>
  </w:num>
  <w:num w:numId="28">
    <w:abstractNumId w:val="2"/>
  </w:num>
  <w:num w:numId="29">
    <w:abstractNumId w:val="18"/>
  </w:num>
  <w:num w:numId="3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936"/>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836"/>
    <w:rsid w:val="00041E8D"/>
    <w:rsid w:val="00042C82"/>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8D0"/>
    <w:rsid w:val="00057AA6"/>
    <w:rsid w:val="0006043B"/>
    <w:rsid w:val="00060784"/>
    <w:rsid w:val="00060D12"/>
    <w:rsid w:val="00061908"/>
    <w:rsid w:val="00061B2D"/>
    <w:rsid w:val="0006224C"/>
    <w:rsid w:val="00062449"/>
    <w:rsid w:val="00062963"/>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166"/>
    <w:rsid w:val="000B3279"/>
    <w:rsid w:val="000B436A"/>
    <w:rsid w:val="000B43A5"/>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9A5"/>
    <w:rsid w:val="000D71D1"/>
    <w:rsid w:val="000D7A9E"/>
    <w:rsid w:val="000D7B5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02C"/>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26AD"/>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9FE"/>
    <w:rsid w:val="001D4B64"/>
    <w:rsid w:val="001D52BC"/>
    <w:rsid w:val="001D5F89"/>
    <w:rsid w:val="001D6055"/>
    <w:rsid w:val="001D791C"/>
    <w:rsid w:val="001D7A39"/>
    <w:rsid w:val="001E03AD"/>
    <w:rsid w:val="001E0731"/>
    <w:rsid w:val="001E0C3D"/>
    <w:rsid w:val="001E1114"/>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118E"/>
    <w:rsid w:val="00212D25"/>
    <w:rsid w:val="0021365C"/>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E1F"/>
    <w:rsid w:val="00242940"/>
    <w:rsid w:val="002436DF"/>
    <w:rsid w:val="00243AD9"/>
    <w:rsid w:val="00243BD8"/>
    <w:rsid w:val="00244033"/>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71379"/>
    <w:rsid w:val="00271426"/>
    <w:rsid w:val="002715B6"/>
    <w:rsid w:val="00271702"/>
    <w:rsid w:val="00271A30"/>
    <w:rsid w:val="00272978"/>
    <w:rsid w:val="00273361"/>
    <w:rsid w:val="00273CEC"/>
    <w:rsid w:val="00273CEE"/>
    <w:rsid w:val="00273EF4"/>
    <w:rsid w:val="002744F3"/>
    <w:rsid w:val="00274C57"/>
    <w:rsid w:val="00275A33"/>
    <w:rsid w:val="00276254"/>
    <w:rsid w:val="00276E11"/>
    <w:rsid w:val="00276E89"/>
    <w:rsid w:val="00277238"/>
    <w:rsid w:val="002809CD"/>
    <w:rsid w:val="00280C15"/>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32AD"/>
    <w:rsid w:val="002C3326"/>
    <w:rsid w:val="002C3343"/>
    <w:rsid w:val="002C4466"/>
    <w:rsid w:val="002C595E"/>
    <w:rsid w:val="002C5B49"/>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C7F9F"/>
    <w:rsid w:val="003D0D85"/>
    <w:rsid w:val="003D1842"/>
    <w:rsid w:val="003D3A66"/>
    <w:rsid w:val="003D5367"/>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7427"/>
    <w:rsid w:val="004E77DD"/>
    <w:rsid w:val="004E7F59"/>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60DB"/>
    <w:rsid w:val="005064C6"/>
    <w:rsid w:val="00506B3B"/>
    <w:rsid w:val="00506DF8"/>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5F4"/>
    <w:rsid w:val="00542A21"/>
    <w:rsid w:val="005437E4"/>
    <w:rsid w:val="00543A7A"/>
    <w:rsid w:val="00543B86"/>
    <w:rsid w:val="00543BB0"/>
    <w:rsid w:val="00543CEF"/>
    <w:rsid w:val="00543D31"/>
    <w:rsid w:val="00544895"/>
    <w:rsid w:val="00545239"/>
    <w:rsid w:val="005466EE"/>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4E81"/>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EDC"/>
    <w:rsid w:val="00573284"/>
    <w:rsid w:val="0057382C"/>
    <w:rsid w:val="005746F0"/>
    <w:rsid w:val="0057620F"/>
    <w:rsid w:val="00576BF9"/>
    <w:rsid w:val="005773DA"/>
    <w:rsid w:val="00580240"/>
    <w:rsid w:val="005804FE"/>
    <w:rsid w:val="00580EC8"/>
    <w:rsid w:val="00580ED5"/>
    <w:rsid w:val="0058102B"/>
    <w:rsid w:val="0058139A"/>
    <w:rsid w:val="00581DA2"/>
    <w:rsid w:val="00581F30"/>
    <w:rsid w:val="0058228D"/>
    <w:rsid w:val="00582ED6"/>
    <w:rsid w:val="005832F9"/>
    <w:rsid w:val="00583851"/>
    <w:rsid w:val="00583B93"/>
    <w:rsid w:val="00583D4F"/>
    <w:rsid w:val="00584886"/>
    <w:rsid w:val="00585435"/>
    <w:rsid w:val="00585A8D"/>
    <w:rsid w:val="00586365"/>
    <w:rsid w:val="0058730F"/>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A88"/>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3BC"/>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4FAC"/>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4312"/>
    <w:rsid w:val="006E43F3"/>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743B"/>
    <w:rsid w:val="006F764F"/>
    <w:rsid w:val="006F7AD3"/>
    <w:rsid w:val="006F7B02"/>
    <w:rsid w:val="00700F81"/>
    <w:rsid w:val="00701043"/>
    <w:rsid w:val="0070106A"/>
    <w:rsid w:val="00701632"/>
    <w:rsid w:val="007017B6"/>
    <w:rsid w:val="007024D0"/>
    <w:rsid w:val="00702CCD"/>
    <w:rsid w:val="00702EFC"/>
    <w:rsid w:val="007032D6"/>
    <w:rsid w:val="00705069"/>
    <w:rsid w:val="00705297"/>
    <w:rsid w:val="00706806"/>
    <w:rsid w:val="00707CBD"/>
    <w:rsid w:val="00707CFC"/>
    <w:rsid w:val="00710468"/>
    <w:rsid w:val="00710958"/>
    <w:rsid w:val="00710DF7"/>
    <w:rsid w:val="007117F4"/>
    <w:rsid w:val="0071213A"/>
    <w:rsid w:val="0071221F"/>
    <w:rsid w:val="0071246C"/>
    <w:rsid w:val="00713C71"/>
    <w:rsid w:val="00713CF6"/>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EC2"/>
    <w:rsid w:val="007255A8"/>
    <w:rsid w:val="00725F29"/>
    <w:rsid w:val="007261AC"/>
    <w:rsid w:val="00727EBC"/>
    <w:rsid w:val="00730563"/>
    <w:rsid w:val="0073065D"/>
    <w:rsid w:val="00730DFA"/>
    <w:rsid w:val="00732408"/>
    <w:rsid w:val="007326D3"/>
    <w:rsid w:val="00732B88"/>
    <w:rsid w:val="007333CA"/>
    <w:rsid w:val="007334AC"/>
    <w:rsid w:val="007358F4"/>
    <w:rsid w:val="00737495"/>
    <w:rsid w:val="00737A71"/>
    <w:rsid w:val="007404F7"/>
    <w:rsid w:val="0074098A"/>
    <w:rsid w:val="00741362"/>
    <w:rsid w:val="00741408"/>
    <w:rsid w:val="0074155D"/>
    <w:rsid w:val="00742AC9"/>
    <w:rsid w:val="00742F72"/>
    <w:rsid w:val="0074332A"/>
    <w:rsid w:val="0074399D"/>
    <w:rsid w:val="00743C86"/>
    <w:rsid w:val="007448E6"/>
    <w:rsid w:val="00744BF1"/>
    <w:rsid w:val="00744DF3"/>
    <w:rsid w:val="0074509A"/>
    <w:rsid w:val="007451E0"/>
    <w:rsid w:val="0074520C"/>
    <w:rsid w:val="007454BA"/>
    <w:rsid w:val="00745ACC"/>
    <w:rsid w:val="00746A20"/>
    <w:rsid w:val="00746D91"/>
    <w:rsid w:val="00747F73"/>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A7F57"/>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DD4"/>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9D9"/>
    <w:rsid w:val="00807DE2"/>
    <w:rsid w:val="00810955"/>
    <w:rsid w:val="00810DFC"/>
    <w:rsid w:val="008111C7"/>
    <w:rsid w:val="00811730"/>
    <w:rsid w:val="00811945"/>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445"/>
    <w:rsid w:val="008B6B9D"/>
    <w:rsid w:val="008B7D50"/>
    <w:rsid w:val="008B7ECA"/>
    <w:rsid w:val="008C0672"/>
    <w:rsid w:val="008C1838"/>
    <w:rsid w:val="008C1CCF"/>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72A9"/>
    <w:rsid w:val="008D785A"/>
    <w:rsid w:val="008D78B5"/>
    <w:rsid w:val="008E00E2"/>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3623"/>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94"/>
    <w:rsid w:val="00934160"/>
    <w:rsid w:val="009342D0"/>
    <w:rsid w:val="0093481B"/>
    <w:rsid w:val="009349A1"/>
    <w:rsid w:val="00934D47"/>
    <w:rsid w:val="009356D1"/>
    <w:rsid w:val="009357A6"/>
    <w:rsid w:val="009359D7"/>
    <w:rsid w:val="00935D48"/>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DD6"/>
    <w:rsid w:val="00966194"/>
    <w:rsid w:val="00966240"/>
    <w:rsid w:val="009667C5"/>
    <w:rsid w:val="0096721B"/>
    <w:rsid w:val="00967F8F"/>
    <w:rsid w:val="0097083D"/>
    <w:rsid w:val="00970FFA"/>
    <w:rsid w:val="00971132"/>
    <w:rsid w:val="00971BEC"/>
    <w:rsid w:val="00972432"/>
    <w:rsid w:val="00972CC4"/>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467"/>
    <w:rsid w:val="009B768F"/>
    <w:rsid w:val="009B79FA"/>
    <w:rsid w:val="009B7B86"/>
    <w:rsid w:val="009C0044"/>
    <w:rsid w:val="009C07A9"/>
    <w:rsid w:val="009C0E0D"/>
    <w:rsid w:val="009C1942"/>
    <w:rsid w:val="009C1FFF"/>
    <w:rsid w:val="009C291B"/>
    <w:rsid w:val="009C2D8F"/>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05"/>
    <w:rsid w:val="00A10D84"/>
    <w:rsid w:val="00A115BD"/>
    <w:rsid w:val="00A1241B"/>
    <w:rsid w:val="00A139B6"/>
    <w:rsid w:val="00A13DAA"/>
    <w:rsid w:val="00A14AC8"/>
    <w:rsid w:val="00A15DE0"/>
    <w:rsid w:val="00A15EE0"/>
    <w:rsid w:val="00A1733B"/>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6A2E"/>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5121"/>
    <w:rsid w:val="00A55C8A"/>
    <w:rsid w:val="00A56C1A"/>
    <w:rsid w:val="00A56CB5"/>
    <w:rsid w:val="00A575DF"/>
    <w:rsid w:val="00A575FB"/>
    <w:rsid w:val="00A57F2B"/>
    <w:rsid w:val="00A6012E"/>
    <w:rsid w:val="00A6093B"/>
    <w:rsid w:val="00A60CED"/>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4C50"/>
    <w:rsid w:val="00A94FAA"/>
    <w:rsid w:val="00A9500C"/>
    <w:rsid w:val="00A95FCA"/>
    <w:rsid w:val="00A96436"/>
    <w:rsid w:val="00A9682F"/>
    <w:rsid w:val="00A96977"/>
    <w:rsid w:val="00A96AC9"/>
    <w:rsid w:val="00A96AD1"/>
    <w:rsid w:val="00A96E5B"/>
    <w:rsid w:val="00A97A6A"/>
    <w:rsid w:val="00AA0845"/>
    <w:rsid w:val="00AA0AB3"/>
    <w:rsid w:val="00AA0E5E"/>
    <w:rsid w:val="00AA1129"/>
    <w:rsid w:val="00AA1886"/>
    <w:rsid w:val="00AA1F16"/>
    <w:rsid w:val="00AA2055"/>
    <w:rsid w:val="00AA2BAA"/>
    <w:rsid w:val="00AA2D99"/>
    <w:rsid w:val="00AA331B"/>
    <w:rsid w:val="00AA3545"/>
    <w:rsid w:val="00AA4158"/>
    <w:rsid w:val="00AA4C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70B"/>
    <w:rsid w:val="00B0290A"/>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2F20"/>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37963"/>
    <w:rsid w:val="00B4097E"/>
    <w:rsid w:val="00B40D91"/>
    <w:rsid w:val="00B4164D"/>
    <w:rsid w:val="00B41CD3"/>
    <w:rsid w:val="00B41CED"/>
    <w:rsid w:val="00B437B3"/>
    <w:rsid w:val="00B439D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59"/>
    <w:rsid w:val="00BA7600"/>
    <w:rsid w:val="00BA7880"/>
    <w:rsid w:val="00BB044E"/>
    <w:rsid w:val="00BB0699"/>
    <w:rsid w:val="00BB06F9"/>
    <w:rsid w:val="00BB090F"/>
    <w:rsid w:val="00BB099D"/>
    <w:rsid w:val="00BB0BB0"/>
    <w:rsid w:val="00BB115A"/>
    <w:rsid w:val="00BB25EF"/>
    <w:rsid w:val="00BB29DF"/>
    <w:rsid w:val="00BB34BB"/>
    <w:rsid w:val="00BB3DDF"/>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C1F"/>
    <w:rsid w:val="00BD7E45"/>
    <w:rsid w:val="00BE0239"/>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713"/>
    <w:rsid w:val="00C15705"/>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E27"/>
    <w:rsid w:val="00C25A3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A2E"/>
    <w:rsid w:val="00C61087"/>
    <w:rsid w:val="00C610DF"/>
    <w:rsid w:val="00C6409C"/>
    <w:rsid w:val="00C6431C"/>
    <w:rsid w:val="00C6444E"/>
    <w:rsid w:val="00C64869"/>
    <w:rsid w:val="00C64AC4"/>
    <w:rsid w:val="00C64C19"/>
    <w:rsid w:val="00C650A7"/>
    <w:rsid w:val="00C6574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6D08"/>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EF7"/>
    <w:rsid w:val="00CF553B"/>
    <w:rsid w:val="00CF59EF"/>
    <w:rsid w:val="00CF6647"/>
    <w:rsid w:val="00CF66EC"/>
    <w:rsid w:val="00CF6834"/>
    <w:rsid w:val="00CF6DF8"/>
    <w:rsid w:val="00CF6ED5"/>
    <w:rsid w:val="00CF7117"/>
    <w:rsid w:val="00D001D4"/>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2DF"/>
    <w:rsid w:val="00D347AD"/>
    <w:rsid w:val="00D34882"/>
    <w:rsid w:val="00D354A5"/>
    <w:rsid w:val="00D3734F"/>
    <w:rsid w:val="00D374DE"/>
    <w:rsid w:val="00D3750C"/>
    <w:rsid w:val="00D37522"/>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D1B7C"/>
    <w:rsid w:val="00DD25F4"/>
    <w:rsid w:val="00DD29E5"/>
    <w:rsid w:val="00DD2F45"/>
    <w:rsid w:val="00DD44B1"/>
    <w:rsid w:val="00DD4903"/>
    <w:rsid w:val="00DD498F"/>
    <w:rsid w:val="00DD507A"/>
    <w:rsid w:val="00DD6CFA"/>
    <w:rsid w:val="00DD74A3"/>
    <w:rsid w:val="00DD794A"/>
    <w:rsid w:val="00DD7D8B"/>
    <w:rsid w:val="00DE1024"/>
    <w:rsid w:val="00DE1289"/>
    <w:rsid w:val="00DE2753"/>
    <w:rsid w:val="00DE3A56"/>
    <w:rsid w:val="00DE3B5C"/>
    <w:rsid w:val="00DE4008"/>
    <w:rsid w:val="00DE44AE"/>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277"/>
    <w:rsid w:val="00DF7368"/>
    <w:rsid w:val="00DF76DD"/>
    <w:rsid w:val="00DF7D23"/>
    <w:rsid w:val="00E00076"/>
    <w:rsid w:val="00E002B3"/>
    <w:rsid w:val="00E015A8"/>
    <w:rsid w:val="00E028BD"/>
    <w:rsid w:val="00E03454"/>
    <w:rsid w:val="00E0391E"/>
    <w:rsid w:val="00E03F31"/>
    <w:rsid w:val="00E04F95"/>
    <w:rsid w:val="00E055BD"/>
    <w:rsid w:val="00E05EC9"/>
    <w:rsid w:val="00E05EF3"/>
    <w:rsid w:val="00E06BEC"/>
    <w:rsid w:val="00E072E4"/>
    <w:rsid w:val="00E10412"/>
    <w:rsid w:val="00E10551"/>
    <w:rsid w:val="00E10CB5"/>
    <w:rsid w:val="00E115B4"/>
    <w:rsid w:val="00E11B4C"/>
    <w:rsid w:val="00E11EDE"/>
    <w:rsid w:val="00E1367C"/>
    <w:rsid w:val="00E13989"/>
    <w:rsid w:val="00E13B8B"/>
    <w:rsid w:val="00E13FAD"/>
    <w:rsid w:val="00E1486D"/>
    <w:rsid w:val="00E149EC"/>
    <w:rsid w:val="00E14E82"/>
    <w:rsid w:val="00E16A41"/>
    <w:rsid w:val="00E17860"/>
    <w:rsid w:val="00E17A49"/>
    <w:rsid w:val="00E17F5D"/>
    <w:rsid w:val="00E20D8E"/>
    <w:rsid w:val="00E21073"/>
    <w:rsid w:val="00E219F6"/>
    <w:rsid w:val="00E21BD0"/>
    <w:rsid w:val="00E21F17"/>
    <w:rsid w:val="00E22454"/>
    <w:rsid w:val="00E23A68"/>
    <w:rsid w:val="00E24206"/>
    <w:rsid w:val="00E244A7"/>
    <w:rsid w:val="00E24B84"/>
    <w:rsid w:val="00E24FC6"/>
    <w:rsid w:val="00E25725"/>
    <w:rsid w:val="00E2647D"/>
    <w:rsid w:val="00E3001D"/>
    <w:rsid w:val="00E3002C"/>
    <w:rsid w:val="00E31003"/>
    <w:rsid w:val="00E312C2"/>
    <w:rsid w:val="00E32115"/>
    <w:rsid w:val="00E32D2A"/>
    <w:rsid w:val="00E332A9"/>
    <w:rsid w:val="00E33AA3"/>
    <w:rsid w:val="00E34624"/>
    <w:rsid w:val="00E3475E"/>
    <w:rsid w:val="00E34AD5"/>
    <w:rsid w:val="00E35BBE"/>
    <w:rsid w:val="00E36085"/>
    <w:rsid w:val="00E36561"/>
    <w:rsid w:val="00E36F9E"/>
    <w:rsid w:val="00E3756A"/>
    <w:rsid w:val="00E37BAE"/>
    <w:rsid w:val="00E42E00"/>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50D7"/>
    <w:rsid w:val="00E6542E"/>
    <w:rsid w:val="00E657BC"/>
    <w:rsid w:val="00E65B3B"/>
    <w:rsid w:val="00E6627C"/>
    <w:rsid w:val="00E66C5D"/>
    <w:rsid w:val="00E66D7F"/>
    <w:rsid w:val="00E67EAD"/>
    <w:rsid w:val="00E70DFA"/>
    <w:rsid w:val="00E71349"/>
    <w:rsid w:val="00E7159D"/>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9F"/>
    <w:rsid w:val="00E85BCD"/>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713C"/>
    <w:rsid w:val="00EC7326"/>
    <w:rsid w:val="00EC73A2"/>
    <w:rsid w:val="00EC73AE"/>
    <w:rsid w:val="00EC7F70"/>
    <w:rsid w:val="00EC7FB8"/>
    <w:rsid w:val="00ED0094"/>
    <w:rsid w:val="00ED0594"/>
    <w:rsid w:val="00ED0970"/>
    <w:rsid w:val="00ED0979"/>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0F48"/>
    <w:rsid w:val="00F110EB"/>
    <w:rsid w:val="00F11C8F"/>
    <w:rsid w:val="00F124C1"/>
    <w:rsid w:val="00F12A02"/>
    <w:rsid w:val="00F13A3F"/>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BFA"/>
    <w:rsid w:val="00F27CD5"/>
    <w:rsid w:val="00F27EFE"/>
    <w:rsid w:val="00F30209"/>
    <w:rsid w:val="00F30353"/>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3BF"/>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878D4"/>
    <w:rsid w:val="00F900CD"/>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D69"/>
    <w:rsid w:val="00FE5F07"/>
    <w:rsid w:val="00FE65E0"/>
    <w:rsid w:val="00FE6FAA"/>
    <w:rsid w:val="00FE7070"/>
    <w:rsid w:val="00FF0552"/>
    <w:rsid w:val="00FF1218"/>
    <w:rsid w:val="00FF21D4"/>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1FDF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AA4C2-1508-4558-95A7-4B1FBED974F7}">
  <ds:schemaRefs>
    <ds:schemaRef ds:uri="http://schemas.openxmlformats.org/officeDocument/2006/bibliography"/>
  </ds:schemaRefs>
</ds:datastoreItem>
</file>

<file path=customXml/itemProps2.xml><?xml version="1.0" encoding="utf-8"?>
<ds:datastoreItem xmlns:ds="http://schemas.openxmlformats.org/officeDocument/2006/customXml" ds:itemID="{FBB7F944-3244-4E38-87CB-6170E40C5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2</Pages>
  <Words>550</Words>
  <Characters>3136</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09</cp:lastModifiedBy>
  <cp:revision>213</cp:revision>
  <cp:lastPrinted>2010-04-02T09:58:00Z</cp:lastPrinted>
  <dcterms:created xsi:type="dcterms:W3CDTF">2016-08-08T14:11:00Z</dcterms:created>
  <dcterms:modified xsi:type="dcterms:W3CDTF">2016-09-30T13:20:00Z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