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AAAB28" w14:textId="28390AEE" w:rsidR="00CA26CE" w:rsidRPr="00CA26CE" w:rsidRDefault="00CA26CE" w:rsidP="00CA26CE">
      <w:pPr>
        <w:pStyle w:val="Header"/>
        <w:rPr>
          <w:bCs/>
          <w:noProof w:val="0"/>
          <w:sz w:val="24"/>
          <w:lang w:val="en-GB"/>
        </w:rPr>
      </w:pPr>
      <w:r w:rsidRPr="00CA26CE">
        <w:rPr>
          <w:bCs/>
          <w:noProof w:val="0"/>
          <w:sz w:val="24"/>
          <w:lang w:val="en-GB"/>
        </w:rPr>
        <w:t>3GPP TSG-RAN WG1 #86</w:t>
      </w:r>
      <w:r>
        <w:rPr>
          <w:bCs/>
          <w:noProof w:val="0"/>
          <w:sz w:val="24"/>
          <w:lang w:val="en-GB"/>
        </w:rPr>
        <w:t xml:space="preserve"> Bis</w:t>
      </w:r>
      <w:r w:rsidRPr="00CA26CE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Pr="00CA26CE">
        <w:rPr>
          <w:bCs/>
          <w:noProof w:val="0"/>
          <w:sz w:val="24"/>
          <w:lang w:val="en-GB"/>
        </w:rPr>
        <w:t>R1-</w:t>
      </w:r>
      <w:r w:rsidR="000D33BD" w:rsidRPr="00CA26CE">
        <w:rPr>
          <w:bCs/>
          <w:noProof w:val="0"/>
          <w:sz w:val="24"/>
          <w:lang w:val="en-GB"/>
        </w:rPr>
        <w:t>16</w:t>
      </w:r>
      <w:r w:rsidR="000D33BD">
        <w:rPr>
          <w:bCs/>
          <w:noProof w:val="0"/>
          <w:sz w:val="24"/>
          <w:lang w:val="en-GB"/>
        </w:rPr>
        <w:t>09666</w:t>
      </w:r>
    </w:p>
    <w:p w14:paraId="4E10A334" w14:textId="2F652374" w:rsidR="00AA65C9" w:rsidRDefault="00CA26CE" w:rsidP="00CA26CE">
      <w:pPr>
        <w:pStyle w:val="Header"/>
        <w:rPr>
          <w:bCs/>
          <w:noProof w:val="0"/>
          <w:sz w:val="24"/>
          <w:lang w:val="en-GB"/>
        </w:rPr>
      </w:pPr>
      <w:r w:rsidRPr="00CA26CE">
        <w:rPr>
          <w:bCs/>
          <w:noProof w:val="0"/>
          <w:sz w:val="24"/>
          <w:lang w:val="en-GB"/>
        </w:rPr>
        <w:t>Lisbon, Portugal, October 10-14, 2016</w:t>
      </w:r>
    </w:p>
    <w:p w14:paraId="6CC4E3B9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6F51EFCF" w14:textId="2F1C193A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4445DA">
        <w:rPr>
          <w:rFonts w:cs="Arial"/>
          <w:b/>
          <w:bCs/>
          <w:sz w:val="24"/>
        </w:rPr>
        <w:t>8.1.2.2</w:t>
      </w:r>
    </w:p>
    <w:p w14:paraId="3569DAF3" w14:textId="1DAF8541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390174C5" w14:textId="79363B65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6F7124">
        <w:rPr>
          <w:rFonts w:ascii="Arial" w:hAnsi="Arial" w:cs="Arial"/>
          <w:b/>
          <w:bCs/>
          <w:sz w:val="24"/>
        </w:rPr>
        <w:t>On the indication of forward compatibility resources</w:t>
      </w:r>
    </w:p>
    <w:p w14:paraId="07E970E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219CFE66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1ED8568A" w14:textId="1AB113B1"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14:paraId="492F7594" w14:textId="437F5136" w:rsidR="00CC300C" w:rsidRPr="002E758C" w:rsidRDefault="00BE4EC9" w:rsidP="002E758C">
      <w:pPr>
        <w:spacing w:after="120"/>
        <w:jc w:val="both"/>
        <w:rPr>
          <w:bCs/>
        </w:rPr>
      </w:pPr>
      <w:r>
        <w:rPr>
          <w:bCs/>
        </w:rPr>
        <w:t xml:space="preserve">This contribution relates to </w:t>
      </w:r>
      <w:r w:rsidR="00CC300C">
        <w:rPr>
          <w:bCs/>
        </w:rPr>
        <w:t>arrangement of forward compatibility resources (FCR) for NR UEs.</w:t>
      </w:r>
      <w:r w:rsidR="00513839">
        <w:rPr>
          <w:bCs/>
        </w:rPr>
        <w:t xml:space="preserve"> </w:t>
      </w:r>
      <w:r w:rsidR="00CC300C">
        <w:rPr>
          <w:rFonts w:eastAsia="Malgun Gothic"/>
        </w:rPr>
        <w:t xml:space="preserve">In RAN1 #84bis, the following agreements </w:t>
      </w:r>
      <w:r w:rsidR="00CC300C">
        <w:rPr>
          <w:bCs/>
        </w:rPr>
        <w:t>related to forward compatibility were made</w:t>
      </w:r>
      <w:r w:rsidR="00CC300C">
        <w:rPr>
          <w:rFonts w:eastAsia="Malgun Gothic"/>
        </w:rPr>
        <w:t>:</w:t>
      </w:r>
    </w:p>
    <w:p w14:paraId="3F64798E" w14:textId="77777777" w:rsidR="002E758C" w:rsidRPr="00D26F8C" w:rsidRDefault="002E758C" w:rsidP="002E758C">
      <w:pPr>
        <w:spacing w:after="0"/>
        <w:rPr>
          <w:b/>
          <w:sz w:val="18"/>
          <w:u w:val="single"/>
          <w:lang w:val="en-US" w:eastAsia="ja-JP"/>
        </w:rPr>
      </w:pPr>
      <w:r w:rsidRPr="00D26F8C">
        <w:rPr>
          <w:b/>
          <w:sz w:val="18"/>
          <w:highlight w:val="green"/>
          <w:u w:val="single"/>
          <w:lang w:eastAsia="ja-JP"/>
        </w:rPr>
        <w:t>Agreements:</w:t>
      </w:r>
    </w:p>
    <w:p w14:paraId="737D4022" w14:textId="77777777" w:rsidR="00CC300C" w:rsidRPr="00D26F8C" w:rsidRDefault="00CC300C" w:rsidP="00CC300C">
      <w:pPr>
        <w:overflowPunct/>
        <w:autoSpaceDE/>
        <w:adjustRightInd/>
        <w:spacing w:after="0"/>
        <w:ind w:left="284"/>
        <w:textAlignment w:val="auto"/>
        <w:rPr>
          <w:rFonts w:eastAsia="Times New Roman"/>
          <w:i/>
          <w:sz w:val="18"/>
          <w:lang w:eastAsia="ja-JP"/>
        </w:rPr>
      </w:pPr>
      <w:r w:rsidRPr="00D26F8C">
        <w:rPr>
          <w:i/>
          <w:sz w:val="18"/>
          <w:lang w:eastAsia="ja-JP"/>
        </w:rPr>
        <w:t>Phase 1 and later phases of NR should be designed with the following principles to ensure forward compatibility and compatibility of different features:</w:t>
      </w:r>
    </w:p>
    <w:p w14:paraId="27125BDA" w14:textId="77777777" w:rsidR="00CC300C" w:rsidRPr="00D26F8C" w:rsidRDefault="00CC300C" w:rsidP="00CC300C">
      <w:pPr>
        <w:numPr>
          <w:ilvl w:val="0"/>
          <w:numId w:val="2"/>
        </w:numPr>
        <w:overflowPunct/>
        <w:autoSpaceDE/>
        <w:adjustRightInd/>
        <w:spacing w:after="0"/>
        <w:textAlignment w:val="auto"/>
        <w:rPr>
          <w:i/>
          <w:sz w:val="18"/>
          <w:lang w:eastAsia="ja-JP"/>
        </w:rPr>
      </w:pPr>
      <w:r w:rsidRPr="00D26F8C">
        <w:rPr>
          <w:i/>
          <w:sz w:val="18"/>
          <w:lang w:eastAsia="ja-JP"/>
        </w:rPr>
        <w:t>Strive for</w:t>
      </w:r>
    </w:p>
    <w:p w14:paraId="065A8BA5" w14:textId="77777777" w:rsidR="00CC300C" w:rsidRPr="00D26F8C" w:rsidRDefault="00CC300C" w:rsidP="00CC300C">
      <w:pPr>
        <w:numPr>
          <w:ilvl w:val="1"/>
          <w:numId w:val="2"/>
        </w:numPr>
        <w:overflowPunct/>
        <w:autoSpaceDE/>
        <w:adjustRightInd/>
        <w:spacing w:after="0"/>
        <w:textAlignment w:val="auto"/>
        <w:rPr>
          <w:i/>
          <w:sz w:val="18"/>
          <w:lang w:eastAsia="ja-JP"/>
        </w:rPr>
      </w:pPr>
      <w:r w:rsidRPr="00D26F8C">
        <w:rPr>
          <w:i/>
          <w:sz w:val="18"/>
          <w:lang w:eastAsia="ja-JP"/>
        </w:rPr>
        <w:t xml:space="preserve">Maximizing the amount of time and freq. resources that can be flexibly utilized or that can be left blanked without causing backward compatibility issues in the future </w:t>
      </w:r>
    </w:p>
    <w:p w14:paraId="5AABFD6D" w14:textId="77777777" w:rsidR="00CC300C" w:rsidRPr="00D26F8C" w:rsidRDefault="00CC300C" w:rsidP="00CC300C">
      <w:pPr>
        <w:numPr>
          <w:ilvl w:val="2"/>
          <w:numId w:val="2"/>
        </w:numPr>
        <w:overflowPunct/>
        <w:autoSpaceDE/>
        <w:adjustRightInd/>
        <w:spacing w:after="0"/>
        <w:textAlignment w:val="auto"/>
        <w:rPr>
          <w:i/>
          <w:sz w:val="18"/>
          <w:lang w:eastAsia="ja-JP"/>
        </w:rPr>
      </w:pPr>
      <w:r w:rsidRPr="00D26F8C">
        <w:rPr>
          <w:i/>
          <w:sz w:val="18"/>
          <w:lang w:eastAsia="ja-JP"/>
        </w:rPr>
        <w:t>Blank resources can be used for future use</w:t>
      </w:r>
    </w:p>
    <w:p w14:paraId="13261930" w14:textId="77777777" w:rsidR="00CC300C" w:rsidRPr="00D26F8C" w:rsidRDefault="00CC300C" w:rsidP="00CC300C">
      <w:pPr>
        <w:numPr>
          <w:ilvl w:val="1"/>
          <w:numId w:val="2"/>
        </w:numPr>
        <w:overflowPunct/>
        <w:autoSpaceDE/>
        <w:adjustRightInd/>
        <w:spacing w:after="0"/>
        <w:textAlignment w:val="auto"/>
        <w:rPr>
          <w:i/>
          <w:sz w:val="18"/>
          <w:lang w:eastAsia="ja-JP"/>
        </w:rPr>
      </w:pPr>
      <w:r w:rsidRPr="00D26F8C">
        <w:rPr>
          <w:i/>
          <w:sz w:val="18"/>
          <w:lang w:eastAsia="ja-JP"/>
        </w:rPr>
        <w:t>Minimizing transmission of always-on signals</w:t>
      </w:r>
    </w:p>
    <w:p w14:paraId="37A11111" w14:textId="19BB5A2E" w:rsidR="00CC300C" w:rsidRPr="00D26F8C" w:rsidRDefault="00CC300C" w:rsidP="00CC300C">
      <w:pPr>
        <w:numPr>
          <w:ilvl w:val="1"/>
          <w:numId w:val="2"/>
        </w:numPr>
        <w:overflowPunct/>
        <w:autoSpaceDE/>
        <w:adjustRightInd/>
        <w:spacing w:after="0"/>
        <w:textAlignment w:val="auto"/>
        <w:rPr>
          <w:i/>
          <w:sz w:val="18"/>
          <w:lang w:eastAsia="ja-JP"/>
        </w:rPr>
      </w:pPr>
      <w:r w:rsidRPr="00D26F8C">
        <w:rPr>
          <w:i/>
          <w:sz w:val="18"/>
          <w:lang w:eastAsia="ja-JP"/>
        </w:rPr>
        <w:t>Confining signals and channels for physical layer functionalities (signals, channels, signaling) within a configurable/allocable time/freq. resource</w:t>
      </w:r>
      <w:r w:rsidR="002E758C" w:rsidRPr="00D26F8C">
        <w:rPr>
          <w:i/>
          <w:sz w:val="18"/>
          <w:lang w:eastAsia="ja-JP"/>
        </w:rPr>
        <w:t>.</w:t>
      </w:r>
    </w:p>
    <w:p w14:paraId="6E82B2FA" w14:textId="3F2352E2" w:rsidR="00BE4EC9" w:rsidRPr="00CC300C" w:rsidRDefault="00BE4EC9" w:rsidP="00CC300C">
      <w:pPr>
        <w:overflowPunct/>
        <w:autoSpaceDE/>
        <w:autoSpaceDN/>
        <w:adjustRightInd/>
        <w:spacing w:after="0"/>
        <w:ind w:left="720"/>
        <w:textAlignment w:val="auto"/>
        <w:rPr>
          <w:rFonts w:eastAsia="MS Mincho"/>
          <w:color w:val="C00000"/>
          <w:sz w:val="16"/>
          <w:lang w:val="en-US" w:eastAsia="ja-JP"/>
        </w:rPr>
      </w:pPr>
    </w:p>
    <w:p w14:paraId="55CFBDED" w14:textId="119B635B" w:rsidR="0078539D" w:rsidRDefault="00C85277" w:rsidP="00E13EE4">
      <w:pPr>
        <w:spacing w:after="120"/>
        <w:jc w:val="both"/>
      </w:pPr>
      <w:r>
        <w:rPr>
          <w:bCs/>
        </w:rPr>
        <w:t xml:space="preserve">In this contribution we </w:t>
      </w:r>
      <w:r w:rsidR="00BE4EC9">
        <w:rPr>
          <w:bCs/>
        </w:rPr>
        <w:t xml:space="preserve">discuss </w:t>
      </w:r>
      <w:r w:rsidR="00CC300C">
        <w:rPr>
          <w:bCs/>
        </w:rPr>
        <w:t>the</w:t>
      </w:r>
      <w:r w:rsidR="005F5E6F">
        <w:rPr>
          <w:bCs/>
        </w:rPr>
        <w:t xml:space="preserve"> scenarios and</w:t>
      </w:r>
      <w:r w:rsidR="00CC300C">
        <w:rPr>
          <w:bCs/>
        </w:rPr>
        <w:t xml:space="preserve"> </w:t>
      </w:r>
      <w:r w:rsidR="005F5E6F">
        <w:rPr>
          <w:bCs/>
        </w:rPr>
        <w:t xml:space="preserve">potential </w:t>
      </w:r>
      <w:r w:rsidR="00CC300C">
        <w:rPr>
          <w:bCs/>
        </w:rPr>
        <w:t>solutions for indicating forward compatibility resources</w:t>
      </w:r>
      <w:r w:rsidR="005F5E6F">
        <w:rPr>
          <w:bCs/>
        </w:rPr>
        <w:t xml:space="preserve"> in NR</w:t>
      </w:r>
      <w:r w:rsidR="00CC300C">
        <w:rPr>
          <w:bCs/>
        </w:rPr>
        <w:t>.</w:t>
      </w:r>
    </w:p>
    <w:p w14:paraId="1DB60EA8" w14:textId="14F97E9E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A20653">
        <w:t>Discussion</w:t>
      </w:r>
    </w:p>
    <w:p w14:paraId="5935FCE5" w14:textId="77777777" w:rsidR="00A20653" w:rsidRDefault="00A20653" w:rsidP="00D26F8C">
      <w:pPr>
        <w:keepNext/>
        <w:spacing w:after="0"/>
      </w:pPr>
      <w:r>
        <w:t>As discussed in [3] the key building blocks behind forward-compatible lean carrier design are</w:t>
      </w:r>
    </w:p>
    <w:p w14:paraId="0733D17C" w14:textId="20E85C59" w:rsidR="00A20653" w:rsidRDefault="00A20653" w:rsidP="00A20653">
      <w:pPr>
        <w:pStyle w:val="ListParagraph"/>
        <w:keepNext/>
        <w:numPr>
          <w:ilvl w:val="0"/>
          <w:numId w:val="2"/>
        </w:numPr>
        <w:tabs>
          <w:tab w:val="clear" w:pos="928"/>
          <w:tab w:val="num" w:pos="709"/>
        </w:tabs>
        <w:spacing w:after="120"/>
        <w:ind w:left="709" w:hanging="425"/>
        <w:rPr>
          <w:sz w:val="20"/>
          <w:lang w:val="en-US"/>
        </w:rPr>
      </w:pPr>
      <w:r w:rsidRPr="00EB2146">
        <w:rPr>
          <w:sz w:val="20"/>
          <w:lang w:val="en-US"/>
        </w:rPr>
        <w:t>Efficient discovery signaling together with cell on/off mechanis</w:t>
      </w:r>
      <w:r>
        <w:rPr>
          <w:sz w:val="20"/>
          <w:lang w:val="en-US"/>
        </w:rPr>
        <w:t>m</w:t>
      </w:r>
      <w:r w:rsidR="006610FC">
        <w:rPr>
          <w:sz w:val="20"/>
          <w:lang w:val="en-US"/>
        </w:rPr>
        <w:t>.</w:t>
      </w:r>
      <w:r>
        <w:rPr>
          <w:sz w:val="20"/>
          <w:lang w:val="en-US"/>
        </w:rPr>
        <w:t xml:space="preserve"> </w:t>
      </w:r>
    </w:p>
    <w:p w14:paraId="69F831EC" w14:textId="296EF637" w:rsidR="00A20653" w:rsidRDefault="00A20653" w:rsidP="00A20653">
      <w:pPr>
        <w:pStyle w:val="ListParagraph"/>
        <w:keepNext/>
        <w:numPr>
          <w:ilvl w:val="0"/>
          <w:numId w:val="2"/>
        </w:numPr>
        <w:tabs>
          <w:tab w:val="clear" w:pos="928"/>
          <w:tab w:val="num" w:pos="709"/>
        </w:tabs>
        <w:spacing w:after="120"/>
        <w:ind w:left="709" w:hanging="425"/>
        <w:rPr>
          <w:sz w:val="20"/>
          <w:lang w:val="en-US"/>
        </w:rPr>
      </w:pPr>
      <w:r>
        <w:rPr>
          <w:sz w:val="20"/>
          <w:lang w:val="en-US"/>
        </w:rPr>
        <w:t xml:space="preserve">Decoupling dedicated control and data channel processing from RS used for processing </w:t>
      </w:r>
      <w:r w:rsidRPr="00EB2146">
        <w:rPr>
          <w:sz w:val="20"/>
          <w:lang w:val="en-US"/>
        </w:rPr>
        <w:t>common control signaling</w:t>
      </w:r>
      <w:r w:rsidR="006610FC">
        <w:rPr>
          <w:sz w:val="20"/>
          <w:lang w:val="en-US"/>
        </w:rPr>
        <w:t>.</w:t>
      </w:r>
    </w:p>
    <w:p w14:paraId="71A02D8E" w14:textId="77777777" w:rsidR="00A20653" w:rsidRDefault="00A20653" w:rsidP="00A20653">
      <w:pPr>
        <w:pStyle w:val="ListParagraph"/>
        <w:keepNext/>
        <w:numPr>
          <w:ilvl w:val="0"/>
          <w:numId w:val="2"/>
        </w:numPr>
        <w:tabs>
          <w:tab w:val="clear" w:pos="928"/>
          <w:tab w:val="num" w:pos="709"/>
        </w:tabs>
        <w:spacing w:after="120"/>
        <w:ind w:left="709" w:hanging="425"/>
        <w:rPr>
          <w:sz w:val="20"/>
          <w:lang w:val="en-US"/>
        </w:rPr>
      </w:pPr>
      <w:r>
        <w:rPr>
          <w:sz w:val="20"/>
          <w:lang w:val="en-US"/>
        </w:rPr>
        <w:t>Allocation of</w:t>
      </w:r>
      <w:r w:rsidRPr="00EB2146">
        <w:rPr>
          <w:sz w:val="20"/>
          <w:lang w:val="en-US"/>
        </w:rPr>
        <w:t xml:space="preserve"> DMRS and CSI acquisition signals in UE specific manner.</w:t>
      </w:r>
    </w:p>
    <w:p w14:paraId="2900A656" w14:textId="4BEBA03C" w:rsidR="00A20653" w:rsidRDefault="00A20653" w:rsidP="00A20653">
      <w:pPr>
        <w:pStyle w:val="ListParagraph"/>
        <w:keepNext/>
        <w:numPr>
          <w:ilvl w:val="0"/>
          <w:numId w:val="2"/>
        </w:numPr>
        <w:tabs>
          <w:tab w:val="clear" w:pos="928"/>
          <w:tab w:val="num" w:pos="709"/>
        </w:tabs>
        <w:spacing w:after="120"/>
        <w:ind w:left="709" w:hanging="425"/>
        <w:rPr>
          <w:sz w:val="20"/>
          <w:lang w:val="en-US"/>
        </w:rPr>
      </w:pPr>
      <w:r>
        <w:rPr>
          <w:sz w:val="20"/>
          <w:lang w:val="en-US"/>
        </w:rPr>
        <w:t>Confining</w:t>
      </w:r>
      <w:r w:rsidRPr="00EB2146">
        <w:rPr>
          <w:sz w:val="20"/>
          <w:lang w:val="en-US"/>
        </w:rPr>
        <w:t xml:space="preserve"> DMRS for the physical channel inside the resource a</w:t>
      </w:r>
      <w:r>
        <w:rPr>
          <w:sz w:val="20"/>
          <w:lang w:val="en-US"/>
        </w:rPr>
        <w:t>llocation region of the channel</w:t>
      </w:r>
      <w:r w:rsidR="006610FC">
        <w:rPr>
          <w:sz w:val="20"/>
          <w:lang w:val="en-US"/>
        </w:rPr>
        <w:t>.</w:t>
      </w:r>
    </w:p>
    <w:p w14:paraId="18F9ED90" w14:textId="77777777" w:rsidR="00A20653" w:rsidRDefault="00A20653" w:rsidP="00A20653">
      <w:pPr>
        <w:pStyle w:val="ListParagraph"/>
        <w:keepNext/>
        <w:numPr>
          <w:ilvl w:val="0"/>
          <w:numId w:val="2"/>
        </w:numPr>
        <w:tabs>
          <w:tab w:val="clear" w:pos="928"/>
          <w:tab w:val="num" w:pos="709"/>
        </w:tabs>
        <w:spacing w:after="120"/>
        <w:ind w:left="709" w:hanging="425"/>
        <w:rPr>
          <w:sz w:val="20"/>
          <w:lang w:val="en-US"/>
        </w:rPr>
      </w:pPr>
      <w:r>
        <w:rPr>
          <w:sz w:val="20"/>
          <w:lang w:val="en-US"/>
        </w:rPr>
        <w:t>Defining</w:t>
      </w:r>
      <w:r w:rsidRPr="00EB2146">
        <w:rPr>
          <w:sz w:val="20"/>
          <w:lang w:val="en-US"/>
        </w:rPr>
        <w:t xml:space="preserve"> downlink and uplink control and data channels as well as reference signals in block based manner.</w:t>
      </w:r>
      <w:r>
        <w:rPr>
          <w:sz w:val="20"/>
          <w:lang w:val="en-US"/>
        </w:rPr>
        <w:t xml:space="preserve"> </w:t>
      </w:r>
    </w:p>
    <w:p w14:paraId="471B6941" w14:textId="2CF4B362" w:rsidR="00A20653" w:rsidRDefault="00A20653" w:rsidP="00A20653">
      <w:pPr>
        <w:keepNext/>
        <w:tabs>
          <w:tab w:val="num" w:pos="709"/>
        </w:tabs>
        <w:spacing w:after="120"/>
        <w:rPr>
          <w:lang w:val="en-US"/>
        </w:rPr>
      </w:pPr>
      <w:r>
        <w:rPr>
          <w:lang w:val="en-US"/>
        </w:rPr>
        <w:t>These components allow minimizing always-on signaling and enable flexible system resource usage both in downlink and uplink.</w:t>
      </w:r>
    </w:p>
    <w:p w14:paraId="01A1C872" w14:textId="309196B1" w:rsidR="00A20653" w:rsidRPr="009036BC" w:rsidRDefault="00A20653" w:rsidP="00A20653">
      <w:pPr>
        <w:spacing w:after="0"/>
        <w:rPr>
          <w:i/>
          <w:color w:val="C00000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 xml:space="preserve">: </w:t>
      </w:r>
      <w:r>
        <w:rPr>
          <w:i/>
        </w:rPr>
        <w:t xml:space="preserve">Consider lean carrier minimizing always-on </w:t>
      </w:r>
      <w:r w:rsidR="004D7B09">
        <w:rPr>
          <w:i/>
        </w:rPr>
        <w:t>signalling</w:t>
      </w:r>
      <w:r>
        <w:rPr>
          <w:i/>
        </w:rPr>
        <w:t xml:space="preserve"> with block based channel and reference signal design as the baseline solution for forward compatibility.</w:t>
      </w:r>
    </w:p>
    <w:p w14:paraId="577E75EE" w14:textId="77777777" w:rsidR="006610FC" w:rsidRDefault="006610FC" w:rsidP="0005230E"/>
    <w:p w14:paraId="113F49DE" w14:textId="1D699EC9" w:rsidR="005F5E6F" w:rsidRDefault="0005230E" w:rsidP="0005230E">
      <w:r>
        <w:t xml:space="preserve">Obviously, </w:t>
      </w:r>
      <w:r w:rsidR="004708C0">
        <w:t xml:space="preserve">lean carrier approach alone cannot support all potential forward compatibility scenarios in the NR. </w:t>
      </w:r>
      <w:r>
        <w:t xml:space="preserve">In the </w:t>
      </w:r>
      <w:r w:rsidR="005F5E6F">
        <w:t>preferred</w:t>
      </w:r>
      <w:r>
        <w:t xml:space="preserve"> case, any </w:t>
      </w:r>
      <w:r w:rsidR="006E1D43">
        <w:t xml:space="preserve">DL/UL </w:t>
      </w:r>
      <w:r>
        <w:t xml:space="preserve">resource element should be able </w:t>
      </w:r>
      <w:r w:rsidR="005F5E6F">
        <w:t>to be used as FCR</w:t>
      </w:r>
      <w:r>
        <w:t>.</w:t>
      </w:r>
      <w:r w:rsidR="004708C0">
        <w:t xml:space="preserve"> Figure 1 illustrates two exemplary scenarios that require attention in forward compatibility design:</w:t>
      </w:r>
    </w:p>
    <w:p w14:paraId="08DEDF65" w14:textId="0C010D9F" w:rsidR="002E758C" w:rsidRPr="00042E68" w:rsidRDefault="002E758C" w:rsidP="009036BC">
      <w:pPr>
        <w:pStyle w:val="ListParagraph"/>
        <w:keepNext/>
        <w:numPr>
          <w:ilvl w:val="0"/>
          <w:numId w:val="12"/>
        </w:numPr>
        <w:ind w:left="709" w:hanging="425"/>
        <w:rPr>
          <w:sz w:val="20"/>
          <w:lang w:val="en-US"/>
        </w:rPr>
      </w:pPr>
      <w:r w:rsidRPr="0005230E">
        <w:rPr>
          <w:b/>
          <w:sz w:val="20"/>
          <w:lang w:val="en-US"/>
        </w:rPr>
        <w:lastRenderedPageBreak/>
        <w:t>Narrowband FCR:</w:t>
      </w:r>
      <w:r w:rsidRPr="009036BC">
        <w:rPr>
          <w:sz w:val="20"/>
          <w:lang w:val="en-US"/>
        </w:rPr>
        <w:t xml:space="preserve"> An examp</w:t>
      </w:r>
      <w:r w:rsidR="00D26F8C">
        <w:rPr>
          <w:sz w:val="20"/>
          <w:lang w:val="en-US"/>
        </w:rPr>
        <w:t>le of narrowband FCR is a NB-IoT</w:t>
      </w:r>
      <w:r w:rsidRPr="009036BC">
        <w:rPr>
          <w:sz w:val="20"/>
          <w:lang w:val="en-US"/>
        </w:rPr>
        <w:t xml:space="preserve"> (Narrowband Internet of Things) service running on the NR carrier. </w:t>
      </w:r>
      <w:r w:rsidRPr="00042E68">
        <w:rPr>
          <w:sz w:val="20"/>
          <w:lang w:val="en-US"/>
        </w:rPr>
        <w:t xml:space="preserve">Due to coverage reasons, NB-IoT transmission has typically a relatively long time duration e.g. compared to that of eMBB service. </w:t>
      </w:r>
    </w:p>
    <w:p w14:paraId="634AF08F" w14:textId="4C2CDAAC" w:rsidR="004C0C49" w:rsidRPr="00042E68" w:rsidRDefault="002E758C" w:rsidP="009036BC">
      <w:pPr>
        <w:pStyle w:val="ListParagraph"/>
        <w:keepNext/>
        <w:numPr>
          <w:ilvl w:val="0"/>
          <w:numId w:val="12"/>
        </w:numPr>
        <w:ind w:left="709" w:hanging="425"/>
        <w:rPr>
          <w:sz w:val="20"/>
          <w:lang w:val="en-US"/>
        </w:rPr>
      </w:pPr>
      <w:r w:rsidRPr="0005230E">
        <w:rPr>
          <w:b/>
          <w:sz w:val="20"/>
          <w:lang w:val="en-US"/>
        </w:rPr>
        <w:t>Wideband FCR:</w:t>
      </w:r>
      <w:r w:rsidRPr="009036BC">
        <w:rPr>
          <w:sz w:val="20"/>
          <w:lang w:val="en-US"/>
        </w:rPr>
        <w:t xml:space="preserve"> An example of wideband FCR is an URLLC (Ultra reliable and low latency communications) service running on the NR carrier. </w:t>
      </w:r>
      <w:r w:rsidRPr="00042E68">
        <w:rPr>
          <w:sz w:val="20"/>
          <w:lang w:val="en-US"/>
        </w:rPr>
        <w:t>URLLC transmission ha</w:t>
      </w:r>
      <w:r w:rsidR="00D26F8C">
        <w:rPr>
          <w:sz w:val="20"/>
          <w:lang w:val="en-US"/>
        </w:rPr>
        <w:t>s</w:t>
      </w:r>
      <w:r w:rsidRPr="00042E68">
        <w:rPr>
          <w:sz w:val="20"/>
          <w:lang w:val="en-US"/>
        </w:rPr>
        <w:t xml:space="preserve"> typically relatively wide transmission bandwidth but short time duration.</w:t>
      </w:r>
    </w:p>
    <w:p w14:paraId="7DD296DB" w14:textId="77777777" w:rsidR="002E758C" w:rsidRDefault="002E758C" w:rsidP="002E758C">
      <w:pPr>
        <w:keepNext/>
        <w:ind w:left="360"/>
        <w:jc w:val="center"/>
      </w:pPr>
    </w:p>
    <w:p w14:paraId="1911A934" w14:textId="0D5C99A8" w:rsidR="002E758C" w:rsidRDefault="002E758C" w:rsidP="004C0C49">
      <w:pPr>
        <w:keepNext/>
        <w:jc w:val="center"/>
      </w:pPr>
      <w:r w:rsidRPr="002E758C">
        <w:rPr>
          <w:noProof/>
          <w:lang w:val="en-US"/>
        </w:rPr>
        <w:drawing>
          <wp:inline distT="0" distB="0" distL="0" distR="0" wp14:anchorId="030D76A4" wp14:editId="643EC1D5">
            <wp:extent cx="2091444" cy="121773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060" cy="1223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29EED" w14:textId="14DEABA9" w:rsidR="00A51242" w:rsidRDefault="004C0C49" w:rsidP="006E4D1B">
      <w:pPr>
        <w:pStyle w:val="Caption"/>
        <w:spacing w:after="0"/>
        <w:jc w:val="center"/>
        <w:rPr>
          <w:lang w:val="en-US"/>
        </w:rPr>
      </w:pPr>
      <w:r>
        <w:t xml:space="preserve">Figure </w:t>
      </w:r>
      <w:r w:rsidR="003D362D">
        <w:fldChar w:fldCharType="begin"/>
      </w:r>
      <w:r w:rsidR="003D362D">
        <w:instrText xml:space="preserve"> SEQ Figure \* ARABIC </w:instrText>
      </w:r>
      <w:r w:rsidR="003D362D">
        <w:fldChar w:fldCharType="separate"/>
      </w:r>
      <w:r w:rsidR="00513839">
        <w:rPr>
          <w:noProof/>
        </w:rPr>
        <w:t>1</w:t>
      </w:r>
      <w:r w:rsidR="003D362D">
        <w:rPr>
          <w:noProof/>
        </w:rPr>
        <w:fldChar w:fldCharType="end"/>
      </w:r>
      <w:r w:rsidRPr="004C0C49">
        <w:rPr>
          <w:lang w:val="en-US"/>
        </w:rPr>
        <w:t xml:space="preserve">. </w:t>
      </w:r>
      <w:r w:rsidR="002E758C" w:rsidRPr="002E758C">
        <w:rPr>
          <w:lang w:val="en-US"/>
        </w:rPr>
        <w:t>Exemplary scenarios for FCR</w:t>
      </w:r>
    </w:p>
    <w:p w14:paraId="06B61105" w14:textId="77777777" w:rsidR="009036BC" w:rsidRPr="009036BC" w:rsidRDefault="009036BC" w:rsidP="009036BC">
      <w:pPr>
        <w:rPr>
          <w:lang w:val="en-US" w:eastAsia="x-none"/>
        </w:rPr>
      </w:pPr>
    </w:p>
    <w:p w14:paraId="213F89E6" w14:textId="30A0A1BD" w:rsidR="00367367" w:rsidRDefault="009036BC" w:rsidP="009036BC">
      <w:pPr>
        <w:spacing w:after="0"/>
        <w:rPr>
          <w:i/>
        </w:rPr>
      </w:pPr>
      <w:r>
        <w:rPr>
          <w:b/>
          <w:i/>
        </w:rPr>
        <w:t>Observation</w:t>
      </w:r>
      <w:r w:rsidR="00117332" w:rsidRPr="00367367">
        <w:rPr>
          <w:b/>
          <w:i/>
        </w:rPr>
        <w:t xml:space="preserve"> #1</w:t>
      </w:r>
      <w:r w:rsidR="00117332">
        <w:t xml:space="preserve">: </w:t>
      </w:r>
      <w:r w:rsidR="0005230E">
        <w:rPr>
          <w:i/>
        </w:rPr>
        <w:t xml:space="preserve">It should be possible to configure any </w:t>
      </w:r>
      <w:r w:rsidR="006E1D43">
        <w:rPr>
          <w:i/>
        </w:rPr>
        <w:t xml:space="preserve">DL/UL </w:t>
      </w:r>
      <w:r w:rsidR="0005230E">
        <w:rPr>
          <w:i/>
        </w:rPr>
        <w:t>resource element as forward compatible resource</w:t>
      </w:r>
    </w:p>
    <w:p w14:paraId="1C9ABF7A" w14:textId="77777777" w:rsidR="006C51A5" w:rsidRPr="009036BC" w:rsidRDefault="006C51A5" w:rsidP="009036BC">
      <w:pPr>
        <w:spacing w:after="0"/>
        <w:rPr>
          <w:i/>
          <w:color w:val="C00000"/>
        </w:rPr>
      </w:pPr>
    </w:p>
    <w:p w14:paraId="0F109AD2" w14:textId="19ABEBEE" w:rsidR="00050466" w:rsidRDefault="00050466" w:rsidP="00050466">
      <w:pPr>
        <w:pStyle w:val="Heading1"/>
      </w:pPr>
      <w:r>
        <w:rPr>
          <w:color w:val="000000"/>
        </w:rPr>
        <w:t>3</w:t>
      </w:r>
      <w:r w:rsidRPr="00A51522">
        <w:rPr>
          <w:color w:val="000000"/>
        </w:rPr>
        <w:tab/>
      </w:r>
      <w:r w:rsidR="00D56B5F">
        <w:t xml:space="preserve">FRC </w:t>
      </w:r>
      <w:r w:rsidR="00A20653">
        <w:t>signalling</w:t>
      </w:r>
      <w:r w:rsidR="00D56B5F">
        <w:t xml:space="preserve"> </w:t>
      </w:r>
      <w:r w:rsidR="000C501D">
        <w:t>options</w:t>
      </w:r>
    </w:p>
    <w:p w14:paraId="14DF7683" w14:textId="62C0C40E" w:rsidR="00F45693" w:rsidRPr="00F4065A" w:rsidRDefault="00F87032" w:rsidP="00F45693">
      <w:pPr>
        <w:pStyle w:val="Heading2"/>
        <w:rPr>
          <w:sz w:val="24"/>
        </w:rPr>
      </w:pPr>
      <w:r w:rsidRPr="00F4065A">
        <w:rPr>
          <w:sz w:val="24"/>
        </w:rPr>
        <w:t>3.</w:t>
      </w:r>
      <w:r w:rsidR="004708C0">
        <w:rPr>
          <w:sz w:val="24"/>
        </w:rPr>
        <w:t>1</w:t>
      </w:r>
      <w:r w:rsidRPr="00F4065A">
        <w:rPr>
          <w:sz w:val="24"/>
        </w:rPr>
        <w:t xml:space="preserve">. </w:t>
      </w:r>
      <w:r w:rsidR="00D56B5F" w:rsidRPr="00F4065A">
        <w:rPr>
          <w:sz w:val="24"/>
        </w:rPr>
        <w:tab/>
      </w:r>
      <w:r w:rsidRPr="00F4065A">
        <w:rPr>
          <w:sz w:val="24"/>
        </w:rPr>
        <w:t>Explicit signalling</w:t>
      </w:r>
    </w:p>
    <w:p w14:paraId="684CE221" w14:textId="28B90756" w:rsidR="00EF2E6B" w:rsidRDefault="00F45693" w:rsidP="00F45693">
      <w:pPr>
        <w:spacing w:after="0"/>
      </w:pPr>
      <w:r>
        <w:t>In this option</w:t>
      </w:r>
      <w:r w:rsidR="000C501D">
        <w:t xml:space="preserve"> </w:t>
      </w:r>
      <w:r w:rsidR="00F4065A">
        <w:t>BS</w:t>
      </w:r>
      <w:r w:rsidR="000C501D">
        <w:t xml:space="preserve"> indic</w:t>
      </w:r>
      <w:r w:rsidR="004708C0">
        <w:t>ates the FCR resources</w:t>
      </w:r>
      <w:r>
        <w:t xml:space="preserve"> </w:t>
      </w:r>
      <w:r w:rsidR="004708C0">
        <w:t xml:space="preserve">to UE(s) </w:t>
      </w:r>
      <w:r>
        <w:t xml:space="preserve">by using </w:t>
      </w:r>
      <w:r w:rsidR="00F4065A">
        <w:t xml:space="preserve">explicit </w:t>
      </w:r>
      <w:r>
        <w:t>signalling defined for that purpose.</w:t>
      </w:r>
      <w:r w:rsidR="00F4065A">
        <w:t xml:space="preserve"> There are different signalling options available as discussed in Section 4.</w:t>
      </w:r>
      <w:r>
        <w:t xml:space="preserve"> </w:t>
      </w:r>
      <w:r w:rsidRPr="00F45693">
        <w:t xml:space="preserve">When certain </w:t>
      </w:r>
      <w:r>
        <w:t>resource element is considered as FCR</w:t>
      </w:r>
      <w:r w:rsidRPr="00F45693">
        <w:t xml:space="preserve">, </w:t>
      </w:r>
      <w:r>
        <w:t xml:space="preserve">the UE may consider it </w:t>
      </w:r>
      <w:r w:rsidRPr="00F45693">
        <w:t>as blanked/unavailable resource</w:t>
      </w:r>
      <w:r>
        <w:t>. This means that the r</w:t>
      </w:r>
      <w:r w:rsidRPr="00F45693">
        <w:t>elated RS is punctured/dropped</w:t>
      </w:r>
      <w:r>
        <w:t xml:space="preserve"> and data </w:t>
      </w:r>
      <w:r w:rsidRPr="00F45693">
        <w:t>is rate matched around</w:t>
      </w:r>
      <w:r>
        <w:t xml:space="preserve"> the</w:t>
      </w:r>
      <w:r w:rsidRPr="00F45693">
        <w:t xml:space="preserve"> FCR</w:t>
      </w:r>
      <w:r>
        <w:t>. The advantages of explicit signalling include:</w:t>
      </w:r>
    </w:p>
    <w:p w14:paraId="762EBCA1" w14:textId="1245D285" w:rsidR="00F45693" w:rsidRPr="00F45693" w:rsidRDefault="00F45693" w:rsidP="00F45693">
      <w:pPr>
        <w:pStyle w:val="ListParagraph"/>
        <w:numPr>
          <w:ilvl w:val="0"/>
          <w:numId w:val="14"/>
        </w:numPr>
        <w:rPr>
          <w:lang w:val="en-US"/>
        </w:rPr>
      </w:pPr>
      <w:r w:rsidRPr="00F45693">
        <w:rPr>
          <w:sz w:val="20"/>
          <w:lang w:val="en-US"/>
        </w:rPr>
        <w:t>It allows maximizing the FCR resources in the carrier</w:t>
      </w:r>
      <w:r w:rsidR="004708C0">
        <w:rPr>
          <w:sz w:val="20"/>
          <w:lang w:val="en-US"/>
        </w:rPr>
        <w:t>. Hence, it can be</w:t>
      </w:r>
      <w:r w:rsidR="00F4065A">
        <w:rPr>
          <w:sz w:val="20"/>
          <w:lang w:val="en-US"/>
        </w:rPr>
        <w:t xml:space="preserve"> flexible enough to cover all potential </w:t>
      </w:r>
      <w:r w:rsidR="004708C0">
        <w:rPr>
          <w:sz w:val="20"/>
          <w:lang w:val="en-US"/>
        </w:rPr>
        <w:t xml:space="preserve">forward compatibility </w:t>
      </w:r>
      <w:r w:rsidR="00F4065A">
        <w:rPr>
          <w:sz w:val="20"/>
          <w:lang w:val="en-US"/>
        </w:rPr>
        <w:t>scenarios in the future.</w:t>
      </w:r>
    </w:p>
    <w:p w14:paraId="2442E4F8" w14:textId="4882EF5F" w:rsidR="00F45693" w:rsidRPr="0091191F" w:rsidRDefault="00F45693" w:rsidP="00F45693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sz w:val="20"/>
          <w:lang w:val="en-US"/>
        </w:rPr>
        <w:t>It can support</w:t>
      </w:r>
      <w:r w:rsidR="00F4065A">
        <w:rPr>
          <w:sz w:val="20"/>
          <w:lang w:val="en-US"/>
        </w:rPr>
        <w:t xml:space="preserve"> also</w:t>
      </w:r>
      <w:r>
        <w:rPr>
          <w:sz w:val="20"/>
          <w:lang w:val="en-US"/>
        </w:rPr>
        <w:t xml:space="preserve"> </w:t>
      </w:r>
      <w:r w:rsidRPr="00F45693">
        <w:rPr>
          <w:sz w:val="20"/>
          <w:lang w:val="en-US"/>
        </w:rPr>
        <w:t xml:space="preserve">short time but wide band </w:t>
      </w:r>
      <w:r w:rsidR="00D26F8C">
        <w:rPr>
          <w:sz w:val="20"/>
          <w:lang w:val="en-US"/>
        </w:rPr>
        <w:t>and</w:t>
      </w:r>
      <w:r w:rsidRPr="00F45693">
        <w:rPr>
          <w:sz w:val="20"/>
          <w:lang w:val="en-US"/>
        </w:rPr>
        <w:t xml:space="preserve"> narrow band but long time </w:t>
      </w:r>
      <w:r w:rsidR="00F4065A">
        <w:rPr>
          <w:sz w:val="20"/>
          <w:lang w:val="en-US"/>
        </w:rPr>
        <w:t xml:space="preserve">FCR </w:t>
      </w:r>
      <w:r w:rsidRPr="00F45693">
        <w:rPr>
          <w:sz w:val="20"/>
          <w:lang w:val="en-US"/>
        </w:rPr>
        <w:t>allocations</w:t>
      </w:r>
      <w:r w:rsidR="00F4065A">
        <w:rPr>
          <w:sz w:val="20"/>
          <w:lang w:val="en-US"/>
        </w:rPr>
        <w:t>.</w:t>
      </w:r>
    </w:p>
    <w:p w14:paraId="5F67DBAA" w14:textId="63D2995E" w:rsidR="0091191F" w:rsidRPr="0091191F" w:rsidRDefault="0091191F" w:rsidP="0091191F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sz w:val="20"/>
          <w:lang w:val="en-US"/>
        </w:rPr>
        <w:t xml:space="preserve">Explicit </w:t>
      </w:r>
      <w:r w:rsidR="004708C0">
        <w:rPr>
          <w:sz w:val="20"/>
          <w:lang w:val="en-US"/>
        </w:rPr>
        <w:t>signaling</w:t>
      </w:r>
      <w:r>
        <w:rPr>
          <w:sz w:val="20"/>
          <w:lang w:val="en-US"/>
        </w:rPr>
        <w:t xml:space="preserve"> can minimize the overhead due to FCR.</w:t>
      </w:r>
    </w:p>
    <w:p w14:paraId="1CFF1E90" w14:textId="241A0736" w:rsidR="00F4065A" w:rsidRDefault="00F4065A" w:rsidP="00F4065A">
      <w:pPr>
        <w:rPr>
          <w:lang w:val="en-US"/>
        </w:rPr>
      </w:pPr>
      <w:r>
        <w:rPr>
          <w:lang w:val="en-US"/>
        </w:rPr>
        <w:t>Based on the advantages, we make the following proposals:</w:t>
      </w:r>
    </w:p>
    <w:p w14:paraId="6F9B0E03" w14:textId="14ACFA67" w:rsidR="00F45693" w:rsidRDefault="00F45693" w:rsidP="00F45693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>#</w:t>
      </w:r>
      <w:r>
        <w:rPr>
          <w:b/>
          <w:i/>
        </w:rPr>
        <w:t>2</w:t>
      </w:r>
      <w:r>
        <w:t xml:space="preserve">: </w:t>
      </w:r>
      <w:r>
        <w:rPr>
          <w:i/>
        </w:rPr>
        <w:t xml:space="preserve">Support explicit indication of </w:t>
      </w:r>
      <w:r w:rsidR="00F4065A">
        <w:rPr>
          <w:i/>
        </w:rPr>
        <w:t>forward compatibility resources</w:t>
      </w:r>
    </w:p>
    <w:p w14:paraId="2982A97D" w14:textId="77777777" w:rsidR="00F4065A" w:rsidRDefault="00F4065A" w:rsidP="00F45693">
      <w:pPr>
        <w:spacing w:after="0"/>
        <w:rPr>
          <w:i/>
        </w:rPr>
      </w:pPr>
    </w:p>
    <w:p w14:paraId="2A68BF42" w14:textId="6225F723" w:rsidR="00F4065A" w:rsidRDefault="00F4065A" w:rsidP="00F4065A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>#</w:t>
      </w:r>
      <w:r>
        <w:rPr>
          <w:b/>
          <w:i/>
        </w:rPr>
        <w:t>3</w:t>
      </w:r>
      <w:r>
        <w:t xml:space="preserve">: </w:t>
      </w:r>
      <w:r>
        <w:rPr>
          <w:i/>
        </w:rPr>
        <w:t xml:space="preserve">When certain resource element is considered as FCR, the related </w:t>
      </w:r>
      <w:r w:rsidRPr="00F4065A">
        <w:rPr>
          <w:i/>
        </w:rPr>
        <w:t>RS is punctured/dropped and data is rate matched around the FCR</w:t>
      </w:r>
      <w:r w:rsidR="00D26F8C">
        <w:rPr>
          <w:i/>
        </w:rPr>
        <w:t>.</w:t>
      </w:r>
    </w:p>
    <w:p w14:paraId="173BC491" w14:textId="7083C5B1" w:rsidR="006D632E" w:rsidRDefault="006D632E" w:rsidP="006D632E">
      <w:pPr>
        <w:spacing w:after="0"/>
      </w:pPr>
      <w:r>
        <w:t xml:space="preserve"> </w:t>
      </w:r>
    </w:p>
    <w:p w14:paraId="28FC0459" w14:textId="0F4981F9" w:rsidR="00D56B5F" w:rsidRPr="00C731AD" w:rsidRDefault="00D56B5F" w:rsidP="00D56B5F">
      <w:pPr>
        <w:pStyle w:val="Heading2"/>
        <w:rPr>
          <w:sz w:val="24"/>
        </w:rPr>
      </w:pPr>
      <w:r w:rsidRPr="00C731AD">
        <w:rPr>
          <w:sz w:val="24"/>
        </w:rPr>
        <w:t>3.</w:t>
      </w:r>
      <w:r w:rsidR="00F252A8">
        <w:rPr>
          <w:sz w:val="24"/>
        </w:rPr>
        <w:t>2</w:t>
      </w:r>
      <w:r w:rsidRPr="00C731AD">
        <w:rPr>
          <w:sz w:val="24"/>
        </w:rPr>
        <w:t xml:space="preserve">. </w:t>
      </w:r>
      <w:r w:rsidRPr="00C731AD">
        <w:rPr>
          <w:sz w:val="24"/>
        </w:rPr>
        <w:tab/>
        <w:t>Implicit signalling</w:t>
      </w:r>
    </w:p>
    <w:p w14:paraId="5228535F" w14:textId="5C4EC7A9" w:rsidR="006C51A5" w:rsidRDefault="00D56B5F" w:rsidP="006C51A5">
      <w:pPr>
        <w:rPr>
          <w:lang w:val="en-US"/>
        </w:rPr>
      </w:pPr>
      <w:r w:rsidRPr="00B75454">
        <w:t xml:space="preserve">Implicit signalling is </w:t>
      </w:r>
      <w:r>
        <w:t>the most straightforward way to</w:t>
      </w:r>
      <w:r w:rsidRPr="00B75454">
        <w:t xml:space="preserve"> arrange FCR</w:t>
      </w:r>
      <w:r>
        <w:t xml:space="preserve"> on top of lean carrier design</w:t>
      </w:r>
      <w:r w:rsidR="00F4065A">
        <w:t>. Following this approach, BS</w:t>
      </w:r>
      <w:r w:rsidRPr="00B75454">
        <w:t xml:space="preserve"> does not schedule any data/control on resource elements considered as FCR. </w:t>
      </w:r>
      <w:r w:rsidR="004708C0">
        <w:t xml:space="preserve">Hence, it can be seen as a BS implementation –specific way to arrange FCR. </w:t>
      </w:r>
      <w:r w:rsidRPr="00B75454">
        <w:t>The problem of implicit signalling is that it has quite limited capabilities</w:t>
      </w:r>
      <w:r>
        <w:t xml:space="preserve"> compared to explicit signalling</w:t>
      </w:r>
      <w:r w:rsidR="004708C0">
        <w:t>. F</w:t>
      </w:r>
      <w:r w:rsidRPr="00B75454">
        <w:t xml:space="preserve">or example, it does not allow muting of </w:t>
      </w:r>
      <w:r w:rsidR="006610FC">
        <w:t xml:space="preserve">periodical </w:t>
      </w:r>
      <w:r>
        <w:t xml:space="preserve">CSI acquisition </w:t>
      </w:r>
      <w:r w:rsidRPr="00B75454">
        <w:t>signals (such as CSI-RS, SRS). Furthermore, implicit signalling may not have sufficient</w:t>
      </w:r>
      <w:r w:rsidR="004708C0">
        <w:t xml:space="preserve"> resource</w:t>
      </w:r>
      <w:r w:rsidRPr="00B75454">
        <w:t xml:space="preserve"> allocation granularity for indicating FCR in the scenarios depicted in Figure 1 (at least with reasonable resource allocation </w:t>
      </w:r>
      <w:r w:rsidR="004708C0">
        <w:t>overhead</w:t>
      </w:r>
      <w:r w:rsidRPr="00B75454">
        <w:t xml:space="preserve">). </w:t>
      </w:r>
      <w:r w:rsidR="006C51A5">
        <w:t xml:space="preserve">This may increase </w:t>
      </w:r>
      <w:r w:rsidR="00D26F8C">
        <w:t xml:space="preserve">also </w:t>
      </w:r>
      <w:r w:rsidR="006C51A5">
        <w:t xml:space="preserve">the overhead due FCR. </w:t>
      </w:r>
      <w:r w:rsidRPr="00B75454">
        <w:t>Also the scheduling has its limitations what comes to short time but wide band or narrow band but long time allocations.</w:t>
      </w:r>
      <w:r>
        <w:t xml:space="preserve"> </w:t>
      </w:r>
    </w:p>
    <w:p w14:paraId="39E8F28F" w14:textId="01A2526D" w:rsidR="004708C0" w:rsidRPr="009036BC" w:rsidRDefault="004708C0" w:rsidP="004708C0">
      <w:pPr>
        <w:spacing w:after="0"/>
        <w:rPr>
          <w:i/>
          <w:color w:val="C00000"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>
        <w:rPr>
          <w:i/>
        </w:rPr>
        <w:t xml:space="preserve">Implicit signalling can be considered as </w:t>
      </w:r>
      <w:r w:rsidR="00D26F8C">
        <w:rPr>
          <w:i/>
        </w:rPr>
        <w:t xml:space="preserve">a </w:t>
      </w:r>
      <w:r>
        <w:rPr>
          <w:i/>
        </w:rPr>
        <w:t>BS implementation –specific way to provide FCR</w:t>
      </w:r>
    </w:p>
    <w:p w14:paraId="755E3374" w14:textId="77777777" w:rsidR="004708C0" w:rsidRDefault="004708C0" w:rsidP="00D56B5F">
      <w:pPr>
        <w:spacing w:after="0"/>
        <w:rPr>
          <w:b/>
          <w:i/>
        </w:rPr>
      </w:pPr>
    </w:p>
    <w:p w14:paraId="5917DAE2" w14:textId="03F744DE" w:rsidR="00F45693" w:rsidRDefault="00F45693" w:rsidP="00D56B5F">
      <w:pPr>
        <w:spacing w:after="0"/>
        <w:rPr>
          <w:i/>
        </w:rPr>
      </w:pPr>
      <w:r>
        <w:rPr>
          <w:b/>
          <w:i/>
        </w:rPr>
        <w:t>Proposal</w:t>
      </w:r>
      <w:r w:rsidR="00D56B5F" w:rsidRPr="00367367">
        <w:rPr>
          <w:b/>
          <w:i/>
        </w:rPr>
        <w:t>#</w:t>
      </w:r>
      <w:r w:rsidR="0007208A">
        <w:rPr>
          <w:b/>
          <w:i/>
        </w:rPr>
        <w:t>4</w:t>
      </w:r>
      <w:r w:rsidR="00D56B5F">
        <w:t xml:space="preserve">: </w:t>
      </w:r>
      <w:r>
        <w:rPr>
          <w:i/>
        </w:rPr>
        <w:t>Consider implicit signalling as a complementary solution for providing FCR</w:t>
      </w:r>
    </w:p>
    <w:p w14:paraId="48091697" w14:textId="77777777" w:rsidR="00F45693" w:rsidRDefault="00F45693" w:rsidP="00D56B5F">
      <w:pPr>
        <w:spacing w:after="0"/>
        <w:rPr>
          <w:i/>
        </w:rPr>
      </w:pPr>
    </w:p>
    <w:p w14:paraId="36A949A0" w14:textId="77777777" w:rsidR="00731B79" w:rsidRPr="00D56B5F" w:rsidRDefault="00731B79" w:rsidP="00D060F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i/>
        </w:rPr>
      </w:pPr>
    </w:p>
    <w:p w14:paraId="23110643" w14:textId="3806A381" w:rsidR="000C501D" w:rsidRDefault="000C501D" w:rsidP="000C501D">
      <w:pPr>
        <w:pStyle w:val="Heading1"/>
      </w:pPr>
      <w:r>
        <w:rPr>
          <w:color w:val="000000"/>
        </w:rPr>
        <w:lastRenderedPageBreak/>
        <w:t>4</w:t>
      </w:r>
      <w:r w:rsidRPr="00A51522">
        <w:rPr>
          <w:color w:val="000000"/>
        </w:rPr>
        <w:tab/>
      </w:r>
      <w:r w:rsidR="00C731AD">
        <w:t>Options for explicit indication of FCR</w:t>
      </w:r>
    </w:p>
    <w:p w14:paraId="5F29EDE9" w14:textId="6763B79A" w:rsidR="000C501D" w:rsidRPr="00C731AD" w:rsidRDefault="000C501D" w:rsidP="000C501D">
      <w:pPr>
        <w:pStyle w:val="Heading2"/>
        <w:rPr>
          <w:sz w:val="24"/>
          <w:szCs w:val="24"/>
        </w:rPr>
      </w:pPr>
      <w:r w:rsidRPr="00C731AD">
        <w:rPr>
          <w:sz w:val="24"/>
          <w:szCs w:val="24"/>
        </w:rPr>
        <w:t xml:space="preserve">4.1. </w:t>
      </w:r>
      <w:r w:rsidRPr="00C731AD">
        <w:rPr>
          <w:sz w:val="24"/>
          <w:szCs w:val="24"/>
        </w:rPr>
        <w:tab/>
        <w:t>Common signalling</w:t>
      </w:r>
    </w:p>
    <w:p w14:paraId="668D37DE" w14:textId="1FE475BF" w:rsidR="00C731AD" w:rsidRDefault="00C731AD" w:rsidP="00D26F8C">
      <w:pPr>
        <w:spacing w:after="0"/>
      </w:pPr>
      <w:r>
        <w:t xml:space="preserve">There are two main approaches for </w:t>
      </w:r>
      <w:r w:rsidRPr="00C731AD">
        <w:t>explicit indication of FCR</w:t>
      </w:r>
      <w:r>
        <w:t xml:space="preserve"> based on common signalling:</w:t>
      </w:r>
    </w:p>
    <w:p w14:paraId="4FAC90F2" w14:textId="7DCBC74A" w:rsidR="00C731AD" w:rsidRPr="00C731AD" w:rsidRDefault="0091191F" w:rsidP="0091191F">
      <w:pPr>
        <w:pStyle w:val="ListParagraph"/>
        <w:numPr>
          <w:ilvl w:val="0"/>
          <w:numId w:val="18"/>
        </w:numPr>
        <w:rPr>
          <w:lang w:val="en-US"/>
        </w:rPr>
      </w:pPr>
      <w:r w:rsidRPr="0091191F">
        <w:rPr>
          <w:b/>
          <w:sz w:val="20"/>
          <w:lang w:val="en-US"/>
        </w:rPr>
        <w:t>Option #1:</w:t>
      </w:r>
      <w:r>
        <w:rPr>
          <w:sz w:val="20"/>
          <w:lang w:val="en-US"/>
        </w:rPr>
        <w:t xml:space="preserve"> </w:t>
      </w:r>
      <w:r w:rsidR="00C731AD" w:rsidRPr="00C731AD">
        <w:rPr>
          <w:sz w:val="20"/>
          <w:lang w:val="en-US"/>
        </w:rPr>
        <w:t xml:space="preserve">Higher layer </w:t>
      </w:r>
      <w:r w:rsidR="00A86111" w:rsidRPr="00C731AD">
        <w:rPr>
          <w:sz w:val="20"/>
          <w:lang w:val="en-US"/>
        </w:rPr>
        <w:t>signaling</w:t>
      </w:r>
      <w:r w:rsidR="00C731AD" w:rsidRPr="00C731AD">
        <w:rPr>
          <w:sz w:val="20"/>
          <w:lang w:val="en-US"/>
        </w:rPr>
        <w:t xml:space="preserve"> such as </w:t>
      </w:r>
      <w:r w:rsidR="00C731AD">
        <w:rPr>
          <w:sz w:val="20"/>
          <w:lang w:val="en-US"/>
        </w:rPr>
        <w:t>PBCH or System information</w:t>
      </w:r>
    </w:p>
    <w:p w14:paraId="495C58E5" w14:textId="374FAA4A" w:rsidR="00C731AD" w:rsidRPr="00C731AD" w:rsidRDefault="0091191F" w:rsidP="0091191F">
      <w:pPr>
        <w:pStyle w:val="ListParagraph"/>
        <w:numPr>
          <w:ilvl w:val="0"/>
          <w:numId w:val="18"/>
        </w:numPr>
        <w:rPr>
          <w:lang w:val="en-US"/>
        </w:rPr>
      </w:pPr>
      <w:r w:rsidRPr="0091191F">
        <w:rPr>
          <w:b/>
          <w:sz w:val="20"/>
          <w:lang w:val="en-US"/>
        </w:rPr>
        <w:t xml:space="preserve">Option #2: </w:t>
      </w:r>
      <w:r>
        <w:rPr>
          <w:sz w:val="20"/>
          <w:lang w:val="en-US"/>
        </w:rPr>
        <w:t xml:space="preserve">PHY </w:t>
      </w:r>
      <w:r w:rsidR="00A86111">
        <w:rPr>
          <w:sz w:val="20"/>
          <w:lang w:val="en-US"/>
        </w:rPr>
        <w:t>signaling</w:t>
      </w:r>
      <w:r>
        <w:rPr>
          <w:sz w:val="20"/>
          <w:lang w:val="en-US"/>
        </w:rPr>
        <w:t xml:space="preserve"> such as common DCI/PDCCH</w:t>
      </w:r>
    </w:p>
    <w:p w14:paraId="344191F1" w14:textId="77777777" w:rsidR="00880EDF" w:rsidRDefault="00880EDF" w:rsidP="00F252A8">
      <w:pPr>
        <w:spacing w:after="0"/>
        <w:rPr>
          <w:lang w:val="en-US"/>
        </w:rPr>
      </w:pPr>
    </w:p>
    <w:p w14:paraId="4AFD5909" w14:textId="275CE915" w:rsidR="0091191F" w:rsidRDefault="0091191F" w:rsidP="0091191F">
      <w:pPr>
        <w:rPr>
          <w:lang w:val="en-US"/>
        </w:rPr>
      </w:pPr>
      <w:r>
        <w:rPr>
          <w:lang w:val="en-US"/>
        </w:rPr>
        <w:t xml:space="preserve">MBSFN configuration used in LTE </w:t>
      </w:r>
      <w:r w:rsidR="00F252A8">
        <w:rPr>
          <w:lang w:val="en-US"/>
        </w:rPr>
        <w:t>can be seen as</w:t>
      </w:r>
      <w:r>
        <w:rPr>
          <w:lang w:val="en-US"/>
        </w:rPr>
        <w:t xml:space="preserve"> an example of Option #1. It can be used only for scenarios where FCR </w:t>
      </w:r>
      <w:r w:rsidR="00F252A8">
        <w:rPr>
          <w:lang w:val="en-US"/>
        </w:rPr>
        <w:t xml:space="preserve">configuration is </w:t>
      </w:r>
      <w:r w:rsidR="00D26F8C">
        <w:rPr>
          <w:lang w:val="en-US"/>
        </w:rPr>
        <w:t>semi-static</w:t>
      </w:r>
      <w:r>
        <w:rPr>
          <w:lang w:val="en-US"/>
        </w:rPr>
        <w:t>.</w:t>
      </w:r>
      <w:r w:rsidR="00681FDC">
        <w:rPr>
          <w:lang w:val="en-US"/>
        </w:rPr>
        <w:t xml:space="preserve"> Hence, it cannot be used in the scenarios where FCR configuration changes dynamically.</w:t>
      </w:r>
      <w:r w:rsidR="008B13E9">
        <w:rPr>
          <w:lang w:val="en-US"/>
        </w:rPr>
        <w:t xml:space="preserve"> Furthermore, the signaling overhead may be considerable, especially if it’s used for indicating FCR in both frequency and time</w:t>
      </w:r>
      <w:r w:rsidR="00F252A8">
        <w:rPr>
          <w:lang w:val="en-US"/>
        </w:rPr>
        <w:t xml:space="preserve"> with </w:t>
      </w:r>
      <w:r w:rsidR="00D26F8C">
        <w:rPr>
          <w:lang w:val="en-US"/>
        </w:rPr>
        <w:t>high</w:t>
      </w:r>
      <w:r w:rsidR="00F252A8">
        <w:rPr>
          <w:lang w:val="en-US"/>
        </w:rPr>
        <w:t xml:space="preserve"> granularity</w:t>
      </w:r>
      <w:r w:rsidR="008B13E9">
        <w:rPr>
          <w:lang w:val="en-US"/>
        </w:rPr>
        <w:t xml:space="preserve">. </w:t>
      </w:r>
      <w:r w:rsidR="00681FDC">
        <w:rPr>
          <w:lang w:val="en-US"/>
        </w:rPr>
        <w:t>However, r</w:t>
      </w:r>
      <w:r w:rsidR="00F252A8">
        <w:rPr>
          <w:lang w:val="en-US"/>
        </w:rPr>
        <w:t xml:space="preserve">egardless of the </w:t>
      </w:r>
      <w:r w:rsidR="00681FDC">
        <w:rPr>
          <w:lang w:val="en-US"/>
        </w:rPr>
        <w:t>limitations</w:t>
      </w:r>
      <w:r w:rsidR="00F252A8">
        <w:rPr>
          <w:lang w:val="en-US"/>
        </w:rPr>
        <w:t xml:space="preserve"> of </w:t>
      </w:r>
      <w:r>
        <w:rPr>
          <w:lang w:val="en-US"/>
        </w:rPr>
        <w:t>Op</w:t>
      </w:r>
      <w:r w:rsidR="00F252A8">
        <w:rPr>
          <w:lang w:val="en-US"/>
        </w:rPr>
        <w:t>tion</w:t>
      </w:r>
      <w:r>
        <w:rPr>
          <w:lang w:val="en-US"/>
        </w:rPr>
        <w:t>#1</w:t>
      </w:r>
      <w:r w:rsidR="00F252A8">
        <w:rPr>
          <w:lang w:val="en-US"/>
        </w:rPr>
        <w:t>, it</w:t>
      </w:r>
      <w:r>
        <w:rPr>
          <w:lang w:val="en-US"/>
        </w:rPr>
        <w:t xml:space="preserve"> can be seen as a feasible option for some limited scenarios. For example, </w:t>
      </w:r>
      <w:r w:rsidR="008B13E9">
        <w:rPr>
          <w:lang w:val="en-US"/>
        </w:rPr>
        <w:t xml:space="preserve">it may be used to indicate that </w:t>
      </w:r>
      <w:r w:rsidR="008B13E9" w:rsidRPr="0091191F">
        <w:rPr>
          <w:lang w:val="en-US"/>
        </w:rPr>
        <w:t xml:space="preserve">spectrum edge(s) of the NR carrier </w:t>
      </w:r>
      <w:r w:rsidR="008B13E9">
        <w:rPr>
          <w:lang w:val="en-US"/>
        </w:rPr>
        <w:t xml:space="preserve">are </w:t>
      </w:r>
      <w:r w:rsidR="00F252A8">
        <w:rPr>
          <w:lang w:val="en-US"/>
        </w:rPr>
        <w:t>configured</w:t>
      </w:r>
      <w:r w:rsidR="008B13E9">
        <w:rPr>
          <w:lang w:val="en-US"/>
        </w:rPr>
        <w:t xml:space="preserve"> </w:t>
      </w:r>
      <w:r w:rsidR="00681FDC">
        <w:rPr>
          <w:lang w:val="en-US"/>
        </w:rPr>
        <w:t xml:space="preserve">as </w:t>
      </w:r>
      <w:r w:rsidR="008B13E9">
        <w:rPr>
          <w:lang w:val="en-US"/>
        </w:rPr>
        <w:t>FCR as shown in Figure 2.</w:t>
      </w:r>
    </w:p>
    <w:p w14:paraId="5193DD61" w14:textId="77777777" w:rsidR="006E1D43" w:rsidRDefault="006E1D43" w:rsidP="006E1D43">
      <w:pPr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3</w:t>
      </w:r>
      <w:r>
        <w:t xml:space="preserve">: </w:t>
      </w:r>
      <w:r>
        <w:rPr>
          <w:i/>
        </w:rPr>
        <w:t>Common higher layer signalling can be used for indicating FCR in certain NR scenarios.</w:t>
      </w:r>
    </w:p>
    <w:p w14:paraId="7F5CFE23" w14:textId="77777777" w:rsidR="006E1D43" w:rsidRPr="000D33BD" w:rsidRDefault="006E1D43" w:rsidP="0091191F"/>
    <w:p w14:paraId="371DF6D1" w14:textId="69142E4E" w:rsidR="00542249" w:rsidRDefault="00542249" w:rsidP="00542249">
      <w:pPr>
        <w:jc w:val="center"/>
        <w:rPr>
          <w:lang w:val="en-US"/>
        </w:rPr>
      </w:pPr>
      <w:r w:rsidRPr="00542249">
        <w:rPr>
          <w:noProof/>
          <w:lang w:val="en-US"/>
        </w:rPr>
        <w:drawing>
          <wp:inline distT="0" distB="0" distL="0" distR="0" wp14:anchorId="7DFBBCAA" wp14:editId="4B1E7F5A">
            <wp:extent cx="3310235" cy="16781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186" cy="1683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76317" w14:textId="77777777" w:rsidR="008B13E9" w:rsidRDefault="008B13E9" w:rsidP="008B13E9">
      <w:pPr>
        <w:pStyle w:val="Caption"/>
        <w:spacing w:after="0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 w:rsidRPr="004C0C49">
        <w:rPr>
          <w:lang w:val="en-US"/>
        </w:rPr>
        <w:t xml:space="preserve">. </w:t>
      </w:r>
      <w:r w:rsidRPr="002E758C">
        <w:rPr>
          <w:lang w:val="en-US"/>
        </w:rPr>
        <w:t>Exemplary scenarios for FCR</w:t>
      </w:r>
    </w:p>
    <w:p w14:paraId="45C0B909" w14:textId="77777777" w:rsidR="008B13E9" w:rsidRDefault="008B13E9" w:rsidP="00542249">
      <w:pPr>
        <w:jc w:val="center"/>
        <w:rPr>
          <w:lang w:val="en-US"/>
        </w:rPr>
      </w:pPr>
    </w:p>
    <w:p w14:paraId="169552E2" w14:textId="15CA6E7F" w:rsidR="008B13E9" w:rsidRDefault="008B13E9" w:rsidP="008B13E9">
      <w:pPr>
        <w:spacing w:after="0"/>
      </w:pPr>
      <w:r>
        <w:rPr>
          <w:lang w:val="en-US"/>
        </w:rPr>
        <w:t>Common DCI</w:t>
      </w:r>
      <w:r w:rsidR="00D26F8C">
        <w:rPr>
          <w:lang w:val="en-US"/>
        </w:rPr>
        <w:t>s</w:t>
      </w:r>
      <w:r>
        <w:rPr>
          <w:lang w:val="en-US"/>
        </w:rPr>
        <w:t xml:space="preserve"> defined </w:t>
      </w:r>
      <w:r w:rsidR="00D26F8C">
        <w:rPr>
          <w:lang w:val="en-US"/>
        </w:rPr>
        <w:t>for</w:t>
      </w:r>
      <w:r>
        <w:rPr>
          <w:lang w:val="en-US"/>
        </w:rPr>
        <w:t xml:space="preserve"> eIMTA and eLAA can be seen as </w:t>
      </w:r>
      <w:r w:rsidR="00681FDC">
        <w:rPr>
          <w:lang w:val="en-US"/>
        </w:rPr>
        <w:t>examples</w:t>
      </w:r>
      <w:r>
        <w:rPr>
          <w:lang w:val="en-US"/>
        </w:rPr>
        <w:t xml:space="preserve"> of Option #2. </w:t>
      </w:r>
      <w:r>
        <w:t xml:space="preserve">In these scenarios, </w:t>
      </w:r>
      <w:r w:rsidR="00681FDC">
        <w:t xml:space="preserve">the </w:t>
      </w:r>
      <w:r>
        <w:t xml:space="preserve">indicated UL resources can </w:t>
      </w:r>
      <w:r w:rsidR="00D26F8C">
        <w:t>considered</w:t>
      </w:r>
      <w:r>
        <w:t xml:space="preserve"> as FCR. </w:t>
      </w:r>
      <w:r w:rsidR="00681FDC">
        <w:t>Generally speaking, it can be</w:t>
      </w:r>
      <w:r>
        <w:t xml:space="preserve"> noted that Common DCI does not suit very well for indicating FCR resources. The problems of this approach include:</w:t>
      </w:r>
    </w:p>
    <w:p w14:paraId="0C4B9770" w14:textId="4F56C5E4" w:rsidR="0091191F" w:rsidRPr="008B13E9" w:rsidRDefault="008B13E9" w:rsidP="008B13E9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sz w:val="20"/>
          <w:lang w:val="en-US"/>
        </w:rPr>
        <w:t xml:space="preserve">Relatively high </w:t>
      </w:r>
      <w:r w:rsidR="00681FDC">
        <w:rPr>
          <w:sz w:val="20"/>
          <w:lang w:val="en-US"/>
        </w:rPr>
        <w:t>signaling</w:t>
      </w:r>
      <w:r>
        <w:rPr>
          <w:sz w:val="20"/>
          <w:lang w:val="en-US"/>
        </w:rPr>
        <w:t xml:space="preserve"> overhead</w:t>
      </w:r>
      <w:r w:rsidR="00D26F8C">
        <w:rPr>
          <w:sz w:val="20"/>
          <w:lang w:val="en-US"/>
        </w:rPr>
        <w:t xml:space="preserve"> (relative to FCR allocation granularity)</w:t>
      </w:r>
    </w:p>
    <w:p w14:paraId="70D99AC1" w14:textId="0ABAFD44" w:rsidR="008B13E9" w:rsidRPr="008B13E9" w:rsidRDefault="00681FDC" w:rsidP="008B13E9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sz w:val="20"/>
          <w:lang w:val="en-US"/>
        </w:rPr>
        <w:t>Additional UE burden</w:t>
      </w:r>
      <w:r w:rsidR="008B13E9">
        <w:rPr>
          <w:sz w:val="20"/>
          <w:lang w:val="en-US"/>
        </w:rPr>
        <w:t xml:space="preserve"> to detect common DCI</w:t>
      </w:r>
    </w:p>
    <w:p w14:paraId="59D09C35" w14:textId="4EF2AB3F" w:rsidR="008B13E9" w:rsidRPr="008B13E9" w:rsidRDefault="008B13E9" w:rsidP="008B13E9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sz w:val="20"/>
          <w:lang w:val="en-US"/>
        </w:rPr>
        <w:t xml:space="preserve">Error cases. For example, </w:t>
      </w:r>
      <w:r w:rsidR="00681FDC">
        <w:rPr>
          <w:sz w:val="20"/>
          <w:lang w:val="en-US"/>
        </w:rPr>
        <w:t xml:space="preserve">the </w:t>
      </w:r>
      <w:r>
        <w:rPr>
          <w:sz w:val="20"/>
          <w:lang w:val="en-US"/>
        </w:rPr>
        <w:t xml:space="preserve">UE may not </w:t>
      </w:r>
      <w:r w:rsidR="00D26F8C">
        <w:rPr>
          <w:sz w:val="20"/>
          <w:lang w:val="en-US"/>
        </w:rPr>
        <w:t xml:space="preserve">always </w:t>
      </w:r>
      <w:r>
        <w:rPr>
          <w:sz w:val="20"/>
          <w:lang w:val="en-US"/>
        </w:rPr>
        <w:t xml:space="preserve">detect common DCI properly. </w:t>
      </w:r>
    </w:p>
    <w:p w14:paraId="20F06ABC" w14:textId="4EA06D8C" w:rsidR="008B13E9" w:rsidRPr="008B13E9" w:rsidRDefault="008B13E9" w:rsidP="008B13E9">
      <w:pPr>
        <w:rPr>
          <w:lang w:val="en-US"/>
        </w:rPr>
      </w:pPr>
      <w:r>
        <w:rPr>
          <w:lang w:val="en-US"/>
        </w:rPr>
        <w:t xml:space="preserve">Based on those arguments, it can be concluded that </w:t>
      </w:r>
      <w:r w:rsidR="00681FDC">
        <w:rPr>
          <w:lang w:val="en-US"/>
        </w:rPr>
        <w:t xml:space="preserve">common DCI </w:t>
      </w:r>
      <w:r w:rsidR="00681FDC" w:rsidRPr="008B13E9">
        <w:rPr>
          <w:lang w:val="en-US"/>
        </w:rPr>
        <w:t>signaling</w:t>
      </w:r>
      <w:r w:rsidRPr="008B13E9">
        <w:rPr>
          <w:lang w:val="en-US"/>
        </w:rPr>
        <w:t xml:space="preserve"> has only limited opportunities for indicating FCR in the NR scenario</w:t>
      </w:r>
      <w:r w:rsidR="00D26F8C">
        <w:rPr>
          <w:lang w:val="en-US"/>
        </w:rPr>
        <w:t>s</w:t>
      </w:r>
      <w:r>
        <w:rPr>
          <w:lang w:val="en-US"/>
        </w:rPr>
        <w:t>.</w:t>
      </w:r>
    </w:p>
    <w:p w14:paraId="49EF54F6" w14:textId="554E838C" w:rsidR="008B13E9" w:rsidRDefault="008B13E9" w:rsidP="00C731AD"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 w:rsidR="006E1D43">
        <w:rPr>
          <w:b/>
          <w:i/>
        </w:rPr>
        <w:t>4</w:t>
      </w:r>
      <w:r>
        <w:t xml:space="preserve">: </w:t>
      </w:r>
      <w:r>
        <w:rPr>
          <w:i/>
        </w:rPr>
        <w:t xml:space="preserve">Common </w:t>
      </w:r>
      <w:r w:rsidR="006E1D43">
        <w:rPr>
          <w:i/>
        </w:rPr>
        <w:t xml:space="preserve">DCI </w:t>
      </w:r>
      <w:r>
        <w:rPr>
          <w:i/>
        </w:rPr>
        <w:t>signalling has only limited opportunities for indicating FCR in the NR scenario</w:t>
      </w:r>
      <w:r w:rsidR="00D26F8C">
        <w:rPr>
          <w:i/>
        </w:rPr>
        <w:t>s</w:t>
      </w:r>
      <w:r w:rsidR="00681FDC">
        <w:rPr>
          <w:i/>
        </w:rPr>
        <w:t>.</w:t>
      </w:r>
    </w:p>
    <w:p w14:paraId="3A23703A" w14:textId="77777777" w:rsidR="008B13E9" w:rsidRDefault="008B13E9" w:rsidP="00C731AD">
      <w:pPr>
        <w:pStyle w:val="Heading2"/>
        <w:rPr>
          <w:sz w:val="24"/>
          <w:szCs w:val="24"/>
        </w:rPr>
      </w:pPr>
    </w:p>
    <w:p w14:paraId="567AFB1E" w14:textId="41AFF724" w:rsidR="00C731AD" w:rsidRPr="00C731AD" w:rsidRDefault="00C731AD" w:rsidP="00C731AD">
      <w:pPr>
        <w:pStyle w:val="Heading2"/>
        <w:rPr>
          <w:sz w:val="24"/>
          <w:szCs w:val="24"/>
        </w:rPr>
      </w:pPr>
      <w:r w:rsidRPr="00C731AD">
        <w:rPr>
          <w:sz w:val="24"/>
          <w:szCs w:val="24"/>
        </w:rPr>
        <w:t>4.</w:t>
      </w:r>
      <w:r>
        <w:rPr>
          <w:sz w:val="24"/>
          <w:szCs w:val="24"/>
        </w:rPr>
        <w:t>2</w:t>
      </w:r>
      <w:r w:rsidRPr="00C731AD">
        <w:rPr>
          <w:sz w:val="24"/>
          <w:szCs w:val="24"/>
        </w:rPr>
        <w:t xml:space="preserve">. </w:t>
      </w:r>
      <w:r w:rsidRPr="00C731AD">
        <w:rPr>
          <w:sz w:val="24"/>
          <w:szCs w:val="24"/>
        </w:rPr>
        <w:tab/>
      </w:r>
      <w:r>
        <w:rPr>
          <w:sz w:val="24"/>
          <w:szCs w:val="24"/>
        </w:rPr>
        <w:t>Dedicated signalling</w:t>
      </w:r>
    </w:p>
    <w:p w14:paraId="47009A3F" w14:textId="784CC7C7" w:rsidR="00C731AD" w:rsidRDefault="00CD28F0" w:rsidP="00C731AD">
      <w:pPr>
        <w:spacing w:after="0"/>
        <w:rPr>
          <w:lang w:val="en-US"/>
        </w:rPr>
      </w:pPr>
      <w:r>
        <w:rPr>
          <w:lang w:val="en-US"/>
        </w:rPr>
        <w:t xml:space="preserve">In order to minimize the </w:t>
      </w:r>
      <w:r w:rsidR="00681FDC">
        <w:rPr>
          <w:lang w:val="en-US"/>
        </w:rPr>
        <w:t>signaling</w:t>
      </w:r>
      <w:r>
        <w:rPr>
          <w:lang w:val="en-US"/>
        </w:rPr>
        <w:t xml:space="preserve"> burden</w:t>
      </w:r>
      <w:r w:rsidR="00681FDC">
        <w:rPr>
          <w:lang w:val="en-US"/>
        </w:rPr>
        <w:t xml:space="preserve">, and to provide sufficient reliability for FCR signaling, </w:t>
      </w:r>
      <w:r>
        <w:rPr>
          <w:lang w:val="en-US"/>
        </w:rPr>
        <w:t xml:space="preserve">it makes sense to define FCR using </w:t>
      </w:r>
      <w:r w:rsidR="00681FDC">
        <w:rPr>
          <w:lang w:val="en-US"/>
        </w:rPr>
        <w:t xml:space="preserve">dedicated </w:t>
      </w:r>
      <w:r>
        <w:rPr>
          <w:lang w:val="en-US"/>
        </w:rPr>
        <w:t xml:space="preserve">higher layer </w:t>
      </w:r>
      <w:r w:rsidR="00681FDC">
        <w:rPr>
          <w:lang w:val="en-US"/>
        </w:rPr>
        <w:t>signaling</w:t>
      </w:r>
      <w:r>
        <w:rPr>
          <w:lang w:val="en-US"/>
        </w:rPr>
        <w:t xml:space="preserve"> (such as RRC). T</w:t>
      </w:r>
      <w:r w:rsidR="00331DB6">
        <w:rPr>
          <w:lang w:val="en-US"/>
        </w:rPr>
        <w:t xml:space="preserve">his is a robust solution, which does not suffer from error cases. </w:t>
      </w:r>
      <w:r w:rsidR="00681FDC">
        <w:rPr>
          <w:lang w:val="en-US"/>
        </w:rPr>
        <w:t>An example of periodical FCR configuration is shown in Figure 3.</w:t>
      </w:r>
    </w:p>
    <w:p w14:paraId="1B0ACBBB" w14:textId="072F998C" w:rsidR="00681FDC" w:rsidRDefault="00681FDC" w:rsidP="00681FDC">
      <w:pPr>
        <w:spacing w:after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8223134" wp14:editId="62C66B36">
            <wp:extent cx="2264410" cy="108585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41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CC05C" w14:textId="2F194AC3" w:rsidR="00681FDC" w:rsidRDefault="00681FDC" w:rsidP="00681FDC">
      <w:pPr>
        <w:pStyle w:val="Caption"/>
        <w:spacing w:after="0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 w:rsidRPr="004C0C49">
        <w:rPr>
          <w:lang w:val="en-US"/>
        </w:rPr>
        <w:t xml:space="preserve">. </w:t>
      </w:r>
      <w:r>
        <w:rPr>
          <w:lang w:val="en-US"/>
        </w:rPr>
        <w:t>Periodical FCR configuration.</w:t>
      </w:r>
    </w:p>
    <w:p w14:paraId="0836841A" w14:textId="77777777" w:rsidR="00681FDC" w:rsidRDefault="00681FDC" w:rsidP="00C731AD">
      <w:pPr>
        <w:spacing w:after="0"/>
        <w:rPr>
          <w:lang w:val="en-US"/>
        </w:rPr>
      </w:pPr>
    </w:p>
    <w:p w14:paraId="18975D37" w14:textId="164B5F33" w:rsidR="00A91244" w:rsidRDefault="001A02F6" w:rsidP="00A91244">
      <w:pPr>
        <w:spacing w:after="0"/>
        <w:rPr>
          <w:lang w:val="en-US"/>
        </w:rPr>
      </w:pPr>
      <w:r>
        <w:rPr>
          <w:lang w:val="en-US"/>
        </w:rPr>
        <w:lastRenderedPageBreak/>
        <w:t xml:space="preserve">Generally speaking, </w:t>
      </w:r>
      <w:r w:rsidR="00681FDC">
        <w:rPr>
          <w:lang w:val="en-US"/>
        </w:rPr>
        <w:t xml:space="preserve">FCR resources can be configured in </w:t>
      </w:r>
      <w:r w:rsidR="006E1D43">
        <w:rPr>
          <w:lang w:val="en-US"/>
        </w:rPr>
        <w:t>UE group/</w:t>
      </w:r>
      <w:r w:rsidR="00681FDC">
        <w:rPr>
          <w:lang w:val="en-US"/>
        </w:rPr>
        <w:t>UE/signal/channel –specific manner.</w:t>
      </w:r>
      <w:r>
        <w:rPr>
          <w:lang w:val="en-US"/>
        </w:rPr>
        <w:t xml:space="preserve"> </w:t>
      </w:r>
      <w:r w:rsidR="00331DB6">
        <w:rPr>
          <w:lang w:val="en-US"/>
        </w:rPr>
        <w:t xml:space="preserve">There can be also more than one FCR configuration for an </w:t>
      </w:r>
      <w:r w:rsidR="006E1D43">
        <w:rPr>
          <w:lang w:val="en-US"/>
        </w:rPr>
        <w:t>UE group/</w:t>
      </w:r>
      <w:r w:rsidR="00331DB6">
        <w:rPr>
          <w:lang w:val="en-US"/>
        </w:rPr>
        <w:t xml:space="preserve">UE/channel/signal. </w:t>
      </w:r>
      <w:r w:rsidR="00A91244">
        <w:rPr>
          <w:lang w:val="en-US"/>
        </w:rPr>
        <w:t>The BS</w:t>
      </w:r>
      <w:r w:rsidR="00331DB6">
        <w:rPr>
          <w:lang w:val="en-US"/>
        </w:rPr>
        <w:t xml:space="preserve"> </w:t>
      </w:r>
      <w:r w:rsidR="00644186">
        <w:rPr>
          <w:lang w:val="en-US"/>
        </w:rPr>
        <w:t xml:space="preserve">may select </w:t>
      </w:r>
      <w:r w:rsidR="00D26F8C">
        <w:rPr>
          <w:lang w:val="en-US"/>
        </w:rPr>
        <w:t xml:space="preserve">the </w:t>
      </w:r>
      <w:r w:rsidR="00644186">
        <w:rPr>
          <w:lang w:val="en-US"/>
        </w:rPr>
        <w:t>actual FCR configuration</w:t>
      </w:r>
      <w:r w:rsidR="00692814">
        <w:rPr>
          <w:lang w:val="en-US"/>
        </w:rPr>
        <w:t xml:space="preserve"> </w:t>
      </w:r>
      <w:r w:rsidR="00D26F8C">
        <w:rPr>
          <w:lang w:val="en-US"/>
        </w:rPr>
        <w:t xml:space="preserve">by L1 DL </w:t>
      </w:r>
      <w:r w:rsidR="00A86111">
        <w:rPr>
          <w:lang w:val="en-US"/>
        </w:rPr>
        <w:t>signaling</w:t>
      </w:r>
      <w:r w:rsidR="00D26F8C">
        <w:rPr>
          <w:lang w:val="en-US"/>
        </w:rPr>
        <w:t xml:space="preserve"> (such as DCI) </w:t>
      </w:r>
      <w:r w:rsidR="00644186">
        <w:rPr>
          <w:lang w:val="en-US"/>
        </w:rPr>
        <w:t>based on the instantaneous FCR need</w:t>
      </w:r>
      <w:r w:rsidR="00692814">
        <w:rPr>
          <w:lang w:val="en-US"/>
        </w:rPr>
        <w:t>s</w:t>
      </w:r>
      <w:r w:rsidR="00644186">
        <w:rPr>
          <w:lang w:val="en-US"/>
        </w:rPr>
        <w:t>.</w:t>
      </w:r>
      <w:r w:rsidR="00B15B89">
        <w:rPr>
          <w:lang w:val="en-US"/>
        </w:rPr>
        <w:t xml:space="preserve"> FCR resources can be defined e.g. using the PRB resolution corresponding to minimum subcarrier spacing.</w:t>
      </w:r>
      <w:r w:rsidR="00644186">
        <w:rPr>
          <w:lang w:val="en-US"/>
        </w:rPr>
        <w:t xml:space="preserve"> </w:t>
      </w:r>
      <w:r w:rsidR="00A91244">
        <w:rPr>
          <w:lang w:val="en-US"/>
        </w:rPr>
        <w:t>Figure 4, shows two</w:t>
      </w:r>
      <w:r w:rsidR="00A91244" w:rsidRPr="00A91244">
        <w:rPr>
          <w:lang w:val="en-US"/>
        </w:rPr>
        <w:t xml:space="preserve"> </w:t>
      </w:r>
      <w:r w:rsidR="00A91244">
        <w:rPr>
          <w:lang w:val="en-US"/>
        </w:rPr>
        <w:t xml:space="preserve">exemplary </w:t>
      </w:r>
      <w:r w:rsidR="00A91244" w:rsidRPr="00A91244">
        <w:rPr>
          <w:lang w:val="en-US"/>
        </w:rPr>
        <w:t>FCR con</w:t>
      </w:r>
      <w:r w:rsidR="00A91244">
        <w:rPr>
          <w:lang w:val="en-US"/>
        </w:rPr>
        <w:t>figurations</w:t>
      </w:r>
      <w:r w:rsidR="00304A1B">
        <w:rPr>
          <w:lang w:val="en-US"/>
        </w:rPr>
        <w:t xml:space="preserve">, which could apply e.g. to </w:t>
      </w:r>
      <w:r w:rsidR="005A519A">
        <w:rPr>
          <w:lang w:val="en-US"/>
        </w:rPr>
        <w:t>PDSCH detection</w:t>
      </w:r>
      <w:r w:rsidR="00304A1B">
        <w:rPr>
          <w:lang w:val="en-US"/>
        </w:rPr>
        <w:t>.</w:t>
      </w:r>
      <w:r w:rsidR="005A519A">
        <w:rPr>
          <w:lang w:val="en-US"/>
        </w:rPr>
        <w:t xml:space="preserve"> </w:t>
      </w:r>
    </w:p>
    <w:p w14:paraId="33840FE1" w14:textId="77777777" w:rsidR="005A519A" w:rsidRPr="005A519A" w:rsidRDefault="005A519A" w:rsidP="005A519A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sz w:val="20"/>
          <w:lang w:val="en-US"/>
        </w:rPr>
        <w:t>Config #0 corresponds to the case where FCR is disabled</w:t>
      </w:r>
    </w:p>
    <w:p w14:paraId="32585517" w14:textId="6C620087" w:rsidR="005A519A" w:rsidRPr="005A519A" w:rsidRDefault="005A519A" w:rsidP="005A519A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sz w:val="20"/>
          <w:lang w:val="en-US"/>
        </w:rPr>
        <w:t>Config #1 is used when two predefined PRBs are used FCR.</w:t>
      </w:r>
    </w:p>
    <w:p w14:paraId="1ECA4370" w14:textId="77777777" w:rsidR="00A91244" w:rsidRDefault="00A91244" w:rsidP="00C731AD">
      <w:pPr>
        <w:spacing w:after="0"/>
        <w:rPr>
          <w:lang w:val="en-US"/>
        </w:rPr>
      </w:pPr>
    </w:p>
    <w:p w14:paraId="68781B04" w14:textId="1631920B" w:rsidR="00A91244" w:rsidRDefault="00A91244" w:rsidP="00A91244">
      <w:pPr>
        <w:spacing w:after="0"/>
        <w:jc w:val="center"/>
        <w:rPr>
          <w:lang w:val="en-US"/>
        </w:rPr>
      </w:pPr>
      <w:r w:rsidRPr="00A91244">
        <w:rPr>
          <w:noProof/>
          <w:lang w:val="en-US"/>
        </w:rPr>
        <w:drawing>
          <wp:inline distT="0" distB="0" distL="0" distR="0" wp14:anchorId="4F98C672" wp14:editId="230BDCD2">
            <wp:extent cx="1582835" cy="207423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306" cy="2086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BEF05" w14:textId="4B07C682" w:rsidR="00A91244" w:rsidRDefault="00A91244" w:rsidP="00A91244">
      <w:pPr>
        <w:pStyle w:val="Caption"/>
        <w:spacing w:after="0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 w:rsidRPr="004C0C49">
        <w:rPr>
          <w:lang w:val="en-US"/>
        </w:rPr>
        <w:t xml:space="preserve">. </w:t>
      </w:r>
      <w:r>
        <w:rPr>
          <w:lang w:val="en-US"/>
        </w:rPr>
        <w:t>Example with multiple FCR configurations</w:t>
      </w:r>
    </w:p>
    <w:p w14:paraId="62B15D44" w14:textId="77777777" w:rsidR="00A91244" w:rsidRDefault="00A91244" w:rsidP="00C731AD">
      <w:pPr>
        <w:spacing w:after="0"/>
        <w:rPr>
          <w:lang w:val="en-US"/>
        </w:rPr>
      </w:pPr>
    </w:p>
    <w:p w14:paraId="379933DC" w14:textId="77777777" w:rsidR="00331DB6" w:rsidRDefault="00331DB6" w:rsidP="00C731AD">
      <w:pPr>
        <w:spacing w:after="0"/>
        <w:rPr>
          <w:lang w:val="en-US"/>
        </w:rPr>
      </w:pPr>
    </w:p>
    <w:p w14:paraId="24FA0BCD" w14:textId="62F7A22C" w:rsidR="00331DB6" w:rsidRDefault="00331DB6" w:rsidP="00331DB6">
      <w:pPr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07208A">
        <w:rPr>
          <w:b/>
          <w:i/>
        </w:rPr>
        <w:t>5</w:t>
      </w:r>
      <w:r>
        <w:t xml:space="preserve">: </w:t>
      </w:r>
      <w:r>
        <w:rPr>
          <w:i/>
        </w:rPr>
        <w:t xml:space="preserve">Consider </w:t>
      </w:r>
      <w:r w:rsidR="006E1D43">
        <w:rPr>
          <w:lang w:val="en-US"/>
        </w:rPr>
        <w:t>UE group/</w:t>
      </w:r>
      <w:r>
        <w:rPr>
          <w:i/>
        </w:rPr>
        <w:t xml:space="preserve">UE/signal/channel specific higher layer signalling as the explicit signalling for indicating FCR </w:t>
      </w:r>
    </w:p>
    <w:p w14:paraId="29F3C3E7" w14:textId="511554AA" w:rsidR="00331DB6" w:rsidRDefault="00331DB6" w:rsidP="00331DB6">
      <w:pPr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07208A">
        <w:rPr>
          <w:b/>
          <w:i/>
        </w:rPr>
        <w:t>6</w:t>
      </w:r>
      <w:r>
        <w:t xml:space="preserve">: </w:t>
      </w:r>
      <w:r w:rsidRPr="0007208A">
        <w:rPr>
          <w:i/>
        </w:rPr>
        <w:t xml:space="preserve">Consider </w:t>
      </w:r>
      <w:r w:rsidR="0007208A">
        <w:rPr>
          <w:i/>
          <w:lang w:val="en-US"/>
        </w:rPr>
        <w:t>multiple</w:t>
      </w:r>
      <w:r w:rsidRPr="0007208A">
        <w:rPr>
          <w:i/>
          <w:lang w:val="en-US"/>
        </w:rPr>
        <w:t xml:space="preserve"> FCR config</w:t>
      </w:r>
      <w:r w:rsidR="0007208A">
        <w:rPr>
          <w:i/>
          <w:lang w:val="en-US"/>
        </w:rPr>
        <w:t xml:space="preserve">urations </w:t>
      </w:r>
      <w:r w:rsidR="005A519A">
        <w:rPr>
          <w:i/>
          <w:lang w:val="en-US"/>
        </w:rPr>
        <w:t xml:space="preserve">per </w:t>
      </w:r>
      <w:r w:rsidR="006E1D43">
        <w:rPr>
          <w:lang w:val="en-US"/>
        </w:rPr>
        <w:t>UE group/</w:t>
      </w:r>
      <w:r w:rsidR="0007208A">
        <w:rPr>
          <w:i/>
          <w:lang w:val="en-US"/>
        </w:rPr>
        <w:t>UE/channel/signal</w:t>
      </w:r>
      <w:r w:rsidR="005A519A">
        <w:rPr>
          <w:i/>
          <w:lang w:val="en-US"/>
        </w:rPr>
        <w:t xml:space="preserve">, selectable by L1 DL signaling </w:t>
      </w:r>
    </w:p>
    <w:p w14:paraId="6ABDAF04" w14:textId="324FD1C5" w:rsidR="0034111C" w:rsidRPr="00A51522" w:rsidRDefault="000C501D">
      <w:pPr>
        <w:pStyle w:val="Heading1"/>
        <w:rPr>
          <w:color w:val="000000"/>
        </w:rPr>
      </w:pPr>
      <w:r>
        <w:rPr>
          <w:color w:val="000000"/>
        </w:rPr>
        <w:t>5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74F2AB89" w14:textId="451D5AD6" w:rsidR="00731B79" w:rsidRDefault="003D3FBA" w:rsidP="00731B79">
      <w:pPr>
        <w:spacing w:after="120"/>
        <w:ind w:right="1038"/>
        <w:jc w:val="both"/>
      </w:pPr>
      <w:r w:rsidRPr="00A51522">
        <w:t xml:space="preserve">In this contribution we have discussed </w:t>
      </w:r>
      <w:r w:rsidR="00731B79">
        <w:rPr>
          <w:bCs/>
        </w:rPr>
        <w:t xml:space="preserve">further details </w:t>
      </w:r>
      <w:r w:rsidR="0007208A">
        <w:rPr>
          <w:bCs/>
        </w:rPr>
        <w:t xml:space="preserve">for </w:t>
      </w:r>
      <w:r w:rsidR="00B15B89">
        <w:rPr>
          <w:bCs/>
        </w:rPr>
        <w:t xml:space="preserve">the scenarios and potential solutions </w:t>
      </w:r>
      <w:r w:rsidR="0007208A">
        <w:rPr>
          <w:bCs/>
        </w:rPr>
        <w:t>indicating forward compatibility resources</w:t>
      </w:r>
      <w:r w:rsidR="00731B79">
        <w:rPr>
          <w:bCs/>
        </w:rPr>
        <w:t>. Based on the discussion, we make the following proposals and observations:</w:t>
      </w:r>
      <w:r w:rsidR="00731B79" w:rsidRPr="00971592">
        <w:rPr>
          <w:b/>
          <w:bCs/>
          <w:i/>
          <w:sz w:val="12"/>
        </w:rPr>
        <w:t xml:space="preserve"> </w:t>
      </w:r>
    </w:p>
    <w:p w14:paraId="2BF8B9BA" w14:textId="2FD0993D" w:rsidR="0007208A" w:rsidRDefault="0007208A" w:rsidP="0007208A">
      <w:pPr>
        <w:spacing w:after="0"/>
        <w:rPr>
          <w:b/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#1</w:t>
      </w:r>
      <w:r>
        <w:t xml:space="preserve">: </w:t>
      </w:r>
      <w:r>
        <w:rPr>
          <w:i/>
        </w:rPr>
        <w:t xml:space="preserve">It should be possible to configure any </w:t>
      </w:r>
      <w:r w:rsidR="006E1D43">
        <w:rPr>
          <w:i/>
        </w:rPr>
        <w:t xml:space="preserve">DL/UL </w:t>
      </w:r>
      <w:r>
        <w:rPr>
          <w:i/>
        </w:rPr>
        <w:t>resource element as forward compatible resource</w:t>
      </w:r>
      <w:r w:rsidR="005A519A">
        <w:rPr>
          <w:i/>
        </w:rPr>
        <w:t>.</w:t>
      </w:r>
    </w:p>
    <w:p w14:paraId="03530405" w14:textId="62902AA7" w:rsidR="0007208A" w:rsidRDefault="0007208A" w:rsidP="0007208A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 w:rsidR="00D26F8C">
        <w:rPr>
          <w:i/>
        </w:rPr>
        <w:t>Implicit signalling can be considered as a BS implementation –specific way to provide FCR</w:t>
      </w:r>
      <w:r w:rsidR="005A519A">
        <w:rPr>
          <w:i/>
        </w:rPr>
        <w:t>.</w:t>
      </w:r>
    </w:p>
    <w:p w14:paraId="1E3C6081" w14:textId="0D4EF262" w:rsidR="006E1D43" w:rsidRPr="009036BC" w:rsidRDefault="006E1D43" w:rsidP="0007208A">
      <w:pPr>
        <w:spacing w:after="0"/>
        <w:rPr>
          <w:i/>
          <w:color w:val="C00000"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3</w:t>
      </w:r>
      <w:r>
        <w:t xml:space="preserve">: </w:t>
      </w:r>
      <w:r>
        <w:rPr>
          <w:i/>
        </w:rPr>
        <w:t>Common higher layer signalling can be used for indicating FCR in certain NR scenarios</w:t>
      </w:r>
    </w:p>
    <w:p w14:paraId="642A5CC5" w14:textId="401973F1" w:rsidR="0007208A" w:rsidRDefault="0007208A" w:rsidP="0007208A"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 w:rsidR="006E1D43">
        <w:rPr>
          <w:b/>
          <w:i/>
        </w:rPr>
        <w:t>4</w:t>
      </w:r>
      <w:r>
        <w:t xml:space="preserve">: </w:t>
      </w:r>
      <w:r>
        <w:rPr>
          <w:i/>
        </w:rPr>
        <w:t xml:space="preserve">Common </w:t>
      </w:r>
      <w:r w:rsidR="006E1D43">
        <w:rPr>
          <w:i/>
        </w:rPr>
        <w:t xml:space="preserve">DCI </w:t>
      </w:r>
      <w:r>
        <w:rPr>
          <w:i/>
        </w:rPr>
        <w:t>signalling has only limited opportunities for indicating FCR in the NR scenario</w:t>
      </w:r>
      <w:r w:rsidR="00D26F8C">
        <w:rPr>
          <w:i/>
        </w:rPr>
        <w:t>s.</w:t>
      </w:r>
    </w:p>
    <w:p w14:paraId="52795F89" w14:textId="77777777" w:rsidR="0007208A" w:rsidRDefault="0007208A" w:rsidP="0007208A">
      <w:pPr>
        <w:spacing w:after="0"/>
        <w:rPr>
          <w:b/>
          <w:i/>
        </w:rPr>
      </w:pPr>
    </w:p>
    <w:p w14:paraId="19EFE8EE" w14:textId="2B81B57A" w:rsidR="0007208A" w:rsidRDefault="0007208A" w:rsidP="0007208A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 xml:space="preserve">: </w:t>
      </w:r>
      <w:r>
        <w:rPr>
          <w:i/>
        </w:rPr>
        <w:t xml:space="preserve">Consider lean carrier minimizing always-on </w:t>
      </w:r>
      <w:r w:rsidR="004D7B09">
        <w:rPr>
          <w:i/>
        </w:rPr>
        <w:t>signalling</w:t>
      </w:r>
      <w:r>
        <w:rPr>
          <w:i/>
        </w:rPr>
        <w:t xml:space="preserve"> with block based channel and reference signal design as the baseline solution for forward compatibility.</w:t>
      </w:r>
    </w:p>
    <w:p w14:paraId="1CC68054" w14:textId="77777777" w:rsidR="007E57D0" w:rsidRPr="00A86111" w:rsidRDefault="007E57D0" w:rsidP="0007208A">
      <w:pPr>
        <w:spacing w:after="0"/>
        <w:rPr>
          <w:i/>
          <w:color w:val="C00000"/>
          <w:sz w:val="8"/>
          <w:szCs w:val="8"/>
        </w:rPr>
      </w:pPr>
    </w:p>
    <w:p w14:paraId="021EB24F" w14:textId="2F015E6C" w:rsidR="0007208A" w:rsidRDefault="0007208A" w:rsidP="0007208A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>#</w:t>
      </w:r>
      <w:r>
        <w:rPr>
          <w:b/>
          <w:i/>
        </w:rPr>
        <w:t>2</w:t>
      </w:r>
      <w:r>
        <w:t xml:space="preserve">: </w:t>
      </w:r>
      <w:r>
        <w:rPr>
          <w:i/>
        </w:rPr>
        <w:t>Support explicit indication of forward compatibility resources</w:t>
      </w:r>
      <w:r w:rsidR="005A519A">
        <w:rPr>
          <w:i/>
        </w:rPr>
        <w:t>.</w:t>
      </w:r>
    </w:p>
    <w:p w14:paraId="3717A9E1" w14:textId="639D9245" w:rsidR="0007208A" w:rsidRDefault="0007208A" w:rsidP="0007208A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>#</w:t>
      </w:r>
      <w:r>
        <w:rPr>
          <w:b/>
          <w:i/>
        </w:rPr>
        <w:t>3</w:t>
      </w:r>
      <w:r>
        <w:t xml:space="preserve">: </w:t>
      </w:r>
      <w:r>
        <w:rPr>
          <w:i/>
        </w:rPr>
        <w:t xml:space="preserve">When certain resource element is considered as FCR, the related </w:t>
      </w:r>
      <w:r w:rsidRPr="00F4065A">
        <w:rPr>
          <w:i/>
        </w:rPr>
        <w:t>RS is punctured/dropped and data is rate matched around the FCR</w:t>
      </w:r>
      <w:r w:rsidR="005A519A">
        <w:rPr>
          <w:i/>
        </w:rPr>
        <w:t>.</w:t>
      </w:r>
    </w:p>
    <w:p w14:paraId="7BBE7D09" w14:textId="77777777" w:rsidR="007E57D0" w:rsidRPr="00A86111" w:rsidRDefault="007E57D0" w:rsidP="0007208A">
      <w:pPr>
        <w:spacing w:after="0"/>
        <w:rPr>
          <w:i/>
          <w:sz w:val="8"/>
          <w:szCs w:val="8"/>
        </w:rPr>
      </w:pPr>
    </w:p>
    <w:p w14:paraId="7309CF01" w14:textId="38E92783" w:rsidR="0007208A" w:rsidRDefault="0007208A" w:rsidP="0007208A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>#</w:t>
      </w:r>
      <w:r>
        <w:rPr>
          <w:b/>
          <w:i/>
        </w:rPr>
        <w:t>4</w:t>
      </w:r>
      <w:r>
        <w:t xml:space="preserve">: </w:t>
      </w:r>
      <w:r>
        <w:rPr>
          <w:i/>
        </w:rPr>
        <w:t>Consider implicit signalling as a complementary solution for providing FCR</w:t>
      </w:r>
      <w:r w:rsidR="005A519A">
        <w:rPr>
          <w:i/>
        </w:rPr>
        <w:t>.</w:t>
      </w:r>
    </w:p>
    <w:p w14:paraId="2B844FEF" w14:textId="2A1BC364" w:rsidR="007E57D0" w:rsidRDefault="005A519A" w:rsidP="00A86111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5</w:t>
      </w:r>
      <w:r>
        <w:t xml:space="preserve">: </w:t>
      </w:r>
      <w:r>
        <w:rPr>
          <w:i/>
        </w:rPr>
        <w:t xml:space="preserve">Consider </w:t>
      </w:r>
      <w:r w:rsidR="006E1D43">
        <w:rPr>
          <w:lang w:val="en-US"/>
        </w:rPr>
        <w:t>UE group/</w:t>
      </w:r>
      <w:r>
        <w:rPr>
          <w:i/>
        </w:rPr>
        <w:t xml:space="preserve">UE/signal/channel specific higher layer signalling as the explicit signalling for indicating FCR. </w:t>
      </w:r>
    </w:p>
    <w:p w14:paraId="172E8DEC" w14:textId="77777777" w:rsidR="00A86111" w:rsidRPr="00A86111" w:rsidRDefault="00A86111" w:rsidP="00A86111">
      <w:pPr>
        <w:spacing w:after="0"/>
        <w:rPr>
          <w:b/>
          <w:i/>
          <w:sz w:val="8"/>
          <w:szCs w:val="8"/>
        </w:rPr>
      </w:pPr>
    </w:p>
    <w:p w14:paraId="068DEA28" w14:textId="09B1F704" w:rsidR="005A519A" w:rsidRDefault="005A519A" w:rsidP="005A519A">
      <w:pPr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6</w:t>
      </w:r>
      <w:r>
        <w:t xml:space="preserve">: </w:t>
      </w:r>
      <w:r w:rsidRPr="0007208A">
        <w:rPr>
          <w:i/>
        </w:rPr>
        <w:t xml:space="preserve">Consider </w:t>
      </w:r>
      <w:r>
        <w:rPr>
          <w:i/>
          <w:lang w:val="en-US"/>
        </w:rPr>
        <w:t>multiple</w:t>
      </w:r>
      <w:r w:rsidRPr="0007208A">
        <w:rPr>
          <w:i/>
          <w:lang w:val="en-US"/>
        </w:rPr>
        <w:t xml:space="preserve"> FCR config</w:t>
      </w:r>
      <w:r>
        <w:rPr>
          <w:i/>
          <w:lang w:val="en-US"/>
        </w:rPr>
        <w:t xml:space="preserve">urations per </w:t>
      </w:r>
      <w:r w:rsidR="006E1D43">
        <w:rPr>
          <w:lang w:val="en-US"/>
        </w:rPr>
        <w:t>UE group/</w:t>
      </w:r>
      <w:r>
        <w:rPr>
          <w:i/>
          <w:lang w:val="en-US"/>
        </w:rPr>
        <w:t xml:space="preserve">UE/channel/signal, selectable by L1 DL signaling. </w:t>
      </w:r>
    </w:p>
    <w:p w14:paraId="6719C21D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6238B391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344DA422" w14:textId="77777777" w:rsidR="00777315" w:rsidRPr="0001345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69E115C6" w14:textId="2FE08C6C" w:rsidR="00142DE2" w:rsidRPr="00A86111" w:rsidRDefault="00EB2146" w:rsidP="005928BF">
      <w:pPr>
        <w:numPr>
          <w:ilvl w:val="0"/>
          <w:numId w:val="1"/>
        </w:numPr>
        <w:rPr>
          <w:sz w:val="18"/>
        </w:rPr>
      </w:pPr>
      <w:r w:rsidRPr="00A86111">
        <w:rPr>
          <w:sz w:val="18"/>
        </w:rPr>
        <w:t>R1-167797</w:t>
      </w:r>
      <w:r w:rsidR="00796F15" w:rsidRPr="00A86111">
        <w:rPr>
          <w:sz w:val="18"/>
        </w:rPr>
        <w:t>, “</w:t>
      </w:r>
      <w:r w:rsidRPr="00A86111">
        <w:rPr>
          <w:i/>
          <w:sz w:val="18"/>
          <w:lang w:eastAsia="zh-CN"/>
        </w:rPr>
        <w:t>Baseline design for forward-compatible lean carrier</w:t>
      </w:r>
      <w:r w:rsidR="00796F15" w:rsidRPr="00A86111">
        <w:rPr>
          <w:sz w:val="18"/>
        </w:rPr>
        <w:t xml:space="preserve">”, </w:t>
      </w:r>
      <w:r w:rsidRPr="00A86111">
        <w:rPr>
          <w:sz w:val="18"/>
        </w:rPr>
        <w:t>Nokia, Alcatel-Lucent Shanghai Bell</w:t>
      </w:r>
      <w:bookmarkStart w:id="0" w:name="_GoBack"/>
      <w:bookmarkEnd w:id="0"/>
    </w:p>
    <w:sectPr w:rsidR="00142DE2" w:rsidRPr="00A86111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DCBA11" w14:textId="77777777" w:rsidR="001D6DA5" w:rsidRDefault="001D6DA5">
      <w:r>
        <w:separator/>
      </w:r>
    </w:p>
  </w:endnote>
  <w:endnote w:type="continuationSeparator" w:id="0">
    <w:p w14:paraId="5124863A" w14:textId="77777777" w:rsidR="001D6DA5" w:rsidRDefault="001D6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0D606" w14:textId="77777777" w:rsidR="001D6DA5" w:rsidRDefault="001D6DA5">
      <w:r>
        <w:separator/>
      </w:r>
    </w:p>
  </w:footnote>
  <w:footnote w:type="continuationSeparator" w:id="0">
    <w:p w14:paraId="3971EBAA" w14:textId="77777777" w:rsidR="001D6DA5" w:rsidRDefault="001D6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46685"/>
    <w:multiLevelType w:val="hybridMultilevel"/>
    <w:tmpl w:val="AF200DB6"/>
    <w:lvl w:ilvl="0" w:tplc="04090003">
      <w:start w:val="1"/>
      <w:numFmt w:val="bullet"/>
      <w:lvlText w:val="o"/>
      <w:lvlJc w:val="left"/>
      <w:pPr>
        <w:ind w:left="92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C252544"/>
    <w:multiLevelType w:val="hybridMultilevel"/>
    <w:tmpl w:val="936C29E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D87E0B"/>
    <w:multiLevelType w:val="singleLevel"/>
    <w:tmpl w:val="F18AE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4"/>
      </w:rPr>
    </w:lvl>
  </w:abstractNum>
  <w:abstractNum w:abstractNumId="3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B4284"/>
    <w:multiLevelType w:val="hybridMultilevel"/>
    <w:tmpl w:val="2A4AB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70FCC"/>
    <w:multiLevelType w:val="hybridMultilevel"/>
    <w:tmpl w:val="539AB0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12EE1"/>
    <w:multiLevelType w:val="hybridMultilevel"/>
    <w:tmpl w:val="6B483A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C2E35"/>
    <w:multiLevelType w:val="hybridMultilevel"/>
    <w:tmpl w:val="BF52632E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0FE41666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88F0D4EE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8" w15:restartNumberingAfterBreak="0">
    <w:nsid w:val="2FA63564"/>
    <w:multiLevelType w:val="hybridMultilevel"/>
    <w:tmpl w:val="EFC6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565A42"/>
    <w:multiLevelType w:val="hybridMultilevel"/>
    <w:tmpl w:val="AD727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691305"/>
    <w:multiLevelType w:val="hybridMultilevel"/>
    <w:tmpl w:val="7A7EA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65C0D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49A04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7EC88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6627C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CA838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EB24D69"/>
    <w:multiLevelType w:val="hybridMultilevel"/>
    <w:tmpl w:val="F83EF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3340C8"/>
    <w:multiLevelType w:val="hybridMultilevel"/>
    <w:tmpl w:val="0C2C4E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1A37838"/>
    <w:multiLevelType w:val="hybridMultilevel"/>
    <w:tmpl w:val="6A78E76C"/>
    <w:lvl w:ilvl="0" w:tplc="DA6E52A2">
      <w:start w:val="1"/>
      <w:numFmt w:val="decimal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5437B3A"/>
    <w:multiLevelType w:val="hybridMultilevel"/>
    <w:tmpl w:val="5456FC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144C2B"/>
    <w:multiLevelType w:val="hybridMultilevel"/>
    <w:tmpl w:val="C71AC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B721C6"/>
    <w:multiLevelType w:val="hybridMultilevel"/>
    <w:tmpl w:val="A50C4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9D1E51"/>
    <w:multiLevelType w:val="hybridMultilevel"/>
    <w:tmpl w:val="817AC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19"/>
  </w:num>
  <w:num w:numId="5">
    <w:abstractNumId w:val="17"/>
  </w:num>
  <w:num w:numId="6">
    <w:abstractNumId w:val="13"/>
  </w:num>
  <w:num w:numId="7">
    <w:abstractNumId w:val="2"/>
    <w:lvlOverride w:ilvl="0">
      <w:startOverride w:val="1"/>
    </w:lvlOverride>
  </w:num>
  <w:num w:numId="8">
    <w:abstractNumId w:val="3"/>
  </w:num>
  <w:num w:numId="9">
    <w:abstractNumId w:val="12"/>
  </w:num>
  <w:num w:numId="10">
    <w:abstractNumId w:val="8"/>
  </w:num>
  <w:num w:numId="11">
    <w:abstractNumId w:val="11"/>
  </w:num>
  <w:num w:numId="12">
    <w:abstractNumId w:val="1"/>
  </w:num>
  <w:num w:numId="13">
    <w:abstractNumId w:val="16"/>
  </w:num>
  <w:num w:numId="14">
    <w:abstractNumId w:val="9"/>
  </w:num>
  <w:num w:numId="15">
    <w:abstractNumId w:val="5"/>
  </w:num>
  <w:num w:numId="16">
    <w:abstractNumId w:val="6"/>
  </w:num>
  <w:num w:numId="17">
    <w:abstractNumId w:val="15"/>
  </w:num>
  <w:num w:numId="18">
    <w:abstractNumId w:val="14"/>
  </w:num>
  <w:num w:numId="19">
    <w:abstractNumId w:val="0"/>
  </w:num>
  <w:num w:numId="20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it-IT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4132D"/>
    <w:rsid w:val="00042E68"/>
    <w:rsid w:val="00044CFA"/>
    <w:rsid w:val="000459C7"/>
    <w:rsid w:val="00046630"/>
    <w:rsid w:val="00046C80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D8E"/>
    <w:rsid w:val="00063D9E"/>
    <w:rsid w:val="00064AD3"/>
    <w:rsid w:val="00065088"/>
    <w:rsid w:val="000652D3"/>
    <w:rsid w:val="000654A0"/>
    <w:rsid w:val="000707CA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5AC9"/>
    <w:rsid w:val="000B5F0A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3BD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101C4F"/>
    <w:rsid w:val="00102C9F"/>
    <w:rsid w:val="001068D2"/>
    <w:rsid w:val="001103BD"/>
    <w:rsid w:val="00111208"/>
    <w:rsid w:val="00111808"/>
    <w:rsid w:val="0011339F"/>
    <w:rsid w:val="00114E96"/>
    <w:rsid w:val="00117332"/>
    <w:rsid w:val="001204DD"/>
    <w:rsid w:val="00122839"/>
    <w:rsid w:val="001237AC"/>
    <w:rsid w:val="00124E12"/>
    <w:rsid w:val="0012673D"/>
    <w:rsid w:val="001269B8"/>
    <w:rsid w:val="00127099"/>
    <w:rsid w:val="00132B71"/>
    <w:rsid w:val="0013427A"/>
    <w:rsid w:val="001362C2"/>
    <w:rsid w:val="00136955"/>
    <w:rsid w:val="00136E19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46A0"/>
    <w:rsid w:val="001D6DA5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6D9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71589"/>
    <w:rsid w:val="00273177"/>
    <w:rsid w:val="00275074"/>
    <w:rsid w:val="002763E9"/>
    <w:rsid w:val="00276736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C0C4B"/>
    <w:rsid w:val="002C1EEA"/>
    <w:rsid w:val="002C6034"/>
    <w:rsid w:val="002C635B"/>
    <w:rsid w:val="002C7CFF"/>
    <w:rsid w:val="002D0BC6"/>
    <w:rsid w:val="002D17C5"/>
    <w:rsid w:val="002D365F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1E01"/>
    <w:rsid w:val="00352D21"/>
    <w:rsid w:val="0035443D"/>
    <w:rsid w:val="00354FEE"/>
    <w:rsid w:val="00356C0B"/>
    <w:rsid w:val="00357B9C"/>
    <w:rsid w:val="00361412"/>
    <w:rsid w:val="003615CA"/>
    <w:rsid w:val="003642A6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3E44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C41"/>
    <w:rsid w:val="003C7461"/>
    <w:rsid w:val="003D0788"/>
    <w:rsid w:val="003D132A"/>
    <w:rsid w:val="003D1517"/>
    <w:rsid w:val="003D2938"/>
    <w:rsid w:val="003D362D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6B4D"/>
    <w:rsid w:val="0041443C"/>
    <w:rsid w:val="004154F7"/>
    <w:rsid w:val="00416D44"/>
    <w:rsid w:val="004176FF"/>
    <w:rsid w:val="00421A27"/>
    <w:rsid w:val="004241C5"/>
    <w:rsid w:val="00424FA7"/>
    <w:rsid w:val="00426A87"/>
    <w:rsid w:val="004309D8"/>
    <w:rsid w:val="004313D1"/>
    <w:rsid w:val="00432110"/>
    <w:rsid w:val="00433259"/>
    <w:rsid w:val="00433EBE"/>
    <w:rsid w:val="00434406"/>
    <w:rsid w:val="00440FED"/>
    <w:rsid w:val="00441B92"/>
    <w:rsid w:val="004445DA"/>
    <w:rsid w:val="0044474B"/>
    <w:rsid w:val="00445FF7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863"/>
    <w:rsid w:val="00473A14"/>
    <w:rsid w:val="00474CA8"/>
    <w:rsid w:val="00474E43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6DC2"/>
    <w:rsid w:val="00496E75"/>
    <w:rsid w:val="004A014C"/>
    <w:rsid w:val="004A0AA8"/>
    <w:rsid w:val="004A1FE4"/>
    <w:rsid w:val="004A2CA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183D"/>
    <w:rsid w:val="004C3EEE"/>
    <w:rsid w:val="004C483D"/>
    <w:rsid w:val="004C48C5"/>
    <w:rsid w:val="004C795A"/>
    <w:rsid w:val="004C7F93"/>
    <w:rsid w:val="004D26B8"/>
    <w:rsid w:val="004D38C2"/>
    <w:rsid w:val="004D4FBD"/>
    <w:rsid w:val="004D4FC0"/>
    <w:rsid w:val="004D7B09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1079"/>
    <w:rsid w:val="00512829"/>
    <w:rsid w:val="00513839"/>
    <w:rsid w:val="0051423C"/>
    <w:rsid w:val="0051488C"/>
    <w:rsid w:val="00514C91"/>
    <w:rsid w:val="005153CE"/>
    <w:rsid w:val="00516241"/>
    <w:rsid w:val="00516FD9"/>
    <w:rsid w:val="0051791D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75FE"/>
    <w:rsid w:val="005420DE"/>
    <w:rsid w:val="00542249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272D"/>
    <w:rsid w:val="0056308E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519A"/>
    <w:rsid w:val="005A704D"/>
    <w:rsid w:val="005B3C6D"/>
    <w:rsid w:val="005B4045"/>
    <w:rsid w:val="005B609E"/>
    <w:rsid w:val="005B6DF6"/>
    <w:rsid w:val="005B7B7D"/>
    <w:rsid w:val="005C1948"/>
    <w:rsid w:val="005C263C"/>
    <w:rsid w:val="005C2679"/>
    <w:rsid w:val="005D059A"/>
    <w:rsid w:val="005D07C5"/>
    <w:rsid w:val="005D4302"/>
    <w:rsid w:val="005D5A20"/>
    <w:rsid w:val="005D786C"/>
    <w:rsid w:val="005E00E5"/>
    <w:rsid w:val="005E049F"/>
    <w:rsid w:val="005E3073"/>
    <w:rsid w:val="005E316A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985"/>
    <w:rsid w:val="00600CEB"/>
    <w:rsid w:val="00602AA1"/>
    <w:rsid w:val="00604367"/>
    <w:rsid w:val="006044BE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10AE"/>
    <w:rsid w:val="00632196"/>
    <w:rsid w:val="00633BF2"/>
    <w:rsid w:val="00633F67"/>
    <w:rsid w:val="006345C3"/>
    <w:rsid w:val="006362F9"/>
    <w:rsid w:val="006373CD"/>
    <w:rsid w:val="0064165D"/>
    <w:rsid w:val="006433BD"/>
    <w:rsid w:val="00643784"/>
    <w:rsid w:val="00644186"/>
    <w:rsid w:val="0064455B"/>
    <w:rsid w:val="00644A21"/>
    <w:rsid w:val="00645C9F"/>
    <w:rsid w:val="00646A6C"/>
    <w:rsid w:val="006508B9"/>
    <w:rsid w:val="00650CA1"/>
    <w:rsid w:val="00651854"/>
    <w:rsid w:val="006539E8"/>
    <w:rsid w:val="006565D8"/>
    <w:rsid w:val="00656B96"/>
    <w:rsid w:val="0065736B"/>
    <w:rsid w:val="00657AE5"/>
    <w:rsid w:val="006610FC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6A64"/>
    <w:rsid w:val="00677925"/>
    <w:rsid w:val="00680F46"/>
    <w:rsid w:val="00681FDC"/>
    <w:rsid w:val="00682B53"/>
    <w:rsid w:val="00682F27"/>
    <w:rsid w:val="00690E2E"/>
    <w:rsid w:val="00692814"/>
    <w:rsid w:val="006932E7"/>
    <w:rsid w:val="00693347"/>
    <w:rsid w:val="0069334C"/>
    <w:rsid w:val="00696D63"/>
    <w:rsid w:val="006A032F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E6B"/>
    <w:rsid w:val="006D2146"/>
    <w:rsid w:val="006D632E"/>
    <w:rsid w:val="006E094A"/>
    <w:rsid w:val="006E12B1"/>
    <w:rsid w:val="006E13D1"/>
    <w:rsid w:val="006E1D43"/>
    <w:rsid w:val="006E4D0C"/>
    <w:rsid w:val="006E4D1B"/>
    <w:rsid w:val="006E5B78"/>
    <w:rsid w:val="006E6BA3"/>
    <w:rsid w:val="006F1116"/>
    <w:rsid w:val="006F3196"/>
    <w:rsid w:val="006F3C54"/>
    <w:rsid w:val="006F5E64"/>
    <w:rsid w:val="006F60DE"/>
    <w:rsid w:val="006F7124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2B44"/>
    <w:rsid w:val="00753BB5"/>
    <w:rsid w:val="00756832"/>
    <w:rsid w:val="007626D0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6F15"/>
    <w:rsid w:val="007A138F"/>
    <w:rsid w:val="007A1640"/>
    <w:rsid w:val="007A39DF"/>
    <w:rsid w:val="007A43ED"/>
    <w:rsid w:val="007A4BDD"/>
    <w:rsid w:val="007A72EE"/>
    <w:rsid w:val="007B0397"/>
    <w:rsid w:val="007B350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25AB"/>
    <w:rsid w:val="007E470B"/>
    <w:rsid w:val="007E57D0"/>
    <w:rsid w:val="007E79C5"/>
    <w:rsid w:val="007F2845"/>
    <w:rsid w:val="007F43BC"/>
    <w:rsid w:val="007F4740"/>
    <w:rsid w:val="008006C6"/>
    <w:rsid w:val="00800C52"/>
    <w:rsid w:val="0080153E"/>
    <w:rsid w:val="008064FE"/>
    <w:rsid w:val="0080742D"/>
    <w:rsid w:val="0081151E"/>
    <w:rsid w:val="00812498"/>
    <w:rsid w:val="008127E6"/>
    <w:rsid w:val="0081336E"/>
    <w:rsid w:val="00813928"/>
    <w:rsid w:val="00820DC7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5290"/>
    <w:rsid w:val="008C2CFD"/>
    <w:rsid w:val="008C603A"/>
    <w:rsid w:val="008C71C8"/>
    <w:rsid w:val="008D167D"/>
    <w:rsid w:val="008D4B58"/>
    <w:rsid w:val="008D4B8A"/>
    <w:rsid w:val="008D6541"/>
    <w:rsid w:val="008D7D7B"/>
    <w:rsid w:val="008E0F52"/>
    <w:rsid w:val="008E2316"/>
    <w:rsid w:val="008E34BE"/>
    <w:rsid w:val="008E42F4"/>
    <w:rsid w:val="008E5657"/>
    <w:rsid w:val="008E5E51"/>
    <w:rsid w:val="008F00DB"/>
    <w:rsid w:val="008F1264"/>
    <w:rsid w:val="008F47C6"/>
    <w:rsid w:val="009006A2"/>
    <w:rsid w:val="0090102B"/>
    <w:rsid w:val="00901448"/>
    <w:rsid w:val="009036BC"/>
    <w:rsid w:val="00905C47"/>
    <w:rsid w:val="00906379"/>
    <w:rsid w:val="009101EA"/>
    <w:rsid w:val="009106FC"/>
    <w:rsid w:val="009118BB"/>
    <w:rsid w:val="0091191F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3123D"/>
    <w:rsid w:val="00933040"/>
    <w:rsid w:val="009330E9"/>
    <w:rsid w:val="00935D15"/>
    <w:rsid w:val="009411FB"/>
    <w:rsid w:val="009414A9"/>
    <w:rsid w:val="00941B71"/>
    <w:rsid w:val="009421AD"/>
    <w:rsid w:val="0094221C"/>
    <w:rsid w:val="0094409C"/>
    <w:rsid w:val="00944159"/>
    <w:rsid w:val="009449B2"/>
    <w:rsid w:val="00944A82"/>
    <w:rsid w:val="00946C4D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1E47"/>
    <w:rsid w:val="009B2CED"/>
    <w:rsid w:val="009B7A72"/>
    <w:rsid w:val="009B7BB8"/>
    <w:rsid w:val="009C126A"/>
    <w:rsid w:val="009C1D4C"/>
    <w:rsid w:val="009C2DD2"/>
    <w:rsid w:val="009C3E34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3978"/>
    <w:rsid w:val="00A07E08"/>
    <w:rsid w:val="00A12798"/>
    <w:rsid w:val="00A153BE"/>
    <w:rsid w:val="00A15DEE"/>
    <w:rsid w:val="00A167B5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111"/>
    <w:rsid w:val="00A86EA7"/>
    <w:rsid w:val="00A91244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A96"/>
    <w:rsid w:val="00B422A7"/>
    <w:rsid w:val="00B42A32"/>
    <w:rsid w:val="00B42FA6"/>
    <w:rsid w:val="00B4399E"/>
    <w:rsid w:val="00B43A16"/>
    <w:rsid w:val="00B45CE1"/>
    <w:rsid w:val="00B46A75"/>
    <w:rsid w:val="00B500CD"/>
    <w:rsid w:val="00B50435"/>
    <w:rsid w:val="00B5239C"/>
    <w:rsid w:val="00B53893"/>
    <w:rsid w:val="00B548C2"/>
    <w:rsid w:val="00B55428"/>
    <w:rsid w:val="00B560C4"/>
    <w:rsid w:val="00B570BF"/>
    <w:rsid w:val="00B63337"/>
    <w:rsid w:val="00B6369F"/>
    <w:rsid w:val="00B639D7"/>
    <w:rsid w:val="00B67805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D14"/>
    <w:rsid w:val="00BE02B4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C03309"/>
    <w:rsid w:val="00C072FE"/>
    <w:rsid w:val="00C12E39"/>
    <w:rsid w:val="00C14164"/>
    <w:rsid w:val="00C15D8E"/>
    <w:rsid w:val="00C17012"/>
    <w:rsid w:val="00C178FB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26DB"/>
    <w:rsid w:val="00CC300C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6448"/>
    <w:rsid w:val="00D264CE"/>
    <w:rsid w:val="00D26670"/>
    <w:rsid w:val="00D26F8C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3830"/>
    <w:rsid w:val="00D55889"/>
    <w:rsid w:val="00D56B5F"/>
    <w:rsid w:val="00D57AF0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7413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180C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A9D"/>
    <w:rsid w:val="00DC6C1E"/>
    <w:rsid w:val="00DC7951"/>
    <w:rsid w:val="00DD1C4B"/>
    <w:rsid w:val="00DD1F7B"/>
    <w:rsid w:val="00DD229E"/>
    <w:rsid w:val="00DD3029"/>
    <w:rsid w:val="00DD55E0"/>
    <w:rsid w:val="00DE1904"/>
    <w:rsid w:val="00DE3DBB"/>
    <w:rsid w:val="00DE43A2"/>
    <w:rsid w:val="00DE4A74"/>
    <w:rsid w:val="00DE541C"/>
    <w:rsid w:val="00DE737B"/>
    <w:rsid w:val="00DF100B"/>
    <w:rsid w:val="00DF4359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39D1"/>
    <w:rsid w:val="00E26727"/>
    <w:rsid w:val="00E26970"/>
    <w:rsid w:val="00E27791"/>
    <w:rsid w:val="00E319DB"/>
    <w:rsid w:val="00E31AFC"/>
    <w:rsid w:val="00E3409E"/>
    <w:rsid w:val="00E34F76"/>
    <w:rsid w:val="00E37BE5"/>
    <w:rsid w:val="00E41A27"/>
    <w:rsid w:val="00E43524"/>
    <w:rsid w:val="00E4608B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A1D43"/>
    <w:rsid w:val="00EA4EC9"/>
    <w:rsid w:val="00EA5E0F"/>
    <w:rsid w:val="00EA6FE4"/>
    <w:rsid w:val="00EA7F4C"/>
    <w:rsid w:val="00EB1D47"/>
    <w:rsid w:val="00EB2146"/>
    <w:rsid w:val="00EB2317"/>
    <w:rsid w:val="00EB279B"/>
    <w:rsid w:val="00EB2ABB"/>
    <w:rsid w:val="00EB584C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275C"/>
    <w:rsid w:val="00F45693"/>
    <w:rsid w:val="00F52339"/>
    <w:rsid w:val="00F5277A"/>
    <w:rsid w:val="00F532E8"/>
    <w:rsid w:val="00F537FF"/>
    <w:rsid w:val="00F560FE"/>
    <w:rsid w:val="00F6111C"/>
    <w:rsid w:val="00F614C0"/>
    <w:rsid w:val="00F61647"/>
    <w:rsid w:val="00F657CF"/>
    <w:rsid w:val="00F66A00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3AEE"/>
    <w:rsid w:val="00FC6238"/>
    <w:rsid w:val="00FD33FC"/>
    <w:rsid w:val="00FD3730"/>
    <w:rsid w:val="00FD3ADE"/>
    <w:rsid w:val="00FD3B08"/>
    <w:rsid w:val="00FD4806"/>
    <w:rsid w:val="00FD534E"/>
    <w:rsid w:val="00FD56C7"/>
    <w:rsid w:val="00FD5CBB"/>
    <w:rsid w:val="00FD6B74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BFC67F"/>
  <w15:chartTrackingRefBased/>
  <w15:docId w15:val="{FEDE6542-C391-4C39-B678-AEFFDAC0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34B536-6531-4469-BCC5-8E72BF931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</TotalTime>
  <Pages>4</Pages>
  <Words>1532</Words>
  <Characters>8736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Ranta-Aho, Karri (Nokia - FI/Espoo)</cp:lastModifiedBy>
  <cp:revision>8</cp:revision>
  <cp:lastPrinted>2016-06-20T11:35:00Z</cp:lastPrinted>
  <dcterms:created xsi:type="dcterms:W3CDTF">2016-09-29T10:56:00Z</dcterms:created>
  <dcterms:modified xsi:type="dcterms:W3CDTF">2016-09-30T15:21:00Z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