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878FD" w:rsidP="00DF1CB7">
      <w:pPr>
        <w:tabs>
          <w:tab w:val="right" w:pos="9630"/>
        </w:tabs>
        <w:spacing w:after="0"/>
      </w:pPr>
      <w:r>
        <w:rPr>
          <w:rFonts w:ascii="Arial" w:hAnsi="Arial" w:cs="Arial"/>
          <w:b/>
          <w:sz w:val="24"/>
        </w:rPr>
        <w:t>3GPP TSG RAN WG1 #86</w:t>
      </w:r>
      <w:r w:rsidR="00BD6176">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BD6176">
        <w:rPr>
          <w:rFonts w:ascii="Arial" w:hAnsi="Arial" w:cs="Arial"/>
          <w:b/>
          <w:sz w:val="24"/>
        </w:rPr>
        <w:t>0878</w:t>
      </w:r>
      <w:r w:rsidR="004D56CE">
        <w:rPr>
          <w:rFonts w:ascii="Arial" w:hAnsi="Arial" w:cs="Arial"/>
          <w:b/>
          <w:sz w:val="24"/>
        </w:rPr>
        <w:t>9</w:t>
      </w:r>
    </w:p>
    <w:p w:rsidR="00BD6176" w:rsidRPr="005F4BD1" w:rsidRDefault="00BD6176" w:rsidP="00BD6176">
      <w:pPr>
        <w:pStyle w:val="a5"/>
        <w:tabs>
          <w:tab w:val="left" w:pos="1800"/>
        </w:tabs>
        <w:ind w:left="1800" w:hanging="1800"/>
        <w:rPr>
          <w:sz w:val="22"/>
          <w:szCs w:val="22"/>
        </w:rPr>
      </w:pPr>
      <w:r>
        <w:rPr>
          <w:sz w:val="22"/>
          <w:szCs w:val="22"/>
        </w:rPr>
        <w:t>Lisbon, Portugal, October 10</w:t>
      </w:r>
      <w:r w:rsidRPr="00556E64">
        <w:rPr>
          <w:sz w:val="22"/>
          <w:szCs w:val="22"/>
          <w:vertAlign w:val="superscript"/>
        </w:rPr>
        <w:t>th</w:t>
      </w:r>
      <w:r>
        <w:rPr>
          <w:sz w:val="22"/>
          <w:szCs w:val="22"/>
        </w:rPr>
        <w:t xml:space="preserve">   – 14</w:t>
      </w:r>
      <w:r w:rsidRPr="00556E64">
        <w:rPr>
          <w:sz w:val="22"/>
          <w:szCs w:val="22"/>
          <w:vertAlign w:val="superscript"/>
        </w:rPr>
        <w:t>th</w:t>
      </w:r>
      <w:r>
        <w:rPr>
          <w:sz w:val="22"/>
          <w:szCs w:val="22"/>
        </w:rPr>
        <w:t xml:space="preserve"> </w:t>
      </w:r>
      <w:r w:rsidRPr="00556E64">
        <w:rPr>
          <w:sz w:val="22"/>
          <w:szCs w:val="22"/>
        </w:rPr>
        <w:t xml:space="preserve">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878FD">
        <w:rPr>
          <w:rFonts w:ascii="Arial" w:hAnsi="Arial"/>
          <w:sz w:val="24"/>
        </w:rPr>
        <w:tab/>
        <w:t>8</w:t>
      </w:r>
      <w:r w:rsidR="004D56CE">
        <w:rPr>
          <w:rFonts w:ascii="Arial" w:hAnsi="Arial"/>
          <w:sz w:val="24"/>
        </w:rPr>
        <w:t>.1.5.2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B01BFC" w:rsidRPr="00B01BFC">
        <w:rPr>
          <w:rFonts w:ascii="Arial" w:hAnsi="Arial"/>
          <w:sz w:val="24"/>
          <w:szCs w:val="24"/>
        </w:rPr>
        <w:t>NR</w:t>
      </w:r>
      <w:r w:rsidR="004D56CE" w:rsidRPr="004D56CE">
        <w:rPr>
          <w:rFonts w:ascii="Arial" w:hAnsi="Arial"/>
          <w:sz w:val="24"/>
          <w:szCs w:val="24"/>
        </w:rPr>
        <w:t xml:space="preserve"> RRM measurements and mobility management</w:t>
      </w:r>
      <w:r w:rsidR="00F97F76" w:rsidRPr="00F97F76">
        <w:t xml:space="preserve"> </w:t>
      </w:r>
      <w:r w:rsidR="00B01BFC" w:rsidRPr="00B01BFC">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5F46DA" w:rsidRDefault="005F46DA" w:rsidP="001C592C">
      <w:pPr>
        <w:spacing w:beforeLines="50"/>
        <w:jc w:val="both"/>
        <w:rPr>
          <w:rFonts w:eastAsia="宋体"/>
          <w:lang w:eastAsia="zh-CN"/>
        </w:rPr>
      </w:pPr>
      <w:r>
        <w:rPr>
          <w:rFonts w:eastAsia="宋体"/>
          <w:lang w:eastAsia="zh-CN"/>
        </w:rPr>
        <w:t>In RAN1#86, it was</w:t>
      </w:r>
      <w:r w:rsidR="001C592C">
        <w:rPr>
          <w:rFonts w:eastAsia="宋体"/>
          <w:lang w:eastAsia="zh-CN"/>
        </w:rPr>
        <w:t xml:space="preserve"> agreed on the </w:t>
      </w:r>
      <w:r w:rsidRPr="00940679">
        <w:rPr>
          <w:rFonts w:eastAsia="宋体"/>
          <w:lang w:eastAsia="zh-CN"/>
        </w:rPr>
        <w:t>RRM measurement</w:t>
      </w:r>
      <w:r w:rsidR="001C592C">
        <w:rPr>
          <w:rFonts w:eastAsia="宋体"/>
          <w:lang w:eastAsia="zh-CN"/>
        </w:rPr>
        <w:t xml:space="preserve">s for different configuration and mobility measurements </w:t>
      </w:r>
      <w:r>
        <w:rPr>
          <w:rFonts w:eastAsia="宋体"/>
          <w:lang w:eastAsia="zh-CN"/>
        </w:rPr>
        <w:t>as follows,</w:t>
      </w:r>
      <w:r w:rsidRPr="00940679">
        <w:rPr>
          <w:rFonts w:eastAsia="宋体"/>
          <w:lang w:eastAsia="zh-CN"/>
        </w:rPr>
        <w:t xml:space="preserve">  </w:t>
      </w:r>
    </w:p>
    <w:p w:rsidR="001C592C" w:rsidRPr="001C592C" w:rsidRDefault="001C592C" w:rsidP="001C592C">
      <w:pPr>
        <w:numPr>
          <w:ilvl w:val="0"/>
          <w:numId w:val="30"/>
        </w:numPr>
        <w:spacing w:after="0"/>
      </w:pPr>
      <w:r w:rsidRPr="001C592C">
        <w:t>For RRM measurement in NR, at least DL measurement is supported with the consideration on</w:t>
      </w:r>
    </w:p>
    <w:p w:rsidR="001C592C" w:rsidRPr="001C592C" w:rsidRDefault="001C592C" w:rsidP="001C592C">
      <w:pPr>
        <w:numPr>
          <w:ilvl w:val="1"/>
          <w:numId w:val="30"/>
        </w:numPr>
        <w:spacing w:after="0"/>
      </w:pPr>
      <w:r w:rsidRPr="001C592C">
        <w:t>Both single-beam based operation and multi-beam based operation</w:t>
      </w:r>
    </w:p>
    <w:p w:rsidR="001C592C" w:rsidRPr="001C592C" w:rsidRDefault="001C592C" w:rsidP="001C592C">
      <w:pPr>
        <w:numPr>
          <w:ilvl w:val="0"/>
          <w:numId w:val="30"/>
        </w:numPr>
        <w:spacing w:after="0"/>
      </w:pPr>
      <w:r w:rsidRPr="001C592C">
        <w:t>FFS: Definition of RRM measurement for multi-beam based operation</w:t>
      </w:r>
    </w:p>
    <w:p w:rsidR="001C592C" w:rsidRPr="001C592C" w:rsidRDefault="001C592C" w:rsidP="001C592C">
      <w:pPr>
        <w:numPr>
          <w:ilvl w:val="0"/>
          <w:numId w:val="30"/>
        </w:numPr>
        <w:spacing w:after="0"/>
      </w:pPr>
      <w:r w:rsidRPr="001C592C">
        <w:t>FFS: DL signal for RRM measurement</w:t>
      </w:r>
    </w:p>
    <w:p w:rsidR="001C592C" w:rsidRPr="001C592C" w:rsidRDefault="001C592C" w:rsidP="001C592C">
      <w:pPr>
        <w:numPr>
          <w:ilvl w:val="0"/>
          <w:numId w:val="30"/>
        </w:numPr>
        <w:spacing w:after="0"/>
      </w:pPr>
      <w:r w:rsidRPr="001C592C">
        <w:t>FFS: When DL measurement is applied</w:t>
      </w:r>
    </w:p>
    <w:p w:rsidR="001C592C" w:rsidRPr="001C592C" w:rsidRDefault="001C592C" w:rsidP="001C592C">
      <w:pPr>
        <w:numPr>
          <w:ilvl w:val="0"/>
          <w:numId w:val="30"/>
        </w:numPr>
        <w:spacing w:after="0"/>
      </w:pPr>
      <w:r w:rsidRPr="001C592C">
        <w:t>Note that there is no conclusion that DL measurement is a complete solution for RRM measurement in NR for now</w:t>
      </w:r>
    </w:p>
    <w:p w:rsidR="001C592C" w:rsidRPr="001C592C" w:rsidRDefault="001C592C" w:rsidP="001C592C">
      <w:pPr>
        <w:spacing w:before="100" w:beforeAutospacing="1"/>
        <w:jc w:val="both"/>
        <w:rPr>
          <w:rFonts w:eastAsia="宋体"/>
          <w:lang w:val="en-US"/>
        </w:rPr>
      </w:pPr>
      <w:r w:rsidRPr="001C592C">
        <w:rPr>
          <w:rFonts w:eastAsia="宋体"/>
          <w:lang w:val="en-US"/>
        </w:rPr>
        <w:t>Additionally, RAN1 concluded that for RRM</w:t>
      </w:r>
      <w:r>
        <w:rPr>
          <w:rFonts w:eastAsia="宋体"/>
          <w:lang w:val="en-US"/>
        </w:rPr>
        <w:t xml:space="preserve"> measurement and mobility in NR.  </w:t>
      </w:r>
      <w:r w:rsidRPr="001C592C">
        <w:rPr>
          <w:rFonts w:eastAsia="宋体"/>
          <w:lang w:val="en-US"/>
        </w:rPr>
        <w:t xml:space="preserve"> RAN1 needs to study DL and UL based measurements considering the following RAN2 study:</w:t>
      </w:r>
    </w:p>
    <w:p w:rsidR="001C592C" w:rsidRDefault="001C592C" w:rsidP="001C592C">
      <w:pPr>
        <w:spacing w:after="0"/>
        <w:ind w:left="360"/>
        <w:jc w:val="both"/>
        <w:rPr>
          <w:rFonts w:eastAsia="宋体"/>
          <w:lang w:val="en-US"/>
        </w:rPr>
      </w:pPr>
      <w:r w:rsidRPr="001C592C">
        <w:rPr>
          <w:rFonts w:eastAsia="宋体" w:hint="eastAsia"/>
          <w:lang w:val="en-US"/>
        </w:rPr>
        <w:t>•</w:t>
      </w:r>
      <w:r w:rsidRPr="001C592C">
        <w:rPr>
          <w:rFonts w:eastAsia="宋体"/>
          <w:lang w:val="en-US"/>
        </w:rPr>
        <w:tab/>
        <w:t>RRC driven at ‘cell’ level</w:t>
      </w:r>
    </w:p>
    <w:p w:rsidR="001C592C" w:rsidRPr="001C592C" w:rsidRDefault="001C592C" w:rsidP="001C592C">
      <w:pPr>
        <w:spacing w:after="0"/>
        <w:ind w:left="360"/>
        <w:jc w:val="both"/>
        <w:rPr>
          <w:rFonts w:eastAsia="宋体"/>
          <w:lang w:val="en-US"/>
        </w:rPr>
      </w:pPr>
      <w:r w:rsidRPr="001C592C">
        <w:rPr>
          <w:rFonts w:eastAsia="宋体" w:hint="eastAsia"/>
          <w:lang w:val="en-US"/>
        </w:rPr>
        <w:t>•</w:t>
      </w:r>
      <w:r w:rsidRPr="001C592C">
        <w:rPr>
          <w:rFonts w:eastAsia="宋体"/>
          <w:lang w:val="en-US"/>
        </w:rPr>
        <w:tab/>
        <w:t xml:space="preserve">Zero/Minimum RRC  involvement (e.g. </w:t>
      </w:r>
      <w:proofErr w:type="gramStart"/>
      <w:r w:rsidRPr="001C592C">
        <w:rPr>
          <w:rFonts w:eastAsia="宋体"/>
          <w:lang w:val="en-US"/>
        </w:rPr>
        <w:t>at</w:t>
      </w:r>
      <w:proofErr w:type="gramEnd"/>
      <w:r w:rsidRPr="001C592C">
        <w:rPr>
          <w:rFonts w:eastAsia="宋体"/>
          <w:lang w:val="en-US"/>
        </w:rPr>
        <w:t xml:space="preserve"> MAC /PHY) </w:t>
      </w:r>
    </w:p>
    <w:p w:rsidR="001C592C" w:rsidRPr="001C592C" w:rsidRDefault="001C592C" w:rsidP="001C592C">
      <w:pPr>
        <w:spacing w:after="0"/>
        <w:ind w:left="360"/>
        <w:jc w:val="both"/>
        <w:rPr>
          <w:rFonts w:eastAsia="宋体"/>
          <w:lang w:val="en-US"/>
        </w:rPr>
      </w:pPr>
      <w:r w:rsidRPr="001C592C">
        <w:rPr>
          <w:rFonts w:eastAsia="宋体" w:hint="eastAsia"/>
          <w:lang w:val="en-US"/>
        </w:rPr>
        <w:t>•</w:t>
      </w:r>
      <w:r w:rsidRPr="001C592C">
        <w:rPr>
          <w:rFonts w:eastAsia="宋体"/>
          <w:lang w:val="en-US"/>
        </w:rPr>
        <w:tab/>
        <w:t>FFS what is the definition of a cell</w:t>
      </w:r>
    </w:p>
    <w:p w:rsidR="005F46DA" w:rsidRDefault="005F46DA" w:rsidP="001C592C">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RRM Measurements in different NR system configuration and mobility management</w:t>
      </w:r>
      <w:r>
        <w:rPr>
          <w:rFonts w:eastAsia="宋体" w:hint="eastAsia"/>
          <w:lang w:eastAsia="zh-CN"/>
        </w:rPr>
        <w:t>.</w:t>
      </w:r>
    </w:p>
    <w:p w:rsidR="005F46DA" w:rsidRDefault="005F46DA" w:rsidP="00693C74"/>
    <w:p w:rsidR="00693C74" w:rsidRDefault="004D56CE" w:rsidP="00BA7C9E">
      <w:pPr>
        <w:pStyle w:val="1"/>
        <w:rPr>
          <w:lang w:eastAsia="ja-JP"/>
        </w:rPr>
      </w:pPr>
      <w:r>
        <w:rPr>
          <w:lang w:eastAsia="ja-JP"/>
        </w:rPr>
        <w:t>RRM Measurement</w:t>
      </w:r>
      <w:r w:rsidR="00763D11">
        <w:rPr>
          <w:lang w:eastAsia="ja-JP"/>
        </w:rPr>
        <w:t>s</w:t>
      </w:r>
      <w:r>
        <w:rPr>
          <w:lang w:eastAsia="ja-JP"/>
        </w:rPr>
        <w:t xml:space="preserve"> and Mobility Management </w:t>
      </w:r>
    </w:p>
    <w:p w:rsidR="001C592C" w:rsidRDefault="001C592C" w:rsidP="007E7857">
      <w:pPr>
        <w:pStyle w:val="maintext"/>
        <w:spacing w:before="0" w:after="0" w:line="240" w:lineRule="auto"/>
        <w:ind w:firstLineChars="0" w:firstLine="0"/>
      </w:pPr>
    </w:p>
    <w:p w:rsidR="001C592C" w:rsidRDefault="00763D11" w:rsidP="007E7857">
      <w:pPr>
        <w:pStyle w:val="maintext"/>
        <w:spacing w:before="0" w:after="0" w:line="240" w:lineRule="auto"/>
        <w:ind w:firstLineChars="0" w:firstLine="0"/>
      </w:pPr>
      <w:r>
        <w:t xml:space="preserve">RRM measurements are used for the selection of initial access point and mobility management after connecting to the NR system.  </w:t>
      </w:r>
      <w:r w:rsidR="001C592C">
        <w:t xml:space="preserve">The initial access procedure starts with the UE acquiring the NR system DL transmission timing by detection of the DL synchronization signals(s).  UE might detect more than one DL synchronization signals.  UE will select the strongest detected synchronization signals as the reference timing and performs the RRM measurements.   The RRM measurements would be based on the associated system </w:t>
      </w:r>
      <w:r>
        <w:t>reference signals</w:t>
      </w:r>
      <w:r w:rsidR="001C592C">
        <w:t xml:space="preserve">.   The associated reference signals could include the synchronization signals similar to discovery reference signal (DRS) in LTE Rel-12 small cells.  The associated reference signals are </w:t>
      </w:r>
      <w:r>
        <w:t xml:space="preserve">also </w:t>
      </w:r>
      <w:r w:rsidR="001C592C">
        <w:t>used for channel tracking and channel estimation for NR system information acquisition.  It was agreed in RAN1#85 that e</w:t>
      </w:r>
      <w:r w:rsidR="001C592C" w:rsidRPr="001A3D46">
        <w:rPr>
          <w:rFonts w:eastAsia="MS Mincho"/>
          <w:lang w:eastAsia="ja-JP"/>
        </w:rPr>
        <w:t xml:space="preserve">ssential system information (MIB) should be </w:t>
      </w:r>
      <w:proofErr w:type="spellStart"/>
      <w:r w:rsidR="001C592C" w:rsidRPr="001A3D46">
        <w:rPr>
          <w:rFonts w:eastAsia="MS Mincho"/>
          <w:lang w:eastAsia="ja-JP"/>
        </w:rPr>
        <w:t>decodable</w:t>
      </w:r>
      <w:proofErr w:type="spellEnd"/>
      <w:r w:rsidR="001C592C" w:rsidRPr="001A3D46">
        <w:rPr>
          <w:rFonts w:eastAsia="MS Mincho"/>
          <w:lang w:eastAsia="ja-JP"/>
        </w:rPr>
        <w:t xml:space="preserve"> based on an identity parameter used for generation of search/synchronization signa</w:t>
      </w:r>
      <w:r w:rsidR="001C592C">
        <w:rPr>
          <w:rFonts w:eastAsia="MS Mincho"/>
          <w:lang w:eastAsia="ja-JP"/>
        </w:rPr>
        <w:t>l</w:t>
      </w:r>
      <w:r w:rsidR="001C592C">
        <w:t>.  The synchronization signal detected by the UE would be the dependent variable to derive the identification of DL transmission point and to retrieve the essential system information.  The</w:t>
      </w:r>
      <w:r>
        <w:t xml:space="preserve"> DM RS of the broadcast channel are transmitted periodically.    It could be used along with synchronization signals and</w:t>
      </w:r>
      <w:r w:rsidR="001C592C">
        <w:t xml:space="preserve"> system reference signals </w:t>
      </w:r>
      <w:r>
        <w:t xml:space="preserve">for RRM measurements.   </w:t>
      </w:r>
    </w:p>
    <w:p w:rsidR="001C592C" w:rsidRDefault="001C592C" w:rsidP="007E7857">
      <w:pPr>
        <w:pStyle w:val="maintext"/>
        <w:spacing w:before="0" w:after="0" w:line="240" w:lineRule="auto"/>
        <w:ind w:firstLineChars="0" w:firstLine="0"/>
      </w:pPr>
    </w:p>
    <w:p w:rsidR="00A85860" w:rsidRDefault="00A85860" w:rsidP="00A85860">
      <w:pPr>
        <w:pStyle w:val="maintext"/>
        <w:spacing w:before="0" w:after="0" w:line="240" w:lineRule="auto"/>
        <w:ind w:firstLineChars="0" w:firstLine="0"/>
        <w:rPr>
          <w:lang w:val="en-US"/>
        </w:rPr>
      </w:pPr>
    </w:p>
    <w:p w:rsidR="00E42762" w:rsidRDefault="00763D11" w:rsidP="00086ACB">
      <w:pPr>
        <w:rPr>
          <w:bCs/>
        </w:rPr>
      </w:pPr>
      <w:r>
        <w:rPr>
          <w:b/>
          <w:bCs/>
        </w:rPr>
        <w:t>Proposal 1</w:t>
      </w:r>
      <w:r w:rsidR="004F79D6">
        <w:rPr>
          <w:b/>
          <w:bCs/>
        </w:rPr>
        <w:t xml:space="preserve">:  </w:t>
      </w:r>
      <w:r>
        <w:rPr>
          <w:b/>
          <w:bCs/>
        </w:rPr>
        <w:t xml:space="preserve">DL signals for RRM measurements include synchronization signals, system reference signals, and DMRS of broadcast channel.  </w:t>
      </w:r>
    </w:p>
    <w:p w:rsidR="00763D11" w:rsidRDefault="00763D11" w:rsidP="00086ACB">
      <w:pPr>
        <w:rPr>
          <w:bCs/>
        </w:rPr>
      </w:pPr>
      <w:r>
        <w:rPr>
          <w:bCs/>
        </w:rPr>
        <w:t xml:space="preserve">When multi-beam is configured in a NR system, </w:t>
      </w:r>
      <w:r w:rsidR="001505B8">
        <w:rPr>
          <w:bCs/>
        </w:rPr>
        <w:t xml:space="preserve">each beam will be configured with its own identity in order for UE to autonomously detect the beam.  The DL common channels, such as synchronization signals and broadcast </w:t>
      </w:r>
      <w:proofErr w:type="gramStart"/>
      <w:r w:rsidR="001505B8">
        <w:rPr>
          <w:bCs/>
        </w:rPr>
        <w:t>channels,</w:t>
      </w:r>
      <w:proofErr w:type="gramEnd"/>
      <w:r w:rsidR="001505B8">
        <w:rPr>
          <w:bCs/>
        </w:rPr>
        <w:t xml:space="preserve"> are beam formed.   The DM RS of the broadcast channel is beam formed along with the system information in the </w:t>
      </w:r>
      <w:r w:rsidR="001505B8">
        <w:rPr>
          <w:bCs/>
        </w:rPr>
        <w:lastRenderedPageBreak/>
        <w:t xml:space="preserve">broadcast channel.  The system reference signals should be beam formed as well.   UE would perform RRM measurements on the synchronization signals, system reference signals, and DM RS of broadcast channel in multi-beam operation exactly the same as that of single beam NR system.   </w:t>
      </w:r>
    </w:p>
    <w:p w:rsidR="001505B8" w:rsidRDefault="001505B8" w:rsidP="001505B8">
      <w:pPr>
        <w:rPr>
          <w:bCs/>
        </w:rPr>
      </w:pPr>
      <w:r>
        <w:rPr>
          <w:b/>
          <w:bCs/>
        </w:rPr>
        <w:t xml:space="preserve">Proposal 2:  RRM measurements should be same in the single beam and multi-beam NR system.  </w:t>
      </w:r>
    </w:p>
    <w:p w:rsidR="001505B8" w:rsidRPr="00CF6971" w:rsidRDefault="001505B8" w:rsidP="00086ACB">
      <w:pPr>
        <w:rPr>
          <w:bCs/>
        </w:rPr>
      </w:pPr>
    </w:p>
    <w:p w:rsidR="000859B2" w:rsidRPr="001D1EC3" w:rsidRDefault="000859B2" w:rsidP="00200DCD">
      <w:pPr>
        <w:pStyle w:val="1"/>
      </w:pPr>
      <w:r>
        <w:t>Conclusion</w:t>
      </w:r>
    </w:p>
    <w:p w:rsidR="00E42762" w:rsidRDefault="00380740" w:rsidP="00E42762">
      <w:r>
        <w:t>Thi</w:t>
      </w:r>
      <w:r w:rsidR="00E42762">
        <w:t>s paper discusses th</w:t>
      </w:r>
      <w:r w:rsidR="001505B8">
        <w:t>e RRM measurements in different NR system configuration.  We pro</w:t>
      </w:r>
      <w:r w:rsidR="00E42762">
        <w:t xml:space="preserve">pose the following, </w:t>
      </w:r>
      <w:r w:rsidR="00D42529">
        <w:t xml:space="preserve"> </w:t>
      </w:r>
    </w:p>
    <w:p w:rsidR="001505B8" w:rsidRDefault="00E42762" w:rsidP="001505B8">
      <w:pPr>
        <w:pStyle w:val="maintext"/>
        <w:numPr>
          <w:ilvl w:val="0"/>
          <w:numId w:val="29"/>
        </w:numPr>
        <w:spacing w:before="0" w:after="0" w:line="240" w:lineRule="auto"/>
        <w:ind w:firstLineChars="0"/>
        <w:rPr>
          <w:lang w:val="en-US"/>
        </w:rPr>
      </w:pPr>
      <w:r w:rsidRPr="00E42762">
        <w:t xml:space="preserve">Proposal 1: </w:t>
      </w:r>
      <w:r w:rsidR="001505B8" w:rsidRPr="001505B8">
        <w:t xml:space="preserve">DL signals for RRM measurements include synchronization signals, system reference signals, and DMRS of broadcast channel.  </w:t>
      </w:r>
    </w:p>
    <w:p w:rsidR="00E42762" w:rsidRPr="001505B8" w:rsidRDefault="001505B8" w:rsidP="001505B8">
      <w:pPr>
        <w:pStyle w:val="maintext"/>
        <w:numPr>
          <w:ilvl w:val="0"/>
          <w:numId w:val="29"/>
        </w:numPr>
        <w:spacing w:before="0" w:after="0" w:line="240" w:lineRule="auto"/>
        <w:ind w:firstLineChars="0"/>
        <w:rPr>
          <w:lang w:val="en-US"/>
        </w:rPr>
      </w:pPr>
      <w:r w:rsidRPr="001505B8">
        <w:rPr>
          <w:lang w:val="en-US"/>
        </w:rPr>
        <w:t>Proposal 2</w:t>
      </w:r>
      <w:r w:rsidR="00E42762" w:rsidRPr="001505B8">
        <w:rPr>
          <w:lang w:val="en-US"/>
        </w:rPr>
        <w:t xml:space="preserve">: </w:t>
      </w:r>
      <w:r w:rsidRPr="001505B8">
        <w:rPr>
          <w:bCs/>
        </w:rPr>
        <w:t>RRM measurements should be same in the single beam and multi-beam NR system</w:t>
      </w:r>
      <w:r w:rsidRPr="001505B8">
        <w:rPr>
          <w:lang w:val="en-US"/>
        </w:rPr>
        <w:t xml:space="preserve"> </w:t>
      </w:r>
    </w:p>
    <w:p w:rsidR="00F42B0B" w:rsidRPr="005B2B85"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BC52B3" w:rsidRDefault="00BC52B3" w:rsidP="00BC52B3">
      <w:pPr>
        <w:pStyle w:val="afa"/>
        <w:numPr>
          <w:ilvl w:val="0"/>
          <w:numId w:val="6"/>
        </w:numPr>
        <w:rPr>
          <w:rFonts w:eastAsia="MS Mincho"/>
          <w:sz w:val="20"/>
          <w:szCs w:val="20"/>
        </w:rPr>
      </w:pPr>
      <w:r w:rsidRPr="00BC52B3">
        <w:rPr>
          <w:rFonts w:eastAsia="MS Mincho"/>
          <w:sz w:val="20"/>
          <w:szCs w:val="20"/>
        </w:rPr>
        <w:t>R1-168277</w:t>
      </w:r>
      <w:r>
        <w:rPr>
          <w:rFonts w:eastAsia="MS Mincho"/>
          <w:b/>
          <w:sz w:val="20"/>
          <w:szCs w:val="20"/>
        </w:rPr>
        <w:t>, “</w:t>
      </w:r>
      <w:r w:rsidRPr="00BC52B3">
        <w:rPr>
          <w:rFonts w:eastAsia="MS Mincho"/>
          <w:sz w:val="20"/>
          <w:szCs w:val="20"/>
        </w:rPr>
        <w:t>WF on numerology for synchronization signals in NR</w:t>
      </w:r>
      <w:r>
        <w:rPr>
          <w:rFonts w:eastAsia="MS Mincho"/>
          <w:sz w:val="20"/>
          <w:szCs w:val="20"/>
        </w:rPr>
        <w:t xml:space="preserve">”, </w:t>
      </w:r>
      <w:r w:rsidRPr="00BC52B3">
        <w:rPr>
          <w:rFonts w:eastAsia="MS Mincho"/>
          <w:sz w:val="20"/>
          <w:szCs w:val="20"/>
        </w:rPr>
        <w:t>Samsung, ETRI, CATT, NTT DOCOMO, Ericsson</w:t>
      </w:r>
    </w:p>
    <w:p w:rsidR="00BC52B3" w:rsidRPr="00BC52B3" w:rsidRDefault="00BC52B3" w:rsidP="00BC52B3">
      <w:pPr>
        <w:pStyle w:val="afa"/>
        <w:numPr>
          <w:ilvl w:val="0"/>
          <w:numId w:val="6"/>
        </w:numPr>
        <w:rPr>
          <w:rFonts w:eastAsia="MS Mincho"/>
          <w:sz w:val="20"/>
          <w:szCs w:val="20"/>
        </w:rPr>
      </w:pPr>
      <w:r w:rsidRPr="00BC52B3">
        <w:rPr>
          <w:rFonts w:eastAsia="MS Mincho"/>
          <w:sz w:val="20"/>
          <w:szCs w:val="20"/>
        </w:rPr>
        <w:t>R1-166483</w:t>
      </w:r>
      <w:r>
        <w:rPr>
          <w:rFonts w:eastAsia="MS Mincho"/>
          <w:sz w:val="20"/>
          <w:szCs w:val="20"/>
        </w:rPr>
        <w:t>, “</w:t>
      </w:r>
      <w:r w:rsidRPr="00BC52B3">
        <w:rPr>
          <w:rFonts w:eastAsia="MS Mincho"/>
          <w:sz w:val="20"/>
          <w:szCs w:val="20"/>
        </w:rPr>
        <w:t>NR Initial Access and Mobility Management</w:t>
      </w:r>
      <w:r>
        <w:rPr>
          <w:rFonts w:eastAsia="MS Mincho"/>
          <w:sz w:val="20"/>
          <w:szCs w:val="20"/>
        </w:rPr>
        <w:t xml:space="preserve">”, </w:t>
      </w:r>
      <w:r w:rsidRPr="00BC52B3">
        <w:rPr>
          <w:rFonts w:eastAsia="MS Mincho"/>
          <w:sz w:val="20"/>
          <w:szCs w:val="20"/>
        </w:rPr>
        <w:t>CATT</w:t>
      </w:r>
    </w:p>
    <w:p w:rsidR="00BC52B3" w:rsidRPr="00BC52B3" w:rsidRDefault="00BC52B3" w:rsidP="00BC52B3">
      <w:pPr>
        <w:pStyle w:val="afa"/>
        <w:rPr>
          <w:rFonts w:eastAsia="MS Mincho"/>
          <w:sz w:val="20"/>
          <w:szCs w:val="20"/>
        </w:rPr>
      </w:pPr>
    </w:p>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C14" w:rsidRDefault="00234C14" w:rsidP="00086ACB">
      <w:r>
        <w:separator/>
      </w:r>
    </w:p>
  </w:endnote>
  <w:endnote w:type="continuationSeparator" w:id="0">
    <w:p w:rsidR="00234C14" w:rsidRDefault="00234C14"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D0CC5"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D0CC5"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1505B8">
      <w:rPr>
        <w:rStyle w:val="af6"/>
      </w:rPr>
      <w:t>2</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C14" w:rsidRDefault="00234C14" w:rsidP="00086ACB">
      <w:r>
        <w:separator/>
      </w:r>
    </w:p>
  </w:footnote>
  <w:footnote w:type="continuationSeparator" w:id="0">
    <w:p w:rsidR="00234C14" w:rsidRDefault="00234C14"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F28EB"/>
    <w:multiLevelType w:val="hybridMultilevel"/>
    <w:tmpl w:val="EA46390E"/>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6">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8">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7">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2">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5">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CEE6FB5"/>
    <w:multiLevelType w:val="hybridMultilevel"/>
    <w:tmpl w:val="6B02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084A6E"/>
    <w:multiLevelType w:val="hybridMultilevel"/>
    <w:tmpl w:val="DEECB726"/>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40B6EA">
      <w:numFmt w:val="bullet"/>
      <w:lvlText w:val="–"/>
      <w:lvlJc w:val="left"/>
      <w:pPr>
        <w:ind w:left="2880" w:hanging="36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33"/>
  </w:num>
  <w:num w:numId="2">
    <w:abstractNumId w:val="27"/>
  </w:num>
  <w:num w:numId="3">
    <w:abstractNumId w:val="26"/>
  </w:num>
  <w:num w:numId="4">
    <w:abstractNumId w:val="11"/>
  </w:num>
  <w:num w:numId="5">
    <w:abstractNumId w:val="19"/>
  </w:num>
  <w:num w:numId="6">
    <w:abstractNumId w:val="13"/>
  </w:num>
  <w:num w:numId="7">
    <w:abstractNumId w:val="29"/>
  </w:num>
  <w:num w:numId="8">
    <w:abstractNumId w:val="30"/>
  </w:num>
  <w:num w:numId="9">
    <w:abstractNumId w:val="15"/>
  </w:num>
  <w:num w:numId="10">
    <w:abstractNumId w:val="18"/>
  </w:num>
  <w:num w:numId="11">
    <w:abstractNumId w:val="17"/>
  </w:num>
  <w:num w:numId="12">
    <w:abstractNumId w:val="8"/>
  </w:num>
  <w:num w:numId="13">
    <w:abstractNumId w:val="20"/>
  </w:num>
  <w:num w:numId="14">
    <w:abstractNumId w:val="14"/>
  </w:num>
  <w:num w:numId="15">
    <w:abstractNumId w:val="32"/>
  </w:num>
  <w:num w:numId="16">
    <w:abstractNumId w:val="6"/>
  </w:num>
  <w:num w:numId="17">
    <w:abstractNumId w:val="21"/>
  </w:num>
  <w:num w:numId="18">
    <w:abstractNumId w:val="7"/>
  </w:num>
  <w:num w:numId="19">
    <w:abstractNumId w:val="0"/>
  </w:num>
  <w:num w:numId="20">
    <w:abstractNumId w:val="1"/>
  </w:num>
  <w:num w:numId="21">
    <w:abstractNumId w:val="22"/>
  </w:num>
  <w:num w:numId="22">
    <w:abstractNumId w:val="25"/>
  </w:num>
  <w:num w:numId="23">
    <w:abstractNumId w:val="9"/>
  </w:num>
  <w:num w:numId="24">
    <w:abstractNumId w:val="5"/>
  </w:num>
  <w:num w:numId="25">
    <w:abstractNumId w:val="16"/>
  </w:num>
  <w:num w:numId="26">
    <w:abstractNumId w:val="24"/>
  </w:num>
  <w:num w:numId="27">
    <w:abstractNumId w:val="12"/>
  </w:num>
  <w:num w:numId="28">
    <w:abstractNumId w:val="4"/>
  </w:num>
  <w:num w:numId="29">
    <w:abstractNumId w:val="10"/>
  </w:num>
  <w:num w:numId="30">
    <w:abstractNumId w:val="31"/>
  </w:num>
  <w:num w:numId="31">
    <w:abstractNumId w:val="3"/>
  </w:num>
  <w:num w:numId="32">
    <w:abstractNumId w:val="28"/>
  </w:num>
  <w:num w:numId="33">
    <w:abstractNumId w:val="2"/>
  </w:num>
  <w:num w:numId="34">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577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6CE"/>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8B190A5-7DB8-43B3-94F6-EBA317B14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1621</TotalTime>
  <Pages>2</Pages>
  <Words>606</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4058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43</cp:revision>
  <cp:lastPrinted>2006-02-09T13:55:00Z</cp:lastPrinted>
  <dcterms:created xsi:type="dcterms:W3CDTF">2016-04-01T07:08:00Z</dcterms:created>
  <dcterms:modified xsi:type="dcterms:W3CDTF">2016-09-29T18:11:00Z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