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E3897" w14:textId="06BBFE2C" w:rsidR="009B6CB5" w:rsidRPr="009446E0" w:rsidRDefault="009B6CB5" w:rsidP="009B6CB5">
      <w:pPr>
        <w:widowControl w:val="0"/>
        <w:tabs>
          <w:tab w:val="center" w:pos="4536"/>
          <w:tab w:val="right" w:pos="9639"/>
          <w:tab w:val="right" w:pos="9781"/>
        </w:tabs>
        <w:spacing w:after="0"/>
        <w:ind w:right="-58"/>
        <w:rPr>
          <w:rFonts w:ascii="Arial" w:hAnsi="Arial" w:cs="Arial"/>
          <w:b/>
          <w:bCs/>
          <w:sz w:val="28"/>
          <w:szCs w:val="24"/>
          <w:lang w:eastAsia="zh-TW"/>
        </w:rPr>
      </w:pPr>
      <w:r w:rsidRPr="00567327">
        <w:rPr>
          <w:rFonts w:ascii="Arial" w:eastAsia="Batang" w:hAnsi="Arial" w:cs="Arial"/>
          <w:b/>
          <w:bCs/>
          <w:sz w:val="28"/>
          <w:szCs w:val="24"/>
        </w:rPr>
        <w:t>3GPP TSG RAN WG1 Meeting #</w:t>
      </w:r>
      <w:r w:rsidRPr="00567327">
        <w:rPr>
          <w:rFonts w:ascii="Arial" w:eastAsia="MS Mincho" w:hAnsi="Arial" w:cs="Arial" w:hint="eastAsia"/>
          <w:b/>
          <w:bCs/>
          <w:sz w:val="28"/>
          <w:szCs w:val="24"/>
          <w:lang w:eastAsia="ja-JP"/>
        </w:rPr>
        <w:t>8</w:t>
      </w:r>
      <w:r>
        <w:rPr>
          <w:rFonts w:ascii="Arial" w:hAnsi="Arial" w:cs="Arial" w:hint="eastAsia"/>
          <w:b/>
          <w:bCs/>
          <w:sz w:val="28"/>
          <w:szCs w:val="24"/>
          <w:lang w:eastAsia="zh-TW"/>
        </w:rPr>
        <w:t>6</w:t>
      </w:r>
      <w:r w:rsidR="003A44BC">
        <w:rPr>
          <w:rFonts w:ascii="Arial" w:hAnsi="Arial" w:cs="Arial"/>
          <w:b/>
          <w:bCs/>
          <w:sz w:val="28"/>
          <w:szCs w:val="24"/>
          <w:lang w:eastAsia="zh-TW"/>
        </w:rPr>
        <w:t>bis</w:t>
      </w:r>
      <w:r>
        <w:rPr>
          <w:rFonts w:ascii="Arial" w:hAnsi="Arial" w:cs="Arial" w:hint="eastAsia"/>
          <w:b/>
          <w:bCs/>
          <w:sz w:val="28"/>
          <w:szCs w:val="24"/>
          <w:lang w:eastAsia="zh-TW"/>
        </w:rPr>
        <w:t xml:space="preserve"> </w:t>
      </w:r>
      <w:r w:rsidRPr="00567327">
        <w:rPr>
          <w:rFonts w:ascii="Arial" w:eastAsia="MS Mincho" w:hAnsi="Arial" w:cs="Arial" w:hint="eastAsia"/>
          <w:b/>
          <w:bCs/>
          <w:sz w:val="28"/>
          <w:szCs w:val="24"/>
          <w:lang w:eastAsia="ja-JP"/>
        </w:rPr>
        <w:tab/>
      </w:r>
      <w:r>
        <w:rPr>
          <w:rFonts w:ascii="Arial" w:hAnsi="Arial" w:cs="Arial" w:hint="eastAsia"/>
          <w:b/>
          <w:bCs/>
          <w:sz w:val="28"/>
          <w:szCs w:val="24"/>
          <w:lang w:eastAsia="zh-TW"/>
        </w:rPr>
        <w:t xml:space="preserve">               </w:t>
      </w:r>
      <w:r w:rsidRPr="00567327">
        <w:rPr>
          <w:rFonts w:ascii="Arial" w:eastAsia="MS Mincho" w:hAnsi="Arial" w:cs="Arial"/>
          <w:b/>
          <w:bCs/>
          <w:sz w:val="28"/>
          <w:szCs w:val="24"/>
          <w:lang w:eastAsia="ja-JP"/>
        </w:rPr>
        <w:t>R1-1</w:t>
      </w:r>
      <w:r w:rsidRPr="00567327">
        <w:rPr>
          <w:rFonts w:ascii="Arial" w:eastAsia="MS Mincho" w:hAnsi="Arial" w:cs="Arial" w:hint="eastAsia"/>
          <w:b/>
          <w:bCs/>
          <w:sz w:val="28"/>
          <w:szCs w:val="24"/>
          <w:lang w:eastAsia="ja-JP"/>
        </w:rPr>
        <w:t>6</w:t>
      </w:r>
      <w:r w:rsidR="00293D0F">
        <w:rPr>
          <w:rFonts w:ascii="Arial" w:hAnsi="Arial" w:cs="Arial"/>
          <w:b/>
          <w:bCs/>
          <w:sz w:val="28"/>
          <w:szCs w:val="24"/>
          <w:lang w:eastAsia="zh-TW"/>
        </w:rPr>
        <w:t>10379</w:t>
      </w:r>
    </w:p>
    <w:p w14:paraId="039DE9C7" w14:textId="6033C007" w:rsidR="009B6CB5" w:rsidRPr="0052548E" w:rsidRDefault="003A44BC" w:rsidP="009B6CB5">
      <w:pPr>
        <w:tabs>
          <w:tab w:val="center" w:pos="4536"/>
          <w:tab w:val="right" w:pos="9072"/>
        </w:tabs>
        <w:rPr>
          <w:rFonts w:ascii="Arial" w:hAnsi="Arial" w:cs="Arial"/>
          <w:b/>
          <w:bCs/>
          <w:sz w:val="28"/>
          <w:szCs w:val="24"/>
        </w:rPr>
      </w:pPr>
      <w:r>
        <w:rPr>
          <w:rFonts w:ascii="Arial" w:hAnsi="Arial" w:cs="Arial" w:hint="eastAsia"/>
          <w:b/>
          <w:bCs/>
          <w:sz w:val="28"/>
          <w:szCs w:val="24"/>
        </w:rPr>
        <w:t>Lisbon</w:t>
      </w:r>
      <w:r>
        <w:rPr>
          <w:rFonts w:ascii="Arial" w:hAnsi="Arial" w:cs="Arial"/>
          <w:b/>
          <w:bCs/>
          <w:sz w:val="28"/>
          <w:szCs w:val="24"/>
        </w:rPr>
        <w:t xml:space="preserve">, </w:t>
      </w:r>
      <w:r>
        <w:rPr>
          <w:rFonts w:ascii="Arial" w:hAnsi="Arial" w:cs="Arial" w:hint="eastAsia"/>
          <w:b/>
          <w:bCs/>
          <w:sz w:val="28"/>
          <w:szCs w:val="24"/>
        </w:rPr>
        <w:t>Portugal</w:t>
      </w:r>
      <w:r>
        <w:rPr>
          <w:rFonts w:ascii="Arial" w:hAnsi="Arial" w:cs="Arial"/>
          <w:b/>
          <w:bCs/>
          <w:sz w:val="28"/>
          <w:szCs w:val="24"/>
        </w:rPr>
        <w:t xml:space="preserve"> </w:t>
      </w:r>
      <w:r>
        <w:rPr>
          <w:rFonts w:ascii="Arial" w:hAnsi="Arial" w:cs="Arial" w:hint="eastAsia"/>
          <w:b/>
          <w:bCs/>
          <w:sz w:val="28"/>
          <w:szCs w:val="24"/>
        </w:rPr>
        <w:t>10</w:t>
      </w:r>
      <w:r w:rsidRPr="00682C74">
        <w:rPr>
          <w:rFonts w:ascii="Arial" w:hAnsi="Arial" w:cs="Arial" w:hint="eastAsia"/>
          <w:b/>
          <w:bCs/>
          <w:sz w:val="28"/>
          <w:szCs w:val="24"/>
          <w:vertAlign w:val="superscript"/>
        </w:rPr>
        <w:t>th</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hint="eastAsia"/>
          <w:b/>
          <w:bCs/>
          <w:sz w:val="28"/>
          <w:szCs w:val="24"/>
        </w:rPr>
        <w:t>14</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October</w:t>
      </w:r>
      <w:r w:rsidRPr="0052548E">
        <w:rPr>
          <w:rFonts w:ascii="Arial" w:hAnsi="Arial" w:cs="Arial"/>
          <w:b/>
          <w:bCs/>
          <w:sz w:val="28"/>
          <w:szCs w:val="24"/>
        </w:rPr>
        <w:t xml:space="preserve"> </w:t>
      </w:r>
      <w:r>
        <w:rPr>
          <w:rFonts w:ascii="Arial" w:hAnsi="Arial" w:cs="Arial"/>
          <w:b/>
          <w:bCs/>
          <w:sz w:val="28"/>
          <w:szCs w:val="24"/>
        </w:rPr>
        <w:t>2016</w:t>
      </w:r>
    </w:p>
    <w:p w14:paraId="5C1E2094" w14:textId="77777777" w:rsidR="009B6CB5" w:rsidRPr="00344475" w:rsidRDefault="009B6CB5" w:rsidP="009B6CB5">
      <w:pPr>
        <w:pStyle w:val="Index1"/>
        <w:keepLines w:val="0"/>
        <w:widowControl w:val="0"/>
        <w:spacing w:afterLines="50" w:after="120"/>
        <w:rPr>
          <w:rFonts w:ascii="Arial" w:hAnsi="Arial" w:cs="Arial"/>
          <w:b/>
          <w:bCs/>
          <w:kern w:val="2"/>
          <w:sz w:val="24"/>
          <w:szCs w:val="24"/>
        </w:rPr>
      </w:pPr>
      <w:bookmarkStart w:id="0" w:name="_GoBack"/>
      <w:bookmarkEnd w:id="0"/>
    </w:p>
    <w:p w14:paraId="0AD4AAD5" w14:textId="21C91A3E" w:rsidR="009B6CB5" w:rsidRPr="00E55C67" w:rsidRDefault="009B6CB5" w:rsidP="009B6CB5">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3A44BC">
        <w:rPr>
          <w:rFonts w:ascii="Arial" w:hAnsi="Arial" w:cs="Arial"/>
          <w:b/>
          <w:sz w:val="24"/>
          <w:szCs w:val="24"/>
          <w:lang w:val="en-US" w:eastAsia="zh-TW"/>
        </w:rPr>
        <w:t xml:space="preserve">8.1.7.1 </w:t>
      </w:r>
    </w:p>
    <w:p w14:paraId="1BAA516C" w14:textId="7A5AACFD" w:rsidR="009B6CB5" w:rsidRPr="00E55C67" w:rsidRDefault="009B6CB5" w:rsidP="009B6CB5">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685621">
        <w:rPr>
          <w:rFonts w:ascii="Arial" w:hAnsi="Arial" w:cs="Arial"/>
          <w:b/>
          <w:sz w:val="24"/>
          <w:szCs w:val="24"/>
          <w:lang w:val="fr-FR"/>
        </w:rPr>
        <w:tab/>
      </w:r>
      <w:r w:rsidR="00685621">
        <w:rPr>
          <w:rFonts w:ascii="Arial" w:hAnsi="Arial" w:cs="Arial"/>
          <w:b/>
          <w:sz w:val="24"/>
          <w:szCs w:val="24"/>
          <w:lang w:val="fr-FR"/>
        </w:rPr>
        <w:tab/>
      </w:r>
      <w:r>
        <w:rPr>
          <w:rFonts w:ascii="Arial" w:hAnsi="Arial" w:cs="Arial"/>
          <w:b/>
          <w:bCs/>
          <w:sz w:val="24"/>
          <w:szCs w:val="24"/>
          <w:lang w:val="fr-FR"/>
        </w:rPr>
        <w:t>Convida Wireless</w:t>
      </w:r>
    </w:p>
    <w:p w14:paraId="70025DDE" w14:textId="1F870B9E" w:rsidR="009B6CB5" w:rsidRPr="002454E4" w:rsidRDefault="009B6CB5" w:rsidP="009B6CB5">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Pr="00E55C67">
        <w:rPr>
          <w:rFonts w:ascii="Arial" w:hAnsi="Arial" w:cs="Arial" w:hint="eastAsia"/>
          <w:b/>
          <w:sz w:val="24"/>
          <w:szCs w:val="24"/>
          <w:lang w:eastAsia="zh-TW"/>
        </w:rPr>
        <w:t xml:space="preserve">    </w:t>
      </w:r>
      <w:r>
        <w:rPr>
          <w:rFonts w:ascii="Arial" w:hAnsi="Arial" w:cs="Arial"/>
          <w:b/>
          <w:sz w:val="24"/>
          <w:szCs w:val="24"/>
          <w:lang w:eastAsia="zh-TW"/>
        </w:rPr>
        <w:tab/>
        <w:t xml:space="preserve">   </w:t>
      </w:r>
      <w:r w:rsidR="00685621">
        <w:rPr>
          <w:rFonts w:ascii="Arial" w:hAnsi="Arial" w:cs="Arial"/>
          <w:b/>
          <w:sz w:val="24"/>
          <w:szCs w:val="24"/>
          <w:lang w:eastAsia="zh-TW"/>
        </w:rPr>
        <w:tab/>
      </w:r>
      <w:r w:rsidR="00827430">
        <w:rPr>
          <w:rFonts w:ascii="Arial" w:hAnsi="Arial" w:cs="Arial"/>
          <w:b/>
          <w:sz w:val="24"/>
          <w:szCs w:val="24"/>
          <w:lang w:eastAsia="zh-TW"/>
        </w:rPr>
        <w:t>On Downlink Control Channel Design for New Radio</w:t>
      </w:r>
    </w:p>
    <w:p w14:paraId="25D81259" w14:textId="69793378" w:rsidR="009B6CB5" w:rsidRDefault="009B6CB5" w:rsidP="009B6CB5">
      <w:pPr>
        <w:widowControl w:val="0"/>
        <w:spacing w:afterLines="50" w:after="120"/>
        <w:rPr>
          <w:rFonts w:ascii="Arial" w:hAnsi="Arial" w:cs="Arial"/>
          <w:b/>
          <w:sz w:val="24"/>
          <w:szCs w:val="24"/>
          <w:lang w:eastAsia="zh-TW"/>
        </w:rPr>
      </w:pPr>
      <w:r w:rsidRPr="00E55C67">
        <w:rPr>
          <w:rFonts w:ascii="Arial" w:hAnsi="Arial" w:cs="Arial"/>
          <w:b/>
          <w:sz w:val="24"/>
          <w:szCs w:val="24"/>
        </w:rPr>
        <w:t xml:space="preserve">Document for: </w:t>
      </w:r>
      <w:r w:rsidRPr="00E55C67">
        <w:rPr>
          <w:rFonts w:ascii="Arial" w:hAnsi="Arial" w:cs="Arial"/>
          <w:b/>
          <w:sz w:val="24"/>
          <w:szCs w:val="24"/>
        </w:rPr>
        <w:tab/>
      </w:r>
      <w:r w:rsidRPr="00382970">
        <w:rPr>
          <w:rFonts w:ascii="Arial" w:hAnsi="Arial" w:cs="Arial"/>
          <w:b/>
          <w:sz w:val="24"/>
          <w:szCs w:val="24"/>
          <w:lang w:eastAsia="zh-TW"/>
        </w:rPr>
        <w:t>Discussion</w:t>
      </w:r>
      <w:r w:rsidRPr="00382970">
        <w:rPr>
          <w:rFonts w:ascii="Arial" w:hAnsi="Arial" w:cs="Arial" w:hint="eastAsia"/>
          <w:b/>
          <w:sz w:val="24"/>
          <w:szCs w:val="24"/>
          <w:lang w:eastAsia="zh-TW"/>
        </w:rPr>
        <w:t xml:space="preserve"> </w:t>
      </w:r>
    </w:p>
    <w:p w14:paraId="0EE2B6A9" w14:textId="77777777" w:rsidR="00685621" w:rsidRPr="00685621" w:rsidRDefault="00685621" w:rsidP="009B6CB5">
      <w:pPr>
        <w:widowControl w:val="0"/>
        <w:spacing w:afterLines="50" w:after="120"/>
        <w:rPr>
          <w:sz w:val="14"/>
          <w:lang w:eastAsia="zh-TW"/>
        </w:rPr>
      </w:pPr>
    </w:p>
    <w:p w14:paraId="6D44AE2E" w14:textId="77777777" w:rsidR="009B6CB5" w:rsidRPr="009B6CB5" w:rsidRDefault="009B6CB5" w:rsidP="00685621">
      <w:pPr>
        <w:pStyle w:val="Heading1"/>
        <w:numPr>
          <w:ilvl w:val="0"/>
          <w:numId w:val="4"/>
        </w:numPr>
        <w:spacing w:before="240" w:beforeAutospacing="0" w:after="120" w:afterAutospacing="0"/>
        <w:rPr>
          <w:sz w:val="24"/>
        </w:rPr>
      </w:pPr>
      <w:r w:rsidRPr="009B6CB5">
        <w:rPr>
          <w:sz w:val="24"/>
        </w:rPr>
        <w:t xml:space="preserve"> Introduction</w:t>
      </w:r>
    </w:p>
    <w:p w14:paraId="611655A8" w14:textId="0F7FC897" w:rsidR="005E769D" w:rsidRPr="002B5EE6" w:rsidRDefault="005E769D" w:rsidP="00FD1FB9">
      <w:pPr>
        <w:pStyle w:val="BodyText"/>
        <w:spacing w:after="240" w:line="280" w:lineRule="exact"/>
        <w:jc w:val="both"/>
        <w:rPr>
          <w:sz w:val="22"/>
          <w:szCs w:val="22"/>
        </w:rPr>
      </w:pPr>
      <w:r w:rsidRPr="002B5EE6">
        <w:rPr>
          <w:sz w:val="22"/>
          <w:szCs w:val="22"/>
        </w:rPr>
        <w:t>In the RAN#86 meeting the following agreement was reached on slot structure</w:t>
      </w:r>
      <w:r w:rsidR="00514BE6">
        <w:rPr>
          <w:sz w:val="22"/>
          <w:szCs w:val="22"/>
        </w:rPr>
        <w:t xml:space="preserve"> [2]</w:t>
      </w:r>
      <w:r w:rsidRPr="002B5EE6">
        <w:rPr>
          <w:sz w:val="22"/>
          <w:szCs w:val="22"/>
        </w:rPr>
        <w:t>.</w:t>
      </w:r>
    </w:p>
    <w:p w14:paraId="2408DF8C" w14:textId="77777777" w:rsidR="005E769D" w:rsidRPr="002E2BA0" w:rsidRDefault="005E769D" w:rsidP="005E769D">
      <w:pPr>
        <w:numPr>
          <w:ilvl w:val="0"/>
          <w:numId w:val="9"/>
        </w:numPr>
        <w:spacing w:after="0"/>
        <w:rPr>
          <w:rFonts w:eastAsia="MS Mincho"/>
          <w:i/>
          <w:sz w:val="22"/>
          <w:szCs w:val="22"/>
          <w:lang w:val="en-US" w:eastAsia="ja-JP"/>
        </w:rPr>
      </w:pPr>
      <w:r w:rsidRPr="002E2BA0">
        <w:rPr>
          <w:rFonts w:eastAsia="MS Mincho"/>
          <w:i/>
          <w:sz w:val="22"/>
          <w:szCs w:val="22"/>
          <w:lang w:val="en-US" w:eastAsia="ja-JP"/>
        </w:rPr>
        <w:t>A slot can contain all downlink, all uplink, or {at least one downlink part and at least one uplink part}</w:t>
      </w:r>
    </w:p>
    <w:p w14:paraId="1AB38F89" w14:textId="77777777" w:rsidR="002B5EE6" w:rsidRPr="002E2BA0" w:rsidRDefault="002B5EE6" w:rsidP="002B5EE6">
      <w:pPr>
        <w:spacing w:after="0"/>
        <w:ind w:left="720"/>
        <w:rPr>
          <w:rFonts w:eastAsia="MS Mincho"/>
          <w:i/>
          <w:sz w:val="22"/>
          <w:szCs w:val="22"/>
          <w:lang w:val="en-US" w:eastAsia="ja-JP"/>
        </w:rPr>
      </w:pPr>
    </w:p>
    <w:p w14:paraId="6D879944" w14:textId="1E92ABE3" w:rsidR="005E769D" w:rsidRPr="002E2BA0" w:rsidRDefault="005E769D" w:rsidP="002B5EE6">
      <w:pPr>
        <w:pStyle w:val="BodyText"/>
        <w:numPr>
          <w:ilvl w:val="0"/>
          <w:numId w:val="10"/>
        </w:numPr>
        <w:spacing w:after="240" w:line="280" w:lineRule="exact"/>
        <w:jc w:val="both"/>
        <w:rPr>
          <w:rFonts w:eastAsia="MS Mincho"/>
          <w:i/>
          <w:sz w:val="22"/>
          <w:szCs w:val="22"/>
          <w:lang w:eastAsia="ja-JP"/>
        </w:rPr>
      </w:pPr>
      <w:r w:rsidRPr="002E2BA0">
        <w:rPr>
          <w:rFonts w:eastAsia="MS Mincho"/>
          <w:i/>
          <w:sz w:val="22"/>
          <w:szCs w:val="22"/>
          <w:lang w:eastAsia="ja-JP"/>
        </w:rPr>
        <w:t xml:space="preserve">FFS regarding the number of switching points, multiplexing of different use cases </w:t>
      </w:r>
      <w:r w:rsidRPr="002E2BA0">
        <w:rPr>
          <w:rFonts w:eastAsia="MS Mincho" w:hint="eastAsia"/>
          <w:i/>
          <w:sz w:val="22"/>
          <w:szCs w:val="22"/>
          <w:lang w:eastAsia="ja-JP"/>
        </w:rPr>
        <w:t xml:space="preserve">(e.g., multiplexing eMBB and URLLC use cases) </w:t>
      </w:r>
      <w:r w:rsidRPr="002E2BA0">
        <w:rPr>
          <w:rFonts w:eastAsia="MS Mincho"/>
          <w:i/>
          <w:sz w:val="22"/>
          <w:szCs w:val="22"/>
          <w:lang w:eastAsia="ja-JP"/>
        </w:rPr>
        <w:t>and/or numerologies</w:t>
      </w:r>
      <w:r w:rsidRPr="002E2BA0">
        <w:rPr>
          <w:rFonts w:eastAsia="MS Mincho" w:hint="eastAsia"/>
          <w:i/>
          <w:sz w:val="22"/>
          <w:szCs w:val="22"/>
          <w:lang w:eastAsia="ja-JP"/>
        </w:rPr>
        <w:t xml:space="preserve"> in the time domain</w:t>
      </w:r>
      <w:r w:rsidRPr="002E2BA0">
        <w:rPr>
          <w:rFonts w:eastAsia="MS Mincho"/>
          <w:i/>
          <w:sz w:val="22"/>
          <w:szCs w:val="22"/>
          <w:lang w:eastAsia="ja-JP"/>
        </w:rPr>
        <w:t>.</w:t>
      </w:r>
    </w:p>
    <w:p w14:paraId="1B5BA297" w14:textId="5D207B1B" w:rsidR="002B5EE6" w:rsidRPr="002E2BA0" w:rsidRDefault="002B5EE6" w:rsidP="002B5EE6">
      <w:pPr>
        <w:pStyle w:val="BodyText"/>
        <w:numPr>
          <w:ilvl w:val="0"/>
          <w:numId w:val="10"/>
        </w:numPr>
        <w:spacing w:after="240" w:line="280" w:lineRule="exact"/>
        <w:jc w:val="both"/>
        <w:rPr>
          <w:rFonts w:eastAsia="MS Mincho"/>
          <w:i/>
          <w:sz w:val="22"/>
          <w:szCs w:val="22"/>
          <w:lang w:eastAsia="ja-JP"/>
        </w:rPr>
      </w:pPr>
      <w:r w:rsidRPr="002E2BA0">
        <w:rPr>
          <w:rFonts w:eastAsia="MS Mincho"/>
          <w:i/>
          <w:sz w:val="22"/>
          <w:szCs w:val="22"/>
          <w:lang w:eastAsia="ja-JP"/>
        </w:rPr>
        <w:t>FFS how to multiple mini slot and slot</w:t>
      </w:r>
      <w:r w:rsidR="002E2BA0" w:rsidRPr="002E2BA0">
        <w:rPr>
          <w:rFonts w:eastAsia="MS Mincho"/>
          <w:i/>
          <w:sz w:val="22"/>
          <w:szCs w:val="22"/>
          <w:lang w:eastAsia="ja-JP"/>
        </w:rPr>
        <w:t>.</w:t>
      </w:r>
    </w:p>
    <w:p w14:paraId="28855FA0" w14:textId="1B3509FD" w:rsidR="009B6CB5" w:rsidRPr="002B5EE6" w:rsidRDefault="002B5EE6" w:rsidP="00B1128C">
      <w:pPr>
        <w:pStyle w:val="BodyText"/>
        <w:spacing w:after="240" w:line="280" w:lineRule="exact"/>
        <w:jc w:val="both"/>
        <w:rPr>
          <w:rFonts w:eastAsia="Times New Roman"/>
          <w:bCs/>
          <w:color w:val="000000" w:themeColor="text1"/>
          <w:kern w:val="36"/>
          <w:sz w:val="22"/>
          <w:szCs w:val="22"/>
          <w:lang w:val="en-GB" w:eastAsia="en-US"/>
        </w:rPr>
      </w:pPr>
      <w:r>
        <w:rPr>
          <w:rFonts w:eastAsia="MS Mincho"/>
          <w:sz w:val="22"/>
          <w:szCs w:val="22"/>
          <w:lang w:eastAsia="ja-JP"/>
        </w:rPr>
        <w:t xml:space="preserve">In this respect, </w:t>
      </w:r>
      <w:r w:rsidR="002E27A8">
        <w:rPr>
          <w:rFonts w:eastAsia="MS Mincho"/>
          <w:sz w:val="22"/>
          <w:szCs w:val="22"/>
          <w:lang w:eastAsia="ja-JP"/>
        </w:rPr>
        <w:t xml:space="preserve">the allocation of resources for Downlink Control Information (DCI) and its design </w:t>
      </w:r>
      <w:r>
        <w:rPr>
          <w:rFonts w:eastAsia="MS Mincho"/>
          <w:sz w:val="22"/>
          <w:szCs w:val="22"/>
          <w:lang w:eastAsia="ja-JP"/>
        </w:rPr>
        <w:t xml:space="preserve">is important </w:t>
      </w:r>
      <w:r w:rsidR="00075F59">
        <w:rPr>
          <w:rFonts w:eastAsia="MS Mincho"/>
          <w:sz w:val="22"/>
          <w:szCs w:val="22"/>
          <w:lang w:eastAsia="ja-JP"/>
        </w:rPr>
        <w:t>to</w:t>
      </w:r>
      <w:r w:rsidR="002E27A8">
        <w:rPr>
          <w:rFonts w:eastAsia="MS Mincho"/>
          <w:sz w:val="22"/>
          <w:szCs w:val="22"/>
          <w:lang w:eastAsia="ja-JP"/>
        </w:rPr>
        <w:t xml:space="preserve"> support varying requirements for different use cases</w:t>
      </w:r>
      <w:r w:rsidR="00075F59">
        <w:rPr>
          <w:rFonts w:eastAsia="MS Mincho"/>
          <w:sz w:val="22"/>
          <w:szCs w:val="22"/>
          <w:lang w:eastAsia="ja-JP"/>
        </w:rPr>
        <w:t>.</w:t>
      </w:r>
      <w:r w:rsidR="002E27A8">
        <w:rPr>
          <w:rFonts w:eastAsia="MS Mincho"/>
          <w:sz w:val="22"/>
          <w:szCs w:val="22"/>
          <w:lang w:eastAsia="ja-JP"/>
        </w:rPr>
        <w:t xml:space="preserve"> </w:t>
      </w:r>
      <w:r w:rsidR="00075F59">
        <w:rPr>
          <w:rFonts w:eastAsia="MS Mincho"/>
          <w:sz w:val="22"/>
          <w:szCs w:val="22"/>
          <w:lang w:eastAsia="ja-JP"/>
        </w:rPr>
        <w:t>F</w:t>
      </w:r>
      <w:r w:rsidR="002E27A8">
        <w:rPr>
          <w:rFonts w:eastAsia="MS Mincho"/>
          <w:sz w:val="22"/>
          <w:szCs w:val="22"/>
          <w:lang w:eastAsia="ja-JP"/>
        </w:rPr>
        <w:t xml:space="preserve">or example, high reliability </w:t>
      </w:r>
      <w:r w:rsidR="00B1128C">
        <w:rPr>
          <w:rFonts w:eastAsia="MS Mincho"/>
          <w:sz w:val="22"/>
          <w:szCs w:val="22"/>
          <w:lang w:eastAsia="ja-JP"/>
        </w:rPr>
        <w:t xml:space="preserve">and low latency of control information </w:t>
      </w:r>
      <w:r w:rsidR="002E27A8">
        <w:rPr>
          <w:rFonts w:eastAsia="MS Mincho"/>
          <w:sz w:val="22"/>
          <w:szCs w:val="22"/>
          <w:lang w:eastAsia="ja-JP"/>
        </w:rPr>
        <w:t>for URLL</w:t>
      </w:r>
      <w:r w:rsidR="00075F59">
        <w:rPr>
          <w:rFonts w:eastAsia="MS Mincho"/>
          <w:sz w:val="22"/>
          <w:szCs w:val="22"/>
          <w:lang w:eastAsia="ja-JP"/>
        </w:rPr>
        <w:t>C</w:t>
      </w:r>
      <w:r w:rsidR="002E27A8">
        <w:rPr>
          <w:rFonts w:eastAsia="MS Mincho"/>
          <w:sz w:val="22"/>
          <w:szCs w:val="22"/>
          <w:lang w:eastAsia="ja-JP"/>
        </w:rPr>
        <w:t xml:space="preserve"> and minimal</w:t>
      </w:r>
      <w:r w:rsidR="00B1128C">
        <w:rPr>
          <w:rFonts w:eastAsia="MS Mincho"/>
          <w:sz w:val="22"/>
          <w:szCs w:val="22"/>
          <w:lang w:eastAsia="ja-JP"/>
        </w:rPr>
        <w:t xml:space="preserve"> control signaling</w:t>
      </w:r>
      <w:r w:rsidR="002E27A8">
        <w:rPr>
          <w:rFonts w:eastAsia="MS Mincho"/>
          <w:sz w:val="22"/>
          <w:szCs w:val="22"/>
          <w:lang w:eastAsia="ja-JP"/>
        </w:rPr>
        <w:t xml:space="preserve"> resource overhead.</w:t>
      </w:r>
      <w:r w:rsidR="00B1128C">
        <w:rPr>
          <w:rFonts w:eastAsia="MS Mincho"/>
          <w:sz w:val="22"/>
          <w:szCs w:val="22"/>
          <w:lang w:eastAsia="ja-JP"/>
        </w:rPr>
        <w:t xml:space="preserve"> </w:t>
      </w:r>
      <w:r w:rsidR="009B6CB5" w:rsidRPr="002B5EE6">
        <w:rPr>
          <w:rFonts w:eastAsia="Times New Roman" w:hint="eastAsia"/>
          <w:bCs/>
          <w:color w:val="000000" w:themeColor="text1"/>
          <w:kern w:val="36"/>
          <w:sz w:val="22"/>
          <w:szCs w:val="22"/>
          <w:lang w:val="en-GB" w:eastAsia="en-US"/>
        </w:rPr>
        <w:t xml:space="preserve">In this contribution, we </w:t>
      </w:r>
      <w:r w:rsidR="00B1128C">
        <w:rPr>
          <w:rFonts w:eastAsia="Times New Roman" w:hint="eastAsia"/>
          <w:bCs/>
          <w:color w:val="000000" w:themeColor="text1"/>
          <w:kern w:val="36"/>
          <w:sz w:val="22"/>
          <w:szCs w:val="22"/>
          <w:lang w:val="en-GB" w:eastAsia="en-US"/>
        </w:rPr>
        <w:t xml:space="preserve">consider </w:t>
      </w:r>
      <w:r w:rsidR="00B1128C">
        <w:rPr>
          <w:rFonts w:eastAsia="Times New Roman"/>
          <w:bCs/>
          <w:color w:val="000000" w:themeColor="text1"/>
          <w:kern w:val="36"/>
          <w:sz w:val="22"/>
          <w:szCs w:val="22"/>
          <w:lang w:val="en-GB" w:eastAsia="en-US"/>
        </w:rPr>
        <w:t xml:space="preserve">design aspects of DCI </w:t>
      </w:r>
      <w:r w:rsidR="007B5110">
        <w:rPr>
          <w:rFonts w:eastAsia="Times New Roman"/>
          <w:bCs/>
          <w:color w:val="000000" w:themeColor="text1"/>
          <w:kern w:val="36"/>
          <w:sz w:val="22"/>
          <w:szCs w:val="22"/>
          <w:lang w:val="en-GB" w:eastAsia="en-US"/>
        </w:rPr>
        <w:t>for NR f</w:t>
      </w:r>
      <w:r w:rsidR="00075F59">
        <w:rPr>
          <w:rFonts w:eastAsia="Times New Roman"/>
          <w:bCs/>
          <w:color w:val="000000" w:themeColor="text1"/>
          <w:kern w:val="36"/>
          <w:sz w:val="22"/>
          <w:szCs w:val="22"/>
          <w:lang w:val="en-GB" w:eastAsia="en-US"/>
        </w:rPr>
        <w:t>o</w:t>
      </w:r>
      <w:r w:rsidR="007B5110">
        <w:rPr>
          <w:rFonts w:eastAsia="Times New Roman"/>
          <w:bCs/>
          <w:color w:val="000000" w:themeColor="text1"/>
          <w:kern w:val="36"/>
          <w:sz w:val="22"/>
          <w:szCs w:val="22"/>
          <w:lang w:val="en-GB" w:eastAsia="en-US"/>
        </w:rPr>
        <w:t xml:space="preserve">r </w:t>
      </w:r>
      <w:r w:rsidR="00075F59">
        <w:rPr>
          <w:rFonts w:eastAsia="Times New Roman"/>
          <w:bCs/>
          <w:color w:val="000000" w:themeColor="text1"/>
          <w:kern w:val="36"/>
          <w:sz w:val="22"/>
          <w:szCs w:val="22"/>
          <w:lang w:val="en-GB" w:eastAsia="en-US"/>
        </w:rPr>
        <w:t xml:space="preserve">NR </w:t>
      </w:r>
      <w:r w:rsidR="007B5110">
        <w:rPr>
          <w:rFonts w:eastAsia="Times New Roman"/>
          <w:bCs/>
          <w:color w:val="000000" w:themeColor="text1"/>
          <w:kern w:val="36"/>
          <w:sz w:val="22"/>
          <w:szCs w:val="22"/>
          <w:lang w:val="en-GB" w:eastAsia="en-US"/>
        </w:rPr>
        <w:t>frame structure</w:t>
      </w:r>
      <w:r w:rsidR="00B1128C">
        <w:rPr>
          <w:rFonts w:eastAsia="Times New Roman"/>
          <w:bCs/>
          <w:color w:val="000000" w:themeColor="text1"/>
          <w:kern w:val="36"/>
          <w:sz w:val="22"/>
          <w:szCs w:val="22"/>
          <w:lang w:val="en-GB" w:eastAsia="en-US"/>
        </w:rPr>
        <w:t>.</w:t>
      </w:r>
    </w:p>
    <w:p w14:paraId="5377D88A" w14:textId="20D3BB37" w:rsidR="008367B7" w:rsidRDefault="00A31AB2" w:rsidP="00685621">
      <w:pPr>
        <w:pStyle w:val="Heading1"/>
        <w:numPr>
          <w:ilvl w:val="0"/>
          <w:numId w:val="4"/>
        </w:numPr>
        <w:spacing w:before="0" w:beforeAutospacing="0" w:after="120" w:afterAutospacing="0"/>
        <w:rPr>
          <w:sz w:val="24"/>
        </w:rPr>
      </w:pPr>
      <w:r>
        <w:rPr>
          <w:sz w:val="24"/>
        </w:rPr>
        <w:t>DCI design considerations</w:t>
      </w:r>
    </w:p>
    <w:p w14:paraId="509F1758" w14:textId="2AA252B8" w:rsidR="00AB19DD" w:rsidRPr="009109E0" w:rsidRDefault="00AB19DD" w:rsidP="009109E0">
      <w:pPr>
        <w:pStyle w:val="ListParagraph"/>
        <w:numPr>
          <w:ilvl w:val="1"/>
          <w:numId w:val="4"/>
        </w:numPr>
        <w:rPr>
          <w:b/>
          <w:sz w:val="22"/>
          <w:szCs w:val="22"/>
        </w:rPr>
      </w:pPr>
      <w:r w:rsidRPr="009109E0">
        <w:rPr>
          <w:b/>
          <w:sz w:val="22"/>
          <w:szCs w:val="22"/>
        </w:rPr>
        <w:t>Multiplexing numerologies</w:t>
      </w:r>
    </w:p>
    <w:p w14:paraId="775AE166" w14:textId="718FAC2A" w:rsidR="00AB19DD" w:rsidRDefault="00AB19DD" w:rsidP="00AB19DD">
      <w:pPr>
        <w:rPr>
          <w:sz w:val="22"/>
          <w:szCs w:val="22"/>
        </w:rPr>
      </w:pPr>
      <w:r>
        <w:rPr>
          <w:sz w:val="22"/>
          <w:szCs w:val="22"/>
        </w:rPr>
        <w:t>Unlike LTE, NR support</w:t>
      </w:r>
      <w:r w:rsidR="00D10925">
        <w:rPr>
          <w:sz w:val="22"/>
          <w:szCs w:val="22"/>
        </w:rPr>
        <w:t>s</w:t>
      </w:r>
      <w:r>
        <w:rPr>
          <w:sz w:val="22"/>
          <w:szCs w:val="22"/>
        </w:rPr>
        <w:t xml:space="preserve"> different numerologies according to the use cases, bandwidth</w:t>
      </w:r>
      <w:r w:rsidR="00D10925">
        <w:rPr>
          <w:sz w:val="22"/>
          <w:szCs w:val="22"/>
        </w:rPr>
        <w:t>,</w:t>
      </w:r>
      <w:r>
        <w:rPr>
          <w:sz w:val="22"/>
          <w:szCs w:val="22"/>
        </w:rPr>
        <w:t xml:space="preserve"> frequency of operation</w:t>
      </w:r>
      <w:r w:rsidR="00D10925">
        <w:rPr>
          <w:sz w:val="22"/>
          <w:szCs w:val="22"/>
        </w:rPr>
        <w:t>, etc</w:t>
      </w:r>
      <w:r>
        <w:rPr>
          <w:sz w:val="22"/>
          <w:szCs w:val="22"/>
        </w:rPr>
        <w:t xml:space="preserve">. The DCI resources </w:t>
      </w:r>
      <w:r w:rsidR="00D10925">
        <w:rPr>
          <w:sz w:val="22"/>
          <w:szCs w:val="22"/>
        </w:rPr>
        <w:t xml:space="preserve">need to </w:t>
      </w:r>
      <w:r>
        <w:rPr>
          <w:sz w:val="22"/>
          <w:szCs w:val="22"/>
        </w:rPr>
        <w:t xml:space="preserve">be allocated </w:t>
      </w:r>
      <w:r w:rsidR="00D10925">
        <w:rPr>
          <w:sz w:val="22"/>
          <w:szCs w:val="22"/>
        </w:rPr>
        <w:t>properly for the possible d</w:t>
      </w:r>
      <w:r>
        <w:rPr>
          <w:sz w:val="22"/>
          <w:szCs w:val="22"/>
        </w:rPr>
        <w:t xml:space="preserve">ifferent scenarios </w:t>
      </w:r>
      <w:r w:rsidR="00296091">
        <w:rPr>
          <w:sz w:val="22"/>
          <w:szCs w:val="22"/>
        </w:rPr>
        <w:t xml:space="preserve">discussed </w:t>
      </w:r>
      <w:r>
        <w:rPr>
          <w:sz w:val="22"/>
          <w:szCs w:val="22"/>
        </w:rPr>
        <w:t>below.</w:t>
      </w:r>
    </w:p>
    <w:p w14:paraId="661EC425" w14:textId="1683E544" w:rsidR="002F0095" w:rsidRDefault="00AB19DD" w:rsidP="00243B9E">
      <w:pPr>
        <w:pStyle w:val="ListParagraph"/>
        <w:numPr>
          <w:ilvl w:val="0"/>
          <w:numId w:val="11"/>
        </w:numPr>
        <w:rPr>
          <w:sz w:val="22"/>
          <w:szCs w:val="22"/>
        </w:rPr>
      </w:pPr>
      <w:r w:rsidRPr="00910288">
        <w:rPr>
          <w:sz w:val="22"/>
          <w:szCs w:val="22"/>
        </w:rPr>
        <w:t>When eMBB and URLL</w:t>
      </w:r>
      <w:r w:rsidR="00243B9E" w:rsidRPr="00910288">
        <w:rPr>
          <w:sz w:val="22"/>
          <w:szCs w:val="22"/>
        </w:rPr>
        <w:t>C</w:t>
      </w:r>
      <w:r w:rsidRPr="00910288">
        <w:rPr>
          <w:sz w:val="22"/>
          <w:szCs w:val="22"/>
        </w:rPr>
        <w:t xml:space="preserve"> use different </w:t>
      </w:r>
      <w:r w:rsidR="00243B9E" w:rsidRPr="00910288">
        <w:rPr>
          <w:sz w:val="22"/>
          <w:szCs w:val="22"/>
        </w:rPr>
        <w:t>subcarrier spacing</w:t>
      </w:r>
      <w:r w:rsidRPr="009109E0">
        <w:rPr>
          <w:sz w:val="22"/>
          <w:szCs w:val="22"/>
        </w:rPr>
        <w:t>, their DCI regions may be separate</w:t>
      </w:r>
      <w:r w:rsidR="00780EF4" w:rsidRPr="009109E0">
        <w:rPr>
          <w:sz w:val="22"/>
          <w:szCs w:val="22"/>
        </w:rPr>
        <w:t>d,</w:t>
      </w:r>
      <w:r w:rsidRPr="009109E0">
        <w:rPr>
          <w:sz w:val="22"/>
          <w:szCs w:val="22"/>
        </w:rPr>
        <w:t xml:space="preserve"> so a UE blindly searches only the control region corresponding to its use case.</w:t>
      </w:r>
      <w:r w:rsidR="002F0095" w:rsidRPr="009109E0">
        <w:rPr>
          <w:sz w:val="22"/>
          <w:szCs w:val="22"/>
        </w:rPr>
        <w:t xml:space="preserve"> </w:t>
      </w:r>
      <w:r w:rsidR="000729D1" w:rsidRPr="009109E0">
        <w:rPr>
          <w:sz w:val="22"/>
          <w:szCs w:val="22"/>
        </w:rPr>
        <w:fldChar w:fldCharType="begin"/>
      </w:r>
      <w:r w:rsidR="000729D1" w:rsidRPr="00910288">
        <w:rPr>
          <w:sz w:val="22"/>
          <w:szCs w:val="22"/>
        </w:rPr>
        <w:instrText xml:space="preserve"> REF _Ref463005456 \h </w:instrText>
      </w:r>
      <w:r w:rsidR="00910288">
        <w:rPr>
          <w:sz w:val="22"/>
          <w:szCs w:val="22"/>
        </w:rPr>
        <w:instrText xml:space="preserve"> \* MERGEFORMAT </w:instrText>
      </w:r>
      <w:r w:rsidR="000729D1" w:rsidRPr="009109E0">
        <w:rPr>
          <w:sz w:val="22"/>
          <w:szCs w:val="22"/>
        </w:rPr>
      </w:r>
      <w:r w:rsidR="000729D1" w:rsidRPr="00961E4D">
        <w:rPr>
          <w:sz w:val="22"/>
          <w:szCs w:val="22"/>
        </w:rPr>
        <w:fldChar w:fldCharType="separate"/>
      </w:r>
      <w:r w:rsidR="00156BDC" w:rsidRPr="00961E4D">
        <w:rPr>
          <w:b/>
          <w:sz w:val="22"/>
          <w:szCs w:val="22"/>
        </w:rPr>
        <w:t xml:space="preserve">Figure </w:t>
      </w:r>
      <w:r w:rsidR="00156BDC" w:rsidRPr="00961E4D">
        <w:rPr>
          <w:b/>
          <w:noProof/>
          <w:sz w:val="22"/>
          <w:szCs w:val="22"/>
        </w:rPr>
        <w:t>1</w:t>
      </w:r>
      <w:r w:rsidR="000729D1" w:rsidRPr="009109E0">
        <w:rPr>
          <w:sz w:val="22"/>
          <w:szCs w:val="22"/>
        </w:rPr>
        <w:fldChar w:fldCharType="end"/>
      </w:r>
      <w:r w:rsidR="000729D1" w:rsidRPr="009109E0">
        <w:rPr>
          <w:sz w:val="22"/>
          <w:szCs w:val="22"/>
        </w:rPr>
        <w:t xml:space="preserve"> shows an</w:t>
      </w:r>
      <w:r w:rsidR="000729D1">
        <w:rPr>
          <w:sz w:val="22"/>
          <w:szCs w:val="22"/>
        </w:rPr>
        <w:t xml:space="preserve"> example where URLLC has wid</w:t>
      </w:r>
      <w:r w:rsidR="00EF12F3">
        <w:rPr>
          <w:sz w:val="22"/>
          <w:szCs w:val="22"/>
        </w:rPr>
        <w:t>er subcarrier spacing than eMBB</w:t>
      </w:r>
      <w:r w:rsidR="00296091">
        <w:rPr>
          <w:sz w:val="22"/>
          <w:szCs w:val="22"/>
        </w:rPr>
        <w:t>,</w:t>
      </w:r>
      <w:r w:rsidR="000729D1">
        <w:rPr>
          <w:sz w:val="22"/>
          <w:szCs w:val="22"/>
        </w:rPr>
        <w:t xml:space="preserve"> </w:t>
      </w:r>
      <w:r w:rsidR="00296091">
        <w:rPr>
          <w:sz w:val="22"/>
          <w:szCs w:val="22"/>
        </w:rPr>
        <w:t xml:space="preserve">i.e. </w:t>
      </w:r>
      <w:r w:rsidR="000729D1">
        <w:rPr>
          <w:sz w:val="22"/>
          <w:szCs w:val="22"/>
        </w:rPr>
        <w:t xml:space="preserve"> URLLC and eMBB use dedicated regions for carrying the DCI. </w:t>
      </w:r>
      <w:r w:rsidR="00243B9E">
        <w:rPr>
          <w:sz w:val="22"/>
          <w:szCs w:val="22"/>
        </w:rPr>
        <w:t xml:space="preserve">This </w:t>
      </w:r>
      <w:r w:rsidR="000729D1">
        <w:rPr>
          <w:sz w:val="22"/>
          <w:szCs w:val="22"/>
        </w:rPr>
        <w:t xml:space="preserve">configuration </w:t>
      </w:r>
      <w:r w:rsidR="00243B9E">
        <w:rPr>
          <w:sz w:val="22"/>
          <w:szCs w:val="22"/>
        </w:rPr>
        <w:t xml:space="preserve">keeps the search space small and consequently </w:t>
      </w:r>
      <w:r w:rsidR="00296091">
        <w:rPr>
          <w:sz w:val="22"/>
          <w:szCs w:val="22"/>
        </w:rPr>
        <w:t xml:space="preserve">reduces </w:t>
      </w:r>
      <w:r w:rsidR="00243B9E">
        <w:rPr>
          <w:sz w:val="22"/>
          <w:szCs w:val="22"/>
        </w:rPr>
        <w:t>the decoding latency for control information. However, separate resources must be provisioned for the DCI of the different use cases.</w:t>
      </w:r>
    </w:p>
    <w:p w14:paraId="2918251C" w14:textId="77777777" w:rsidR="00264C6F" w:rsidRDefault="00264C6F" w:rsidP="00264C6F">
      <w:pPr>
        <w:pStyle w:val="ListParagraph"/>
        <w:ind w:left="1080"/>
        <w:rPr>
          <w:sz w:val="22"/>
          <w:szCs w:val="22"/>
        </w:rPr>
      </w:pPr>
    </w:p>
    <w:p w14:paraId="32B16AFB" w14:textId="358A8E67" w:rsidR="00716902" w:rsidRPr="009109E0" w:rsidRDefault="00300313" w:rsidP="00264C6F">
      <w:pPr>
        <w:pStyle w:val="ListParagraph"/>
        <w:ind w:left="1080"/>
        <w:rPr>
          <w:rFonts w:eastAsia="PMingLiU"/>
          <w:b/>
          <w:iCs/>
          <w:color w:val="000000" w:themeColor="text1"/>
          <w:sz w:val="22"/>
          <w:szCs w:val="22"/>
          <w:lang w:eastAsia="en-US"/>
        </w:rPr>
      </w:pPr>
      <w:r>
        <w:object w:dxaOrig="12980" w:dyaOrig="5305" w14:anchorId="70D70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65.1pt" o:ole="">
            <v:imagedata r:id="rId9" o:title=""/>
          </v:shape>
          <o:OLEObject Type="Embed" ProgID="Visio.Drawing.15" ShapeID="_x0000_i1025" DrawAspect="Content" ObjectID="_1536787163" r:id="rId10"/>
        </w:object>
      </w:r>
    </w:p>
    <w:p w14:paraId="1685B287" w14:textId="5CFF1F38" w:rsidR="00487EB6" w:rsidRPr="009109E0" w:rsidRDefault="00487EB6" w:rsidP="00487EB6">
      <w:pPr>
        <w:pStyle w:val="Caption"/>
        <w:jc w:val="center"/>
        <w:rPr>
          <w:b/>
          <w:i w:val="0"/>
          <w:color w:val="000000" w:themeColor="text1"/>
          <w:sz w:val="22"/>
          <w:szCs w:val="22"/>
        </w:rPr>
      </w:pPr>
      <w:bookmarkStart w:id="1" w:name="_Ref463005456"/>
      <w:r w:rsidRPr="009109E0">
        <w:rPr>
          <w:b/>
          <w:i w:val="0"/>
          <w:color w:val="000000" w:themeColor="text1"/>
          <w:sz w:val="22"/>
          <w:szCs w:val="22"/>
        </w:rPr>
        <w:t xml:space="preserve">Figure </w:t>
      </w:r>
      <w:r w:rsidRPr="009109E0">
        <w:rPr>
          <w:b/>
          <w:i w:val="0"/>
          <w:color w:val="000000" w:themeColor="text1"/>
          <w:sz w:val="22"/>
          <w:szCs w:val="22"/>
        </w:rPr>
        <w:fldChar w:fldCharType="begin"/>
      </w:r>
      <w:r w:rsidRPr="009109E0">
        <w:rPr>
          <w:b/>
          <w:i w:val="0"/>
          <w:color w:val="000000" w:themeColor="text1"/>
          <w:sz w:val="22"/>
          <w:szCs w:val="22"/>
        </w:rPr>
        <w:instrText xml:space="preserve"> SEQ Figure \* ARABIC </w:instrText>
      </w:r>
      <w:r w:rsidRPr="009109E0">
        <w:rPr>
          <w:b/>
          <w:i w:val="0"/>
          <w:color w:val="000000" w:themeColor="text1"/>
          <w:sz w:val="22"/>
          <w:szCs w:val="22"/>
        </w:rPr>
        <w:fldChar w:fldCharType="separate"/>
      </w:r>
      <w:r w:rsidR="00156BDC" w:rsidRPr="009109E0">
        <w:rPr>
          <w:b/>
          <w:i w:val="0"/>
          <w:color w:val="000000" w:themeColor="text1"/>
          <w:sz w:val="22"/>
          <w:szCs w:val="22"/>
        </w:rPr>
        <w:t>1</w:t>
      </w:r>
      <w:r w:rsidRPr="009109E0">
        <w:rPr>
          <w:b/>
          <w:i w:val="0"/>
          <w:color w:val="000000" w:themeColor="text1"/>
          <w:sz w:val="22"/>
          <w:szCs w:val="22"/>
        </w:rPr>
        <w:fldChar w:fldCharType="end"/>
      </w:r>
      <w:bookmarkEnd w:id="1"/>
      <w:r w:rsidRPr="009109E0">
        <w:rPr>
          <w:b/>
          <w:i w:val="0"/>
          <w:color w:val="000000" w:themeColor="text1"/>
          <w:sz w:val="22"/>
          <w:szCs w:val="22"/>
        </w:rPr>
        <w:t>: Dedicated DCI resources for URLLC and eMBB</w:t>
      </w:r>
    </w:p>
    <w:p w14:paraId="61D364C2" w14:textId="77777777" w:rsidR="00F42921" w:rsidRPr="00243B9E" w:rsidRDefault="00F42921" w:rsidP="00EB28C3">
      <w:pPr>
        <w:pStyle w:val="ListParagraph"/>
        <w:ind w:left="1080"/>
        <w:rPr>
          <w:sz w:val="22"/>
          <w:szCs w:val="22"/>
        </w:rPr>
      </w:pPr>
    </w:p>
    <w:p w14:paraId="73F4DF05" w14:textId="18EC9158" w:rsidR="00AB19DD" w:rsidRDefault="00243B9E" w:rsidP="00AB19DD">
      <w:pPr>
        <w:pStyle w:val="ListParagraph"/>
        <w:numPr>
          <w:ilvl w:val="0"/>
          <w:numId w:val="11"/>
        </w:numPr>
        <w:rPr>
          <w:sz w:val="22"/>
          <w:szCs w:val="22"/>
        </w:rPr>
      </w:pPr>
      <w:r>
        <w:rPr>
          <w:sz w:val="22"/>
          <w:szCs w:val="22"/>
        </w:rPr>
        <w:t>The</w:t>
      </w:r>
      <w:r w:rsidR="00AB19DD">
        <w:rPr>
          <w:sz w:val="22"/>
          <w:szCs w:val="22"/>
        </w:rPr>
        <w:t xml:space="preserve"> DCI </w:t>
      </w:r>
      <w:r>
        <w:rPr>
          <w:sz w:val="22"/>
          <w:szCs w:val="22"/>
        </w:rPr>
        <w:t xml:space="preserve">for URLLC and eMBB </w:t>
      </w:r>
      <w:r w:rsidR="00AB19DD">
        <w:rPr>
          <w:sz w:val="22"/>
          <w:szCs w:val="22"/>
        </w:rPr>
        <w:t>may be multiplexed</w:t>
      </w:r>
      <w:r w:rsidR="00F42921">
        <w:rPr>
          <w:sz w:val="22"/>
          <w:szCs w:val="22"/>
        </w:rPr>
        <w:t xml:space="preserve"> within a common set of resources</w:t>
      </w:r>
      <w:r>
        <w:rPr>
          <w:sz w:val="22"/>
          <w:szCs w:val="22"/>
        </w:rPr>
        <w:t xml:space="preserve">, especially if they use the same subcarrier </w:t>
      </w:r>
      <w:r w:rsidRPr="00910288">
        <w:rPr>
          <w:sz w:val="22"/>
          <w:szCs w:val="22"/>
        </w:rPr>
        <w:t>spacing</w:t>
      </w:r>
      <w:r w:rsidR="00AB19DD" w:rsidRPr="00961E4D">
        <w:rPr>
          <w:sz w:val="22"/>
          <w:szCs w:val="22"/>
        </w:rPr>
        <w:t xml:space="preserve">. </w:t>
      </w:r>
      <w:r w:rsidR="00CD30E0" w:rsidRPr="00961E4D">
        <w:rPr>
          <w:sz w:val="22"/>
          <w:szCs w:val="22"/>
        </w:rPr>
        <w:fldChar w:fldCharType="begin"/>
      </w:r>
      <w:r w:rsidR="00CD30E0" w:rsidRPr="00961E4D">
        <w:rPr>
          <w:sz w:val="22"/>
          <w:szCs w:val="22"/>
        </w:rPr>
        <w:instrText xml:space="preserve"> REF _Ref463005548 \h </w:instrText>
      </w:r>
      <w:r w:rsidR="00910288" w:rsidRPr="00961E4D">
        <w:rPr>
          <w:sz w:val="22"/>
          <w:szCs w:val="22"/>
        </w:rPr>
        <w:instrText xml:space="preserve"> \* MERGEFORMAT </w:instrText>
      </w:r>
      <w:r w:rsidR="00CD30E0" w:rsidRPr="00961E4D">
        <w:rPr>
          <w:sz w:val="22"/>
          <w:szCs w:val="22"/>
        </w:rPr>
      </w:r>
      <w:r w:rsidR="00CD30E0" w:rsidRPr="00961E4D">
        <w:rPr>
          <w:sz w:val="22"/>
          <w:szCs w:val="22"/>
        </w:rPr>
        <w:fldChar w:fldCharType="separate"/>
      </w:r>
      <w:r w:rsidR="00156BDC" w:rsidRPr="00961E4D">
        <w:rPr>
          <w:sz w:val="22"/>
          <w:szCs w:val="22"/>
        </w:rPr>
        <w:t xml:space="preserve">Figure </w:t>
      </w:r>
      <w:r w:rsidR="00156BDC" w:rsidRPr="00961E4D">
        <w:rPr>
          <w:noProof/>
          <w:sz w:val="22"/>
          <w:szCs w:val="22"/>
        </w:rPr>
        <w:t>2</w:t>
      </w:r>
      <w:r w:rsidR="00CD30E0" w:rsidRPr="00961E4D">
        <w:rPr>
          <w:sz w:val="22"/>
          <w:szCs w:val="22"/>
        </w:rPr>
        <w:fldChar w:fldCharType="end"/>
      </w:r>
      <w:r w:rsidR="00CD30E0" w:rsidRPr="00961E4D">
        <w:rPr>
          <w:sz w:val="22"/>
          <w:szCs w:val="22"/>
        </w:rPr>
        <w:t xml:space="preserve"> shows an example where eMBB and URLLC use the same numerology. URLLC may assign fewer</w:t>
      </w:r>
      <w:r w:rsidR="00CD30E0">
        <w:rPr>
          <w:sz w:val="22"/>
          <w:szCs w:val="22"/>
        </w:rPr>
        <w:t xml:space="preserve"> symbols to a transport block to achieve latency requirements</w:t>
      </w:r>
      <w:r w:rsidR="00910288">
        <w:rPr>
          <w:sz w:val="22"/>
          <w:szCs w:val="22"/>
        </w:rPr>
        <w:t xml:space="preserve"> for transmission</w:t>
      </w:r>
      <w:r w:rsidR="00CD30E0">
        <w:rPr>
          <w:sz w:val="22"/>
          <w:szCs w:val="22"/>
        </w:rPr>
        <w:t xml:space="preserve">. </w:t>
      </w:r>
      <w:r w:rsidR="00910288">
        <w:rPr>
          <w:sz w:val="22"/>
          <w:szCs w:val="22"/>
        </w:rPr>
        <w:t xml:space="preserve">In this case, </w:t>
      </w:r>
      <w:r w:rsidR="00CD30E0">
        <w:rPr>
          <w:sz w:val="22"/>
          <w:szCs w:val="22"/>
        </w:rPr>
        <w:t>a</w:t>
      </w:r>
      <w:r w:rsidR="00F42921">
        <w:rPr>
          <w:sz w:val="22"/>
          <w:szCs w:val="22"/>
        </w:rPr>
        <w:t xml:space="preserve"> UE would search the entire search space consisting of URLLC and eMBB DCIs. </w:t>
      </w:r>
      <w:r w:rsidR="00AB19DD">
        <w:rPr>
          <w:sz w:val="22"/>
          <w:szCs w:val="22"/>
        </w:rPr>
        <w:t>This is advantageous in terms of resource allocation for DCI but could worsen the latency for a URLL</w:t>
      </w:r>
      <w:r>
        <w:rPr>
          <w:sz w:val="22"/>
          <w:szCs w:val="22"/>
        </w:rPr>
        <w:t>C</w:t>
      </w:r>
      <w:r w:rsidR="00AB19DD">
        <w:rPr>
          <w:sz w:val="22"/>
          <w:szCs w:val="22"/>
        </w:rPr>
        <w:t xml:space="preserve"> UE</w:t>
      </w:r>
      <w:r w:rsidR="00910288">
        <w:rPr>
          <w:sz w:val="22"/>
          <w:szCs w:val="22"/>
        </w:rPr>
        <w:t>,</w:t>
      </w:r>
      <w:r w:rsidR="00AB19DD">
        <w:rPr>
          <w:sz w:val="22"/>
          <w:szCs w:val="22"/>
        </w:rPr>
        <w:t xml:space="preserve"> depending on the </w:t>
      </w:r>
      <w:r w:rsidR="00F42921">
        <w:rPr>
          <w:sz w:val="22"/>
          <w:szCs w:val="22"/>
        </w:rPr>
        <w:t>size of the search space and the number of symbols used for</w:t>
      </w:r>
      <w:r w:rsidR="00AB19DD">
        <w:rPr>
          <w:sz w:val="22"/>
          <w:szCs w:val="22"/>
        </w:rPr>
        <w:t xml:space="preserve"> DCI</w:t>
      </w:r>
      <w:r w:rsidR="00F42921">
        <w:rPr>
          <w:sz w:val="22"/>
          <w:szCs w:val="22"/>
        </w:rPr>
        <w:t xml:space="preserve"> signalling</w:t>
      </w:r>
      <w:r w:rsidR="00AB19DD">
        <w:rPr>
          <w:sz w:val="22"/>
          <w:szCs w:val="22"/>
        </w:rPr>
        <w:t>.</w:t>
      </w:r>
    </w:p>
    <w:p w14:paraId="3DAC5C3B" w14:textId="2A7C3173" w:rsidR="0001616F" w:rsidRDefault="00300313" w:rsidP="0001616F">
      <w:pPr>
        <w:pStyle w:val="ListParagraph"/>
        <w:ind w:left="1080"/>
        <w:rPr>
          <w:sz w:val="22"/>
          <w:szCs w:val="22"/>
        </w:rPr>
      </w:pPr>
      <w:r>
        <w:object w:dxaOrig="8175" w:dyaOrig="4710" w14:anchorId="0369C77F">
          <v:shape id="_x0000_i1026" type="#_x0000_t75" style="width:352.3pt;height:202.55pt" o:ole="">
            <v:imagedata r:id="rId11" o:title=""/>
          </v:shape>
          <o:OLEObject Type="Embed" ProgID="Visio.Drawing.15" ShapeID="_x0000_i1026" DrawAspect="Content" ObjectID="_1536787164" r:id="rId12"/>
        </w:object>
      </w:r>
    </w:p>
    <w:p w14:paraId="12DA62F6" w14:textId="469090AB" w:rsidR="00EB28C3" w:rsidRPr="009109E0" w:rsidRDefault="00487EB6" w:rsidP="00487EB6">
      <w:pPr>
        <w:pStyle w:val="Caption"/>
        <w:jc w:val="center"/>
        <w:rPr>
          <w:b/>
          <w:i w:val="0"/>
          <w:color w:val="000000" w:themeColor="text1"/>
          <w:sz w:val="22"/>
          <w:szCs w:val="22"/>
        </w:rPr>
      </w:pPr>
      <w:bookmarkStart w:id="2" w:name="_Ref463005548"/>
      <w:r w:rsidRPr="009109E0">
        <w:rPr>
          <w:b/>
          <w:i w:val="0"/>
          <w:color w:val="000000" w:themeColor="text1"/>
          <w:sz w:val="22"/>
          <w:szCs w:val="22"/>
        </w:rPr>
        <w:t xml:space="preserve">Figure </w:t>
      </w:r>
      <w:r w:rsidRPr="009109E0">
        <w:rPr>
          <w:b/>
          <w:i w:val="0"/>
          <w:color w:val="000000" w:themeColor="text1"/>
          <w:sz w:val="22"/>
          <w:szCs w:val="22"/>
        </w:rPr>
        <w:fldChar w:fldCharType="begin"/>
      </w:r>
      <w:r w:rsidRPr="009109E0">
        <w:rPr>
          <w:b/>
          <w:i w:val="0"/>
          <w:color w:val="000000" w:themeColor="text1"/>
          <w:sz w:val="22"/>
          <w:szCs w:val="22"/>
        </w:rPr>
        <w:instrText xml:space="preserve"> SEQ Figure \* ARABIC </w:instrText>
      </w:r>
      <w:r w:rsidRPr="009109E0">
        <w:rPr>
          <w:b/>
          <w:i w:val="0"/>
          <w:color w:val="000000" w:themeColor="text1"/>
          <w:sz w:val="22"/>
          <w:szCs w:val="22"/>
        </w:rPr>
        <w:fldChar w:fldCharType="separate"/>
      </w:r>
      <w:r w:rsidR="00156BDC" w:rsidRPr="009109E0">
        <w:rPr>
          <w:b/>
          <w:i w:val="0"/>
          <w:noProof/>
          <w:color w:val="000000" w:themeColor="text1"/>
          <w:sz w:val="22"/>
          <w:szCs w:val="22"/>
        </w:rPr>
        <w:t>2</w:t>
      </w:r>
      <w:r w:rsidRPr="009109E0">
        <w:rPr>
          <w:b/>
          <w:i w:val="0"/>
          <w:color w:val="000000" w:themeColor="text1"/>
          <w:sz w:val="22"/>
          <w:szCs w:val="22"/>
        </w:rPr>
        <w:fldChar w:fldCharType="end"/>
      </w:r>
      <w:bookmarkEnd w:id="2"/>
      <w:r w:rsidRPr="009109E0">
        <w:rPr>
          <w:b/>
          <w:i w:val="0"/>
          <w:color w:val="000000" w:themeColor="text1"/>
          <w:sz w:val="22"/>
          <w:szCs w:val="22"/>
        </w:rPr>
        <w:t>: Multiplexing DCI for URLLC and eMBB in same set of control channel resources</w:t>
      </w:r>
    </w:p>
    <w:p w14:paraId="79AC22CC" w14:textId="330AD6B3" w:rsidR="00243B9E" w:rsidRDefault="00243B9E" w:rsidP="00AB19DD">
      <w:pPr>
        <w:pStyle w:val="ListParagraph"/>
        <w:numPr>
          <w:ilvl w:val="0"/>
          <w:numId w:val="11"/>
        </w:numPr>
        <w:rPr>
          <w:sz w:val="22"/>
          <w:szCs w:val="22"/>
        </w:rPr>
      </w:pPr>
      <w:r>
        <w:rPr>
          <w:sz w:val="22"/>
          <w:szCs w:val="22"/>
        </w:rPr>
        <w:t xml:space="preserve">Especially for URLLC, having multiple control regions within a slot or </w:t>
      </w:r>
      <w:r w:rsidR="00CD30E0">
        <w:rPr>
          <w:sz w:val="22"/>
          <w:szCs w:val="22"/>
        </w:rPr>
        <w:t>subframe</w:t>
      </w:r>
      <w:r>
        <w:rPr>
          <w:sz w:val="22"/>
          <w:szCs w:val="22"/>
        </w:rPr>
        <w:t xml:space="preserve"> may be beneficial to support </w:t>
      </w:r>
      <w:r w:rsidR="00EB28C3">
        <w:rPr>
          <w:sz w:val="22"/>
          <w:szCs w:val="22"/>
        </w:rPr>
        <w:t xml:space="preserve">low latency. Each control region may provide DL or UL grants immediately following the </w:t>
      </w:r>
      <w:r w:rsidR="00EB28C3" w:rsidRPr="00910288">
        <w:rPr>
          <w:sz w:val="22"/>
          <w:szCs w:val="22"/>
        </w:rPr>
        <w:t>DCI</w:t>
      </w:r>
      <w:r w:rsidR="00EB28C3" w:rsidRPr="00961E4D">
        <w:rPr>
          <w:sz w:val="22"/>
          <w:szCs w:val="22"/>
        </w:rPr>
        <w:t>.</w:t>
      </w:r>
      <w:r w:rsidR="00CD30E0" w:rsidRPr="00961E4D">
        <w:rPr>
          <w:sz w:val="22"/>
          <w:szCs w:val="22"/>
        </w:rPr>
        <w:t xml:space="preserve"> </w:t>
      </w:r>
      <w:r w:rsidR="00CD30E0" w:rsidRPr="00961E4D">
        <w:rPr>
          <w:sz w:val="22"/>
          <w:szCs w:val="22"/>
        </w:rPr>
        <w:fldChar w:fldCharType="begin"/>
      </w:r>
      <w:r w:rsidR="00CD30E0" w:rsidRPr="00961E4D">
        <w:rPr>
          <w:sz w:val="22"/>
          <w:szCs w:val="22"/>
        </w:rPr>
        <w:instrText xml:space="preserve"> REF _Ref463005641 \h </w:instrText>
      </w:r>
      <w:r w:rsidR="00910288" w:rsidRPr="00961E4D">
        <w:rPr>
          <w:sz w:val="22"/>
          <w:szCs w:val="22"/>
        </w:rPr>
        <w:instrText xml:space="preserve"> \* MERGEFORMAT </w:instrText>
      </w:r>
      <w:r w:rsidR="00CD30E0" w:rsidRPr="00961E4D">
        <w:rPr>
          <w:sz w:val="22"/>
          <w:szCs w:val="22"/>
        </w:rPr>
      </w:r>
      <w:r w:rsidR="00CD30E0" w:rsidRPr="00961E4D">
        <w:rPr>
          <w:sz w:val="22"/>
          <w:szCs w:val="22"/>
        </w:rPr>
        <w:fldChar w:fldCharType="separate"/>
      </w:r>
      <w:r w:rsidR="00156BDC" w:rsidRPr="00961E4D">
        <w:rPr>
          <w:sz w:val="22"/>
          <w:szCs w:val="22"/>
        </w:rPr>
        <w:t xml:space="preserve">Figure </w:t>
      </w:r>
      <w:r w:rsidR="00156BDC" w:rsidRPr="00961E4D">
        <w:rPr>
          <w:noProof/>
          <w:sz w:val="22"/>
          <w:szCs w:val="22"/>
        </w:rPr>
        <w:t>3</w:t>
      </w:r>
      <w:r w:rsidR="00CD30E0" w:rsidRPr="00961E4D">
        <w:rPr>
          <w:sz w:val="22"/>
          <w:szCs w:val="22"/>
        </w:rPr>
        <w:fldChar w:fldCharType="end"/>
      </w:r>
      <w:r w:rsidR="00CD30E0" w:rsidRPr="00961E4D">
        <w:rPr>
          <w:sz w:val="22"/>
          <w:szCs w:val="22"/>
        </w:rPr>
        <w:t xml:space="preserve"> shows an example where the DL grant for UE</w:t>
      </w:r>
      <w:r w:rsidR="00CD30E0" w:rsidRPr="00961E4D">
        <w:rPr>
          <w:sz w:val="22"/>
          <w:szCs w:val="22"/>
          <w:vertAlign w:val="subscript"/>
        </w:rPr>
        <w:t>1</w:t>
      </w:r>
      <w:r w:rsidR="00CD30E0" w:rsidRPr="00961E4D">
        <w:rPr>
          <w:sz w:val="22"/>
          <w:szCs w:val="22"/>
        </w:rPr>
        <w:t xml:space="preserve"> (URLLC) is made by a DCI multiplexed in common</w:t>
      </w:r>
      <w:r w:rsidR="00CD30E0">
        <w:rPr>
          <w:sz w:val="22"/>
          <w:szCs w:val="22"/>
        </w:rPr>
        <w:t xml:space="preserve"> resources with eMBB. The DL grant for UE</w:t>
      </w:r>
      <w:r w:rsidR="00CD30E0" w:rsidRPr="00CD30E0">
        <w:rPr>
          <w:sz w:val="22"/>
          <w:szCs w:val="22"/>
          <w:vertAlign w:val="subscript"/>
        </w:rPr>
        <w:t>3</w:t>
      </w:r>
      <w:r w:rsidR="00CD30E0">
        <w:rPr>
          <w:sz w:val="22"/>
          <w:szCs w:val="22"/>
        </w:rPr>
        <w:t xml:space="preserve"> (URLLC) is made by a DCI </w:t>
      </w:r>
      <w:r w:rsidR="00333715">
        <w:rPr>
          <w:sz w:val="22"/>
          <w:szCs w:val="22"/>
        </w:rPr>
        <w:t>signal</w:t>
      </w:r>
      <w:r w:rsidR="009109E0">
        <w:rPr>
          <w:sz w:val="22"/>
          <w:szCs w:val="22"/>
        </w:rPr>
        <w:t>l</w:t>
      </w:r>
      <w:r w:rsidR="00333715">
        <w:rPr>
          <w:sz w:val="22"/>
          <w:szCs w:val="22"/>
        </w:rPr>
        <w:t xml:space="preserve">ed </w:t>
      </w:r>
      <w:r w:rsidR="00CD30E0">
        <w:rPr>
          <w:sz w:val="22"/>
          <w:szCs w:val="22"/>
        </w:rPr>
        <w:t>later in the slot/subframe.</w:t>
      </w:r>
    </w:p>
    <w:p w14:paraId="332C4011" w14:textId="34BD83A1" w:rsidR="000D3740" w:rsidRPr="000D3740" w:rsidRDefault="00300313" w:rsidP="000D3740">
      <w:pPr>
        <w:jc w:val="center"/>
        <w:rPr>
          <w:sz w:val="22"/>
          <w:szCs w:val="22"/>
        </w:rPr>
      </w:pPr>
      <w:r>
        <w:object w:dxaOrig="10047" w:dyaOrig="6342" w14:anchorId="4D66A2AC">
          <v:shape id="_x0000_i1027" type="#_x0000_t75" style="width:388.8pt;height:246.25pt" o:ole="">
            <v:imagedata r:id="rId13" o:title=""/>
          </v:shape>
          <o:OLEObject Type="Embed" ProgID="Visio.Drawing.15" ShapeID="_x0000_i1027" DrawAspect="Content" ObjectID="_1536787165" r:id="rId14"/>
        </w:object>
      </w:r>
    </w:p>
    <w:p w14:paraId="4297E617" w14:textId="41DB5E0E" w:rsidR="00ED1F8C" w:rsidRPr="009109E0" w:rsidRDefault="00ED1F8C" w:rsidP="00ED1F8C">
      <w:pPr>
        <w:pStyle w:val="Caption"/>
        <w:jc w:val="center"/>
        <w:rPr>
          <w:b/>
          <w:i w:val="0"/>
          <w:color w:val="auto"/>
          <w:sz w:val="22"/>
          <w:szCs w:val="22"/>
        </w:rPr>
      </w:pPr>
      <w:bookmarkStart w:id="3" w:name="_Ref463005641"/>
      <w:r w:rsidRPr="009109E0">
        <w:rPr>
          <w:b/>
          <w:i w:val="0"/>
          <w:color w:val="auto"/>
          <w:sz w:val="22"/>
          <w:szCs w:val="22"/>
        </w:rPr>
        <w:t xml:space="preserve">Figure </w:t>
      </w:r>
      <w:r w:rsidRPr="009109E0">
        <w:rPr>
          <w:b/>
          <w:i w:val="0"/>
          <w:color w:val="auto"/>
          <w:sz w:val="22"/>
          <w:szCs w:val="22"/>
        </w:rPr>
        <w:fldChar w:fldCharType="begin"/>
      </w:r>
      <w:r w:rsidRPr="009109E0">
        <w:rPr>
          <w:b/>
          <w:i w:val="0"/>
          <w:color w:val="auto"/>
          <w:sz w:val="22"/>
          <w:szCs w:val="22"/>
        </w:rPr>
        <w:instrText xml:space="preserve"> SEQ Figure \* ARABIC </w:instrText>
      </w:r>
      <w:r w:rsidRPr="009109E0">
        <w:rPr>
          <w:b/>
          <w:i w:val="0"/>
          <w:color w:val="auto"/>
          <w:sz w:val="22"/>
          <w:szCs w:val="22"/>
        </w:rPr>
        <w:fldChar w:fldCharType="separate"/>
      </w:r>
      <w:r w:rsidR="00156BDC" w:rsidRPr="009109E0">
        <w:rPr>
          <w:b/>
          <w:i w:val="0"/>
          <w:noProof/>
          <w:color w:val="auto"/>
          <w:sz w:val="22"/>
          <w:szCs w:val="22"/>
        </w:rPr>
        <w:t>3</w:t>
      </w:r>
      <w:r w:rsidRPr="009109E0">
        <w:rPr>
          <w:b/>
          <w:i w:val="0"/>
          <w:color w:val="auto"/>
          <w:sz w:val="22"/>
          <w:szCs w:val="22"/>
        </w:rPr>
        <w:fldChar w:fldCharType="end"/>
      </w:r>
      <w:bookmarkEnd w:id="3"/>
      <w:r w:rsidRPr="009109E0">
        <w:rPr>
          <w:b/>
          <w:i w:val="0"/>
          <w:color w:val="auto"/>
          <w:sz w:val="22"/>
          <w:szCs w:val="22"/>
        </w:rPr>
        <w:t xml:space="preserve">: </w:t>
      </w:r>
      <w:r w:rsidR="00261824" w:rsidRPr="009109E0">
        <w:rPr>
          <w:b/>
          <w:i w:val="0"/>
          <w:color w:val="auto"/>
          <w:sz w:val="22"/>
          <w:szCs w:val="22"/>
        </w:rPr>
        <w:t>DCI allocati</w:t>
      </w:r>
      <w:r w:rsidR="00961E4D">
        <w:rPr>
          <w:b/>
          <w:i w:val="0"/>
          <w:color w:val="auto"/>
          <w:sz w:val="22"/>
          <w:szCs w:val="22"/>
        </w:rPr>
        <w:t>o</w:t>
      </w:r>
      <w:r w:rsidR="00261824" w:rsidRPr="009109E0">
        <w:rPr>
          <w:b/>
          <w:i w:val="0"/>
          <w:color w:val="auto"/>
          <w:sz w:val="22"/>
          <w:szCs w:val="22"/>
        </w:rPr>
        <w:t>n in multiple symbols of a slot/subframe for URLLC grants</w:t>
      </w:r>
    </w:p>
    <w:p w14:paraId="004510C7" w14:textId="77777777" w:rsidR="00EB28C3" w:rsidRDefault="00EB28C3" w:rsidP="00EB28C3">
      <w:pPr>
        <w:pStyle w:val="ListParagraph"/>
        <w:ind w:left="1080"/>
        <w:rPr>
          <w:sz w:val="22"/>
          <w:szCs w:val="22"/>
        </w:rPr>
      </w:pPr>
    </w:p>
    <w:p w14:paraId="569901E1" w14:textId="53F42F43" w:rsidR="00243B9E" w:rsidRDefault="00243B9E" w:rsidP="00243B9E">
      <w:pPr>
        <w:pStyle w:val="ListParagraph"/>
        <w:numPr>
          <w:ilvl w:val="0"/>
          <w:numId w:val="11"/>
        </w:numPr>
        <w:rPr>
          <w:sz w:val="22"/>
          <w:szCs w:val="22"/>
        </w:rPr>
      </w:pPr>
      <w:r>
        <w:rPr>
          <w:sz w:val="22"/>
          <w:szCs w:val="22"/>
        </w:rPr>
        <w:t xml:space="preserve">If a UE supports multiple use cases simultaneously with different subcarrier spacings – for example, </w:t>
      </w:r>
      <w:r w:rsidR="00333715">
        <w:rPr>
          <w:sz w:val="22"/>
          <w:szCs w:val="22"/>
        </w:rPr>
        <w:t>e</w:t>
      </w:r>
      <w:r>
        <w:rPr>
          <w:sz w:val="22"/>
          <w:szCs w:val="22"/>
        </w:rPr>
        <w:t>V2</w:t>
      </w:r>
      <w:r w:rsidR="00333715">
        <w:rPr>
          <w:sz w:val="22"/>
          <w:szCs w:val="22"/>
        </w:rPr>
        <w:t>X</w:t>
      </w:r>
      <w:r>
        <w:rPr>
          <w:sz w:val="22"/>
          <w:szCs w:val="22"/>
        </w:rPr>
        <w:t xml:space="preserve"> (</w:t>
      </w:r>
      <w:r w:rsidR="00333715">
        <w:rPr>
          <w:sz w:val="22"/>
          <w:szCs w:val="22"/>
        </w:rPr>
        <w:t xml:space="preserve">i.e. </w:t>
      </w:r>
      <w:r>
        <w:rPr>
          <w:sz w:val="22"/>
          <w:szCs w:val="22"/>
        </w:rPr>
        <w:t>URLL</w:t>
      </w:r>
      <w:r w:rsidR="00333715">
        <w:rPr>
          <w:sz w:val="22"/>
          <w:szCs w:val="22"/>
        </w:rPr>
        <w:t>C</w:t>
      </w:r>
      <w:r>
        <w:rPr>
          <w:sz w:val="22"/>
          <w:szCs w:val="22"/>
        </w:rPr>
        <w:t>) and a multimedia application (</w:t>
      </w:r>
      <w:r w:rsidR="00333715">
        <w:rPr>
          <w:sz w:val="22"/>
          <w:szCs w:val="22"/>
        </w:rPr>
        <w:t xml:space="preserve">i.e. </w:t>
      </w:r>
      <w:r>
        <w:rPr>
          <w:sz w:val="22"/>
          <w:szCs w:val="22"/>
        </w:rPr>
        <w:t>eMBB)</w:t>
      </w:r>
      <w:r w:rsidR="009109E0">
        <w:rPr>
          <w:sz w:val="22"/>
          <w:szCs w:val="22"/>
        </w:rPr>
        <w:t>,</w:t>
      </w:r>
      <w:r>
        <w:rPr>
          <w:sz w:val="22"/>
          <w:szCs w:val="22"/>
        </w:rPr>
        <w:t xml:space="preserve"> then the DCI for the two transmissions may be signalled in a single numerology as this would help to avoid blind decoding of two different </w:t>
      </w:r>
      <w:r w:rsidRPr="009109E0">
        <w:rPr>
          <w:sz w:val="22"/>
          <w:szCs w:val="22"/>
        </w:rPr>
        <w:t>regions</w:t>
      </w:r>
      <w:r w:rsidRPr="00961E4D">
        <w:rPr>
          <w:sz w:val="22"/>
          <w:szCs w:val="22"/>
        </w:rPr>
        <w:t>.</w:t>
      </w:r>
      <w:r w:rsidR="00156BDC" w:rsidRPr="00961E4D">
        <w:rPr>
          <w:sz w:val="22"/>
          <w:szCs w:val="22"/>
        </w:rPr>
        <w:t xml:space="preserve"> </w:t>
      </w:r>
      <w:r w:rsidR="00156BDC" w:rsidRPr="00961E4D">
        <w:rPr>
          <w:sz w:val="22"/>
          <w:szCs w:val="22"/>
        </w:rPr>
        <w:fldChar w:fldCharType="begin"/>
      </w:r>
      <w:r w:rsidR="00156BDC" w:rsidRPr="00961E4D">
        <w:rPr>
          <w:sz w:val="22"/>
          <w:szCs w:val="22"/>
        </w:rPr>
        <w:instrText xml:space="preserve"> REF _Ref463005784 \h </w:instrText>
      </w:r>
      <w:r w:rsidR="009109E0" w:rsidRPr="00961E4D">
        <w:rPr>
          <w:sz w:val="22"/>
          <w:szCs w:val="22"/>
        </w:rPr>
        <w:instrText xml:space="preserve"> \* MERGEFORMAT </w:instrText>
      </w:r>
      <w:r w:rsidR="00156BDC" w:rsidRPr="00961E4D">
        <w:rPr>
          <w:sz w:val="22"/>
          <w:szCs w:val="22"/>
        </w:rPr>
      </w:r>
      <w:r w:rsidR="00156BDC" w:rsidRPr="00961E4D">
        <w:rPr>
          <w:sz w:val="22"/>
          <w:szCs w:val="22"/>
        </w:rPr>
        <w:fldChar w:fldCharType="separate"/>
      </w:r>
      <w:r w:rsidR="00156BDC" w:rsidRPr="00961E4D">
        <w:rPr>
          <w:sz w:val="22"/>
          <w:szCs w:val="22"/>
        </w:rPr>
        <w:t xml:space="preserve">Figure </w:t>
      </w:r>
      <w:r w:rsidR="00156BDC" w:rsidRPr="00961E4D">
        <w:rPr>
          <w:noProof/>
          <w:sz w:val="22"/>
          <w:szCs w:val="22"/>
        </w:rPr>
        <w:t>4</w:t>
      </w:r>
      <w:r w:rsidR="00156BDC" w:rsidRPr="00961E4D">
        <w:rPr>
          <w:sz w:val="22"/>
          <w:szCs w:val="22"/>
        </w:rPr>
        <w:fldChar w:fldCharType="end"/>
      </w:r>
      <w:r w:rsidR="00156BDC" w:rsidRPr="00961E4D">
        <w:rPr>
          <w:sz w:val="22"/>
          <w:szCs w:val="22"/>
        </w:rPr>
        <w:t xml:space="preserve"> shows</w:t>
      </w:r>
      <w:r w:rsidR="00156BDC">
        <w:rPr>
          <w:sz w:val="22"/>
          <w:szCs w:val="22"/>
        </w:rPr>
        <w:t xml:space="preserve"> an example were the control region occurring in the region of URLLC signalling makes a grant for both eV2</w:t>
      </w:r>
      <w:r w:rsidR="009109E0">
        <w:rPr>
          <w:sz w:val="22"/>
          <w:szCs w:val="22"/>
        </w:rPr>
        <w:t>X</w:t>
      </w:r>
      <w:r w:rsidR="00156BDC">
        <w:rPr>
          <w:sz w:val="22"/>
          <w:szCs w:val="22"/>
        </w:rPr>
        <w:t xml:space="preserve"> and multimedia within a slot/subframe, both to UE</w:t>
      </w:r>
      <w:r w:rsidR="00156BDC" w:rsidRPr="00156BDC">
        <w:rPr>
          <w:sz w:val="22"/>
          <w:szCs w:val="22"/>
          <w:vertAlign w:val="subscript"/>
        </w:rPr>
        <w:t>1</w:t>
      </w:r>
      <w:r w:rsidR="00156BDC">
        <w:rPr>
          <w:sz w:val="22"/>
          <w:szCs w:val="22"/>
        </w:rPr>
        <w:t>.</w:t>
      </w:r>
    </w:p>
    <w:p w14:paraId="19C79F2F" w14:textId="345B0951" w:rsidR="004F212D" w:rsidRDefault="009109E0" w:rsidP="004F212D">
      <w:pPr>
        <w:pStyle w:val="Caption"/>
        <w:jc w:val="center"/>
      </w:pPr>
      <w:r>
        <w:object w:dxaOrig="12800" w:dyaOrig="7261" w14:anchorId="4EF6EA8D">
          <v:shape id="_x0000_i1028" type="#_x0000_t75" style="width:435.35pt;height:246.7pt" o:ole="">
            <v:imagedata r:id="rId15" o:title=""/>
          </v:shape>
          <o:OLEObject Type="Embed" ProgID="Visio.Drawing.15" ShapeID="_x0000_i1028" DrawAspect="Content" ObjectID="_1536787166" r:id="rId16"/>
        </w:object>
      </w:r>
    </w:p>
    <w:p w14:paraId="094AC69E" w14:textId="181F1B7A" w:rsidR="004F212D" w:rsidRPr="009109E0" w:rsidRDefault="004F212D" w:rsidP="004F212D">
      <w:pPr>
        <w:pStyle w:val="Caption"/>
        <w:jc w:val="center"/>
        <w:rPr>
          <w:b/>
          <w:i w:val="0"/>
          <w:sz w:val="22"/>
          <w:szCs w:val="22"/>
        </w:rPr>
      </w:pPr>
      <w:r w:rsidRPr="009109E0">
        <w:rPr>
          <w:b/>
          <w:i w:val="0"/>
          <w:color w:val="auto"/>
          <w:sz w:val="22"/>
          <w:szCs w:val="22"/>
        </w:rPr>
        <w:t xml:space="preserve"> </w:t>
      </w:r>
      <w:bookmarkStart w:id="4" w:name="_Ref463005784"/>
      <w:r w:rsidRPr="009109E0">
        <w:rPr>
          <w:b/>
          <w:i w:val="0"/>
          <w:color w:val="auto"/>
          <w:sz w:val="22"/>
          <w:szCs w:val="22"/>
        </w:rPr>
        <w:t xml:space="preserve">Figure </w:t>
      </w:r>
      <w:r w:rsidRPr="009109E0">
        <w:rPr>
          <w:b/>
          <w:i w:val="0"/>
          <w:color w:val="auto"/>
          <w:sz w:val="22"/>
          <w:szCs w:val="22"/>
        </w:rPr>
        <w:fldChar w:fldCharType="begin"/>
      </w:r>
      <w:r w:rsidRPr="009109E0">
        <w:rPr>
          <w:b/>
          <w:i w:val="0"/>
          <w:color w:val="auto"/>
          <w:sz w:val="22"/>
          <w:szCs w:val="22"/>
        </w:rPr>
        <w:instrText xml:space="preserve"> SEQ Figure \* ARABIC </w:instrText>
      </w:r>
      <w:r w:rsidRPr="009109E0">
        <w:rPr>
          <w:b/>
          <w:i w:val="0"/>
          <w:color w:val="auto"/>
          <w:sz w:val="22"/>
          <w:szCs w:val="22"/>
        </w:rPr>
        <w:fldChar w:fldCharType="separate"/>
      </w:r>
      <w:r w:rsidR="00156BDC" w:rsidRPr="009109E0">
        <w:rPr>
          <w:b/>
          <w:i w:val="0"/>
          <w:noProof/>
          <w:color w:val="auto"/>
          <w:sz w:val="22"/>
          <w:szCs w:val="22"/>
        </w:rPr>
        <w:t>4</w:t>
      </w:r>
      <w:r w:rsidRPr="009109E0">
        <w:rPr>
          <w:b/>
          <w:i w:val="0"/>
          <w:color w:val="auto"/>
          <w:sz w:val="22"/>
          <w:szCs w:val="22"/>
        </w:rPr>
        <w:fldChar w:fldCharType="end"/>
      </w:r>
      <w:bookmarkEnd w:id="4"/>
      <w:r w:rsidRPr="009109E0">
        <w:rPr>
          <w:b/>
          <w:i w:val="0"/>
          <w:color w:val="auto"/>
          <w:sz w:val="22"/>
          <w:szCs w:val="22"/>
        </w:rPr>
        <w:t>: DCI allocati</w:t>
      </w:r>
      <w:r w:rsidR="009F2D39" w:rsidRPr="009109E0">
        <w:rPr>
          <w:b/>
          <w:i w:val="0"/>
          <w:color w:val="auto"/>
          <w:sz w:val="22"/>
          <w:szCs w:val="22"/>
        </w:rPr>
        <w:t>o</w:t>
      </w:r>
      <w:r w:rsidRPr="009109E0">
        <w:rPr>
          <w:b/>
          <w:i w:val="0"/>
          <w:color w:val="auto"/>
          <w:sz w:val="22"/>
          <w:szCs w:val="22"/>
        </w:rPr>
        <w:t>n in multiple symbols of a slot/subframe for URLLC grants.</w:t>
      </w:r>
    </w:p>
    <w:p w14:paraId="5862D998" w14:textId="49C3748A" w:rsidR="00ED1F8C" w:rsidRPr="00961E4D" w:rsidRDefault="00ED1F8C" w:rsidP="004F212D">
      <w:pPr>
        <w:pStyle w:val="ListParagraph"/>
        <w:ind w:left="1080"/>
        <w:jc w:val="center"/>
        <w:rPr>
          <w:color w:val="000000" w:themeColor="text1"/>
          <w:sz w:val="22"/>
          <w:szCs w:val="22"/>
        </w:rPr>
      </w:pPr>
    </w:p>
    <w:p w14:paraId="2A504CA1" w14:textId="17AB2600" w:rsidR="00EB28C3" w:rsidRPr="00961E4D" w:rsidRDefault="00961E4D" w:rsidP="00300313">
      <w:pPr>
        <w:spacing w:after="120"/>
        <w:rPr>
          <w:color w:val="000000" w:themeColor="text1"/>
          <w:sz w:val="22"/>
          <w:szCs w:val="22"/>
        </w:rPr>
      </w:pPr>
      <w:r>
        <w:rPr>
          <w:b/>
          <w:i/>
          <w:color w:val="000000" w:themeColor="text1"/>
          <w:sz w:val="22"/>
        </w:rPr>
        <w:t>Proposal</w:t>
      </w:r>
      <w:r w:rsidR="00F42921" w:rsidRPr="00961E4D">
        <w:rPr>
          <w:b/>
          <w:i/>
          <w:color w:val="000000" w:themeColor="text1"/>
          <w:sz w:val="22"/>
        </w:rPr>
        <w:t xml:space="preserve"> 1</w:t>
      </w:r>
      <w:r w:rsidR="00F42921" w:rsidRPr="00961E4D">
        <w:rPr>
          <w:b/>
          <w:color w:val="000000" w:themeColor="text1"/>
          <w:sz w:val="22"/>
        </w:rPr>
        <w:t xml:space="preserve">: NR </w:t>
      </w:r>
      <w:r w:rsidR="002E2BA0" w:rsidRPr="00961E4D">
        <w:rPr>
          <w:b/>
          <w:color w:val="000000" w:themeColor="text1"/>
          <w:sz w:val="22"/>
        </w:rPr>
        <w:t>needs to</w:t>
      </w:r>
      <w:r w:rsidR="00F42921" w:rsidRPr="00961E4D">
        <w:rPr>
          <w:b/>
          <w:color w:val="000000" w:themeColor="text1"/>
          <w:sz w:val="22"/>
        </w:rPr>
        <w:t xml:space="preserve"> </w:t>
      </w:r>
      <w:r w:rsidR="002E2BA0" w:rsidRPr="00961E4D">
        <w:rPr>
          <w:b/>
          <w:color w:val="000000" w:themeColor="text1"/>
          <w:sz w:val="22"/>
        </w:rPr>
        <w:t xml:space="preserve">consider </w:t>
      </w:r>
      <w:r w:rsidR="00F42921" w:rsidRPr="00961E4D">
        <w:rPr>
          <w:b/>
          <w:color w:val="000000" w:themeColor="text1"/>
          <w:sz w:val="22"/>
        </w:rPr>
        <w:t xml:space="preserve">techniques to multiplex DCIs for different numerologies. </w:t>
      </w:r>
    </w:p>
    <w:p w14:paraId="75C2005F" w14:textId="44F5A1FB" w:rsidR="00AB19DD" w:rsidRPr="00961E4D" w:rsidRDefault="00AB19DD" w:rsidP="00961E4D">
      <w:pPr>
        <w:pStyle w:val="Heading2"/>
        <w:numPr>
          <w:ilvl w:val="1"/>
          <w:numId w:val="4"/>
        </w:numPr>
        <w:rPr>
          <w:b/>
          <w:color w:val="000000" w:themeColor="text1"/>
          <w:sz w:val="22"/>
        </w:rPr>
      </w:pPr>
      <w:r w:rsidRPr="00961E4D">
        <w:rPr>
          <w:rFonts w:ascii="Times New Roman" w:eastAsia="PMingLiU" w:hAnsi="Times New Roman" w:cs="Times New Roman"/>
          <w:b/>
          <w:color w:val="000000" w:themeColor="text1"/>
          <w:sz w:val="22"/>
          <w:szCs w:val="20"/>
        </w:rPr>
        <w:t>Common Control Signa</w:t>
      </w:r>
      <w:r w:rsidR="009109E0" w:rsidRPr="00961E4D">
        <w:rPr>
          <w:rFonts w:ascii="Times New Roman" w:eastAsia="PMingLiU" w:hAnsi="Times New Roman" w:cs="Times New Roman"/>
          <w:b/>
          <w:color w:val="000000" w:themeColor="text1"/>
          <w:sz w:val="22"/>
          <w:szCs w:val="20"/>
        </w:rPr>
        <w:t>l</w:t>
      </w:r>
      <w:r w:rsidRPr="00961E4D">
        <w:rPr>
          <w:rFonts w:ascii="Times New Roman" w:eastAsia="PMingLiU" w:hAnsi="Times New Roman" w:cs="Times New Roman"/>
          <w:b/>
          <w:color w:val="000000" w:themeColor="text1"/>
          <w:sz w:val="22"/>
          <w:szCs w:val="20"/>
        </w:rPr>
        <w:t>ling</w:t>
      </w:r>
    </w:p>
    <w:p w14:paraId="3D36CFB7" w14:textId="14A0B4BF" w:rsidR="00AB19DD" w:rsidRDefault="00751E5C" w:rsidP="00AB19DD">
      <w:pPr>
        <w:rPr>
          <w:sz w:val="22"/>
          <w:szCs w:val="22"/>
        </w:rPr>
      </w:pPr>
      <w:r w:rsidRPr="00961E4D">
        <w:rPr>
          <w:color w:val="000000" w:themeColor="text1"/>
          <w:sz w:val="22"/>
          <w:szCs w:val="22"/>
        </w:rPr>
        <w:t xml:space="preserve">LTE performs common control signalling for signals such as paging, RACH response, system information through DCI signalled in the common search space. In NR, some common control signalling is likely to </w:t>
      </w:r>
      <w:r>
        <w:rPr>
          <w:sz w:val="22"/>
          <w:szCs w:val="22"/>
        </w:rPr>
        <w:t xml:space="preserve">be required. For example, paging request for idle UE may to occur through common control signalling as the UE does not have RRC connection or C-RNTI to receive </w:t>
      </w:r>
      <w:r w:rsidR="00F42921">
        <w:rPr>
          <w:sz w:val="22"/>
          <w:szCs w:val="22"/>
        </w:rPr>
        <w:t xml:space="preserve">it on UE-specific search space. </w:t>
      </w:r>
    </w:p>
    <w:p w14:paraId="057D5A0D" w14:textId="10A0C062" w:rsidR="00F42921" w:rsidRDefault="00F42921" w:rsidP="00AB19DD">
      <w:pPr>
        <w:rPr>
          <w:sz w:val="22"/>
          <w:szCs w:val="22"/>
        </w:rPr>
      </w:pPr>
      <w:r>
        <w:rPr>
          <w:sz w:val="22"/>
          <w:szCs w:val="22"/>
        </w:rPr>
        <w:t>If URLLC and eMBB have DCIs multiplexed within a common set of resources, NR must address whether the DCIs for common search space can be commonly signalled to both use cases after considering the trade</w:t>
      </w:r>
      <w:r w:rsidR="009109E0">
        <w:rPr>
          <w:sz w:val="22"/>
          <w:szCs w:val="22"/>
        </w:rPr>
        <w:t>-</w:t>
      </w:r>
      <w:r>
        <w:rPr>
          <w:sz w:val="22"/>
          <w:szCs w:val="22"/>
        </w:rPr>
        <w:t>offs between latency and resources overhead to (signal separately for the use cases).</w:t>
      </w:r>
    </w:p>
    <w:p w14:paraId="7B61191E" w14:textId="1AC8A1FD" w:rsidR="003A44BC" w:rsidRPr="004F212D" w:rsidRDefault="00483A82" w:rsidP="003A44BC">
      <w:pPr>
        <w:spacing w:after="120"/>
        <w:rPr>
          <w:b/>
          <w:sz w:val="22"/>
        </w:rPr>
      </w:pPr>
      <w:r w:rsidRPr="00685621">
        <w:rPr>
          <w:sz w:val="22"/>
        </w:rPr>
        <w:t xml:space="preserve"> </w:t>
      </w:r>
      <w:r w:rsidR="00961E4D">
        <w:rPr>
          <w:b/>
          <w:i/>
          <w:sz w:val="22"/>
        </w:rPr>
        <w:t>Proposal</w:t>
      </w:r>
      <w:r w:rsidR="0091396B" w:rsidRPr="004F212D">
        <w:rPr>
          <w:b/>
          <w:i/>
          <w:sz w:val="22"/>
        </w:rPr>
        <w:t xml:space="preserve"> 2</w:t>
      </w:r>
      <w:r w:rsidR="0091396B" w:rsidRPr="004F212D">
        <w:rPr>
          <w:b/>
          <w:sz w:val="22"/>
        </w:rPr>
        <w:t xml:space="preserve">: </w:t>
      </w:r>
      <w:r w:rsidR="00A62A48" w:rsidRPr="004F212D">
        <w:rPr>
          <w:b/>
          <w:sz w:val="22"/>
        </w:rPr>
        <w:t xml:space="preserve">NR </w:t>
      </w:r>
      <w:r w:rsidR="002E2BA0" w:rsidRPr="004F212D">
        <w:rPr>
          <w:b/>
          <w:sz w:val="22"/>
        </w:rPr>
        <w:t>needs to</w:t>
      </w:r>
      <w:r w:rsidR="00A62A48" w:rsidRPr="004F212D">
        <w:rPr>
          <w:b/>
          <w:sz w:val="22"/>
        </w:rPr>
        <w:t xml:space="preserve"> discuss common control signalling in light of supporting multiple numerologies.</w:t>
      </w:r>
    </w:p>
    <w:p w14:paraId="3895C7EA" w14:textId="77777777" w:rsidR="009B6CB5" w:rsidRPr="009B6CB5" w:rsidRDefault="009B6CB5" w:rsidP="00685621">
      <w:pPr>
        <w:pStyle w:val="Heading1"/>
        <w:numPr>
          <w:ilvl w:val="0"/>
          <w:numId w:val="4"/>
        </w:numPr>
        <w:spacing w:before="240" w:beforeAutospacing="0" w:after="120" w:afterAutospacing="0"/>
        <w:rPr>
          <w:sz w:val="24"/>
        </w:rPr>
      </w:pPr>
      <w:r>
        <w:rPr>
          <w:sz w:val="24"/>
        </w:rPr>
        <w:t>Conclusion</w:t>
      </w:r>
    </w:p>
    <w:p w14:paraId="652322F7" w14:textId="6F920837" w:rsidR="009B6CB5" w:rsidRPr="00685621" w:rsidRDefault="009B6CB5" w:rsidP="00685621">
      <w:pPr>
        <w:pStyle w:val="Heading1"/>
        <w:spacing w:before="0" w:beforeAutospacing="0" w:after="120" w:afterAutospacing="0"/>
        <w:rPr>
          <w:rFonts w:eastAsia="PMingLiU"/>
          <w:b w:val="0"/>
          <w:bCs w:val="0"/>
          <w:kern w:val="0"/>
          <w:sz w:val="22"/>
          <w:szCs w:val="20"/>
        </w:rPr>
      </w:pPr>
      <w:r w:rsidRPr="00685621">
        <w:rPr>
          <w:rFonts w:eastAsia="PMingLiU" w:hint="eastAsia"/>
          <w:b w:val="0"/>
          <w:bCs w:val="0"/>
          <w:kern w:val="0"/>
          <w:sz w:val="22"/>
          <w:szCs w:val="20"/>
        </w:rPr>
        <w:t>In this contribution</w:t>
      </w:r>
      <w:r w:rsidRPr="00685621">
        <w:rPr>
          <w:rFonts w:eastAsia="PMingLiU"/>
          <w:b w:val="0"/>
          <w:bCs w:val="0"/>
          <w:kern w:val="0"/>
          <w:sz w:val="22"/>
          <w:szCs w:val="20"/>
        </w:rPr>
        <w:t xml:space="preserve"> </w:t>
      </w:r>
      <w:r w:rsidR="0051034C" w:rsidRPr="00685621">
        <w:rPr>
          <w:rFonts w:eastAsia="PMingLiU"/>
          <w:b w:val="0"/>
          <w:bCs w:val="0"/>
          <w:kern w:val="0"/>
          <w:sz w:val="22"/>
          <w:szCs w:val="20"/>
        </w:rPr>
        <w:t xml:space="preserve">we discussed </w:t>
      </w:r>
      <w:r w:rsidR="004F212D">
        <w:rPr>
          <w:rFonts w:eastAsia="PMingLiU"/>
          <w:b w:val="0"/>
          <w:bCs w:val="0"/>
          <w:kern w:val="0"/>
          <w:sz w:val="22"/>
          <w:szCs w:val="20"/>
        </w:rPr>
        <w:t xml:space="preserve">various possible configurations for DCI in NR and </w:t>
      </w:r>
      <w:r w:rsidR="00961E4D">
        <w:rPr>
          <w:rFonts w:eastAsia="PMingLiU"/>
          <w:b w:val="0"/>
          <w:bCs w:val="0"/>
          <w:kern w:val="0"/>
          <w:sz w:val="22"/>
          <w:szCs w:val="20"/>
        </w:rPr>
        <w:t>propose</w:t>
      </w:r>
      <w:r w:rsidR="004F212D">
        <w:rPr>
          <w:rFonts w:eastAsia="PMingLiU"/>
          <w:b w:val="0"/>
          <w:bCs w:val="0"/>
          <w:kern w:val="0"/>
          <w:sz w:val="22"/>
          <w:szCs w:val="20"/>
        </w:rPr>
        <w:t xml:space="preserve"> the following</w:t>
      </w:r>
      <w:r w:rsidR="0051034C" w:rsidRPr="00685621">
        <w:rPr>
          <w:rFonts w:eastAsia="PMingLiU"/>
          <w:b w:val="0"/>
          <w:bCs w:val="0"/>
          <w:kern w:val="0"/>
          <w:sz w:val="22"/>
          <w:szCs w:val="20"/>
        </w:rPr>
        <w:t>:</w:t>
      </w:r>
    </w:p>
    <w:p w14:paraId="175B9723" w14:textId="7C260007" w:rsidR="004F212D" w:rsidRPr="00961E4D" w:rsidRDefault="00961E4D" w:rsidP="004F212D">
      <w:pPr>
        <w:spacing w:after="120"/>
        <w:rPr>
          <w:sz w:val="22"/>
        </w:rPr>
      </w:pPr>
      <w:r>
        <w:rPr>
          <w:b/>
          <w:i/>
          <w:color w:val="000000" w:themeColor="text1"/>
          <w:sz w:val="22"/>
        </w:rPr>
        <w:t>Proposal</w:t>
      </w:r>
      <w:r w:rsidR="004F212D" w:rsidRPr="004F212D">
        <w:rPr>
          <w:b/>
          <w:i/>
          <w:sz w:val="22"/>
        </w:rPr>
        <w:t xml:space="preserve"> 1</w:t>
      </w:r>
      <w:r w:rsidR="004F212D" w:rsidRPr="004F212D">
        <w:rPr>
          <w:b/>
          <w:sz w:val="22"/>
        </w:rPr>
        <w:t xml:space="preserve">: </w:t>
      </w:r>
      <w:r w:rsidR="004F212D" w:rsidRPr="00961E4D">
        <w:rPr>
          <w:sz w:val="22"/>
        </w:rPr>
        <w:t xml:space="preserve">NR needs to consider techniques to multiplex DCIs for different numerologies. </w:t>
      </w:r>
    </w:p>
    <w:p w14:paraId="7C25FAE1" w14:textId="0C29D56A" w:rsidR="00300313" w:rsidRPr="00961E4D" w:rsidRDefault="00961E4D" w:rsidP="00300313">
      <w:pPr>
        <w:pStyle w:val="Heading1"/>
        <w:spacing w:before="240" w:beforeAutospacing="0" w:after="120" w:afterAutospacing="0"/>
        <w:rPr>
          <w:b w:val="0"/>
          <w:sz w:val="24"/>
        </w:rPr>
      </w:pPr>
      <w:r w:rsidRPr="00961E4D">
        <w:rPr>
          <w:i/>
          <w:color w:val="000000" w:themeColor="text1"/>
          <w:sz w:val="22"/>
        </w:rPr>
        <w:t>Proposal</w:t>
      </w:r>
      <w:r w:rsidR="004F212D" w:rsidRPr="00961E4D">
        <w:rPr>
          <w:i/>
          <w:sz w:val="22"/>
        </w:rPr>
        <w:t xml:space="preserve"> </w:t>
      </w:r>
      <w:r w:rsidR="004F212D" w:rsidRPr="004F212D">
        <w:rPr>
          <w:i/>
          <w:sz w:val="22"/>
        </w:rPr>
        <w:t>2</w:t>
      </w:r>
      <w:r w:rsidR="004F212D" w:rsidRPr="004F212D">
        <w:rPr>
          <w:sz w:val="22"/>
        </w:rPr>
        <w:t xml:space="preserve">: </w:t>
      </w:r>
      <w:r w:rsidR="004F212D" w:rsidRPr="00961E4D">
        <w:rPr>
          <w:b w:val="0"/>
          <w:sz w:val="22"/>
        </w:rPr>
        <w:t>NR needs to discuss common control signalling in light of supporting multiple numerologies.</w:t>
      </w:r>
    </w:p>
    <w:p w14:paraId="4DF19D25" w14:textId="5816739C" w:rsidR="00004C95" w:rsidRPr="00004C95" w:rsidRDefault="009B6CB5" w:rsidP="00004C95">
      <w:pPr>
        <w:pStyle w:val="Heading1"/>
        <w:numPr>
          <w:ilvl w:val="0"/>
          <w:numId w:val="4"/>
        </w:numPr>
        <w:spacing w:before="240" w:beforeAutospacing="0" w:after="120" w:afterAutospacing="0"/>
        <w:rPr>
          <w:sz w:val="24"/>
        </w:rPr>
      </w:pPr>
      <w:r w:rsidRPr="000C4334">
        <w:rPr>
          <w:sz w:val="24"/>
        </w:rPr>
        <w:t>Reference</w:t>
      </w:r>
      <w:bookmarkStart w:id="5" w:name="_Ref444609585"/>
    </w:p>
    <w:bookmarkEnd w:id="5"/>
    <w:p w14:paraId="0C66B05F" w14:textId="4F67976B" w:rsidR="00FD1FB9" w:rsidRPr="00004C95" w:rsidRDefault="00FD1FB9" w:rsidP="00C80449">
      <w:pPr>
        <w:pStyle w:val="ListParagraph"/>
        <w:numPr>
          <w:ilvl w:val="0"/>
          <w:numId w:val="5"/>
        </w:numPr>
        <w:spacing w:after="120"/>
        <w:rPr>
          <w:rFonts w:eastAsia="Malgun Gothic"/>
          <w:lang w:eastAsia="ko-KR"/>
        </w:rPr>
      </w:pPr>
      <w:r w:rsidRPr="00004C95">
        <w:rPr>
          <w:rFonts w:eastAsia="Malgun Gothic"/>
          <w:szCs w:val="22"/>
          <w:lang w:eastAsia="ko-KR"/>
        </w:rPr>
        <w:t>RP-1</w:t>
      </w:r>
      <w:r w:rsidRPr="00004C95">
        <w:rPr>
          <w:rFonts w:eastAsia="Malgun Gothic" w:hint="eastAsia"/>
          <w:szCs w:val="22"/>
          <w:lang w:eastAsia="ko-KR"/>
        </w:rPr>
        <w:t xml:space="preserve">60576, </w:t>
      </w:r>
      <w:r w:rsidRPr="00004C95">
        <w:rPr>
          <w:rFonts w:eastAsia="Malgun Gothic"/>
          <w:szCs w:val="22"/>
          <w:lang w:eastAsia="ko-KR"/>
        </w:rPr>
        <w:t xml:space="preserve">“New </w:t>
      </w:r>
      <w:r w:rsidRPr="00004C95">
        <w:rPr>
          <w:rFonts w:eastAsia="Malgun Gothic" w:hint="eastAsia"/>
          <w:szCs w:val="22"/>
          <w:lang w:eastAsia="ko-KR"/>
        </w:rPr>
        <w:t>SID Proposal</w:t>
      </w:r>
      <w:r w:rsidRPr="00004C95">
        <w:rPr>
          <w:rFonts w:eastAsia="Malgun Gothic"/>
          <w:szCs w:val="22"/>
          <w:lang w:eastAsia="ko-KR"/>
        </w:rPr>
        <w:t>: Study on New Radio Access Technology</w:t>
      </w:r>
      <w:r w:rsidRPr="00004C95">
        <w:rPr>
          <w:rFonts w:eastAsia="Malgun Gothic" w:hint="eastAsia"/>
          <w:szCs w:val="22"/>
          <w:lang w:eastAsia="ko-KR"/>
        </w:rPr>
        <w:t>,</w:t>
      </w:r>
      <w:r w:rsidRPr="00004C95">
        <w:rPr>
          <w:rFonts w:eastAsia="Malgun Gothic"/>
          <w:szCs w:val="22"/>
          <w:lang w:eastAsia="ko-KR"/>
        </w:rPr>
        <w:t>”</w:t>
      </w:r>
      <w:r w:rsidRPr="00004C95">
        <w:rPr>
          <w:rFonts w:eastAsia="Malgun Gothic" w:hint="eastAsia"/>
          <w:szCs w:val="22"/>
          <w:lang w:eastAsia="ko-KR"/>
        </w:rPr>
        <w:t xml:space="preserve"> </w:t>
      </w:r>
      <w:r w:rsidRPr="00004C95">
        <w:rPr>
          <w:rFonts w:eastAsia="Malgun Gothic"/>
          <w:szCs w:val="22"/>
          <w:lang w:eastAsia="ko-KR"/>
        </w:rPr>
        <w:t>NTT D</w:t>
      </w:r>
      <w:r w:rsidRPr="00004C95">
        <w:rPr>
          <w:rFonts w:eastAsia="Malgun Gothic" w:hint="eastAsia"/>
          <w:szCs w:val="22"/>
          <w:lang w:eastAsia="ko-KR"/>
        </w:rPr>
        <w:t>O</w:t>
      </w:r>
      <w:r w:rsidRPr="00004C95">
        <w:rPr>
          <w:rFonts w:eastAsia="Malgun Gothic"/>
          <w:szCs w:val="22"/>
          <w:lang w:eastAsia="ko-KR"/>
        </w:rPr>
        <w:t>C</w:t>
      </w:r>
      <w:r w:rsidRPr="00004C95">
        <w:rPr>
          <w:rFonts w:eastAsia="Malgun Gothic" w:hint="eastAsia"/>
          <w:szCs w:val="22"/>
          <w:lang w:eastAsia="ko-KR"/>
        </w:rPr>
        <w:t>O</w:t>
      </w:r>
      <w:r w:rsidRPr="00004C95">
        <w:rPr>
          <w:rFonts w:eastAsia="Malgun Gothic"/>
          <w:szCs w:val="22"/>
          <w:lang w:eastAsia="ko-KR"/>
        </w:rPr>
        <w:t>M</w:t>
      </w:r>
      <w:r w:rsidRPr="00004C95">
        <w:rPr>
          <w:rFonts w:eastAsia="Malgun Gothic" w:hint="eastAsia"/>
          <w:szCs w:val="22"/>
          <w:lang w:eastAsia="ko-KR"/>
        </w:rPr>
        <w:t>O</w:t>
      </w:r>
      <w:r w:rsidR="00162C2B">
        <w:rPr>
          <w:rFonts w:eastAsia="Malgun Gothic"/>
          <w:szCs w:val="22"/>
          <w:lang w:eastAsia="ko-KR"/>
        </w:rPr>
        <w:t>, Mar 2016.</w:t>
      </w:r>
    </w:p>
    <w:p w14:paraId="675A9617" w14:textId="55F91355" w:rsidR="00004C95" w:rsidRPr="00004C95" w:rsidRDefault="00162C2B" w:rsidP="00C80449">
      <w:pPr>
        <w:pStyle w:val="ListParagraph"/>
        <w:numPr>
          <w:ilvl w:val="0"/>
          <w:numId w:val="5"/>
        </w:numPr>
        <w:spacing w:after="120"/>
        <w:rPr>
          <w:rFonts w:eastAsia="Malgun Gothic"/>
          <w:lang w:eastAsia="ko-KR"/>
        </w:rPr>
      </w:pPr>
      <w:r>
        <w:rPr>
          <w:rFonts w:eastAsia="Malgun Gothic"/>
          <w:lang w:eastAsia="ko-KR"/>
        </w:rPr>
        <w:t>R1-168294, “WF on Frame Structure”, RAN1#86, Aug 2016.</w:t>
      </w:r>
    </w:p>
    <w:p w14:paraId="429D84D8" w14:textId="77777777" w:rsidR="005B64C3" w:rsidRPr="0051034C" w:rsidRDefault="005B64C3" w:rsidP="0051034C">
      <w:pPr>
        <w:spacing w:after="160" w:line="259" w:lineRule="auto"/>
        <w:rPr>
          <w:rFonts w:eastAsia="MS Mincho"/>
          <w:lang w:val="en-US" w:eastAsia="ja-JP"/>
        </w:rPr>
      </w:pPr>
    </w:p>
    <w:sectPr w:rsidR="005B64C3" w:rsidRPr="005103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6C2"/>
    <w:multiLevelType w:val="hybridMultilevel"/>
    <w:tmpl w:val="C3F40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5" w15:restartNumberingAfterBreak="0">
    <w:nsid w:val="41186BA9"/>
    <w:multiLevelType w:val="multilevel"/>
    <w:tmpl w:val="6096ECB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7E24F08"/>
    <w:multiLevelType w:val="multilevel"/>
    <w:tmpl w:val="6096ECB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4097C72"/>
    <w:multiLevelType w:val="hybridMultilevel"/>
    <w:tmpl w:val="9D707E10"/>
    <w:lvl w:ilvl="0" w:tplc="0409001B">
      <w:start w:val="1"/>
      <w:numFmt w:val="bullet"/>
      <w:lvlText w:val=""/>
      <w:lvlJc w:val="left"/>
      <w:pPr>
        <w:ind w:left="580" w:hanging="36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6B840234"/>
    <w:multiLevelType w:val="multilevel"/>
    <w:tmpl w:val="6096ECB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A9E4F0D"/>
    <w:multiLevelType w:val="hybridMultilevel"/>
    <w:tmpl w:val="6ECE351C"/>
    <w:lvl w:ilvl="0" w:tplc="354855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D74B60"/>
    <w:multiLevelType w:val="hybridMultilevel"/>
    <w:tmpl w:val="5C76839A"/>
    <w:lvl w:ilvl="0" w:tplc="C492A13E">
      <w:start w:val="16"/>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DC6562B"/>
    <w:multiLevelType w:val="multilevel"/>
    <w:tmpl w:val="E18086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12"/>
  </w:num>
  <w:num w:numId="2">
    <w:abstractNumId w:val="10"/>
  </w:num>
  <w:num w:numId="3">
    <w:abstractNumId w:val="0"/>
  </w:num>
  <w:num w:numId="4">
    <w:abstractNumId w:val="8"/>
  </w:num>
  <w:num w:numId="5">
    <w:abstractNumId w:val="3"/>
  </w:num>
  <w:num w:numId="6">
    <w:abstractNumId w:val="1"/>
  </w:num>
  <w:num w:numId="7">
    <w:abstractNumId w:val="7"/>
  </w:num>
  <w:num w:numId="8">
    <w:abstractNumId w:val="4"/>
  </w:num>
  <w:num w:numId="9">
    <w:abstractNumId w:val="2"/>
  </w:num>
  <w:num w:numId="10">
    <w:abstractNumId w:val="11"/>
  </w:num>
  <w:num w:numId="11">
    <w:abstractNumId w:val="9"/>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F05"/>
    <w:rsid w:val="00004C95"/>
    <w:rsid w:val="0001616F"/>
    <w:rsid w:val="000729D1"/>
    <w:rsid w:val="00075F59"/>
    <w:rsid w:val="000C4334"/>
    <w:rsid w:val="000D3740"/>
    <w:rsid w:val="000E3EB2"/>
    <w:rsid w:val="0010261C"/>
    <w:rsid w:val="00156BDC"/>
    <w:rsid w:val="00162C2B"/>
    <w:rsid w:val="0016717D"/>
    <w:rsid w:val="00201F80"/>
    <w:rsid w:val="0023447C"/>
    <w:rsid w:val="00243B9E"/>
    <w:rsid w:val="00261824"/>
    <w:rsid w:val="00264C6F"/>
    <w:rsid w:val="00293D0F"/>
    <w:rsid w:val="00296091"/>
    <w:rsid w:val="002B5EE6"/>
    <w:rsid w:val="002E27A8"/>
    <w:rsid w:val="002E2BA0"/>
    <w:rsid w:val="002F0095"/>
    <w:rsid w:val="00300313"/>
    <w:rsid w:val="0031362C"/>
    <w:rsid w:val="0031696E"/>
    <w:rsid w:val="00330CC5"/>
    <w:rsid w:val="00333715"/>
    <w:rsid w:val="003A44BC"/>
    <w:rsid w:val="003B2A1D"/>
    <w:rsid w:val="00483A82"/>
    <w:rsid w:val="00487EB6"/>
    <w:rsid w:val="004B1DAD"/>
    <w:rsid w:val="004C01C6"/>
    <w:rsid w:val="004F212D"/>
    <w:rsid w:val="0051034C"/>
    <w:rsid w:val="00514BE6"/>
    <w:rsid w:val="0055030C"/>
    <w:rsid w:val="00563E0A"/>
    <w:rsid w:val="00581450"/>
    <w:rsid w:val="005B64C3"/>
    <w:rsid w:val="005E769D"/>
    <w:rsid w:val="0065690B"/>
    <w:rsid w:val="00685621"/>
    <w:rsid w:val="006D7D8F"/>
    <w:rsid w:val="00716902"/>
    <w:rsid w:val="00751E5C"/>
    <w:rsid w:val="00780EF4"/>
    <w:rsid w:val="007862C1"/>
    <w:rsid w:val="007A4D6C"/>
    <w:rsid w:val="007B5110"/>
    <w:rsid w:val="00827430"/>
    <w:rsid w:val="008367B7"/>
    <w:rsid w:val="00846A59"/>
    <w:rsid w:val="00861268"/>
    <w:rsid w:val="00910288"/>
    <w:rsid w:val="009109E0"/>
    <w:rsid w:val="0091396B"/>
    <w:rsid w:val="00961E4D"/>
    <w:rsid w:val="0097588D"/>
    <w:rsid w:val="00987D67"/>
    <w:rsid w:val="009B6CB5"/>
    <w:rsid w:val="009F2D39"/>
    <w:rsid w:val="009F67F4"/>
    <w:rsid w:val="00A31AB2"/>
    <w:rsid w:val="00A62A48"/>
    <w:rsid w:val="00AB19DD"/>
    <w:rsid w:val="00AF2F05"/>
    <w:rsid w:val="00AF3EBC"/>
    <w:rsid w:val="00B1128C"/>
    <w:rsid w:val="00B77EC4"/>
    <w:rsid w:val="00B845C2"/>
    <w:rsid w:val="00C516E3"/>
    <w:rsid w:val="00CD30E0"/>
    <w:rsid w:val="00D10925"/>
    <w:rsid w:val="00D139D7"/>
    <w:rsid w:val="00D319A1"/>
    <w:rsid w:val="00E92C8E"/>
    <w:rsid w:val="00EB28C3"/>
    <w:rsid w:val="00EC3D79"/>
    <w:rsid w:val="00ED1F8C"/>
    <w:rsid w:val="00EE34AB"/>
    <w:rsid w:val="00EF12F3"/>
    <w:rsid w:val="00F41CED"/>
    <w:rsid w:val="00F42921"/>
    <w:rsid w:val="00FA46C3"/>
    <w:rsid w:val="00FD1FB9"/>
    <w:rsid w:val="00FF0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88E356B"/>
  <w15:chartTrackingRefBased/>
  <w15:docId w15:val="{AB76F571-2CE6-4DC4-BB6C-52D4056BD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CB5"/>
    <w:pPr>
      <w:spacing w:after="180" w:line="240" w:lineRule="auto"/>
    </w:pPr>
    <w:rPr>
      <w:rFonts w:ascii="Times New Roman" w:eastAsia="PMingLiU" w:hAnsi="Times New Roman" w:cs="Times New Roman"/>
      <w:sz w:val="20"/>
      <w:szCs w:val="20"/>
      <w:lang w:val="en-GB"/>
    </w:rPr>
  </w:style>
  <w:style w:type="paragraph" w:styleId="Heading1">
    <w:name w:val="heading 1"/>
    <w:basedOn w:val="Normal"/>
    <w:link w:val="Heading1Char"/>
    <w:uiPriority w:val="9"/>
    <w:qFormat/>
    <w:rsid w:val="005B64C3"/>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unhideWhenUsed/>
    <w:qFormat/>
    <w:rsid w:val="009109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64C3"/>
    <w:rPr>
      <w:color w:val="0563C1" w:themeColor="hyperlink"/>
      <w:u w:val="single"/>
    </w:rPr>
  </w:style>
  <w:style w:type="character" w:customStyle="1" w:styleId="Heading1Char">
    <w:name w:val="Heading 1 Char"/>
    <w:basedOn w:val="DefaultParagraphFont"/>
    <w:link w:val="Heading1"/>
    <w:uiPriority w:val="9"/>
    <w:rsid w:val="005B64C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B64C3"/>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5B64C3"/>
  </w:style>
  <w:style w:type="character" w:styleId="Emphasis">
    <w:name w:val="Emphasis"/>
    <w:basedOn w:val="DefaultParagraphFont"/>
    <w:uiPriority w:val="20"/>
    <w:qFormat/>
    <w:rsid w:val="005B64C3"/>
    <w:rPr>
      <w:i/>
      <w:iCs/>
    </w:rPr>
  </w:style>
  <w:style w:type="paragraph" w:styleId="Index1">
    <w:name w:val="index 1"/>
    <w:basedOn w:val="Normal"/>
    <w:rsid w:val="009B6CB5"/>
    <w:pPr>
      <w:keepLines/>
      <w:spacing w:after="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9B6CB5"/>
    <w:pPr>
      <w:widowControl w:val="0"/>
      <w:spacing w:afterLines="100" w:after="0" w:line="280" w:lineRule="atLeast"/>
    </w:pPr>
    <w:rPr>
      <w:kern w:val="2"/>
      <w:szCs w:val="24"/>
      <w:lang w:val="en-US" w:eastAsia="zh-TW"/>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6CB5"/>
    <w:rPr>
      <w:rFonts w:ascii="Times New Roman" w:eastAsia="PMingLiU" w:hAnsi="Times New Roman" w:cs="Times New Roman"/>
      <w:kern w:val="2"/>
      <w:sz w:val="20"/>
      <w:szCs w:val="24"/>
      <w:lang w:eastAsia="zh-TW"/>
    </w:rPr>
  </w:style>
  <w:style w:type="paragraph" w:styleId="ListParagraph">
    <w:name w:val="List Paragraph"/>
    <w:basedOn w:val="Normal"/>
    <w:link w:val="ListParagraphChar"/>
    <w:uiPriority w:val="34"/>
    <w:qFormat/>
    <w:rsid w:val="009B6CB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9B6CB5"/>
    <w:rPr>
      <w:rFonts w:ascii="Times New Roman" w:eastAsia="SimSun" w:hAnsi="Times New Roman" w:cs="Times New Roman"/>
      <w:sz w:val="20"/>
      <w:szCs w:val="20"/>
      <w:lang w:val="en-GB" w:eastAsia="ja-JP"/>
    </w:rPr>
  </w:style>
  <w:style w:type="paragraph" w:styleId="Caption">
    <w:name w:val="caption"/>
    <w:basedOn w:val="Normal"/>
    <w:next w:val="Normal"/>
    <w:uiPriority w:val="35"/>
    <w:unhideWhenUsed/>
    <w:qFormat/>
    <w:rsid w:val="00483A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1362C"/>
    <w:rPr>
      <w:sz w:val="16"/>
      <w:szCs w:val="16"/>
    </w:rPr>
  </w:style>
  <w:style w:type="paragraph" w:styleId="CommentText">
    <w:name w:val="annotation text"/>
    <w:basedOn w:val="Normal"/>
    <w:link w:val="CommentTextChar"/>
    <w:uiPriority w:val="99"/>
    <w:semiHidden/>
    <w:unhideWhenUsed/>
    <w:rsid w:val="0031362C"/>
  </w:style>
  <w:style w:type="character" w:customStyle="1" w:styleId="CommentTextChar">
    <w:name w:val="Comment Text Char"/>
    <w:basedOn w:val="DefaultParagraphFont"/>
    <w:link w:val="CommentText"/>
    <w:uiPriority w:val="99"/>
    <w:semiHidden/>
    <w:rsid w:val="0031362C"/>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362C"/>
    <w:rPr>
      <w:b/>
      <w:bCs/>
    </w:rPr>
  </w:style>
  <w:style w:type="character" w:customStyle="1" w:styleId="CommentSubjectChar">
    <w:name w:val="Comment Subject Char"/>
    <w:basedOn w:val="CommentTextChar"/>
    <w:link w:val="CommentSubject"/>
    <w:uiPriority w:val="99"/>
    <w:semiHidden/>
    <w:rsid w:val="0031362C"/>
    <w:rPr>
      <w:rFonts w:ascii="Times New Roman" w:eastAsia="PMingLiU" w:hAnsi="Times New Roman" w:cs="Times New Roman"/>
      <w:b/>
      <w:bCs/>
      <w:sz w:val="20"/>
      <w:szCs w:val="20"/>
      <w:lang w:val="en-GB"/>
    </w:rPr>
  </w:style>
  <w:style w:type="paragraph" w:styleId="BalloonText">
    <w:name w:val="Balloon Text"/>
    <w:basedOn w:val="Normal"/>
    <w:link w:val="BalloonTextChar"/>
    <w:uiPriority w:val="99"/>
    <w:semiHidden/>
    <w:unhideWhenUsed/>
    <w:rsid w:val="003136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62C"/>
    <w:rPr>
      <w:rFonts w:ascii="Segoe UI" w:eastAsia="PMingLiU" w:hAnsi="Segoe UI" w:cs="Segoe UI"/>
      <w:sz w:val="18"/>
      <w:szCs w:val="18"/>
      <w:lang w:val="en-GB"/>
    </w:rPr>
  </w:style>
  <w:style w:type="paragraph" w:customStyle="1" w:styleId="1H1h1appheading1l1MemoHeading1h11h12h13h14h1">
    <w:name w:val="스타일 제목 1H1h1app heading 1l1Memo Heading 1h11h12h13h14h1..."/>
    <w:basedOn w:val="Heading1"/>
    <w:rsid w:val="00FD1FB9"/>
    <w:pPr>
      <w:keepNext/>
      <w:tabs>
        <w:tab w:val="left" w:pos="0"/>
      </w:tabs>
      <w:spacing w:before="240" w:beforeAutospacing="0" w:after="60" w:afterAutospacing="0" w:line="360" w:lineRule="atLeast"/>
      <w:jc w:val="both"/>
    </w:pPr>
    <w:rPr>
      <w:rFonts w:ascii="Arial" w:eastAsia="Batang" w:hAnsi="Arial"/>
      <w:b w:val="0"/>
      <w:bCs w:val="0"/>
      <w:kern w:val="28"/>
      <w:sz w:val="24"/>
      <w:szCs w:val="20"/>
      <w:lang w:eastAsia="ja-JP"/>
    </w:rPr>
  </w:style>
  <w:style w:type="paragraph" w:customStyle="1" w:styleId="LGTdoc">
    <w:name w:val="LGTdoc_본문"/>
    <w:basedOn w:val="Normal"/>
    <w:rsid w:val="00FD1FB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References">
    <w:name w:val="References"/>
    <w:basedOn w:val="Normal"/>
    <w:rsid w:val="00FD1FB9"/>
    <w:pPr>
      <w:autoSpaceDE w:val="0"/>
      <w:autoSpaceDN w:val="0"/>
      <w:spacing w:before="60" w:after="60" w:line="360" w:lineRule="atLeast"/>
      <w:jc w:val="both"/>
    </w:pPr>
    <w:rPr>
      <w:rFonts w:eastAsia="SimSun"/>
      <w:sz w:val="22"/>
      <w:szCs w:val="16"/>
      <w:lang w:val="en-US"/>
    </w:rPr>
  </w:style>
  <w:style w:type="paragraph" w:styleId="FootnoteText">
    <w:name w:val="footnote text"/>
    <w:basedOn w:val="Normal"/>
    <w:link w:val="FootnoteTextChar"/>
    <w:semiHidden/>
    <w:rsid w:val="005E769D"/>
    <w:pPr>
      <w:spacing w:after="0"/>
      <w:ind w:left="1440" w:hanging="1440"/>
      <w:jc w:val="both"/>
    </w:pPr>
    <w:rPr>
      <w:rFonts w:ascii="Times" w:eastAsia="Batang" w:hAnsi="Times"/>
      <w:lang w:val="en-US"/>
    </w:rPr>
  </w:style>
  <w:style w:type="character" w:customStyle="1" w:styleId="FootnoteTextChar">
    <w:name w:val="Footnote Text Char"/>
    <w:basedOn w:val="DefaultParagraphFont"/>
    <w:link w:val="FootnoteText"/>
    <w:semiHidden/>
    <w:rsid w:val="005E769D"/>
    <w:rPr>
      <w:rFonts w:ascii="Times" w:eastAsia="Batang" w:hAnsi="Times" w:cs="Times New Roman"/>
      <w:sz w:val="20"/>
      <w:szCs w:val="20"/>
    </w:rPr>
  </w:style>
  <w:style w:type="character" w:customStyle="1" w:styleId="Heading2Char">
    <w:name w:val="Heading 2 Char"/>
    <w:basedOn w:val="DefaultParagraphFont"/>
    <w:link w:val="Heading2"/>
    <w:uiPriority w:val="9"/>
    <w:rsid w:val="009109E0"/>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6522">
      <w:bodyDiv w:val="1"/>
      <w:marLeft w:val="0"/>
      <w:marRight w:val="0"/>
      <w:marTop w:val="0"/>
      <w:marBottom w:val="0"/>
      <w:divBdr>
        <w:top w:val="none" w:sz="0" w:space="0" w:color="auto"/>
        <w:left w:val="none" w:sz="0" w:space="0" w:color="auto"/>
        <w:bottom w:val="none" w:sz="0" w:space="0" w:color="auto"/>
        <w:right w:val="none" w:sz="0" w:space="0" w:color="auto"/>
      </w:divBdr>
    </w:div>
    <w:div w:id="575172325">
      <w:bodyDiv w:val="1"/>
      <w:marLeft w:val="0"/>
      <w:marRight w:val="0"/>
      <w:marTop w:val="0"/>
      <w:marBottom w:val="0"/>
      <w:divBdr>
        <w:top w:val="none" w:sz="0" w:space="0" w:color="auto"/>
        <w:left w:val="none" w:sz="0" w:space="0" w:color="auto"/>
        <w:bottom w:val="none" w:sz="0" w:space="0" w:color="auto"/>
        <w:right w:val="none" w:sz="0" w:space="0" w:color="auto"/>
      </w:divBdr>
    </w:div>
    <w:div w:id="858546132">
      <w:bodyDiv w:val="1"/>
      <w:marLeft w:val="0"/>
      <w:marRight w:val="0"/>
      <w:marTop w:val="0"/>
      <w:marBottom w:val="0"/>
      <w:divBdr>
        <w:top w:val="none" w:sz="0" w:space="0" w:color="auto"/>
        <w:left w:val="none" w:sz="0" w:space="0" w:color="auto"/>
        <w:bottom w:val="none" w:sz="0" w:space="0" w:color="auto"/>
        <w:right w:val="none" w:sz="0" w:space="0" w:color="auto"/>
      </w:divBdr>
    </w:div>
    <w:div w:id="933560880">
      <w:bodyDiv w:val="1"/>
      <w:marLeft w:val="0"/>
      <w:marRight w:val="0"/>
      <w:marTop w:val="0"/>
      <w:marBottom w:val="0"/>
      <w:divBdr>
        <w:top w:val="none" w:sz="0" w:space="0" w:color="auto"/>
        <w:left w:val="none" w:sz="0" w:space="0" w:color="auto"/>
        <w:bottom w:val="none" w:sz="0" w:space="0" w:color="auto"/>
        <w:right w:val="none" w:sz="0" w:space="0" w:color="auto"/>
      </w:divBdr>
    </w:div>
    <w:div w:id="1129931443">
      <w:bodyDiv w:val="1"/>
      <w:marLeft w:val="0"/>
      <w:marRight w:val="0"/>
      <w:marTop w:val="0"/>
      <w:marBottom w:val="0"/>
      <w:divBdr>
        <w:top w:val="none" w:sz="0" w:space="0" w:color="auto"/>
        <w:left w:val="none" w:sz="0" w:space="0" w:color="auto"/>
        <w:bottom w:val="none" w:sz="0" w:space="0" w:color="auto"/>
        <w:right w:val="none" w:sz="0" w:space="0" w:color="auto"/>
      </w:divBdr>
    </w:div>
    <w:div w:id="1566068170">
      <w:bodyDiv w:val="1"/>
      <w:marLeft w:val="0"/>
      <w:marRight w:val="0"/>
      <w:marTop w:val="0"/>
      <w:marBottom w:val="0"/>
      <w:divBdr>
        <w:top w:val="none" w:sz="0" w:space="0" w:color="auto"/>
        <w:left w:val="none" w:sz="0" w:space="0" w:color="auto"/>
        <w:bottom w:val="none" w:sz="0" w:space="0" w:color="auto"/>
        <w:right w:val="none" w:sz="0" w:space="0" w:color="auto"/>
      </w:divBdr>
    </w:div>
    <w:div w:id="1572419989">
      <w:bodyDiv w:val="1"/>
      <w:marLeft w:val="0"/>
      <w:marRight w:val="0"/>
      <w:marTop w:val="0"/>
      <w:marBottom w:val="0"/>
      <w:divBdr>
        <w:top w:val="none" w:sz="0" w:space="0" w:color="auto"/>
        <w:left w:val="none" w:sz="0" w:space="0" w:color="auto"/>
        <w:bottom w:val="none" w:sz="0" w:space="0" w:color="auto"/>
        <w:right w:val="none" w:sz="0" w:space="0" w:color="auto"/>
      </w:divBdr>
    </w:div>
    <w:div w:id="1732969649">
      <w:bodyDiv w:val="1"/>
      <w:marLeft w:val="0"/>
      <w:marRight w:val="0"/>
      <w:marTop w:val="0"/>
      <w:marBottom w:val="0"/>
      <w:divBdr>
        <w:top w:val="none" w:sz="0" w:space="0" w:color="auto"/>
        <w:left w:val="none" w:sz="0" w:space="0" w:color="auto"/>
        <w:bottom w:val="none" w:sz="0" w:space="0" w:color="auto"/>
        <w:right w:val="none" w:sz="0" w:space="0" w:color="auto"/>
      </w:divBdr>
    </w:div>
    <w:div w:id="20872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B4EAA-8346-441F-BABA-B4A54BE78FEB}">
  <ds:schemaRefs>
    <ds:schemaRef ds:uri="http://schemas.microsoft.com/sharepoint/v3/contenttype/forms"/>
  </ds:schemaRefs>
</ds:datastoreItem>
</file>

<file path=customXml/itemProps2.xml><?xml version="1.0" encoding="utf-8"?>
<ds:datastoreItem xmlns:ds="http://schemas.openxmlformats.org/officeDocument/2006/customXml" ds:itemID="{CB072A6F-58DD-4772-BD2A-2AB85D4AE49B}">
  <ds:schemaRefs>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1C1E11F-2433-4D32-B9D0-6FA8D1CCB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C65F8E0-27B9-485D-AC1E-728C53AD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Qing</dc:creator>
  <cp:keywords/>
  <dc:description/>
  <cp:lastModifiedBy>Li, Qing</cp:lastModifiedBy>
  <cp:revision>3</cp:revision>
  <dcterms:created xsi:type="dcterms:W3CDTF">2016-09-30T23:11:00Z</dcterms:created>
  <dcterms:modified xsi:type="dcterms:W3CDTF">2016-10-01T04:33:00Z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0x010100A1B08D2E02B6664AB3FF05AE2EAB80C5</vt:lpwstr>
  </property>
</Properties>
</file>