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1D01B9">
      <w:pPr>
        <w:pStyle w:val="CRCoverPage"/>
        <w:tabs>
          <w:tab w:val="right" w:pos="9639"/>
          <w:tab w:val="right" w:pos="13323"/>
        </w:tabs>
        <w:spacing w:after="0"/>
        <w:rPr>
          <w:rFonts w:cs="Arial"/>
          <w:b/>
          <w:noProof/>
          <w:sz w:val="24"/>
          <w:szCs w:val="24"/>
        </w:rPr>
      </w:pPr>
      <w:r>
        <w:rPr>
          <w:rFonts w:cs="Arial"/>
          <w:b/>
          <w:noProof/>
          <w:sz w:val="24"/>
          <w:szCs w:val="24"/>
        </w:rPr>
        <w:t xml:space="preserve">3GPP TSG RAN </w:t>
      </w:r>
      <w:r w:rsidR="00E70DFF">
        <w:rPr>
          <w:rFonts w:cs="Arial"/>
          <w:b/>
          <w:noProof/>
          <w:sz w:val="24"/>
          <w:szCs w:val="24"/>
        </w:rPr>
        <w:t xml:space="preserve">WG1 </w:t>
      </w:r>
      <w:r>
        <w:rPr>
          <w:rFonts w:cs="Arial"/>
          <w:b/>
          <w:noProof/>
          <w:sz w:val="24"/>
          <w:szCs w:val="24"/>
        </w:rPr>
        <w:t>Meeting #</w:t>
      </w:r>
      <w:r w:rsidR="00FC7FF3">
        <w:rPr>
          <w:rFonts w:cs="Arial"/>
          <w:b/>
          <w:noProof/>
          <w:sz w:val="24"/>
          <w:szCs w:val="24"/>
        </w:rPr>
        <w:t>8</w:t>
      </w:r>
      <w:r w:rsidR="007A3F06">
        <w:rPr>
          <w:rFonts w:cs="Arial"/>
          <w:b/>
          <w:noProof/>
          <w:sz w:val="24"/>
          <w:szCs w:val="24"/>
        </w:rPr>
        <w:t>6</w:t>
      </w:r>
      <w:r w:rsidR="003A7D30">
        <w:rPr>
          <w:rFonts w:cs="Arial"/>
          <w:b/>
          <w:noProof/>
          <w:sz w:val="24"/>
          <w:szCs w:val="24"/>
        </w:rPr>
        <w:t>bis</w:t>
      </w:r>
      <w:r w:rsidR="003E6C07">
        <w:rPr>
          <w:rFonts w:cs="Arial"/>
          <w:b/>
          <w:noProof/>
          <w:sz w:val="24"/>
          <w:szCs w:val="24"/>
        </w:rPr>
        <w:t xml:space="preserve">                                           </w:t>
      </w:r>
      <w:r w:rsidR="0038229E" w:rsidRPr="003E6C07">
        <w:rPr>
          <w:rFonts w:cs="Arial"/>
          <w:b/>
          <w:noProof/>
          <w:sz w:val="26"/>
          <w:szCs w:val="26"/>
        </w:rPr>
        <w:t>R1-1610300</w:t>
      </w:r>
    </w:p>
    <w:p w:rsidR="001D01B9" w:rsidRDefault="003A7D30" w:rsidP="001D01B9">
      <w:pPr>
        <w:pStyle w:val="CRCoverPage"/>
        <w:tabs>
          <w:tab w:val="right" w:pos="9639"/>
          <w:tab w:val="right" w:pos="13323"/>
        </w:tabs>
        <w:spacing w:after="0"/>
        <w:jc w:val="right"/>
        <w:rPr>
          <w:rFonts w:cs="Arial"/>
          <w:b/>
          <w:noProof/>
          <w:sz w:val="24"/>
          <w:szCs w:val="24"/>
        </w:rPr>
      </w:pPr>
      <w:r>
        <w:rPr>
          <w:rFonts w:cs="Arial"/>
          <w:b/>
          <w:noProof/>
          <w:sz w:val="24"/>
          <w:szCs w:val="24"/>
        </w:rPr>
        <w:t>Lisbon</w:t>
      </w:r>
      <w:r w:rsidR="00B77726">
        <w:rPr>
          <w:rFonts w:cs="Arial"/>
          <w:b/>
          <w:noProof/>
          <w:sz w:val="24"/>
          <w:szCs w:val="24"/>
        </w:rPr>
        <w:t xml:space="preserve">, </w:t>
      </w:r>
      <w:r>
        <w:rPr>
          <w:rFonts w:cs="Arial"/>
          <w:b/>
          <w:noProof/>
          <w:sz w:val="24"/>
          <w:szCs w:val="24"/>
        </w:rPr>
        <w:t>Portugal</w:t>
      </w:r>
      <w:r w:rsidR="001D01B9" w:rsidRPr="0033775D">
        <w:rPr>
          <w:rFonts w:cs="Arial"/>
          <w:b/>
          <w:noProof/>
          <w:sz w:val="24"/>
          <w:szCs w:val="24"/>
        </w:rPr>
        <w:t xml:space="preserve">, </w:t>
      </w:r>
      <w:r>
        <w:rPr>
          <w:rFonts w:cs="Arial"/>
          <w:b/>
          <w:noProof/>
          <w:sz w:val="24"/>
          <w:szCs w:val="24"/>
        </w:rPr>
        <w:t>10</w:t>
      </w:r>
      <w:r w:rsidR="001D01B9" w:rsidRPr="008B769D">
        <w:rPr>
          <w:rFonts w:cs="Arial"/>
          <w:b/>
          <w:noProof/>
          <w:sz w:val="24"/>
          <w:szCs w:val="24"/>
          <w:vertAlign w:val="superscript"/>
        </w:rPr>
        <w:t>th</w:t>
      </w:r>
      <w:r w:rsidR="001D01B9" w:rsidRPr="0033775D">
        <w:rPr>
          <w:rFonts w:cs="Arial"/>
          <w:b/>
          <w:noProof/>
          <w:sz w:val="24"/>
          <w:szCs w:val="24"/>
        </w:rPr>
        <w:t xml:space="preserve"> – </w:t>
      </w:r>
      <w:r>
        <w:rPr>
          <w:rFonts w:cs="Arial"/>
          <w:b/>
          <w:noProof/>
          <w:sz w:val="24"/>
          <w:szCs w:val="24"/>
        </w:rPr>
        <w:t>14</w:t>
      </w:r>
      <w:r w:rsidR="001D01B9" w:rsidRPr="008B769D">
        <w:rPr>
          <w:rFonts w:cs="Arial"/>
          <w:b/>
          <w:noProof/>
          <w:sz w:val="24"/>
          <w:szCs w:val="24"/>
          <w:vertAlign w:val="superscript"/>
        </w:rPr>
        <w:t>th</w:t>
      </w:r>
      <w:r w:rsidR="001D01B9" w:rsidRPr="0033775D">
        <w:rPr>
          <w:rFonts w:cs="Arial"/>
          <w:b/>
          <w:noProof/>
          <w:sz w:val="24"/>
          <w:szCs w:val="24"/>
        </w:rPr>
        <w:t xml:space="preserve"> </w:t>
      </w:r>
      <w:r>
        <w:rPr>
          <w:rFonts w:cs="Arial"/>
          <w:b/>
          <w:noProof/>
          <w:sz w:val="24"/>
          <w:szCs w:val="24"/>
        </w:rPr>
        <w:t>October</w:t>
      </w:r>
      <w:r w:rsidR="00E70DFF">
        <w:rPr>
          <w:rFonts w:cs="Arial"/>
          <w:b/>
          <w:noProof/>
          <w:sz w:val="24"/>
          <w:szCs w:val="24"/>
        </w:rPr>
        <w:t>, 2016</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7A3F06">
        <w:rPr>
          <w:rFonts w:ascii="Arial" w:hAnsi="Arial" w:cs="Arial"/>
          <w:sz w:val="24"/>
          <w:szCs w:val="24"/>
        </w:rPr>
        <w:t>CP length for NR</w:t>
      </w:r>
      <w:r w:rsidR="00A02759" w:rsidRPr="00A02759">
        <w:rPr>
          <w:rFonts w:ascii="Arial" w:hAnsi="Arial" w:cs="Arial"/>
          <w:sz w:val="24"/>
          <w:szCs w:val="24"/>
        </w:rPr>
        <w:t>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5C199E">
        <w:rPr>
          <w:rFonts w:ascii="Arial" w:hAnsi="Arial"/>
          <w:sz w:val="24"/>
        </w:rPr>
        <w:t>Vodafone Group Plc, Orange</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7A3F06" w:rsidRPr="007A3F06">
        <w:rPr>
          <w:rFonts w:ascii="Arial" w:hAnsi="Arial"/>
          <w:sz w:val="24"/>
        </w:rPr>
        <w:t>8.1.</w:t>
      </w:r>
      <w:r w:rsidR="003A7D30">
        <w:rPr>
          <w:rFonts w:ascii="Arial" w:hAnsi="Arial"/>
          <w:sz w:val="24"/>
        </w:rPr>
        <w:t>2</w:t>
      </w:r>
      <w:r w:rsidR="008E1A89">
        <w:rPr>
          <w:rFonts w:ascii="Arial" w:hAnsi="Arial"/>
          <w:sz w:val="24"/>
        </w:rPr>
        <w:t>.1</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86BE4">
        <w:rPr>
          <w:rFonts w:ascii="Arial" w:hAnsi="Arial"/>
          <w:sz w:val="24"/>
        </w:rPr>
        <w:t>Discussion</w:t>
      </w:r>
    </w:p>
    <w:p w:rsidR="001D01B9" w:rsidRPr="00CC27F5" w:rsidRDefault="001D01B9" w:rsidP="001D01B9">
      <w:pPr>
        <w:pStyle w:val="Heading1"/>
        <w:jc w:val="both"/>
      </w:pPr>
      <w:r>
        <w:t>1</w:t>
      </w:r>
      <w:r>
        <w:tab/>
        <w:t>Introduction</w:t>
      </w:r>
    </w:p>
    <w:p w:rsidR="00480313" w:rsidRDefault="00C236A0" w:rsidP="00A947AC">
      <w:pPr>
        <w:pStyle w:val="Header"/>
        <w:jc w:val="both"/>
        <w:rPr>
          <w:rFonts w:ascii="Times New Roman" w:hAnsi="Times New Roman"/>
          <w:b w:val="0"/>
          <w:noProof w:val="0"/>
          <w:sz w:val="20"/>
          <w:lang w:val="en-GB"/>
        </w:rPr>
      </w:pPr>
      <w:r w:rsidRPr="00C236A0">
        <w:rPr>
          <w:rFonts w:ascii="Times New Roman" w:hAnsi="Times New Roman"/>
          <w:b w:val="0"/>
          <w:noProof w:val="0"/>
          <w:sz w:val="20"/>
          <w:lang w:val="en-GB"/>
        </w:rPr>
        <w:t>In RAN</w:t>
      </w:r>
      <w:r w:rsidR="007A3F06">
        <w:rPr>
          <w:rFonts w:ascii="Times New Roman" w:hAnsi="Times New Roman"/>
          <w:b w:val="0"/>
          <w:noProof w:val="0"/>
          <w:sz w:val="20"/>
          <w:lang w:val="en-GB"/>
        </w:rPr>
        <w:t>1</w:t>
      </w:r>
      <w:r w:rsidRPr="00C236A0">
        <w:rPr>
          <w:rFonts w:ascii="Times New Roman" w:hAnsi="Times New Roman"/>
          <w:b w:val="0"/>
          <w:noProof w:val="0"/>
          <w:sz w:val="20"/>
          <w:lang w:val="en-GB"/>
        </w:rPr>
        <w:t xml:space="preserve"> #</w:t>
      </w:r>
      <w:r w:rsidR="007A3F06">
        <w:rPr>
          <w:rFonts w:ascii="Times New Roman" w:hAnsi="Times New Roman"/>
          <w:b w:val="0"/>
          <w:noProof w:val="0"/>
          <w:sz w:val="20"/>
          <w:lang w:val="en-GB"/>
        </w:rPr>
        <w:t>8</w:t>
      </w:r>
      <w:r w:rsidR="007D65A9">
        <w:rPr>
          <w:rFonts w:ascii="Times New Roman" w:hAnsi="Times New Roman"/>
          <w:b w:val="0"/>
          <w:noProof w:val="0"/>
          <w:sz w:val="20"/>
          <w:lang w:val="en-GB"/>
        </w:rPr>
        <w:t>6</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we agreed</w:t>
      </w:r>
      <w:r w:rsidR="00480313">
        <w:rPr>
          <w:rFonts w:ascii="Times New Roman" w:hAnsi="Times New Roman"/>
          <w:b w:val="0"/>
          <w:noProof w:val="0"/>
          <w:sz w:val="20"/>
          <w:lang w:val="en-GB"/>
        </w:rPr>
        <w:t xml:space="preserve"> </w:t>
      </w:r>
      <w:r w:rsidR="00E76D42">
        <w:rPr>
          <w:rFonts w:ascii="Times New Roman" w:hAnsi="Times New Roman"/>
          <w:b w:val="0"/>
          <w:noProof w:val="0"/>
          <w:sz w:val="20"/>
          <w:lang w:val="en-GB"/>
        </w:rPr>
        <w:t xml:space="preserve">the following regarding CP length(s) for NR, as captured in </w:t>
      </w:r>
      <w:r w:rsidR="00480313">
        <w:rPr>
          <w:rFonts w:ascii="Times New Roman" w:hAnsi="Times New Roman"/>
          <w:b w:val="0"/>
          <w:noProof w:val="0"/>
          <w:sz w:val="20"/>
          <w:lang w:val="en-GB"/>
        </w:rPr>
        <w:t>[1]</w:t>
      </w:r>
      <w:r w:rsidR="00E76D42">
        <w:rPr>
          <w:rFonts w:ascii="Times New Roman" w:hAnsi="Times New Roman"/>
          <w:b w:val="0"/>
          <w:noProof w:val="0"/>
          <w:sz w:val="20"/>
          <w:lang w:val="en-GB"/>
        </w:rPr>
        <w:t>:</w:t>
      </w:r>
    </w:p>
    <w:p w:rsidR="00480313" w:rsidRDefault="00480313" w:rsidP="00A947AC">
      <w:pPr>
        <w:pStyle w:val="Header"/>
        <w:jc w:val="both"/>
        <w:rPr>
          <w:rFonts w:ascii="Times New Roman" w:hAnsi="Times New Roman"/>
          <w:b w:val="0"/>
          <w:noProof w:val="0"/>
          <w:sz w:val="20"/>
          <w:lang w:val="en-GB"/>
        </w:rPr>
      </w:pPr>
    </w:p>
    <w:p w:rsidR="007D65A9" w:rsidRDefault="007D65A9" w:rsidP="00A947AC">
      <w:pPr>
        <w:numPr>
          <w:ilvl w:val="0"/>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NR design should allow potentially defining multiple CP lengths for a given subcarrier spacing in Phase I or later</w:t>
      </w:r>
    </w:p>
    <w:p w:rsidR="007D65A9" w:rsidRDefault="007D65A9" w:rsidP="00A947AC">
      <w:pPr>
        <w:numPr>
          <w:ilvl w:val="1"/>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Multiple CP lengths do not mean the normal CP have 2 different CP lengths in the LTE</w:t>
      </w:r>
    </w:p>
    <w:p w:rsidR="007D65A9" w:rsidRDefault="007D65A9" w:rsidP="00A947AC">
      <w:pPr>
        <w:numPr>
          <w:ilvl w:val="0"/>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It should be possible to deploy NR with 60 kHz subcarrier spacing in the channel that have the same delay spread that LTE can handle with the normal CP length as one use case</w:t>
      </w:r>
    </w:p>
    <w:p w:rsidR="007D65A9" w:rsidRDefault="007D65A9" w:rsidP="00A947AC">
      <w:pPr>
        <w:numPr>
          <w:ilvl w:val="1"/>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Other subcarrier spacing solution can be considered with an equal priority in the further study</w:t>
      </w:r>
    </w:p>
    <w:p w:rsidR="007D65A9" w:rsidRPr="00B51E2F" w:rsidRDefault="007D65A9" w:rsidP="00A947AC">
      <w:pPr>
        <w:numPr>
          <w:ilvl w:val="0"/>
          <w:numId w:val="16"/>
        </w:numPr>
        <w:overflowPunct/>
        <w:autoSpaceDE/>
        <w:autoSpaceDN/>
        <w:adjustRightInd/>
        <w:spacing w:after="0"/>
        <w:jc w:val="both"/>
        <w:textAlignment w:val="auto"/>
        <w:rPr>
          <w:rFonts w:eastAsia="MS Mincho"/>
          <w:lang w:val="en-US" w:eastAsia="ja-JP"/>
        </w:rPr>
      </w:pPr>
      <w:r w:rsidRPr="00B51E2F">
        <w:rPr>
          <w:rFonts w:eastAsia="MS Mincho"/>
          <w:lang w:val="en-US" w:eastAsia="ja-JP"/>
        </w:rPr>
        <w:t>More than one CP length shou</w:t>
      </w:r>
      <w:r>
        <w:rPr>
          <w:rFonts w:eastAsia="MS Mincho"/>
          <w:lang w:val="en-US" w:eastAsia="ja-JP"/>
        </w:rPr>
        <w:t xml:space="preserve">ld be </w:t>
      </w:r>
      <w:r>
        <w:rPr>
          <w:rFonts w:eastAsia="MS Mincho" w:hint="eastAsia"/>
          <w:lang w:val="en-US" w:eastAsia="ja-JP"/>
        </w:rPr>
        <w:t>studied</w:t>
      </w:r>
      <w:r>
        <w:rPr>
          <w:rFonts w:eastAsia="MS Mincho"/>
          <w:lang w:val="en-US" w:eastAsia="ja-JP"/>
        </w:rPr>
        <w:t xml:space="preserve"> for a given sub</w:t>
      </w:r>
      <w:r w:rsidRPr="00B51E2F">
        <w:rPr>
          <w:rFonts w:eastAsia="MS Mincho"/>
          <w:lang w:val="en-US" w:eastAsia="ja-JP"/>
        </w:rPr>
        <w:t>carrier spacing</w:t>
      </w:r>
    </w:p>
    <w:p w:rsidR="007D65A9" w:rsidRPr="00B51E2F" w:rsidRDefault="007D65A9" w:rsidP="00A947AC">
      <w:pPr>
        <w:numPr>
          <w:ilvl w:val="1"/>
          <w:numId w:val="16"/>
        </w:numPr>
        <w:overflowPunct/>
        <w:autoSpaceDE/>
        <w:autoSpaceDN/>
        <w:adjustRightInd/>
        <w:spacing w:after="0"/>
        <w:jc w:val="both"/>
        <w:textAlignment w:val="auto"/>
        <w:rPr>
          <w:rFonts w:eastAsia="MS Mincho"/>
          <w:lang w:val="en-US" w:eastAsia="ja-JP"/>
        </w:rPr>
      </w:pPr>
      <w:r w:rsidRPr="00B51E2F">
        <w:rPr>
          <w:rFonts w:eastAsia="MS Mincho"/>
          <w:lang w:val="en-US" w:eastAsia="ja-JP"/>
        </w:rPr>
        <w:t>The diffe</w:t>
      </w:r>
      <w:r>
        <w:rPr>
          <w:rFonts w:eastAsia="MS Mincho"/>
          <w:lang w:val="en-US" w:eastAsia="ja-JP"/>
        </w:rPr>
        <w:t>rent CP lengths for a given sub</w:t>
      </w:r>
      <w:r w:rsidRPr="00B51E2F">
        <w:rPr>
          <w:rFonts w:eastAsia="MS Mincho"/>
          <w:lang w:val="en-US" w:eastAsia="ja-JP"/>
        </w:rPr>
        <w:t>carrier spacin</w:t>
      </w:r>
      <w:r>
        <w:rPr>
          <w:rFonts w:eastAsia="MS Mincho"/>
          <w:lang w:val="en-US" w:eastAsia="ja-JP"/>
        </w:rPr>
        <w:t xml:space="preserve">g </w:t>
      </w:r>
      <w:r>
        <w:rPr>
          <w:rFonts w:eastAsia="MS Mincho" w:hint="eastAsia"/>
          <w:lang w:val="en-US" w:eastAsia="ja-JP"/>
        </w:rPr>
        <w:t>can</w:t>
      </w:r>
      <w:r w:rsidRPr="00B51E2F">
        <w:rPr>
          <w:rFonts w:eastAsia="MS Mincho"/>
          <w:lang w:val="en-US" w:eastAsia="ja-JP"/>
        </w:rPr>
        <w:t xml:space="preserve"> be of </w:t>
      </w:r>
      <w:r>
        <w:rPr>
          <w:rFonts w:eastAsia="MS Mincho"/>
          <w:lang w:val="en-US" w:eastAsia="ja-JP"/>
        </w:rPr>
        <w:t>substantially different lengths</w:t>
      </w:r>
      <w:r w:rsidRPr="00B51E2F">
        <w:rPr>
          <w:rFonts w:eastAsia="MS Mincho"/>
          <w:lang w:val="en-US" w:eastAsia="ja-JP"/>
        </w:rPr>
        <w:t xml:space="preserve"> </w:t>
      </w:r>
    </w:p>
    <w:p w:rsidR="007D65A9" w:rsidRDefault="007D65A9" w:rsidP="00A947AC">
      <w:pPr>
        <w:numPr>
          <w:ilvl w:val="1"/>
          <w:numId w:val="16"/>
        </w:numPr>
        <w:overflowPunct/>
        <w:autoSpaceDE/>
        <w:autoSpaceDN/>
        <w:adjustRightInd/>
        <w:spacing w:after="0"/>
        <w:jc w:val="both"/>
        <w:textAlignment w:val="auto"/>
        <w:rPr>
          <w:rFonts w:eastAsia="MS Mincho"/>
          <w:lang w:val="en-US" w:eastAsia="ja-JP"/>
        </w:rPr>
      </w:pPr>
      <w:r w:rsidRPr="00B51E2F">
        <w:rPr>
          <w:rFonts w:eastAsia="MS Mincho"/>
          <w:lang w:val="en-US" w:eastAsia="ja-JP"/>
        </w:rPr>
        <w:t>For 60 kHz subcarrier sp</w:t>
      </w:r>
      <w:r>
        <w:rPr>
          <w:rFonts w:eastAsia="MS Mincho"/>
          <w:lang w:val="en-US" w:eastAsia="ja-JP"/>
        </w:rPr>
        <w:t xml:space="preserve">acing, at least one CP length </w:t>
      </w:r>
      <w:r>
        <w:rPr>
          <w:rFonts w:eastAsia="MS Mincho" w:hint="eastAsia"/>
          <w:lang w:val="en-US" w:eastAsia="ja-JP"/>
        </w:rPr>
        <w:t>can be</w:t>
      </w:r>
      <w:r w:rsidRPr="00B51E2F">
        <w:rPr>
          <w:rFonts w:eastAsia="MS Mincho"/>
          <w:lang w:val="en-US" w:eastAsia="ja-JP"/>
        </w:rPr>
        <w:t xml:space="preserve"> similar to the normal CP length of 15 kHz corresponding to LTE numerology</w:t>
      </w:r>
    </w:p>
    <w:p w:rsidR="007D65A9" w:rsidRPr="00B51E2F" w:rsidRDefault="007D65A9" w:rsidP="00A947AC">
      <w:pPr>
        <w:numPr>
          <w:ilvl w:val="1"/>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Other proposals are not precluded</w:t>
      </w:r>
    </w:p>
    <w:p w:rsidR="007D65A9" w:rsidRPr="00B51E2F" w:rsidRDefault="007D65A9" w:rsidP="00A947AC">
      <w:pPr>
        <w:numPr>
          <w:ilvl w:val="0"/>
          <w:numId w:val="16"/>
        </w:numPr>
        <w:overflowPunct/>
        <w:autoSpaceDE/>
        <w:autoSpaceDN/>
        <w:adjustRightInd/>
        <w:spacing w:after="0"/>
        <w:jc w:val="both"/>
        <w:textAlignment w:val="auto"/>
        <w:rPr>
          <w:rFonts w:eastAsia="MS Mincho"/>
          <w:lang w:val="en-US" w:eastAsia="ja-JP"/>
        </w:rPr>
      </w:pPr>
      <w:r>
        <w:rPr>
          <w:rFonts w:eastAsia="MS Mincho"/>
          <w:lang w:val="en-US" w:eastAsia="ja-JP"/>
        </w:rPr>
        <w:t>Note: FFS whether all of sub</w:t>
      </w:r>
      <w:r w:rsidRPr="00B51E2F">
        <w:rPr>
          <w:rFonts w:eastAsia="MS Mincho"/>
          <w:lang w:val="en-US" w:eastAsia="ja-JP"/>
        </w:rPr>
        <w:t xml:space="preserve">carrier </w:t>
      </w:r>
      <w:proofErr w:type="spellStart"/>
      <w:r w:rsidRPr="00B51E2F">
        <w:rPr>
          <w:rFonts w:eastAsia="MS Mincho"/>
          <w:lang w:val="en-US" w:eastAsia="ja-JP"/>
        </w:rPr>
        <w:t>spacings</w:t>
      </w:r>
      <w:proofErr w:type="spellEnd"/>
      <w:r w:rsidRPr="00B51E2F">
        <w:rPr>
          <w:rFonts w:eastAsia="MS Mincho"/>
          <w:lang w:val="en-US" w:eastAsia="ja-JP"/>
        </w:rPr>
        <w:t xml:space="preserve"> support more than one CP length or not</w:t>
      </w:r>
    </w:p>
    <w:p w:rsidR="007D65A9" w:rsidRPr="00B51E2F" w:rsidRDefault="007D65A9" w:rsidP="00A947AC">
      <w:pPr>
        <w:numPr>
          <w:ilvl w:val="0"/>
          <w:numId w:val="16"/>
        </w:numPr>
        <w:overflowPunct/>
        <w:autoSpaceDE/>
        <w:autoSpaceDN/>
        <w:adjustRightInd/>
        <w:spacing w:after="0"/>
        <w:jc w:val="both"/>
        <w:textAlignment w:val="auto"/>
        <w:rPr>
          <w:rFonts w:eastAsia="MS Mincho"/>
          <w:lang w:val="en-US" w:eastAsia="ja-JP"/>
        </w:rPr>
      </w:pPr>
      <w:r w:rsidRPr="00B51E2F">
        <w:rPr>
          <w:rFonts w:eastAsia="MS Mincho"/>
          <w:lang w:val="en-US" w:eastAsia="ja-JP"/>
        </w:rPr>
        <w:t>Note: FFS whether supporting more than one CP len</w:t>
      </w:r>
      <w:r>
        <w:rPr>
          <w:rFonts w:eastAsia="MS Mincho"/>
          <w:lang w:val="en-US" w:eastAsia="ja-JP"/>
        </w:rPr>
        <w:t>gth for a given sub</w:t>
      </w:r>
      <w:r w:rsidRPr="00B51E2F">
        <w:rPr>
          <w:rFonts w:eastAsia="MS Mincho"/>
          <w:lang w:val="en-US" w:eastAsia="ja-JP"/>
        </w:rPr>
        <w:t>carrier spacing is mandatory or optional for a given UE</w:t>
      </w:r>
    </w:p>
    <w:p w:rsidR="00C236A0" w:rsidRDefault="00C236A0" w:rsidP="00A947AC">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 </w:t>
      </w:r>
    </w:p>
    <w:p w:rsidR="00E76D42" w:rsidRDefault="00E76D42" w:rsidP="00A947AC">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discusses the </w:t>
      </w:r>
      <w:r w:rsidR="007D65A9">
        <w:rPr>
          <w:rFonts w:ascii="Times New Roman" w:hAnsi="Times New Roman"/>
          <w:b w:val="0"/>
          <w:noProof w:val="0"/>
          <w:sz w:val="20"/>
          <w:lang w:val="en-GB"/>
        </w:rPr>
        <w:t xml:space="preserve">scenarios that an “extended CP” or a CP length different from Normal CP is needed in phase 1 of NR. </w:t>
      </w:r>
    </w:p>
    <w:p w:rsidR="00E76D42" w:rsidRDefault="00E76D42" w:rsidP="00C236A0">
      <w:pPr>
        <w:pStyle w:val="Header"/>
        <w:jc w:val="both"/>
        <w:rPr>
          <w:rFonts w:ascii="Times New Roman" w:hAnsi="Times New Roman"/>
          <w:b w:val="0"/>
          <w:noProof w:val="0"/>
          <w:sz w:val="20"/>
          <w:lang w:val="en-GB"/>
        </w:rPr>
      </w:pPr>
    </w:p>
    <w:p w:rsidR="00E76D42" w:rsidRDefault="00E76D42" w:rsidP="009452BD">
      <w:pPr>
        <w:pStyle w:val="Heading1"/>
      </w:pPr>
      <w:r>
        <w:t>2</w:t>
      </w:r>
      <w:r>
        <w:tab/>
        <w:t>Issues to consider in setting the CP length</w:t>
      </w:r>
    </w:p>
    <w:p w:rsidR="00F16B23" w:rsidRDefault="00C236A0" w:rsidP="00C236A0">
      <w:pPr>
        <w:pStyle w:val="Header"/>
        <w:jc w:val="both"/>
        <w:rPr>
          <w:rFonts w:ascii="Times New Roman" w:hAnsi="Times New Roman"/>
          <w:b w:val="0"/>
          <w:noProof w:val="0"/>
          <w:sz w:val="20"/>
          <w:lang w:val="en-GB"/>
        </w:rPr>
      </w:pPr>
      <w:r>
        <w:rPr>
          <w:rFonts w:ascii="Times New Roman" w:hAnsi="Times New Roman"/>
          <w:b w:val="0"/>
          <w:noProof w:val="0"/>
          <w:sz w:val="20"/>
          <w:lang w:val="en-GB"/>
        </w:rPr>
        <w:t>The</w:t>
      </w:r>
      <w:r w:rsidRPr="00C236A0">
        <w:rPr>
          <w:rFonts w:ascii="Times New Roman" w:hAnsi="Times New Roman"/>
          <w:b w:val="0"/>
          <w:noProof w:val="0"/>
          <w:sz w:val="20"/>
          <w:lang w:val="en-GB"/>
        </w:rPr>
        <w:t xml:space="preserve"> </w:t>
      </w:r>
      <w:r w:rsidR="00E76D42">
        <w:rPr>
          <w:rFonts w:ascii="Times New Roman" w:hAnsi="Times New Roman"/>
          <w:b w:val="0"/>
          <w:noProof w:val="0"/>
          <w:sz w:val="20"/>
          <w:lang w:val="en-GB"/>
        </w:rPr>
        <w:t>NR</w:t>
      </w:r>
      <w:r w:rsidRPr="00C236A0">
        <w:rPr>
          <w:rFonts w:ascii="Times New Roman" w:hAnsi="Times New Roman"/>
          <w:b w:val="0"/>
          <w:noProof w:val="0"/>
          <w:sz w:val="20"/>
          <w:lang w:val="en-GB"/>
        </w:rPr>
        <w:t xml:space="preserve"> structure </w:t>
      </w:r>
      <w:r>
        <w:rPr>
          <w:rFonts w:ascii="Times New Roman" w:hAnsi="Times New Roman"/>
          <w:b w:val="0"/>
          <w:noProof w:val="0"/>
          <w:sz w:val="20"/>
          <w:lang w:val="en-GB"/>
        </w:rPr>
        <w:t>must</w:t>
      </w:r>
      <w:r w:rsidRPr="00C236A0">
        <w:rPr>
          <w:rFonts w:ascii="Times New Roman" w:hAnsi="Times New Roman"/>
          <w:b w:val="0"/>
          <w:noProof w:val="0"/>
          <w:sz w:val="20"/>
          <w:lang w:val="en-GB"/>
        </w:rPr>
        <w:t xml:space="preserve"> be able to work in </w:t>
      </w:r>
      <w:r>
        <w:rPr>
          <w:rFonts w:ascii="Times New Roman" w:hAnsi="Times New Roman"/>
          <w:b w:val="0"/>
          <w:noProof w:val="0"/>
          <w:sz w:val="20"/>
          <w:lang w:val="en-GB"/>
        </w:rPr>
        <w:t xml:space="preserve">various </w:t>
      </w:r>
      <w:r w:rsidRPr="00C236A0">
        <w:rPr>
          <w:rFonts w:ascii="Times New Roman" w:hAnsi="Times New Roman"/>
          <w:b w:val="0"/>
          <w:noProof w:val="0"/>
          <w:sz w:val="20"/>
          <w:lang w:val="en-GB"/>
        </w:rPr>
        <w:t xml:space="preserve">frequency bands </w:t>
      </w:r>
      <w:r>
        <w:rPr>
          <w:rFonts w:ascii="Times New Roman" w:hAnsi="Times New Roman"/>
          <w:b w:val="0"/>
          <w:noProof w:val="0"/>
          <w:sz w:val="20"/>
          <w:lang w:val="en-GB"/>
        </w:rPr>
        <w:t>from 700 MHz to</w:t>
      </w:r>
      <w:r w:rsidRPr="00C236A0">
        <w:rPr>
          <w:rFonts w:ascii="Times New Roman" w:hAnsi="Times New Roman"/>
          <w:b w:val="0"/>
          <w:noProof w:val="0"/>
          <w:sz w:val="20"/>
          <w:lang w:val="en-GB"/>
        </w:rPr>
        <w:t xml:space="preserve"> 70GHz</w:t>
      </w:r>
      <w:r w:rsidR="00DD498B">
        <w:rPr>
          <w:rFonts w:ascii="Times New Roman" w:hAnsi="Times New Roman"/>
          <w:b w:val="0"/>
          <w:noProof w:val="0"/>
          <w:sz w:val="20"/>
          <w:lang w:val="en-GB"/>
        </w:rPr>
        <w:t xml:space="preserve"> [2]</w:t>
      </w:r>
      <w:r w:rsidRPr="00C236A0">
        <w:rPr>
          <w:rFonts w:ascii="Times New Roman" w:hAnsi="Times New Roman"/>
          <w:b w:val="0"/>
          <w:noProof w:val="0"/>
          <w:sz w:val="20"/>
          <w:lang w:val="en-GB"/>
        </w:rPr>
        <w:t>.</w:t>
      </w:r>
      <w:r>
        <w:rPr>
          <w:rFonts w:ascii="Times New Roman" w:hAnsi="Times New Roman"/>
          <w:b w:val="0"/>
          <w:noProof w:val="0"/>
          <w:sz w:val="20"/>
          <w:lang w:val="en-GB"/>
        </w:rPr>
        <w:t xml:space="preserve"> </w:t>
      </w:r>
      <w:r w:rsidR="00E76D42">
        <w:rPr>
          <w:rFonts w:ascii="Times New Roman" w:hAnsi="Times New Roman"/>
          <w:b w:val="0"/>
          <w:noProof w:val="0"/>
          <w:sz w:val="20"/>
          <w:lang w:val="en-GB"/>
        </w:rPr>
        <w:t>For NR deployments across this frequency range, t</w:t>
      </w:r>
      <w:r>
        <w:rPr>
          <w:rFonts w:ascii="Times New Roman" w:hAnsi="Times New Roman"/>
          <w:b w:val="0"/>
          <w:noProof w:val="0"/>
          <w:sz w:val="20"/>
          <w:lang w:val="en-GB"/>
        </w:rPr>
        <w:t>his will result in various channel conditions</w:t>
      </w:r>
      <w:r w:rsidR="00E76D42">
        <w:rPr>
          <w:rFonts w:ascii="Times New Roman" w:hAnsi="Times New Roman"/>
          <w:b w:val="0"/>
          <w:noProof w:val="0"/>
          <w:sz w:val="20"/>
          <w:lang w:val="en-GB"/>
        </w:rPr>
        <w:t xml:space="preserve"> being observed</w:t>
      </w:r>
      <w:r>
        <w:rPr>
          <w:rFonts w:ascii="Times New Roman" w:hAnsi="Times New Roman"/>
          <w:b w:val="0"/>
          <w:noProof w:val="0"/>
          <w:sz w:val="20"/>
          <w:lang w:val="en-GB"/>
        </w:rPr>
        <w:t>. In addition to that</w:t>
      </w:r>
      <w:r w:rsidR="00E76D42">
        <w:rPr>
          <w:rFonts w:ascii="Times New Roman" w:hAnsi="Times New Roman"/>
          <w:b w:val="0"/>
          <w:noProof w:val="0"/>
          <w:sz w:val="20"/>
          <w:lang w:val="en-GB"/>
        </w:rPr>
        <w:t>,</w:t>
      </w:r>
      <w:r>
        <w:rPr>
          <w:rFonts w:ascii="Times New Roman" w:hAnsi="Times New Roman"/>
          <w:b w:val="0"/>
          <w:noProof w:val="0"/>
          <w:sz w:val="20"/>
          <w:lang w:val="en-GB"/>
        </w:rPr>
        <w:t xml:space="preserve"> beamforming will add to the uncertainty of the channel for different deployment scenarios</w:t>
      </w:r>
      <w:r w:rsidR="00DD498B">
        <w:rPr>
          <w:rFonts w:ascii="Times New Roman" w:hAnsi="Times New Roman"/>
          <w:b w:val="0"/>
          <w:noProof w:val="0"/>
          <w:sz w:val="20"/>
          <w:lang w:val="en-GB"/>
        </w:rPr>
        <w:t xml:space="preserve"> [3]</w:t>
      </w:r>
      <w:r>
        <w:rPr>
          <w:rFonts w:ascii="Times New Roman" w:hAnsi="Times New Roman"/>
          <w:b w:val="0"/>
          <w:noProof w:val="0"/>
          <w:sz w:val="20"/>
          <w:lang w:val="en-GB"/>
        </w:rPr>
        <w:t>. On the other hand, t</w:t>
      </w:r>
      <w:r w:rsidRPr="00C236A0">
        <w:rPr>
          <w:rFonts w:ascii="Times New Roman" w:hAnsi="Times New Roman"/>
          <w:b w:val="0"/>
          <w:noProof w:val="0"/>
          <w:sz w:val="20"/>
          <w:lang w:val="en-GB"/>
        </w:rPr>
        <w:t xml:space="preserve">he </w:t>
      </w:r>
      <w:r w:rsidR="00F16B23">
        <w:rPr>
          <w:rFonts w:ascii="Times New Roman" w:hAnsi="Times New Roman"/>
          <w:b w:val="0"/>
          <w:noProof w:val="0"/>
          <w:sz w:val="20"/>
          <w:lang w:val="en-GB"/>
        </w:rPr>
        <w:t xml:space="preserve">optimal CP </w:t>
      </w:r>
      <w:r w:rsidRPr="00C236A0">
        <w:rPr>
          <w:rFonts w:ascii="Times New Roman" w:hAnsi="Times New Roman"/>
          <w:b w:val="0"/>
          <w:noProof w:val="0"/>
          <w:sz w:val="20"/>
          <w:lang w:val="en-GB"/>
        </w:rPr>
        <w:t>length depends on the delay spread experienced by the channel, and this depends on the presen</w:t>
      </w:r>
      <w:r>
        <w:rPr>
          <w:rFonts w:ascii="Times New Roman" w:hAnsi="Times New Roman"/>
          <w:b w:val="0"/>
          <w:noProof w:val="0"/>
          <w:sz w:val="20"/>
          <w:lang w:val="en-GB"/>
        </w:rPr>
        <w:t>ce of reflections of the signal</w:t>
      </w:r>
      <w:r w:rsidR="00F16B23">
        <w:rPr>
          <w:rFonts w:ascii="Times New Roman" w:hAnsi="Times New Roman"/>
          <w:b w:val="0"/>
          <w:noProof w:val="0"/>
          <w:sz w:val="20"/>
          <w:lang w:val="en-GB"/>
        </w:rPr>
        <w:t xml:space="preserve">, and also whether the UE is attempting to simultaneously </w:t>
      </w:r>
      <w:r w:rsidR="004657DB">
        <w:rPr>
          <w:rFonts w:ascii="Times New Roman" w:hAnsi="Times New Roman"/>
          <w:b w:val="0"/>
          <w:noProof w:val="0"/>
          <w:sz w:val="20"/>
          <w:lang w:val="en-GB"/>
        </w:rPr>
        <w:t>combine</w:t>
      </w:r>
      <w:r w:rsidR="00F16B23">
        <w:rPr>
          <w:rFonts w:ascii="Times New Roman" w:hAnsi="Times New Roman"/>
          <w:b w:val="0"/>
          <w:noProof w:val="0"/>
          <w:sz w:val="20"/>
          <w:lang w:val="en-GB"/>
        </w:rPr>
        <w:t xml:space="preserve"> </w:t>
      </w:r>
      <w:r w:rsidR="004657DB">
        <w:rPr>
          <w:rFonts w:ascii="Times New Roman" w:hAnsi="Times New Roman"/>
          <w:b w:val="0"/>
          <w:noProof w:val="0"/>
          <w:sz w:val="20"/>
          <w:lang w:val="en-GB"/>
        </w:rPr>
        <w:t xml:space="preserve">received </w:t>
      </w:r>
      <w:r w:rsidR="00F16B23">
        <w:rPr>
          <w:rFonts w:ascii="Times New Roman" w:hAnsi="Times New Roman"/>
          <w:b w:val="0"/>
          <w:noProof w:val="0"/>
          <w:sz w:val="20"/>
          <w:lang w:val="en-GB"/>
        </w:rPr>
        <w:t xml:space="preserve">signals from more than one </w:t>
      </w:r>
      <w:r w:rsidR="004657DB">
        <w:rPr>
          <w:rFonts w:ascii="Times New Roman" w:hAnsi="Times New Roman"/>
          <w:b w:val="0"/>
          <w:noProof w:val="0"/>
          <w:sz w:val="20"/>
          <w:lang w:val="en-GB"/>
        </w:rPr>
        <w:t>Base Station</w:t>
      </w:r>
      <w:r w:rsidR="00F16B23">
        <w:rPr>
          <w:rFonts w:ascii="Times New Roman" w:hAnsi="Times New Roman"/>
          <w:b w:val="0"/>
          <w:noProof w:val="0"/>
          <w:sz w:val="20"/>
          <w:lang w:val="en-GB"/>
        </w:rPr>
        <w:t xml:space="preserve"> operating the same frequency</w:t>
      </w:r>
      <w:r w:rsidRPr="00C236A0">
        <w:rPr>
          <w:rFonts w:ascii="Times New Roman" w:hAnsi="Times New Roman"/>
          <w:b w:val="0"/>
          <w:noProof w:val="0"/>
          <w:sz w:val="20"/>
          <w:lang w:val="en-GB"/>
        </w:rPr>
        <w:t xml:space="preserve">. </w:t>
      </w:r>
    </w:p>
    <w:p w:rsidR="00F16B23" w:rsidRDefault="00F16B23" w:rsidP="00C236A0">
      <w:pPr>
        <w:pStyle w:val="Header"/>
        <w:jc w:val="both"/>
        <w:rPr>
          <w:rFonts w:ascii="Times New Roman" w:hAnsi="Times New Roman"/>
          <w:b w:val="0"/>
          <w:noProof w:val="0"/>
          <w:sz w:val="20"/>
          <w:lang w:val="en-GB"/>
        </w:rPr>
      </w:pPr>
    </w:p>
    <w:p w:rsidR="00C236A0" w:rsidRPr="00C236A0" w:rsidRDefault="00C236A0" w:rsidP="00C236A0">
      <w:pPr>
        <w:pStyle w:val="Header"/>
        <w:jc w:val="both"/>
        <w:rPr>
          <w:rFonts w:ascii="Times New Roman" w:hAnsi="Times New Roman"/>
          <w:b w:val="0"/>
          <w:noProof w:val="0"/>
          <w:sz w:val="20"/>
          <w:lang w:val="en-GB"/>
        </w:rPr>
      </w:pPr>
      <w:r w:rsidRPr="00C236A0">
        <w:rPr>
          <w:rFonts w:ascii="Times New Roman" w:hAnsi="Times New Roman"/>
          <w:b w:val="0"/>
          <w:noProof w:val="0"/>
          <w:sz w:val="20"/>
          <w:lang w:val="en-GB"/>
        </w:rPr>
        <w:t xml:space="preserve">Setting a shorter CP </w:t>
      </w:r>
      <w:r w:rsidR="00F16B23">
        <w:rPr>
          <w:rFonts w:ascii="Times New Roman" w:hAnsi="Times New Roman"/>
          <w:b w:val="0"/>
          <w:noProof w:val="0"/>
          <w:sz w:val="20"/>
          <w:lang w:val="en-GB"/>
        </w:rPr>
        <w:t>has the aim of reducing</w:t>
      </w:r>
      <w:r w:rsidRPr="00C236A0">
        <w:rPr>
          <w:rFonts w:ascii="Times New Roman" w:hAnsi="Times New Roman"/>
          <w:b w:val="0"/>
          <w:noProof w:val="0"/>
          <w:sz w:val="20"/>
          <w:lang w:val="en-GB"/>
        </w:rPr>
        <w:t xml:space="preserve"> overhead in the </w:t>
      </w:r>
      <w:r w:rsidR="00F16B23">
        <w:rPr>
          <w:rFonts w:ascii="Times New Roman" w:hAnsi="Times New Roman"/>
          <w:b w:val="0"/>
          <w:noProof w:val="0"/>
          <w:sz w:val="20"/>
          <w:lang w:val="en-GB"/>
        </w:rPr>
        <w:t>physical layer structure</w:t>
      </w:r>
      <w:r w:rsidRPr="00C236A0">
        <w:rPr>
          <w:rFonts w:ascii="Times New Roman" w:hAnsi="Times New Roman"/>
          <w:b w:val="0"/>
          <w:noProof w:val="0"/>
          <w:sz w:val="20"/>
          <w:lang w:val="en-GB"/>
        </w:rPr>
        <w:t xml:space="preserve">, </w:t>
      </w:r>
      <w:r w:rsidR="00F16B23">
        <w:rPr>
          <w:rFonts w:ascii="Times New Roman" w:hAnsi="Times New Roman"/>
          <w:b w:val="0"/>
          <w:noProof w:val="0"/>
          <w:sz w:val="20"/>
          <w:lang w:val="en-GB"/>
        </w:rPr>
        <w:t>to allow for higher spectrum efficiency</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However, s</w:t>
      </w:r>
      <w:r w:rsidRPr="00C236A0">
        <w:rPr>
          <w:rFonts w:ascii="Times New Roman" w:hAnsi="Times New Roman"/>
          <w:b w:val="0"/>
          <w:noProof w:val="0"/>
          <w:sz w:val="20"/>
          <w:lang w:val="en-GB"/>
        </w:rPr>
        <w:t xml:space="preserve">etting a cyclic prefix value </w:t>
      </w:r>
      <w:r w:rsidR="00F16B23">
        <w:rPr>
          <w:rFonts w:ascii="Times New Roman" w:hAnsi="Times New Roman"/>
          <w:b w:val="0"/>
          <w:noProof w:val="0"/>
          <w:sz w:val="20"/>
          <w:lang w:val="en-GB"/>
        </w:rPr>
        <w:t xml:space="preserve">that is </w:t>
      </w:r>
      <w:r w:rsidRPr="00C236A0">
        <w:rPr>
          <w:rFonts w:ascii="Times New Roman" w:hAnsi="Times New Roman"/>
          <w:b w:val="0"/>
          <w:noProof w:val="0"/>
          <w:sz w:val="20"/>
          <w:lang w:val="en-GB"/>
        </w:rPr>
        <w:t xml:space="preserve">too short </w:t>
      </w:r>
      <w:r w:rsidR="00F16B23">
        <w:rPr>
          <w:rFonts w:ascii="Times New Roman" w:hAnsi="Times New Roman"/>
          <w:b w:val="0"/>
          <w:noProof w:val="0"/>
          <w:sz w:val="20"/>
          <w:lang w:val="en-GB"/>
        </w:rPr>
        <w:t xml:space="preserve">and </w:t>
      </w:r>
      <w:r w:rsidRPr="00C236A0">
        <w:rPr>
          <w:rFonts w:ascii="Times New Roman" w:hAnsi="Times New Roman"/>
          <w:b w:val="0"/>
          <w:noProof w:val="0"/>
          <w:sz w:val="20"/>
          <w:lang w:val="en-GB"/>
        </w:rPr>
        <w:t xml:space="preserve">does not cope with extended delay spread </w:t>
      </w:r>
      <w:r w:rsidR="00F16B23">
        <w:rPr>
          <w:rFonts w:ascii="Times New Roman" w:hAnsi="Times New Roman"/>
          <w:b w:val="0"/>
          <w:noProof w:val="0"/>
          <w:sz w:val="20"/>
          <w:lang w:val="en-GB"/>
        </w:rPr>
        <w:t xml:space="preserve">from a single or multiple </w:t>
      </w:r>
      <w:r w:rsidR="004657DB">
        <w:rPr>
          <w:rFonts w:ascii="Times New Roman" w:hAnsi="Times New Roman"/>
          <w:b w:val="0"/>
          <w:noProof w:val="0"/>
          <w:sz w:val="20"/>
          <w:lang w:val="en-GB"/>
        </w:rPr>
        <w:t>Base Station</w:t>
      </w:r>
      <w:r w:rsidR="009452BD">
        <w:rPr>
          <w:rFonts w:ascii="Times New Roman" w:hAnsi="Times New Roman"/>
          <w:b w:val="0"/>
          <w:noProof w:val="0"/>
          <w:sz w:val="20"/>
          <w:lang w:val="en-GB"/>
        </w:rPr>
        <w:t>s</w:t>
      </w:r>
      <w:r w:rsidR="00F16B23">
        <w:rPr>
          <w:rFonts w:ascii="Times New Roman" w:hAnsi="Times New Roman"/>
          <w:b w:val="0"/>
          <w:noProof w:val="0"/>
          <w:sz w:val="20"/>
          <w:lang w:val="en-GB"/>
        </w:rPr>
        <w:t xml:space="preserve"> </w:t>
      </w:r>
      <w:r w:rsidRPr="00C236A0">
        <w:rPr>
          <w:rFonts w:ascii="Times New Roman" w:hAnsi="Times New Roman"/>
          <w:b w:val="0"/>
          <w:noProof w:val="0"/>
          <w:sz w:val="20"/>
          <w:lang w:val="en-GB"/>
        </w:rPr>
        <w:t xml:space="preserve">may lead to worse link performance due to </w:t>
      </w:r>
      <w:r w:rsidR="00E76D42">
        <w:rPr>
          <w:rFonts w:ascii="Times New Roman" w:hAnsi="Times New Roman"/>
          <w:b w:val="0"/>
          <w:noProof w:val="0"/>
          <w:sz w:val="20"/>
          <w:lang w:val="en-GB"/>
        </w:rPr>
        <w:t>increased</w:t>
      </w:r>
      <w:r w:rsidR="00E76D42" w:rsidRPr="00C236A0">
        <w:rPr>
          <w:rFonts w:ascii="Times New Roman" w:hAnsi="Times New Roman"/>
          <w:b w:val="0"/>
          <w:noProof w:val="0"/>
          <w:sz w:val="20"/>
          <w:lang w:val="en-GB"/>
        </w:rPr>
        <w:t xml:space="preserve"> </w:t>
      </w:r>
      <w:r w:rsidRPr="00C236A0">
        <w:rPr>
          <w:rFonts w:ascii="Times New Roman" w:hAnsi="Times New Roman"/>
          <w:b w:val="0"/>
          <w:noProof w:val="0"/>
          <w:sz w:val="20"/>
          <w:lang w:val="en-GB"/>
        </w:rPr>
        <w:t>ISI</w:t>
      </w:r>
      <w:r w:rsidR="00F16B23">
        <w:rPr>
          <w:rFonts w:ascii="Times New Roman" w:hAnsi="Times New Roman"/>
          <w:b w:val="0"/>
          <w:noProof w:val="0"/>
          <w:sz w:val="20"/>
          <w:lang w:val="en-GB"/>
        </w:rPr>
        <w:t xml:space="preserve"> and actually degrade user experience and spectrum efficiency</w:t>
      </w:r>
      <w:r w:rsidRPr="00C236A0">
        <w:rPr>
          <w:rFonts w:ascii="Times New Roman" w:hAnsi="Times New Roman"/>
          <w:b w:val="0"/>
          <w:noProof w:val="0"/>
          <w:sz w:val="20"/>
          <w:lang w:val="en-GB"/>
        </w:rPr>
        <w:t xml:space="preserve">. </w:t>
      </w:r>
      <w:r w:rsidR="00F16B23">
        <w:rPr>
          <w:rFonts w:ascii="Times New Roman" w:hAnsi="Times New Roman"/>
          <w:b w:val="0"/>
          <w:noProof w:val="0"/>
          <w:sz w:val="20"/>
          <w:lang w:val="en-GB"/>
        </w:rPr>
        <w:t xml:space="preserve">On the other hand, </w:t>
      </w:r>
      <w:r w:rsidR="00F16B23" w:rsidRPr="00C236A0">
        <w:rPr>
          <w:rFonts w:ascii="Times New Roman" w:hAnsi="Times New Roman"/>
          <w:b w:val="0"/>
          <w:noProof w:val="0"/>
          <w:sz w:val="20"/>
          <w:lang w:val="en-GB"/>
        </w:rPr>
        <w:t>when this p</w:t>
      </w:r>
      <w:r w:rsidR="00F16B23">
        <w:rPr>
          <w:rFonts w:ascii="Times New Roman" w:hAnsi="Times New Roman"/>
          <w:b w:val="0"/>
          <w:noProof w:val="0"/>
          <w:sz w:val="20"/>
          <w:lang w:val="en-GB"/>
        </w:rPr>
        <w:t xml:space="preserve">roblem is not experienced, then a shorter CP would be appropriate. </w:t>
      </w:r>
    </w:p>
    <w:p w:rsidR="00C236A0" w:rsidRPr="00C236A0" w:rsidRDefault="00C236A0" w:rsidP="00C236A0">
      <w:pPr>
        <w:pStyle w:val="Header"/>
        <w:jc w:val="both"/>
        <w:rPr>
          <w:rFonts w:ascii="Times New Roman" w:hAnsi="Times New Roman"/>
          <w:b w:val="0"/>
          <w:noProof w:val="0"/>
          <w:sz w:val="20"/>
          <w:lang w:val="en-GB"/>
        </w:rPr>
      </w:pPr>
    </w:p>
    <w:p w:rsidR="00C236A0" w:rsidRPr="00B22D37" w:rsidRDefault="004657DB" w:rsidP="001D01B9">
      <w:pPr>
        <w:pStyle w:val="Header"/>
        <w:jc w:val="both"/>
        <w:rPr>
          <w:rFonts w:ascii="Times New Roman" w:hAnsi="Times New Roman"/>
          <w:noProof w:val="0"/>
          <w:sz w:val="20"/>
          <w:lang w:val="en-GB"/>
        </w:rPr>
      </w:pPr>
      <w:r w:rsidRPr="009452BD">
        <w:rPr>
          <w:rFonts w:ascii="Times New Roman" w:hAnsi="Times New Roman"/>
          <w:noProof w:val="0"/>
          <w:sz w:val="20"/>
          <w:u w:val="single"/>
          <w:lang w:val="en-GB"/>
        </w:rPr>
        <w:t>Observation</w:t>
      </w:r>
      <w:r w:rsidR="003A7D30">
        <w:rPr>
          <w:rFonts w:ascii="Times New Roman" w:hAnsi="Times New Roman"/>
          <w:noProof w:val="0"/>
          <w:sz w:val="20"/>
          <w:u w:val="single"/>
          <w:lang w:val="en-GB"/>
        </w:rPr>
        <w:t xml:space="preserve"> 1</w:t>
      </w:r>
      <w:r w:rsidRPr="009452BD">
        <w:rPr>
          <w:rFonts w:ascii="Times New Roman" w:hAnsi="Times New Roman"/>
          <w:noProof w:val="0"/>
          <w:sz w:val="20"/>
          <w:lang w:val="en-GB"/>
        </w:rPr>
        <w:t>:</w:t>
      </w:r>
      <w:r>
        <w:rPr>
          <w:rFonts w:ascii="Times New Roman" w:hAnsi="Times New Roman"/>
          <w:noProof w:val="0"/>
          <w:sz w:val="20"/>
          <w:lang w:val="en-GB"/>
        </w:rPr>
        <w:t xml:space="preserve"> </w:t>
      </w:r>
      <w:r w:rsidRPr="009452BD">
        <w:rPr>
          <w:rFonts w:ascii="Times New Roman" w:hAnsi="Times New Roman"/>
          <w:noProof w:val="0"/>
          <w:sz w:val="20"/>
          <w:lang w:val="en-GB"/>
        </w:rPr>
        <w:t>T</w:t>
      </w:r>
      <w:r w:rsidR="00C236A0" w:rsidRPr="009452BD">
        <w:rPr>
          <w:rFonts w:ascii="Times New Roman" w:hAnsi="Times New Roman"/>
          <w:noProof w:val="0"/>
          <w:sz w:val="20"/>
          <w:lang w:val="en-GB"/>
        </w:rPr>
        <w:t xml:space="preserve">he most optimal cyclic prefix to set for the radio interface may depend very much on the specific environment of the </w:t>
      </w:r>
      <w:r>
        <w:rPr>
          <w:rFonts w:ascii="Times New Roman" w:hAnsi="Times New Roman"/>
          <w:noProof w:val="0"/>
          <w:sz w:val="20"/>
          <w:lang w:val="en-GB"/>
        </w:rPr>
        <w:t>UE</w:t>
      </w:r>
      <w:r w:rsidRPr="009452BD">
        <w:rPr>
          <w:rFonts w:ascii="Times New Roman" w:hAnsi="Times New Roman"/>
          <w:noProof w:val="0"/>
          <w:sz w:val="20"/>
          <w:lang w:val="en-GB"/>
        </w:rPr>
        <w:t>.</w:t>
      </w:r>
      <w:r>
        <w:rPr>
          <w:rFonts w:ascii="Times New Roman" w:hAnsi="Times New Roman"/>
          <w:noProof w:val="0"/>
          <w:sz w:val="20"/>
          <w:lang w:val="en-GB"/>
        </w:rPr>
        <w:t xml:space="preserve"> </w:t>
      </w:r>
      <w:r w:rsidRPr="009452BD">
        <w:rPr>
          <w:rFonts w:ascii="Times New Roman" w:hAnsi="Times New Roman"/>
          <w:noProof w:val="0"/>
          <w:sz w:val="20"/>
          <w:lang w:val="en-GB"/>
        </w:rPr>
        <w:t>Being able to adapt the CP to suit the actual delay spread observed, this could help the link performance, and improve the end user experience.</w:t>
      </w:r>
    </w:p>
    <w:p w:rsidR="00B34A7B" w:rsidRDefault="00B34A7B" w:rsidP="001D01B9">
      <w:pPr>
        <w:pStyle w:val="Header"/>
        <w:jc w:val="both"/>
        <w:rPr>
          <w:rFonts w:ascii="Times New Roman" w:hAnsi="Times New Roman"/>
          <w:b w:val="0"/>
          <w:noProof w:val="0"/>
          <w:sz w:val="20"/>
          <w:lang w:val="en-GB"/>
        </w:rPr>
      </w:pPr>
    </w:p>
    <w:p w:rsidR="003015DE" w:rsidRPr="003015DE" w:rsidRDefault="003015DE" w:rsidP="001D01B9">
      <w:pPr>
        <w:pStyle w:val="Header"/>
        <w:jc w:val="both"/>
        <w:rPr>
          <w:rFonts w:ascii="Times New Roman" w:hAnsi="Times New Roman"/>
          <w:b w:val="0"/>
          <w:noProof w:val="0"/>
          <w:sz w:val="20"/>
          <w:lang w:val="en-US"/>
        </w:rPr>
      </w:pPr>
    </w:p>
    <w:p w:rsidR="00986BE4" w:rsidRPr="003A738E" w:rsidRDefault="00986BE4" w:rsidP="001D01B9">
      <w:pPr>
        <w:pStyle w:val="Header"/>
        <w:jc w:val="both"/>
        <w:rPr>
          <w:rFonts w:ascii="Times New Roman" w:hAnsi="Times New Roman"/>
          <w:b w:val="0"/>
          <w:noProof w:val="0"/>
          <w:sz w:val="6"/>
          <w:szCs w:val="6"/>
          <w:lang w:val="en-GB"/>
        </w:rPr>
      </w:pPr>
    </w:p>
    <w:p w:rsidR="00A24D8B" w:rsidRPr="00A24D8B" w:rsidRDefault="00E76D42" w:rsidP="00A24D8B">
      <w:pPr>
        <w:pStyle w:val="Heading1"/>
        <w:jc w:val="both"/>
      </w:pPr>
      <w:r>
        <w:lastRenderedPageBreak/>
        <w:t>3</w:t>
      </w:r>
      <w:r w:rsidR="00986BE4">
        <w:tab/>
      </w:r>
      <w:r w:rsidR="004E58CA">
        <w:t>Scenarios and use cases related to multiple CP lengths</w:t>
      </w:r>
    </w:p>
    <w:p w:rsidR="004E58CA" w:rsidRDefault="004E58CA" w:rsidP="004E58CA">
      <w:pPr>
        <w:jc w:val="both"/>
        <w:rPr>
          <w:szCs w:val="22"/>
        </w:rPr>
      </w:pPr>
      <w:r w:rsidRPr="004E58CA">
        <w:rPr>
          <w:szCs w:val="22"/>
        </w:rPr>
        <w:t>Operators in general are in favour of having multiple CP lengths per numerology. For the sake of spectral efficiency, there should be a normal scaled CP ensuring a target CP overhead of 7-8% of the OFDM symbol duration for all the different Sub-Carrier-Spacing (SCS).  We call it normal CP in reference to LTE. For catering special use cases where both high SCS and large delay spread occur, CP lengths larger than the normal CP (e.g., “extended”</w:t>
      </w:r>
      <w:r w:rsidR="005C50BD">
        <w:rPr>
          <w:szCs w:val="22"/>
        </w:rPr>
        <w:t xml:space="preserve"> </w:t>
      </w:r>
      <w:r w:rsidRPr="004E58CA">
        <w:rPr>
          <w:szCs w:val="22"/>
        </w:rPr>
        <w:t>CP) should be introduced.</w:t>
      </w:r>
    </w:p>
    <w:p w:rsidR="004E58CA" w:rsidRPr="004E58CA" w:rsidRDefault="004E58CA" w:rsidP="004E58CA">
      <w:pPr>
        <w:jc w:val="both"/>
        <w:rPr>
          <w:szCs w:val="22"/>
        </w:rPr>
      </w:pPr>
      <w:r>
        <w:rPr>
          <w:szCs w:val="22"/>
        </w:rPr>
        <w:t>Examples:</w:t>
      </w:r>
    </w:p>
    <w:p w:rsidR="004E58CA" w:rsidRPr="000335D1" w:rsidRDefault="004E58CA" w:rsidP="005C199E">
      <w:pPr>
        <w:pStyle w:val="ListParagraph"/>
        <w:numPr>
          <w:ilvl w:val="0"/>
          <w:numId w:val="19"/>
        </w:numPr>
        <w:jc w:val="both"/>
        <w:rPr>
          <w:szCs w:val="22"/>
        </w:rPr>
      </w:pPr>
      <w:r w:rsidRPr="004E58CA">
        <w:rPr>
          <w:szCs w:val="22"/>
        </w:rPr>
        <w:t xml:space="preserve">Catering verticals' need on URLLC with our existing macro deployment in low frequency band, e.g., </w:t>
      </w:r>
      <w:r w:rsidR="008C2C0C">
        <w:rPr>
          <w:szCs w:val="22"/>
        </w:rPr>
        <w:t>900</w:t>
      </w:r>
      <w:r w:rsidRPr="004E58CA">
        <w:rPr>
          <w:szCs w:val="22"/>
        </w:rPr>
        <w:t>MHz (large delay spread, large SCS)</w:t>
      </w:r>
      <w:r w:rsidR="00D35D56">
        <w:rPr>
          <w:szCs w:val="22"/>
        </w:rPr>
        <w:t xml:space="preserve">. A </w:t>
      </w:r>
      <w:r w:rsidR="00D35D56">
        <w:rPr>
          <w:kern w:val="2"/>
          <w:lang w:eastAsia="zh-CN"/>
        </w:rPr>
        <w:t xml:space="preserve">maximum </w:t>
      </w:r>
      <w:r w:rsidR="008C2C0C">
        <w:rPr>
          <w:kern w:val="2"/>
          <w:lang w:eastAsia="zh-CN"/>
        </w:rPr>
        <w:t>RMS</w:t>
      </w:r>
      <w:r w:rsidR="00D35D56">
        <w:rPr>
          <w:kern w:val="2"/>
          <w:lang w:eastAsia="zh-CN"/>
        </w:rPr>
        <w:t xml:space="preserve"> delay spread of 2</w:t>
      </w:r>
      <w:r w:rsidR="00D35D56" w:rsidRPr="00024CBE">
        <w:rPr>
          <w:i/>
          <w:kern w:val="2"/>
          <w:lang w:eastAsia="zh-CN"/>
        </w:rPr>
        <w:t>us</w:t>
      </w:r>
      <w:r w:rsidR="00D35D56">
        <w:rPr>
          <w:kern w:val="2"/>
          <w:lang w:eastAsia="zh-CN"/>
        </w:rPr>
        <w:t xml:space="preserve"> in urban, suburban and rural environments is measured around 900MHz bands </w:t>
      </w:r>
      <w:r w:rsidR="00D35D56">
        <w:rPr>
          <w:kern w:val="2"/>
          <w:lang w:eastAsia="zh-CN"/>
        </w:rPr>
        <w:fldChar w:fldCharType="begin"/>
      </w:r>
      <w:r w:rsidR="00D35D56">
        <w:rPr>
          <w:kern w:val="2"/>
          <w:lang w:eastAsia="zh-CN"/>
        </w:rPr>
        <w:instrText xml:space="preserve"> REF _Ref462494340 \r \h </w:instrText>
      </w:r>
      <w:r w:rsidR="00D35D56">
        <w:rPr>
          <w:kern w:val="2"/>
          <w:lang w:eastAsia="zh-CN"/>
        </w:rPr>
      </w:r>
      <w:r w:rsidR="00D35D56">
        <w:rPr>
          <w:kern w:val="2"/>
          <w:lang w:eastAsia="zh-CN"/>
        </w:rPr>
        <w:fldChar w:fldCharType="separate"/>
      </w:r>
      <w:r w:rsidR="00D35D56">
        <w:rPr>
          <w:kern w:val="2"/>
          <w:lang w:eastAsia="zh-CN"/>
        </w:rPr>
        <w:t>[4]</w:t>
      </w:r>
      <w:r w:rsidR="00D35D56">
        <w:rPr>
          <w:kern w:val="2"/>
          <w:lang w:eastAsia="zh-CN"/>
        </w:rPr>
        <w:fldChar w:fldCharType="end"/>
      </w:r>
      <w:r w:rsidR="00D35D56">
        <w:rPr>
          <w:kern w:val="2"/>
          <w:lang w:eastAsia="zh-CN"/>
        </w:rPr>
        <w:t xml:space="preserve">. However, for </w:t>
      </w:r>
      <w:r w:rsidR="00D35D56" w:rsidRPr="0071312D">
        <w:rPr>
          <w:rFonts w:hint="eastAsia"/>
          <w:kern w:val="2"/>
          <w:lang w:eastAsia="zh-CN"/>
        </w:rPr>
        <w:t>60</w:t>
      </w:r>
      <w:r w:rsidR="00D35D56">
        <w:rPr>
          <w:kern w:val="2"/>
          <w:lang w:eastAsia="zh-CN"/>
        </w:rPr>
        <w:t xml:space="preserve"> </w:t>
      </w:r>
      <w:r w:rsidR="00D35D56" w:rsidRPr="0071312D">
        <w:rPr>
          <w:rFonts w:hint="eastAsia"/>
          <w:kern w:val="2"/>
          <w:lang w:eastAsia="zh-CN"/>
        </w:rPr>
        <w:t xml:space="preserve">kHz </w:t>
      </w:r>
      <w:r w:rsidR="00D35D56">
        <w:rPr>
          <w:kern w:val="2"/>
          <w:lang w:eastAsia="zh-CN"/>
        </w:rPr>
        <w:t xml:space="preserve">subcarrier spacing the </w:t>
      </w:r>
      <w:r w:rsidR="00D35D56" w:rsidRPr="0071312D">
        <w:rPr>
          <w:rFonts w:hint="eastAsia"/>
          <w:kern w:val="2"/>
          <w:lang w:eastAsia="zh-CN"/>
        </w:rPr>
        <w:t>NCP</w:t>
      </w:r>
      <w:r w:rsidR="00D35D56">
        <w:rPr>
          <w:rFonts w:hint="eastAsia"/>
          <w:kern w:val="2"/>
          <w:lang w:eastAsia="zh-CN"/>
        </w:rPr>
        <w:t xml:space="preserve"> </w:t>
      </w:r>
      <w:r w:rsidR="00D35D56">
        <w:rPr>
          <w:kern w:val="2"/>
          <w:lang w:eastAsia="zh-CN"/>
        </w:rPr>
        <w:t xml:space="preserve">will be equal to </w:t>
      </w:r>
      <w:r w:rsidR="00D35D56" w:rsidRPr="00D35D56">
        <w:rPr>
          <w:kern w:val="2"/>
          <w:lang w:eastAsia="zh-CN"/>
        </w:rPr>
        <w:t>1.3</w:t>
      </w:r>
      <w:r w:rsidR="00D35D56" w:rsidRPr="00D35D56">
        <w:rPr>
          <w:rFonts w:hint="eastAsia"/>
          <w:kern w:val="2"/>
          <w:lang w:eastAsia="zh-CN"/>
        </w:rPr>
        <w:t>/1</w:t>
      </w:r>
      <w:r w:rsidR="00D35D56" w:rsidRPr="00D35D56">
        <w:rPr>
          <w:kern w:val="2"/>
          <w:lang w:eastAsia="zh-CN"/>
        </w:rPr>
        <w:t>.17</w:t>
      </w:r>
      <w:r w:rsidR="00D35D56" w:rsidRPr="005C199E">
        <w:rPr>
          <w:i/>
          <w:kern w:val="2"/>
          <w:lang w:eastAsia="zh-CN"/>
        </w:rPr>
        <w:t>us</w:t>
      </w:r>
      <w:r w:rsidR="00D35D56">
        <w:rPr>
          <w:kern w:val="2"/>
          <w:lang w:eastAsia="zh-CN"/>
        </w:rPr>
        <w:t xml:space="preserve"> which is much lower than the measured 2</w:t>
      </w:r>
      <w:r w:rsidR="00D35D56" w:rsidRPr="005C199E">
        <w:rPr>
          <w:i/>
          <w:kern w:val="2"/>
          <w:lang w:eastAsia="zh-CN"/>
        </w:rPr>
        <w:t>us</w:t>
      </w:r>
      <w:r w:rsidR="00D35D56">
        <w:rPr>
          <w:kern w:val="2"/>
          <w:lang w:eastAsia="zh-CN"/>
        </w:rPr>
        <w:t>.</w:t>
      </w:r>
      <w:r w:rsidRPr="000335D1">
        <w:rPr>
          <w:szCs w:val="22"/>
        </w:rPr>
        <w:t xml:space="preserve">             </w:t>
      </w:r>
    </w:p>
    <w:p w:rsidR="004E58CA" w:rsidRPr="004E58CA" w:rsidRDefault="004E58CA" w:rsidP="004E58CA">
      <w:pPr>
        <w:pStyle w:val="ListParagraph"/>
        <w:numPr>
          <w:ilvl w:val="0"/>
          <w:numId w:val="19"/>
        </w:numPr>
        <w:jc w:val="both"/>
        <w:rPr>
          <w:szCs w:val="22"/>
        </w:rPr>
      </w:pPr>
      <w:r w:rsidRPr="004E58CA">
        <w:rPr>
          <w:szCs w:val="22"/>
        </w:rPr>
        <w:t xml:space="preserve">Providing extreme long range with some mobility (large delay spread, </w:t>
      </w:r>
      <w:r w:rsidR="008C2C0C">
        <w:rPr>
          <w:szCs w:val="22"/>
        </w:rPr>
        <w:t>medium</w:t>
      </w:r>
      <w:r w:rsidRPr="004E58CA">
        <w:rPr>
          <w:szCs w:val="22"/>
        </w:rPr>
        <w:t xml:space="preserve"> SCS</w:t>
      </w:r>
      <w:r w:rsidR="008C2C0C">
        <w:rPr>
          <w:szCs w:val="22"/>
        </w:rPr>
        <w:t xml:space="preserve"> to </w:t>
      </w:r>
      <w:r w:rsidR="0023438F">
        <w:rPr>
          <w:szCs w:val="22"/>
        </w:rPr>
        <w:t>offer a good trade</w:t>
      </w:r>
      <w:r w:rsidR="00483BB8">
        <w:rPr>
          <w:szCs w:val="22"/>
        </w:rPr>
        <w:t>-</w:t>
      </w:r>
      <w:r w:rsidR="0023438F">
        <w:rPr>
          <w:szCs w:val="22"/>
        </w:rPr>
        <w:t>off between CP overhead and</w:t>
      </w:r>
      <w:r w:rsidR="008C2C0C">
        <w:rPr>
          <w:szCs w:val="22"/>
        </w:rPr>
        <w:t xml:space="preserve"> robust</w:t>
      </w:r>
      <w:r w:rsidR="0023438F">
        <w:rPr>
          <w:szCs w:val="22"/>
        </w:rPr>
        <w:t>ness</w:t>
      </w:r>
      <w:r w:rsidR="008C2C0C">
        <w:rPr>
          <w:szCs w:val="22"/>
        </w:rPr>
        <w:t xml:space="preserve"> to mobility around 160 km/h</w:t>
      </w:r>
      <w:r w:rsidRPr="004E58CA">
        <w:rPr>
          <w:szCs w:val="22"/>
        </w:rPr>
        <w:t>)</w:t>
      </w:r>
    </w:p>
    <w:p w:rsidR="004E58CA" w:rsidRPr="004E58CA" w:rsidRDefault="004E58CA" w:rsidP="004E58CA">
      <w:pPr>
        <w:pStyle w:val="ListParagraph"/>
        <w:numPr>
          <w:ilvl w:val="0"/>
          <w:numId w:val="19"/>
        </w:numPr>
        <w:jc w:val="both"/>
        <w:rPr>
          <w:szCs w:val="22"/>
        </w:rPr>
      </w:pPr>
      <w:r w:rsidRPr="004E58CA">
        <w:rPr>
          <w:szCs w:val="22"/>
        </w:rPr>
        <w:t xml:space="preserve">Catering rural deployment with high mobility </w:t>
      </w:r>
      <w:r w:rsidR="0023438F">
        <w:rPr>
          <w:szCs w:val="22"/>
        </w:rPr>
        <w:t xml:space="preserve">with </w:t>
      </w:r>
      <w:r w:rsidRPr="004E58CA">
        <w:rPr>
          <w:szCs w:val="22"/>
        </w:rPr>
        <w:t xml:space="preserve">ISD = </w:t>
      </w:r>
      <w:r w:rsidR="0023438F">
        <w:rPr>
          <w:szCs w:val="22"/>
        </w:rPr>
        <w:t>1732/</w:t>
      </w:r>
      <w:r w:rsidRPr="004E58CA">
        <w:rPr>
          <w:szCs w:val="22"/>
        </w:rPr>
        <w:t>5000m  (high SCS, large delay spread)</w:t>
      </w:r>
    </w:p>
    <w:p w:rsidR="004E58CA" w:rsidRDefault="004E58CA" w:rsidP="004E58CA">
      <w:pPr>
        <w:pStyle w:val="ListParagraph"/>
        <w:numPr>
          <w:ilvl w:val="0"/>
          <w:numId w:val="19"/>
        </w:numPr>
        <w:jc w:val="both"/>
        <w:rPr>
          <w:szCs w:val="22"/>
        </w:rPr>
      </w:pPr>
      <w:r w:rsidRPr="004E58CA">
        <w:rPr>
          <w:szCs w:val="22"/>
        </w:rPr>
        <w:t xml:space="preserve">Providing </w:t>
      </w:r>
      <w:proofErr w:type="spellStart"/>
      <w:r w:rsidRPr="004E58CA">
        <w:rPr>
          <w:szCs w:val="22"/>
        </w:rPr>
        <w:t>eMBB</w:t>
      </w:r>
      <w:proofErr w:type="spellEnd"/>
      <w:r w:rsidRPr="004E58CA">
        <w:rPr>
          <w:szCs w:val="22"/>
        </w:rPr>
        <w:t xml:space="preserve"> services with low latency (high SCS) for high speed users (example: VR gaming in a train or car). The V2V studies show that the scaled normal CP would not be large enough.</w:t>
      </w:r>
      <w:r>
        <w:rPr>
          <w:szCs w:val="22"/>
        </w:rPr>
        <w:t xml:space="preserve"> </w:t>
      </w:r>
    </w:p>
    <w:p w:rsidR="00B941C7" w:rsidRPr="00B941C7" w:rsidRDefault="00B941C7" w:rsidP="00B941C7">
      <w:pPr>
        <w:pStyle w:val="ListParagraph"/>
        <w:numPr>
          <w:ilvl w:val="0"/>
          <w:numId w:val="19"/>
        </w:numPr>
        <w:jc w:val="both"/>
        <w:rPr>
          <w:szCs w:val="22"/>
        </w:rPr>
      </w:pPr>
      <w:r w:rsidRPr="004E58CA">
        <w:rPr>
          <w:szCs w:val="22"/>
        </w:rPr>
        <w:t xml:space="preserve">Providing coverage in </w:t>
      </w:r>
      <w:proofErr w:type="spellStart"/>
      <w:r w:rsidRPr="004E58CA">
        <w:rPr>
          <w:szCs w:val="22"/>
        </w:rPr>
        <w:t>mmW</w:t>
      </w:r>
      <w:r w:rsidR="00483BB8">
        <w:rPr>
          <w:szCs w:val="22"/>
        </w:rPr>
        <w:t>ave</w:t>
      </w:r>
      <w:proofErr w:type="spellEnd"/>
      <w:r w:rsidRPr="004E58CA">
        <w:rPr>
          <w:szCs w:val="22"/>
        </w:rPr>
        <w:t xml:space="preserve"> </w:t>
      </w:r>
      <w:r w:rsidR="008C2C0C">
        <w:rPr>
          <w:szCs w:val="22"/>
        </w:rPr>
        <w:t xml:space="preserve">as for </w:t>
      </w:r>
      <w:r w:rsidRPr="004E58CA">
        <w:rPr>
          <w:szCs w:val="22"/>
        </w:rPr>
        <w:t>low frequency band (medium delay spread, high SCS)</w:t>
      </w:r>
    </w:p>
    <w:p w:rsidR="004E58CA" w:rsidRPr="004E58CA" w:rsidRDefault="004E58CA" w:rsidP="004E58CA">
      <w:pPr>
        <w:jc w:val="both"/>
        <w:rPr>
          <w:szCs w:val="22"/>
        </w:rPr>
      </w:pPr>
      <w:r w:rsidRPr="004E58CA">
        <w:rPr>
          <w:szCs w:val="22"/>
        </w:rPr>
        <w:t xml:space="preserve">Conversely, there are cases where a scaled normal CP </w:t>
      </w:r>
      <w:r w:rsidR="008C2C0C">
        <w:rPr>
          <w:szCs w:val="22"/>
        </w:rPr>
        <w:t>may</w:t>
      </w:r>
      <w:r w:rsidRPr="004E58CA">
        <w:rPr>
          <w:szCs w:val="22"/>
        </w:rPr>
        <w:t xml:space="preserve"> be too large and a waste of spectrum for example:</w:t>
      </w:r>
    </w:p>
    <w:p w:rsidR="004E58CA" w:rsidRPr="000335D1" w:rsidRDefault="004E58CA" w:rsidP="005C199E">
      <w:pPr>
        <w:pStyle w:val="ListParagraph"/>
        <w:numPr>
          <w:ilvl w:val="0"/>
          <w:numId w:val="20"/>
        </w:numPr>
        <w:jc w:val="both"/>
        <w:rPr>
          <w:szCs w:val="22"/>
        </w:rPr>
      </w:pPr>
      <w:r w:rsidRPr="004E58CA">
        <w:rPr>
          <w:szCs w:val="22"/>
        </w:rPr>
        <w:t>Catering services with different beam</w:t>
      </w:r>
      <w:r w:rsidR="008C2C0C">
        <w:rPr>
          <w:szCs w:val="22"/>
        </w:rPr>
        <w:t>-</w:t>
      </w:r>
      <w:r w:rsidRPr="004E58CA">
        <w:rPr>
          <w:szCs w:val="22"/>
        </w:rPr>
        <w:t xml:space="preserve">width (delay spread will be reduced by narrowing the beam). </w:t>
      </w:r>
      <w:r w:rsidRPr="00823F51">
        <w:rPr>
          <w:szCs w:val="22"/>
        </w:rPr>
        <w:t xml:space="preserve">As an example, for 30 kHz sub-carrier spacing there would be 28(14*2) symbols per 1ms </w:t>
      </w:r>
      <w:proofErr w:type="spellStart"/>
      <w:r w:rsidRPr="00823F51">
        <w:rPr>
          <w:szCs w:val="22"/>
        </w:rPr>
        <w:t>subframe</w:t>
      </w:r>
      <w:proofErr w:type="spellEnd"/>
      <w:r w:rsidRPr="00823F51">
        <w:rPr>
          <w:szCs w:val="22"/>
        </w:rPr>
        <w:t xml:space="preserve"> with normal CP. </w:t>
      </w:r>
      <w:r w:rsidR="00923DFF">
        <w:rPr>
          <w:szCs w:val="22"/>
        </w:rPr>
        <w:t xml:space="preserve">Adopting a </w:t>
      </w:r>
      <w:r w:rsidR="00C264D8">
        <w:rPr>
          <w:szCs w:val="22"/>
        </w:rPr>
        <w:t>r</w:t>
      </w:r>
      <w:r w:rsidR="00923DFF">
        <w:rPr>
          <w:szCs w:val="22"/>
        </w:rPr>
        <w:t xml:space="preserve">educed CP </w:t>
      </w:r>
      <w:r w:rsidRPr="00C264D8">
        <w:rPr>
          <w:szCs w:val="22"/>
        </w:rPr>
        <w:t xml:space="preserve">with 50% would allow for 29 symbols per </w:t>
      </w:r>
      <w:proofErr w:type="spellStart"/>
      <w:r w:rsidRPr="00C264D8">
        <w:rPr>
          <w:szCs w:val="22"/>
        </w:rPr>
        <w:t>subframe</w:t>
      </w:r>
      <w:proofErr w:type="spellEnd"/>
      <w:r w:rsidRPr="00C264D8">
        <w:rPr>
          <w:szCs w:val="22"/>
        </w:rPr>
        <w:t xml:space="preserve"> and so on for larger SCS we can have even more symbols fit in one </w:t>
      </w:r>
      <w:proofErr w:type="spellStart"/>
      <w:r w:rsidRPr="00C264D8">
        <w:rPr>
          <w:szCs w:val="22"/>
        </w:rPr>
        <w:t>subframe</w:t>
      </w:r>
      <w:proofErr w:type="spellEnd"/>
      <w:r w:rsidRPr="00C264D8">
        <w:rPr>
          <w:szCs w:val="22"/>
        </w:rPr>
        <w:t>.</w:t>
      </w:r>
    </w:p>
    <w:p w:rsidR="004E58CA" w:rsidRPr="005C199E" w:rsidRDefault="00823F51" w:rsidP="004E58CA">
      <w:pPr>
        <w:jc w:val="both"/>
        <w:rPr>
          <w:b/>
        </w:rPr>
      </w:pPr>
      <w:r w:rsidRPr="003A7D30">
        <w:rPr>
          <w:b/>
          <w:u w:val="single"/>
        </w:rPr>
        <w:t>Observation</w:t>
      </w:r>
      <w:r>
        <w:rPr>
          <w:b/>
          <w:u w:val="single"/>
        </w:rPr>
        <w:t xml:space="preserve"> 2</w:t>
      </w:r>
      <w:r w:rsidRPr="003A7D30">
        <w:rPr>
          <w:b/>
        </w:rPr>
        <w:t xml:space="preserve">: </w:t>
      </w:r>
      <w:r w:rsidR="00C264D8">
        <w:rPr>
          <w:b/>
        </w:rPr>
        <w:t>Multiple</w:t>
      </w:r>
      <w:r>
        <w:rPr>
          <w:b/>
        </w:rPr>
        <w:t xml:space="preserve"> values of CP </w:t>
      </w:r>
      <w:r w:rsidR="00C264D8">
        <w:rPr>
          <w:b/>
        </w:rPr>
        <w:t xml:space="preserve">length </w:t>
      </w:r>
      <w:r>
        <w:rPr>
          <w:b/>
        </w:rPr>
        <w:t xml:space="preserve">per numerology, i.e., </w:t>
      </w:r>
      <w:r w:rsidRPr="00FF4172">
        <w:rPr>
          <w:b/>
        </w:rPr>
        <w:t>Reduced CP, Normal CP and Extended CP</w:t>
      </w:r>
      <w:r>
        <w:rPr>
          <w:b/>
        </w:rPr>
        <w:t>, may help to optimize the CP overhead with respect to the UE experienced delay spread and service.</w:t>
      </w:r>
    </w:p>
    <w:p w:rsidR="004E58CA" w:rsidRPr="005C199E" w:rsidRDefault="0023438F" w:rsidP="004E58CA">
      <w:pPr>
        <w:jc w:val="both"/>
        <w:rPr>
          <w:b/>
          <w:szCs w:val="22"/>
        </w:rPr>
      </w:pPr>
      <w:r w:rsidRPr="005C199E">
        <w:rPr>
          <w:b/>
          <w:szCs w:val="22"/>
          <w:u w:val="single"/>
        </w:rPr>
        <w:t>Proposal 1:</w:t>
      </w:r>
      <w:r w:rsidRPr="005C199E">
        <w:rPr>
          <w:b/>
          <w:szCs w:val="22"/>
        </w:rPr>
        <w:t xml:space="preserve"> </w:t>
      </w:r>
      <w:r w:rsidR="00C264D8">
        <w:rPr>
          <w:b/>
          <w:szCs w:val="22"/>
        </w:rPr>
        <w:t xml:space="preserve">NR should support ECP for </w:t>
      </w:r>
      <w:proofErr w:type="spellStart"/>
      <w:r w:rsidR="00C264D8">
        <w:rPr>
          <w:b/>
          <w:szCs w:val="22"/>
        </w:rPr>
        <w:t>eMBB</w:t>
      </w:r>
      <w:proofErr w:type="spellEnd"/>
      <w:r w:rsidR="00C264D8">
        <w:rPr>
          <w:b/>
          <w:szCs w:val="22"/>
        </w:rPr>
        <w:t xml:space="preserve"> and low latency </w:t>
      </w:r>
      <w:proofErr w:type="spellStart"/>
      <w:r w:rsidR="00C264D8">
        <w:rPr>
          <w:b/>
          <w:szCs w:val="22"/>
        </w:rPr>
        <w:t>usecases</w:t>
      </w:r>
      <w:proofErr w:type="spellEnd"/>
      <w:r w:rsidR="00C264D8">
        <w:rPr>
          <w:b/>
          <w:szCs w:val="22"/>
        </w:rPr>
        <w:t xml:space="preserve">. </w:t>
      </w:r>
      <w:r w:rsidR="008C2C0C" w:rsidRPr="005C199E">
        <w:rPr>
          <w:b/>
          <w:szCs w:val="22"/>
        </w:rPr>
        <w:t>T</w:t>
      </w:r>
      <w:r w:rsidR="004E58CA" w:rsidRPr="005C199E">
        <w:rPr>
          <w:b/>
          <w:szCs w:val="22"/>
        </w:rPr>
        <w:t xml:space="preserve">he </w:t>
      </w:r>
      <w:r w:rsidRPr="005C199E">
        <w:rPr>
          <w:b/>
          <w:szCs w:val="22"/>
        </w:rPr>
        <w:t xml:space="preserve">representative </w:t>
      </w:r>
      <w:r w:rsidR="004E58CA" w:rsidRPr="005C199E">
        <w:rPr>
          <w:b/>
          <w:szCs w:val="22"/>
        </w:rPr>
        <w:t>value of the</w:t>
      </w:r>
      <w:r w:rsidRPr="005C199E">
        <w:rPr>
          <w:b/>
          <w:szCs w:val="22"/>
        </w:rPr>
        <w:t xml:space="preserve"> delay spread related to the </w:t>
      </w:r>
      <w:r>
        <w:rPr>
          <w:b/>
          <w:szCs w:val="22"/>
        </w:rPr>
        <w:t>afore</w:t>
      </w:r>
      <w:r w:rsidRPr="005C199E">
        <w:rPr>
          <w:b/>
          <w:szCs w:val="22"/>
        </w:rPr>
        <w:t>mentioned scenarios should be investigated</w:t>
      </w:r>
      <w:r>
        <w:rPr>
          <w:b/>
          <w:szCs w:val="22"/>
        </w:rPr>
        <w:t xml:space="preserve"> </w:t>
      </w:r>
      <w:r w:rsidR="00823F51">
        <w:rPr>
          <w:b/>
          <w:szCs w:val="22"/>
        </w:rPr>
        <w:t xml:space="preserve">in order to select the </w:t>
      </w:r>
      <w:r w:rsidR="00C264D8">
        <w:rPr>
          <w:b/>
          <w:szCs w:val="22"/>
        </w:rPr>
        <w:t xml:space="preserve">appropriate </w:t>
      </w:r>
      <w:r w:rsidR="00823F51">
        <w:rPr>
          <w:b/>
          <w:szCs w:val="22"/>
        </w:rPr>
        <w:t>ECP values per numerology in phase 1</w:t>
      </w:r>
      <w:r>
        <w:rPr>
          <w:b/>
          <w:szCs w:val="22"/>
        </w:rPr>
        <w:t>.</w:t>
      </w:r>
    </w:p>
    <w:p w:rsidR="003A7D30" w:rsidRDefault="00FF4172" w:rsidP="004E58CA">
      <w:pPr>
        <w:jc w:val="both"/>
        <w:rPr>
          <w:b/>
        </w:rPr>
      </w:pPr>
      <w:r w:rsidRPr="005C199E">
        <w:rPr>
          <w:b/>
          <w:u w:val="single"/>
        </w:rPr>
        <w:t>Proposal</w:t>
      </w:r>
      <w:r>
        <w:rPr>
          <w:b/>
          <w:u w:val="single"/>
        </w:rPr>
        <w:t xml:space="preserve"> 2</w:t>
      </w:r>
      <w:r w:rsidRPr="005C199E">
        <w:rPr>
          <w:b/>
          <w:u w:val="single"/>
        </w:rPr>
        <w:t>:</w:t>
      </w:r>
      <w:r>
        <w:rPr>
          <w:b/>
        </w:rPr>
        <w:t xml:space="preserve"> </w:t>
      </w:r>
      <w:r w:rsidR="00C264D8">
        <w:rPr>
          <w:b/>
        </w:rPr>
        <w:t>Multiple</w:t>
      </w:r>
      <w:r>
        <w:rPr>
          <w:b/>
        </w:rPr>
        <w:t xml:space="preserve"> CP</w:t>
      </w:r>
      <w:r w:rsidR="00C264D8">
        <w:rPr>
          <w:b/>
        </w:rPr>
        <w:t xml:space="preserve"> lengths</w:t>
      </w:r>
      <w:r>
        <w:rPr>
          <w:b/>
        </w:rPr>
        <w:t xml:space="preserve"> per numerology should be defined </w:t>
      </w:r>
      <w:r w:rsidR="003A7D30" w:rsidRPr="003A7D30">
        <w:rPr>
          <w:b/>
        </w:rPr>
        <w:t xml:space="preserve">for </w:t>
      </w:r>
      <w:proofErr w:type="spellStart"/>
      <w:r w:rsidR="003A7D30" w:rsidRPr="003A7D30">
        <w:rPr>
          <w:b/>
        </w:rPr>
        <w:t>eMBB</w:t>
      </w:r>
      <w:proofErr w:type="spellEnd"/>
      <w:r w:rsidR="003A7D30" w:rsidRPr="003A7D30">
        <w:rPr>
          <w:b/>
        </w:rPr>
        <w:t xml:space="preserve"> and URLLC use cases to support different</w:t>
      </w:r>
      <w:r w:rsidR="00823F51">
        <w:rPr>
          <w:b/>
        </w:rPr>
        <w:t xml:space="preserve"> </w:t>
      </w:r>
      <w:r w:rsidR="003A7D30" w:rsidRPr="003A7D30">
        <w:rPr>
          <w:b/>
        </w:rPr>
        <w:t>scenarios</w:t>
      </w:r>
      <w:r>
        <w:rPr>
          <w:b/>
        </w:rPr>
        <w:t xml:space="preserve"> and delay spread</w:t>
      </w:r>
      <w:r w:rsidR="00823F51">
        <w:rPr>
          <w:b/>
        </w:rPr>
        <w:t xml:space="preserve"> in phase 1 (and</w:t>
      </w:r>
      <w:r w:rsidR="00C264D8">
        <w:rPr>
          <w:b/>
        </w:rPr>
        <w:t xml:space="preserve"> later phases</w:t>
      </w:r>
      <w:r w:rsidR="003A7D30" w:rsidRPr="003A7D30">
        <w:rPr>
          <w:b/>
        </w:rPr>
        <w:t>.</w:t>
      </w:r>
    </w:p>
    <w:p w:rsidR="003A7D30" w:rsidRDefault="003A7D30" w:rsidP="003A7D30">
      <w:pPr>
        <w:pStyle w:val="Header"/>
        <w:jc w:val="both"/>
        <w:rPr>
          <w:rFonts w:ascii="Times New Roman" w:hAnsi="Times New Roman"/>
          <w:noProof w:val="0"/>
          <w:sz w:val="20"/>
          <w:lang w:val="en-GB"/>
        </w:rPr>
      </w:pPr>
      <w:r w:rsidRPr="003A7D30">
        <w:rPr>
          <w:rFonts w:ascii="Times New Roman" w:hAnsi="Times New Roman"/>
          <w:noProof w:val="0"/>
          <w:sz w:val="20"/>
          <w:u w:val="single"/>
          <w:lang w:val="en-GB"/>
        </w:rPr>
        <w:t>Proposal</w:t>
      </w:r>
      <w:r w:rsidR="008C2C0C">
        <w:rPr>
          <w:rFonts w:ascii="Times New Roman" w:hAnsi="Times New Roman"/>
          <w:noProof w:val="0"/>
          <w:sz w:val="20"/>
          <w:u w:val="single"/>
          <w:lang w:val="en-GB"/>
        </w:rPr>
        <w:t xml:space="preserve"> </w:t>
      </w:r>
      <w:r w:rsidR="00FF4172">
        <w:rPr>
          <w:rFonts w:ascii="Times New Roman" w:hAnsi="Times New Roman"/>
          <w:noProof w:val="0"/>
          <w:sz w:val="20"/>
          <w:u w:val="single"/>
          <w:lang w:val="en-GB"/>
        </w:rPr>
        <w:t>3</w:t>
      </w:r>
      <w:r w:rsidRPr="003A7D30">
        <w:rPr>
          <w:rFonts w:ascii="Times New Roman" w:hAnsi="Times New Roman"/>
          <w:noProof w:val="0"/>
          <w:sz w:val="20"/>
          <w:u w:val="single"/>
          <w:lang w:val="en-GB"/>
        </w:rPr>
        <w:t>:</w:t>
      </w:r>
      <w:r w:rsidRPr="003A7D30">
        <w:rPr>
          <w:rFonts w:ascii="Times New Roman" w:hAnsi="Times New Roman"/>
          <w:noProof w:val="0"/>
          <w:sz w:val="20"/>
          <w:lang w:val="en-GB"/>
        </w:rPr>
        <w:t xml:space="preserve"> More than one CP</w:t>
      </w:r>
      <w:r w:rsidR="00823F51">
        <w:rPr>
          <w:rFonts w:ascii="Times New Roman" w:hAnsi="Times New Roman"/>
          <w:noProof w:val="0"/>
          <w:sz w:val="20"/>
          <w:lang w:val="en-GB"/>
        </w:rPr>
        <w:t xml:space="preserve"> lengths</w:t>
      </w:r>
      <w:r w:rsidR="00FF4172">
        <w:rPr>
          <w:rFonts w:ascii="Times New Roman" w:hAnsi="Times New Roman"/>
          <w:noProof w:val="0"/>
          <w:sz w:val="20"/>
          <w:lang w:val="en-GB"/>
        </w:rPr>
        <w:t xml:space="preserve"> can be </w:t>
      </w:r>
      <w:r w:rsidRPr="003A7D30">
        <w:rPr>
          <w:rFonts w:ascii="Times New Roman" w:hAnsi="Times New Roman"/>
          <w:noProof w:val="0"/>
          <w:sz w:val="20"/>
          <w:lang w:val="en-GB"/>
        </w:rPr>
        <w:t xml:space="preserve">operated within a cell in both uplink and downlink for </w:t>
      </w:r>
      <w:proofErr w:type="spellStart"/>
      <w:r w:rsidRPr="003A7D30">
        <w:rPr>
          <w:rFonts w:ascii="Times New Roman" w:hAnsi="Times New Roman"/>
          <w:noProof w:val="0"/>
          <w:sz w:val="20"/>
          <w:lang w:val="en-GB"/>
        </w:rPr>
        <w:t>eMBB</w:t>
      </w:r>
      <w:proofErr w:type="spellEnd"/>
      <w:r w:rsidRPr="003A7D30">
        <w:rPr>
          <w:rFonts w:ascii="Times New Roman" w:hAnsi="Times New Roman"/>
          <w:noProof w:val="0"/>
          <w:sz w:val="20"/>
          <w:lang w:val="en-GB"/>
        </w:rPr>
        <w:t xml:space="preserve"> and URLLC use cases in</w:t>
      </w:r>
      <w:r w:rsidR="00FF4172">
        <w:rPr>
          <w:rFonts w:ascii="Times New Roman" w:hAnsi="Times New Roman"/>
          <w:noProof w:val="0"/>
          <w:sz w:val="20"/>
          <w:lang w:val="en-GB"/>
        </w:rPr>
        <w:t xml:space="preserve"> </w:t>
      </w:r>
      <w:r w:rsidRPr="003A7D30">
        <w:rPr>
          <w:rFonts w:ascii="Times New Roman" w:hAnsi="Times New Roman"/>
          <w:noProof w:val="0"/>
          <w:sz w:val="20"/>
          <w:lang w:val="en-GB"/>
        </w:rPr>
        <w:t>phase 1</w:t>
      </w:r>
      <w:r w:rsidR="00823F51">
        <w:rPr>
          <w:rFonts w:ascii="Times New Roman" w:hAnsi="Times New Roman"/>
          <w:noProof w:val="0"/>
          <w:sz w:val="20"/>
          <w:lang w:val="en-GB"/>
        </w:rPr>
        <w:t xml:space="preserve"> (and </w:t>
      </w:r>
      <w:r w:rsidR="000335D1">
        <w:rPr>
          <w:rFonts w:ascii="Times New Roman" w:hAnsi="Times New Roman"/>
          <w:noProof w:val="0"/>
          <w:sz w:val="20"/>
          <w:lang w:val="en-GB"/>
        </w:rPr>
        <w:t xml:space="preserve">later </w:t>
      </w:r>
      <w:r w:rsidR="00823F51">
        <w:rPr>
          <w:rFonts w:ascii="Times New Roman" w:hAnsi="Times New Roman"/>
          <w:noProof w:val="0"/>
          <w:sz w:val="20"/>
          <w:lang w:val="en-GB"/>
        </w:rPr>
        <w:t>phase</w:t>
      </w:r>
      <w:r w:rsidR="000335D1">
        <w:rPr>
          <w:rFonts w:ascii="Times New Roman" w:hAnsi="Times New Roman"/>
          <w:noProof w:val="0"/>
          <w:sz w:val="20"/>
          <w:lang w:val="en-GB"/>
        </w:rPr>
        <w:t>s</w:t>
      </w:r>
      <w:r w:rsidR="00823F51">
        <w:rPr>
          <w:rFonts w:ascii="Times New Roman" w:hAnsi="Times New Roman"/>
          <w:noProof w:val="0"/>
          <w:sz w:val="20"/>
          <w:lang w:val="en-GB"/>
        </w:rPr>
        <w:t>)</w:t>
      </w:r>
      <w:r w:rsidRPr="003A7D30">
        <w:rPr>
          <w:rFonts w:ascii="Times New Roman" w:hAnsi="Times New Roman"/>
          <w:noProof w:val="0"/>
          <w:sz w:val="20"/>
          <w:lang w:val="en-GB"/>
        </w:rPr>
        <w:t>.</w:t>
      </w:r>
    </w:p>
    <w:p w:rsidR="008C2C0C" w:rsidRPr="003A7D30" w:rsidRDefault="008C2C0C" w:rsidP="003A7D30">
      <w:pPr>
        <w:pStyle w:val="Header"/>
        <w:jc w:val="both"/>
        <w:rPr>
          <w:rFonts w:ascii="Times New Roman" w:hAnsi="Times New Roman"/>
          <w:noProof w:val="0"/>
          <w:sz w:val="20"/>
          <w:lang w:val="en-GB"/>
        </w:rPr>
      </w:pPr>
    </w:p>
    <w:p w:rsidR="004E58CA" w:rsidRPr="004E58CA" w:rsidRDefault="004E58CA" w:rsidP="004E58CA">
      <w:pPr>
        <w:jc w:val="both"/>
        <w:rPr>
          <w:szCs w:val="22"/>
        </w:rPr>
      </w:pPr>
    </w:p>
    <w:p w:rsidR="00CD539D" w:rsidRDefault="00E76D42" w:rsidP="004E58CA">
      <w:pPr>
        <w:pStyle w:val="Heading1"/>
        <w:jc w:val="both"/>
      </w:pPr>
      <w:r>
        <w:t>4</w:t>
      </w:r>
      <w:r w:rsidR="00CD539D">
        <w:tab/>
      </w:r>
      <w:r w:rsidR="00EC2EDB">
        <w:t>Conclusion</w:t>
      </w:r>
    </w:p>
    <w:p w:rsidR="00823F51" w:rsidRPr="00823F51" w:rsidRDefault="00875ED1" w:rsidP="00823F51">
      <w:pPr>
        <w:jc w:val="both"/>
        <w:rPr>
          <w:szCs w:val="22"/>
        </w:rPr>
      </w:pPr>
      <w:r>
        <w:rPr>
          <w:szCs w:val="22"/>
        </w:rPr>
        <w:t xml:space="preserve">Considering the </w:t>
      </w:r>
      <w:r w:rsidR="00571F26">
        <w:rPr>
          <w:szCs w:val="22"/>
        </w:rPr>
        <w:t>observations:</w:t>
      </w:r>
    </w:p>
    <w:p w:rsidR="00823F51" w:rsidRPr="00823F51" w:rsidRDefault="00823F51" w:rsidP="00823F51">
      <w:pPr>
        <w:jc w:val="both"/>
        <w:rPr>
          <w:b/>
          <w:szCs w:val="22"/>
        </w:rPr>
      </w:pPr>
      <w:r w:rsidRPr="00823F51">
        <w:rPr>
          <w:b/>
          <w:szCs w:val="22"/>
          <w:u w:val="single"/>
        </w:rPr>
        <w:t>Observation 1</w:t>
      </w:r>
      <w:r w:rsidRPr="00823F51">
        <w:rPr>
          <w:b/>
          <w:szCs w:val="22"/>
        </w:rPr>
        <w:t>: The most optimal cyclic prefix to set for the radio interface may depend very much on the specific environment of the UE. Being able to adapt the CP to suit the actual delay spread observed, this could help the link performance, and improve the end user experience.</w:t>
      </w:r>
    </w:p>
    <w:p w:rsidR="00823F51" w:rsidRPr="00823F51" w:rsidRDefault="00823F51" w:rsidP="00823F51">
      <w:pPr>
        <w:jc w:val="both"/>
        <w:rPr>
          <w:b/>
          <w:szCs w:val="22"/>
        </w:rPr>
      </w:pPr>
      <w:r w:rsidRPr="00823F51">
        <w:rPr>
          <w:b/>
          <w:szCs w:val="22"/>
          <w:u w:val="single"/>
        </w:rPr>
        <w:t>Observation 2</w:t>
      </w:r>
      <w:r w:rsidRPr="00823F51">
        <w:rPr>
          <w:b/>
          <w:szCs w:val="22"/>
        </w:rPr>
        <w:t>: Several values of CP per numerology, i.e., Reduced CP, Normal CP and Extended CP, may help to optimize the CP overhead with respect to the UE experienced delay spread and service.</w:t>
      </w:r>
    </w:p>
    <w:p w:rsidR="00875ED1" w:rsidRDefault="00571F26" w:rsidP="005E5D7C">
      <w:pPr>
        <w:jc w:val="both"/>
        <w:rPr>
          <w:szCs w:val="22"/>
        </w:rPr>
      </w:pPr>
      <w:r>
        <w:rPr>
          <w:szCs w:val="22"/>
        </w:rPr>
        <w:lastRenderedPageBreak/>
        <w:t>I</w:t>
      </w:r>
      <w:r w:rsidR="00875ED1">
        <w:rPr>
          <w:szCs w:val="22"/>
        </w:rPr>
        <w:t>t is</w:t>
      </w:r>
      <w:r w:rsidR="00EC2EDB">
        <w:rPr>
          <w:szCs w:val="22"/>
        </w:rPr>
        <w:t xml:space="preserve"> proposed </w:t>
      </w:r>
      <w:r w:rsidR="00875ED1">
        <w:rPr>
          <w:szCs w:val="22"/>
        </w:rPr>
        <w:t xml:space="preserve">that: </w:t>
      </w:r>
    </w:p>
    <w:p w:rsidR="00823F51" w:rsidRPr="00580D3B" w:rsidRDefault="00823F51" w:rsidP="00823F51">
      <w:pPr>
        <w:jc w:val="both"/>
        <w:rPr>
          <w:b/>
          <w:szCs w:val="22"/>
        </w:rPr>
      </w:pPr>
      <w:r w:rsidRPr="00580D3B">
        <w:rPr>
          <w:b/>
          <w:szCs w:val="22"/>
          <w:u w:val="single"/>
        </w:rPr>
        <w:t>Proposal 1:</w:t>
      </w:r>
      <w:r w:rsidRPr="00580D3B">
        <w:rPr>
          <w:b/>
          <w:szCs w:val="22"/>
        </w:rPr>
        <w:t xml:space="preserve"> </w:t>
      </w:r>
      <w:r w:rsidR="000335D1">
        <w:rPr>
          <w:b/>
          <w:szCs w:val="22"/>
        </w:rPr>
        <w:t xml:space="preserve">NR should support ECP for </w:t>
      </w:r>
      <w:proofErr w:type="spellStart"/>
      <w:r w:rsidR="000335D1">
        <w:rPr>
          <w:b/>
          <w:szCs w:val="22"/>
        </w:rPr>
        <w:t>eMBB</w:t>
      </w:r>
      <w:proofErr w:type="spellEnd"/>
      <w:r w:rsidR="000335D1">
        <w:rPr>
          <w:b/>
          <w:szCs w:val="22"/>
        </w:rPr>
        <w:t xml:space="preserve"> and low latency </w:t>
      </w:r>
      <w:proofErr w:type="spellStart"/>
      <w:r w:rsidR="000335D1">
        <w:rPr>
          <w:b/>
          <w:szCs w:val="22"/>
        </w:rPr>
        <w:t>usecases</w:t>
      </w:r>
      <w:proofErr w:type="spellEnd"/>
      <w:r w:rsidR="000335D1">
        <w:rPr>
          <w:b/>
          <w:szCs w:val="22"/>
        </w:rPr>
        <w:t xml:space="preserve">. </w:t>
      </w:r>
      <w:r w:rsidRPr="00580D3B">
        <w:rPr>
          <w:b/>
          <w:szCs w:val="22"/>
        </w:rPr>
        <w:t xml:space="preserve">The representative value of the delay spread related to the </w:t>
      </w:r>
      <w:r>
        <w:rPr>
          <w:b/>
          <w:szCs w:val="22"/>
        </w:rPr>
        <w:t>afore</w:t>
      </w:r>
      <w:r w:rsidRPr="00580D3B">
        <w:rPr>
          <w:b/>
          <w:szCs w:val="22"/>
        </w:rPr>
        <w:t>mentioned scenarios should be investigated</w:t>
      </w:r>
      <w:r>
        <w:rPr>
          <w:b/>
          <w:szCs w:val="22"/>
        </w:rPr>
        <w:t xml:space="preserve"> in order to select the </w:t>
      </w:r>
      <w:r w:rsidR="000335D1">
        <w:rPr>
          <w:b/>
          <w:szCs w:val="22"/>
        </w:rPr>
        <w:t xml:space="preserve">appropriate </w:t>
      </w:r>
      <w:r>
        <w:rPr>
          <w:b/>
          <w:szCs w:val="22"/>
        </w:rPr>
        <w:t>ECP values per numerology in phase 1.</w:t>
      </w:r>
    </w:p>
    <w:p w:rsidR="00823F51" w:rsidRDefault="00823F51" w:rsidP="00823F51">
      <w:pPr>
        <w:jc w:val="both"/>
        <w:rPr>
          <w:b/>
        </w:rPr>
      </w:pPr>
      <w:r w:rsidRPr="00580D3B">
        <w:rPr>
          <w:b/>
          <w:u w:val="single"/>
        </w:rPr>
        <w:t>Proposal</w:t>
      </w:r>
      <w:r>
        <w:rPr>
          <w:b/>
          <w:u w:val="single"/>
        </w:rPr>
        <w:t xml:space="preserve"> 2</w:t>
      </w:r>
      <w:r w:rsidRPr="00580D3B">
        <w:rPr>
          <w:b/>
          <w:u w:val="single"/>
        </w:rPr>
        <w:t>:</w:t>
      </w:r>
      <w:r>
        <w:rPr>
          <w:b/>
        </w:rPr>
        <w:t xml:space="preserve"> </w:t>
      </w:r>
      <w:r w:rsidR="000335D1">
        <w:rPr>
          <w:b/>
        </w:rPr>
        <w:t>Multiple</w:t>
      </w:r>
      <w:r>
        <w:rPr>
          <w:b/>
        </w:rPr>
        <w:t xml:space="preserve"> CP</w:t>
      </w:r>
      <w:r w:rsidR="000335D1">
        <w:rPr>
          <w:b/>
        </w:rPr>
        <w:t xml:space="preserve"> length</w:t>
      </w:r>
      <w:r>
        <w:rPr>
          <w:b/>
        </w:rPr>
        <w:t xml:space="preserve">s per numerology should be defined </w:t>
      </w:r>
      <w:r w:rsidRPr="003A7D30">
        <w:rPr>
          <w:b/>
        </w:rPr>
        <w:t xml:space="preserve">for </w:t>
      </w:r>
      <w:proofErr w:type="spellStart"/>
      <w:r w:rsidRPr="003A7D30">
        <w:rPr>
          <w:b/>
        </w:rPr>
        <w:t>eMBB</w:t>
      </w:r>
      <w:proofErr w:type="spellEnd"/>
      <w:r w:rsidRPr="003A7D30">
        <w:rPr>
          <w:b/>
        </w:rPr>
        <w:t xml:space="preserve"> and URLLC use cases to support different</w:t>
      </w:r>
      <w:r>
        <w:rPr>
          <w:b/>
        </w:rPr>
        <w:t xml:space="preserve"> </w:t>
      </w:r>
      <w:r w:rsidRPr="003A7D30">
        <w:rPr>
          <w:b/>
        </w:rPr>
        <w:t>scenarios</w:t>
      </w:r>
      <w:r>
        <w:rPr>
          <w:b/>
        </w:rPr>
        <w:t xml:space="preserve"> and delay spread in phase 1 (and </w:t>
      </w:r>
      <w:r w:rsidR="000335D1">
        <w:rPr>
          <w:b/>
        </w:rPr>
        <w:t xml:space="preserve">later </w:t>
      </w:r>
      <w:r>
        <w:rPr>
          <w:b/>
        </w:rPr>
        <w:t>phase</w:t>
      </w:r>
      <w:r w:rsidR="000335D1">
        <w:rPr>
          <w:b/>
        </w:rPr>
        <w:t>s</w:t>
      </w:r>
      <w:bookmarkStart w:id="0" w:name="_GoBack"/>
      <w:bookmarkEnd w:id="0"/>
      <w:r>
        <w:rPr>
          <w:b/>
        </w:rPr>
        <w:t>)</w:t>
      </w:r>
      <w:r w:rsidRPr="003A7D30">
        <w:rPr>
          <w:b/>
        </w:rPr>
        <w:t>.</w:t>
      </w:r>
    </w:p>
    <w:p w:rsidR="00823F51" w:rsidRDefault="00823F51" w:rsidP="00823F51">
      <w:pPr>
        <w:pStyle w:val="Header"/>
        <w:jc w:val="both"/>
        <w:rPr>
          <w:rFonts w:ascii="Times New Roman" w:hAnsi="Times New Roman"/>
          <w:noProof w:val="0"/>
          <w:sz w:val="20"/>
          <w:lang w:val="en-GB"/>
        </w:rPr>
      </w:pPr>
      <w:r w:rsidRPr="003A7D30">
        <w:rPr>
          <w:rFonts w:ascii="Times New Roman" w:hAnsi="Times New Roman"/>
          <w:noProof w:val="0"/>
          <w:sz w:val="20"/>
          <w:u w:val="single"/>
          <w:lang w:val="en-GB"/>
        </w:rPr>
        <w:t>Proposal</w:t>
      </w:r>
      <w:r>
        <w:rPr>
          <w:rFonts w:ascii="Times New Roman" w:hAnsi="Times New Roman"/>
          <w:noProof w:val="0"/>
          <w:sz w:val="20"/>
          <w:u w:val="single"/>
          <w:lang w:val="en-GB"/>
        </w:rPr>
        <w:t xml:space="preserve"> 3</w:t>
      </w:r>
      <w:r w:rsidRPr="003A7D30">
        <w:rPr>
          <w:rFonts w:ascii="Times New Roman" w:hAnsi="Times New Roman"/>
          <w:noProof w:val="0"/>
          <w:sz w:val="20"/>
          <w:u w:val="single"/>
          <w:lang w:val="en-GB"/>
        </w:rPr>
        <w:t>:</w:t>
      </w:r>
      <w:r w:rsidRPr="003A7D30">
        <w:rPr>
          <w:rFonts w:ascii="Times New Roman" w:hAnsi="Times New Roman"/>
          <w:noProof w:val="0"/>
          <w:sz w:val="20"/>
          <w:lang w:val="en-GB"/>
        </w:rPr>
        <w:t xml:space="preserve"> More than one CP</w:t>
      </w:r>
      <w:r>
        <w:rPr>
          <w:rFonts w:ascii="Times New Roman" w:hAnsi="Times New Roman"/>
          <w:noProof w:val="0"/>
          <w:sz w:val="20"/>
          <w:lang w:val="en-GB"/>
        </w:rPr>
        <w:t xml:space="preserve"> lengths can be </w:t>
      </w:r>
      <w:r w:rsidRPr="003A7D30">
        <w:rPr>
          <w:rFonts w:ascii="Times New Roman" w:hAnsi="Times New Roman"/>
          <w:noProof w:val="0"/>
          <w:sz w:val="20"/>
          <w:lang w:val="en-GB"/>
        </w:rPr>
        <w:t xml:space="preserve">operated within a cell in both uplink and downlink for </w:t>
      </w:r>
      <w:proofErr w:type="spellStart"/>
      <w:r w:rsidRPr="003A7D30">
        <w:rPr>
          <w:rFonts w:ascii="Times New Roman" w:hAnsi="Times New Roman"/>
          <w:noProof w:val="0"/>
          <w:sz w:val="20"/>
          <w:lang w:val="en-GB"/>
        </w:rPr>
        <w:t>eMBB</w:t>
      </w:r>
      <w:proofErr w:type="spellEnd"/>
      <w:r w:rsidRPr="003A7D30">
        <w:rPr>
          <w:rFonts w:ascii="Times New Roman" w:hAnsi="Times New Roman"/>
          <w:noProof w:val="0"/>
          <w:sz w:val="20"/>
          <w:lang w:val="en-GB"/>
        </w:rPr>
        <w:t xml:space="preserve"> and URLLC use cases in</w:t>
      </w:r>
      <w:r>
        <w:rPr>
          <w:rFonts w:ascii="Times New Roman" w:hAnsi="Times New Roman"/>
          <w:noProof w:val="0"/>
          <w:sz w:val="20"/>
          <w:lang w:val="en-GB"/>
        </w:rPr>
        <w:t xml:space="preserve"> </w:t>
      </w:r>
      <w:r w:rsidRPr="003A7D30">
        <w:rPr>
          <w:rFonts w:ascii="Times New Roman" w:hAnsi="Times New Roman"/>
          <w:noProof w:val="0"/>
          <w:sz w:val="20"/>
          <w:lang w:val="en-GB"/>
        </w:rPr>
        <w:t>phase 1</w:t>
      </w:r>
      <w:r>
        <w:rPr>
          <w:rFonts w:ascii="Times New Roman" w:hAnsi="Times New Roman"/>
          <w:noProof w:val="0"/>
          <w:sz w:val="20"/>
          <w:lang w:val="en-GB"/>
        </w:rPr>
        <w:t xml:space="preserve"> (and </w:t>
      </w:r>
      <w:r w:rsidR="000335D1">
        <w:rPr>
          <w:rFonts w:ascii="Times New Roman" w:hAnsi="Times New Roman"/>
          <w:noProof w:val="0"/>
          <w:sz w:val="20"/>
          <w:lang w:val="en-GB"/>
        </w:rPr>
        <w:t xml:space="preserve">later </w:t>
      </w:r>
      <w:r>
        <w:rPr>
          <w:rFonts w:ascii="Times New Roman" w:hAnsi="Times New Roman"/>
          <w:noProof w:val="0"/>
          <w:sz w:val="20"/>
          <w:lang w:val="en-GB"/>
        </w:rPr>
        <w:t>phase</w:t>
      </w:r>
      <w:r w:rsidR="000335D1">
        <w:rPr>
          <w:rFonts w:ascii="Times New Roman" w:hAnsi="Times New Roman"/>
          <w:noProof w:val="0"/>
          <w:sz w:val="20"/>
          <w:lang w:val="en-GB"/>
        </w:rPr>
        <w:t>s</w:t>
      </w:r>
      <w:r>
        <w:rPr>
          <w:rFonts w:ascii="Times New Roman" w:hAnsi="Times New Roman"/>
          <w:noProof w:val="0"/>
          <w:sz w:val="20"/>
          <w:lang w:val="en-GB"/>
        </w:rPr>
        <w:t>)</w:t>
      </w:r>
      <w:r w:rsidRPr="003A7D30">
        <w:rPr>
          <w:rFonts w:ascii="Times New Roman" w:hAnsi="Times New Roman"/>
          <w:noProof w:val="0"/>
          <w:sz w:val="20"/>
          <w:lang w:val="en-GB"/>
        </w:rPr>
        <w:t>.</w:t>
      </w:r>
    </w:p>
    <w:p w:rsidR="00FF4172" w:rsidRPr="00FF4172" w:rsidRDefault="00FF4172" w:rsidP="00FF4172">
      <w:pPr>
        <w:jc w:val="both"/>
        <w:rPr>
          <w:b/>
          <w:szCs w:val="22"/>
        </w:rPr>
      </w:pPr>
    </w:p>
    <w:p w:rsidR="003A7D30" w:rsidRPr="00D35D56" w:rsidRDefault="003A7D30" w:rsidP="005C199E">
      <w:pPr>
        <w:jc w:val="both"/>
        <w:rPr>
          <w:szCs w:val="22"/>
        </w:rPr>
      </w:pPr>
    </w:p>
    <w:p w:rsidR="002102B9" w:rsidRDefault="00E76D42" w:rsidP="002102B9">
      <w:pPr>
        <w:pStyle w:val="Heading1"/>
      </w:pPr>
      <w:r>
        <w:t>5</w:t>
      </w:r>
      <w:r w:rsidR="002102B9">
        <w:tab/>
        <w:t>References</w:t>
      </w:r>
    </w:p>
    <w:p w:rsidR="007A3F06" w:rsidRPr="005C199E" w:rsidRDefault="007D4BA7" w:rsidP="009243F0">
      <w:pPr>
        <w:pStyle w:val="Header"/>
        <w:tabs>
          <w:tab w:val="right" w:pos="9781"/>
        </w:tabs>
        <w:spacing w:after="120"/>
        <w:ind w:right="-57"/>
        <w:rPr>
          <w:rFonts w:eastAsia="MS Mincho" w:cs="Arial"/>
          <w:b w:val="0"/>
          <w:bCs/>
          <w:sz w:val="28"/>
          <w:lang w:val="en-US" w:eastAsia="ja-JP"/>
        </w:rPr>
      </w:pPr>
      <w:r w:rsidRPr="007A3F06">
        <w:rPr>
          <w:rFonts w:ascii="Times" w:eastAsia="Malgun Gothic" w:hAnsi="Times"/>
          <w:b w:val="0"/>
          <w:noProof w:val="0"/>
          <w:sz w:val="20"/>
          <w:lang w:val="en-GB"/>
        </w:rPr>
        <w:t xml:space="preserve">[1] </w:t>
      </w:r>
      <w:r w:rsidR="001D3D2B" w:rsidRPr="007A3F06">
        <w:rPr>
          <w:rFonts w:ascii="Times" w:eastAsia="Malgun Gothic" w:hAnsi="Times"/>
          <w:b w:val="0"/>
          <w:noProof w:val="0"/>
          <w:sz w:val="20"/>
          <w:lang w:val="en-GB"/>
        </w:rPr>
        <w:t xml:space="preserve">RAN1 Chairman’s </w:t>
      </w:r>
      <w:r w:rsidR="007A3F06" w:rsidRPr="007A3F06">
        <w:rPr>
          <w:rFonts w:ascii="Times" w:eastAsia="Malgun Gothic" w:hAnsi="Times"/>
          <w:b w:val="0"/>
          <w:noProof w:val="0"/>
          <w:sz w:val="20"/>
          <w:lang w:val="en-GB"/>
        </w:rPr>
        <w:t>Notes</w:t>
      </w:r>
      <w:r w:rsidR="007A3F06">
        <w:rPr>
          <w:rFonts w:ascii="Times" w:eastAsia="Malgun Gothic" w:hAnsi="Times"/>
          <w:b w:val="0"/>
          <w:noProof w:val="0"/>
          <w:sz w:val="20"/>
          <w:lang w:val="en-GB"/>
        </w:rPr>
        <w:t xml:space="preserve">, </w:t>
      </w:r>
      <w:r w:rsidR="007A3F06" w:rsidRPr="007A3F06">
        <w:rPr>
          <w:rFonts w:ascii="Times" w:eastAsia="Malgun Gothic" w:hAnsi="Times"/>
          <w:b w:val="0"/>
          <w:noProof w:val="0"/>
          <w:sz w:val="20"/>
          <w:lang w:val="en-GB"/>
        </w:rPr>
        <w:t>3GPP TSG RAN WG1 Meeting #8</w:t>
      </w:r>
      <w:r w:rsidR="007D65A9">
        <w:rPr>
          <w:rFonts w:ascii="Times" w:eastAsia="Malgun Gothic" w:hAnsi="Times"/>
          <w:b w:val="0"/>
          <w:noProof w:val="0"/>
          <w:sz w:val="20"/>
          <w:lang w:val="en-GB"/>
        </w:rPr>
        <w:t>6</w:t>
      </w:r>
      <w:r w:rsidR="007A3F06">
        <w:rPr>
          <w:rFonts w:ascii="Times" w:eastAsia="Malgun Gothic" w:hAnsi="Times"/>
          <w:b w:val="0"/>
          <w:noProof w:val="0"/>
          <w:sz w:val="20"/>
          <w:lang w:val="en-GB"/>
        </w:rPr>
        <w:t xml:space="preserve">, </w:t>
      </w:r>
      <w:r w:rsidR="007D65A9">
        <w:rPr>
          <w:rFonts w:ascii="Times" w:eastAsia="Malgun Gothic" w:hAnsi="Times"/>
          <w:b w:val="0"/>
          <w:noProof w:val="0"/>
          <w:sz w:val="20"/>
          <w:lang w:val="en-GB"/>
        </w:rPr>
        <w:t>Gothenburg</w:t>
      </w:r>
      <w:r w:rsidR="007A3F06">
        <w:rPr>
          <w:rFonts w:ascii="Times" w:eastAsia="Malgun Gothic" w:hAnsi="Times"/>
          <w:b w:val="0"/>
          <w:noProof w:val="0"/>
          <w:sz w:val="20"/>
          <w:lang w:val="en-GB"/>
        </w:rPr>
        <w:t xml:space="preserve">, </w:t>
      </w:r>
      <w:r w:rsidR="007D65A9">
        <w:rPr>
          <w:rFonts w:ascii="Times" w:eastAsia="Malgun Gothic" w:hAnsi="Times"/>
          <w:b w:val="0"/>
          <w:noProof w:val="0"/>
          <w:sz w:val="20"/>
          <w:lang w:val="en-GB"/>
        </w:rPr>
        <w:t>Sweden</w:t>
      </w:r>
      <w:r w:rsidR="007A3F06">
        <w:rPr>
          <w:rFonts w:ascii="Times" w:eastAsia="Malgun Gothic" w:hAnsi="Times"/>
          <w:b w:val="0"/>
          <w:noProof w:val="0"/>
          <w:sz w:val="20"/>
          <w:lang w:val="en-GB"/>
        </w:rPr>
        <w:t>.</w:t>
      </w:r>
    </w:p>
    <w:p w:rsidR="009243F0" w:rsidRDefault="00655BDC" w:rsidP="009243F0">
      <w:pPr>
        <w:spacing w:after="120"/>
        <w:jc w:val="both"/>
        <w:rPr>
          <w:lang w:eastAsia="zh-CN"/>
        </w:rPr>
      </w:pPr>
      <w:r>
        <w:rPr>
          <w:rFonts w:ascii="Times" w:eastAsia="Malgun Gothic" w:hAnsi="Times"/>
        </w:rPr>
        <w:t xml:space="preserve">[2] </w:t>
      </w:r>
      <w:r w:rsidR="00B076BB">
        <w:rPr>
          <w:rFonts w:eastAsia="Malgun Gothic"/>
          <w:bCs/>
          <w:color w:val="000000"/>
        </w:rPr>
        <w:t xml:space="preserve">3GPP </w:t>
      </w:r>
      <w:r w:rsidR="00B076BB">
        <w:t>TR 38.913, “</w:t>
      </w:r>
      <w:r w:rsidR="00B076BB">
        <w:rPr>
          <w:lang w:eastAsia="zh-CN"/>
        </w:rPr>
        <w:t>Study on Scenarios and Requirements for Next Generation Access Technologies”.</w:t>
      </w:r>
    </w:p>
    <w:p w:rsidR="00191E5F" w:rsidRDefault="00191E5F" w:rsidP="005C199E">
      <w:pPr>
        <w:spacing w:after="120"/>
        <w:jc w:val="both"/>
        <w:rPr>
          <w:szCs w:val="22"/>
          <w:lang w:val="en-US"/>
        </w:rPr>
      </w:pPr>
      <w:r>
        <w:rPr>
          <w:szCs w:val="22"/>
          <w:lang w:val="en-US"/>
        </w:rPr>
        <w:t xml:space="preserve">[3] </w:t>
      </w:r>
      <w:r w:rsidR="00B068DC" w:rsidRPr="00B068DC">
        <w:rPr>
          <w:szCs w:val="22"/>
          <w:lang w:val="en-US"/>
        </w:rPr>
        <w:t>R1-164019</w:t>
      </w:r>
      <w:r>
        <w:rPr>
          <w:szCs w:val="22"/>
          <w:lang w:val="en-US"/>
        </w:rPr>
        <w:t xml:space="preserve">, </w:t>
      </w:r>
      <w:r w:rsidR="00B068DC">
        <w:rPr>
          <w:szCs w:val="22"/>
          <w:lang w:val="en-US"/>
        </w:rPr>
        <w:t>“</w:t>
      </w:r>
      <w:r w:rsidR="00B068DC" w:rsidRPr="00B068DC">
        <w:rPr>
          <w:szCs w:val="22"/>
          <w:lang w:val="en-US"/>
        </w:rPr>
        <w:t xml:space="preserve">Discussion on CSI acquisition for </w:t>
      </w:r>
      <w:proofErr w:type="spellStart"/>
      <w:r w:rsidR="00B068DC" w:rsidRPr="00B068DC">
        <w:rPr>
          <w:szCs w:val="22"/>
          <w:lang w:val="en-US"/>
        </w:rPr>
        <w:t>beamformed</w:t>
      </w:r>
      <w:proofErr w:type="spellEnd"/>
      <w:r w:rsidR="00B068DC" w:rsidRPr="00B068DC">
        <w:rPr>
          <w:szCs w:val="22"/>
          <w:lang w:val="en-US"/>
        </w:rPr>
        <w:t xml:space="preserve"> access</w:t>
      </w:r>
      <w:r w:rsidR="00B068DC">
        <w:rPr>
          <w:szCs w:val="22"/>
          <w:lang w:val="en-US"/>
        </w:rPr>
        <w:t>”</w:t>
      </w:r>
      <w:r>
        <w:rPr>
          <w:szCs w:val="22"/>
          <w:lang w:val="en-US"/>
        </w:rPr>
        <w:t xml:space="preserve">, </w:t>
      </w:r>
      <w:r w:rsidR="00B068DC" w:rsidRPr="00B068DC">
        <w:rPr>
          <w:szCs w:val="22"/>
          <w:lang w:val="en-US"/>
        </w:rPr>
        <w:t>May 2016</w:t>
      </w:r>
    </w:p>
    <w:p w:rsidR="00D35D56" w:rsidRDefault="00D35D56" w:rsidP="009243F0">
      <w:pPr>
        <w:spacing w:after="0"/>
        <w:jc w:val="both"/>
        <w:rPr>
          <w:szCs w:val="22"/>
          <w:lang w:val="en-US"/>
        </w:rPr>
      </w:pPr>
      <w:r>
        <w:rPr>
          <w:szCs w:val="22"/>
          <w:lang w:val="en-US"/>
        </w:rPr>
        <w:t xml:space="preserve">[4] </w:t>
      </w:r>
      <w:r>
        <w:rPr>
          <w:lang w:eastAsia="zh-CN"/>
        </w:rPr>
        <w:t xml:space="preserve">Larry J. Greenstein, Vinko Erceg, et al, “A New Path-Gain/Delay-Spread Propagation Model for Digital Cellular Channels” </w:t>
      </w:r>
      <w:r w:rsidRPr="009F517E">
        <w:rPr>
          <w:i/>
          <w:lang w:eastAsia="zh-CN"/>
        </w:rPr>
        <w:t>IEEE Trans. On Vehicular Technology</w:t>
      </w:r>
      <w:r>
        <w:rPr>
          <w:lang w:eastAsia="zh-CN"/>
        </w:rPr>
        <w:t>, vol. 46, No.2, pp.477-485 May 1997</w:t>
      </w:r>
    </w:p>
    <w:p w:rsidR="00D35D56" w:rsidRDefault="00D35D56" w:rsidP="009243F0">
      <w:pPr>
        <w:spacing w:after="0"/>
        <w:jc w:val="both"/>
        <w:rPr>
          <w:szCs w:val="22"/>
          <w:lang w:val="en-US"/>
        </w:rPr>
      </w:pPr>
    </w:p>
    <w:p w:rsidR="00D35D56" w:rsidRDefault="00D35D56" w:rsidP="009243F0">
      <w:pPr>
        <w:spacing w:after="0"/>
        <w:jc w:val="both"/>
        <w:rPr>
          <w:szCs w:val="22"/>
          <w:lang w:val="en-US"/>
        </w:rPr>
      </w:pPr>
    </w:p>
    <w:p w:rsidR="003F3B33" w:rsidRDefault="003F3B33" w:rsidP="00705D6F">
      <w:pPr>
        <w:jc w:val="both"/>
        <w:rPr>
          <w:szCs w:val="22"/>
          <w:lang w:val="en-US"/>
        </w:rPr>
      </w:pPr>
    </w:p>
    <w:sectPr w:rsidR="003F3B3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D55" w:rsidRDefault="00AE2D55" w:rsidP="004F5952">
      <w:pPr>
        <w:spacing w:after="0"/>
      </w:pPr>
      <w:r>
        <w:separator/>
      </w:r>
    </w:p>
  </w:endnote>
  <w:endnote w:type="continuationSeparator" w:id="0">
    <w:p w:rsidR="00AE2D55" w:rsidRDefault="00AE2D55"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D55" w:rsidRDefault="00AE2D55" w:rsidP="004F5952">
      <w:pPr>
        <w:spacing w:after="0"/>
      </w:pPr>
      <w:r>
        <w:separator/>
      </w:r>
    </w:p>
  </w:footnote>
  <w:footnote w:type="continuationSeparator" w:id="0">
    <w:p w:rsidR="00AE2D55" w:rsidRDefault="00AE2D55"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C40CF"/>
    <w:multiLevelType w:val="hybridMultilevel"/>
    <w:tmpl w:val="1F6CE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26403A6"/>
    <w:multiLevelType w:val="hybridMultilevel"/>
    <w:tmpl w:val="297CEBA0"/>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CC1C51"/>
    <w:multiLevelType w:val="hybridMultilevel"/>
    <w:tmpl w:val="090C7302"/>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DFD4948"/>
    <w:multiLevelType w:val="hybridMultilevel"/>
    <w:tmpl w:val="380C8B3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11">
    <w:nsid w:val="447F7547"/>
    <w:multiLevelType w:val="hybridMultilevel"/>
    <w:tmpl w:val="4C780A06"/>
    <w:lvl w:ilvl="0" w:tplc="040C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531586"/>
    <w:multiLevelType w:val="hybridMultilevel"/>
    <w:tmpl w:val="63FC1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42F435A"/>
    <w:multiLevelType w:val="hybridMultilevel"/>
    <w:tmpl w:val="B3F40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4E225DE"/>
    <w:multiLevelType w:val="hybridMultilevel"/>
    <w:tmpl w:val="3D207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94B2AD2"/>
    <w:multiLevelType w:val="hybridMultilevel"/>
    <w:tmpl w:val="D28A8E80"/>
    <w:lvl w:ilvl="0" w:tplc="4FFE30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C949B2"/>
    <w:multiLevelType w:val="hybridMultilevel"/>
    <w:tmpl w:val="AD062D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0"/>
  </w:num>
  <w:num w:numId="4">
    <w:abstractNumId w:val="19"/>
  </w:num>
  <w:num w:numId="5">
    <w:abstractNumId w:val="13"/>
  </w:num>
  <w:num w:numId="6">
    <w:abstractNumId w:val="16"/>
  </w:num>
  <w:num w:numId="7">
    <w:abstractNumId w:val="2"/>
  </w:num>
  <w:num w:numId="8">
    <w:abstractNumId w:val="3"/>
  </w:num>
  <w:num w:numId="9">
    <w:abstractNumId w:val="10"/>
  </w:num>
  <w:num w:numId="10">
    <w:abstractNumId w:val="4"/>
  </w:num>
  <w:num w:numId="11">
    <w:abstractNumId w:val="15"/>
  </w:num>
  <w:num w:numId="12">
    <w:abstractNumId w:val="6"/>
  </w:num>
  <w:num w:numId="13">
    <w:abstractNumId w:val="17"/>
  </w:num>
  <w:num w:numId="14">
    <w:abstractNumId w:val="18"/>
  </w:num>
  <w:num w:numId="15">
    <w:abstractNumId w:val="14"/>
  </w:num>
  <w:num w:numId="16">
    <w:abstractNumId w:val="1"/>
  </w:num>
  <w:num w:numId="17">
    <w:abstractNumId w:val="0"/>
  </w:num>
  <w:num w:numId="18">
    <w:abstractNumId w:val="12"/>
  </w:num>
  <w:num w:numId="19">
    <w:abstractNumId w:val="5"/>
  </w:num>
  <w:num w:numId="20">
    <w:abstractNumId w:val="1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335D1"/>
    <w:rsid w:val="000355FB"/>
    <w:rsid w:val="00051147"/>
    <w:rsid w:val="00057895"/>
    <w:rsid w:val="000733D1"/>
    <w:rsid w:val="00081259"/>
    <w:rsid w:val="00085744"/>
    <w:rsid w:val="000C61FA"/>
    <w:rsid w:val="000F1FCC"/>
    <w:rsid w:val="000F3115"/>
    <w:rsid w:val="0011629F"/>
    <w:rsid w:val="00155874"/>
    <w:rsid w:val="001624D9"/>
    <w:rsid w:val="00171534"/>
    <w:rsid w:val="0017649B"/>
    <w:rsid w:val="001820E1"/>
    <w:rsid w:val="00191E5F"/>
    <w:rsid w:val="001A733D"/>
    <w:rsid w:val="001B1B6D"/>
    <w:rsid w:val="001C4383"/>
    <w:rsid w:val="001D01B9"/>
    <w:rsid w:val="001D3D2B"/>
    <w:rsid w:val="001D7764"/>
    <w:rsid w:val="001E5CBE"/>
    <w:rsid w:val="002102B9"/>
    <w:rsid w:val="0022081F"/>
    <w:rsid w:val="002303B2"/>
    <w:rsid w:val="0023438F"/>
    <w:rsid w:val="002440C0"/>
    <w:rsid w:val="0027248F"/>
    <w:rsid w:val="00294454"/>
    <w:rsid w:val="002A58A2"/>
    <w:rsid w:val="002C1A42"/>
    <w:rsid w:val="002C4749"/>
    <w:rsid w:val="003015DE"/>
    <w:rsid w:val="0035672D"/>
    <w:rsid w:val="0038229E"/>
    <w:rsid w:val="003A738E"/>
    <w:rsid w:val="003A7D30"/>
    <w:rsid w:val="003B3684"/>
    <w:rsid w:val="003B73FD"/>
    <w:rsid w:val="003C0E5F"/>
    <w:rsid w:val="003C3192"/>
    <w:rsid w:val="003E6C07"/>
    <w:rsid w:val="003F3B33"/>
    <w:rsid w:val="004657DB"/>
    <w:rsid w:val="0047000F"/>
    <w:rsid w:val="00480313"/>
    <w:rsid w:val="00483BB8"/>
    <w:rsid w:val="00495AC8"/>
    <w:rsid w:val="004B07E8"/>
    <w:rsid w:val="004C209D"/>
    <w:rsid w:val="004D434D"/>
    <w:rsid w:val="004E58CA"/>
    <w:rsid w:val="004F5952"/>
    <w:rsid w:val="00556578"/>
    <w:rsid w:val="00571F26"/>
    <w:rsid w:val="005C199E"/>
    <w:rsid w:val="005C50BD"/>
    <w:rsid w:val="005E0076"/>
    <w:rsid w:val="005E5D7C"/>
    <w:rsid w:val="006022D8"/>
    <w:rsid w:val="0060598B"/>
    <w:rsid w:val="00614AC8"/>
    <w:rsid w:val="00626780"/>
    <w:rsid w:val="00643273"/>
    <w:rsid w:val="00651673"/>
    <w:rsid w:val="00655BDC"/>
    <w:rsid w:val="00677A11"/>
    <w:rsid w:val="00693727"/>
    <w:rsid w:val="00696B14"/>
    <w:rsid w:val="006D0F26"/>
    <w:rsid w:val="006D7BB2"/>
    <w:rsid w:val="006E2AD1"/>
    <w:rsid w:val="00705D6F"/>
    <w:rsid w:val="007406E7"/>
    <w:rsid w:val="007638DC"/>
    <w:rsid w:val="00771B6A"/>
    <w:rsid w:val="00777789"/>
    <w:rsid w:val="007A3F06"/>
    <w:rsid w:val="007D0D3F"/>
    <w:rsid w:val="007D4BA7"/>
    <w:rsid w:val="007D4F0E"/>
    <w:rsid w:val="007D51E5"/>
    <w:rsid w:val="007D65A9"/>
    <w:rsid w:val="008011F9"/>
    <w:rsid w:val="00807FDD"/>
    <w:rsid w:val="008112E1"/>
    <w:rsid w:val="00823F51"/>
    <w:rsid w:val="00834A5D"/>
    <w:rsid w:val="00875ED1"/>
    <w:rsid w:val="008B4CB6"/>
    <w:rsid w:val="008C2C0C"/>
    <w:rsid w:val="008E1A89"/>
    <w:rsid w:val="00923DFF"/>
    <w:rsid w:val="009243F0"/>
    <w:rsid w:val="009452BD"/>
    <w:rsid w:val="00986BE4"/>
    <w:rsid w:val="009A03EC"/>
    <w:rsid w:val="009B61B7"/>
    <w:rsid w:val="00A02759"/>
    <w:rsid w:val="00A24D8B"/>
    <w:rsid w:val="00A27722"/>
    <w:rsid w:val="00A53021"/>
    <w:rsid w:val="00A77581"/>
    <w:rsid w:val="00A80B13"/>
    <w:rsid w:val="00A819B0"/>
    <w:rsid w:val="00A92A69"/>
    <w:rsid w:val="00A947AC"/>
    <w:rsid w:val="00AC3D08"/>
    <w:rsid w:val="00AC6D76"/>
    <w:rsid w:val="00AC7E9E"/>
    <w:rsid w:val="00AD4594"/>
    <w:rsid w:val="00AE2D55"/>
    <w:rsid w:val="00B068DC"/>
    <w:rsid w:val="00B076BB"/>
    <w:rsid w:val="00B22D37"/>
    <w:rsid w:val="00B34A7B"/>
    <w:rsid w:val="00B47D6E"/>
    <w:rsid w:val="00B77726"/>
    <w:rsid w:val="00B91724"/>
    <w:rsid w:val="00B941C7"/>
    <w:rsid w:val="00BA282B"/>
    <w:rsid w:val="00BA4B9A"/>
    <w:rsid w:val="00BB794E"/>
    <w:rsid w:val="00BC52CF"/>
    <w:rsid w:val="00BF564D"/>
    <w:rsid w:val="00C2184D"/>
    <w:rsid w:val="00C236A0"/>
    <w:rsid w:val="00C264D8"/>
    <w:rsid w:val="00C47099"/>
    <w:rsid w:val="00C85518"/>
    <w:rsid w:val="00C90D12"/>
    <w:rsid w:val="00CA5880"/>
    <w:rsid w:val="00CD539D"/>
    <w:rsid w:val="00CE45D0"/>
    <w:rsid w:val="00D12135"/>
    <w:rsid w:val="00D202B4"/>
    <w:rsid w:val="00D35D56"/>
    <w:rsid w:val="00D908FA"/>
    <w:rsid w:val="00DD0FAA"/>
    <w:rsid w:val="00DD498B"/>
    <w:rsid w:val="00DF1A3B"/>
    <w:rsid w:val="00E2343D"/>
    <w:rsid w:val="00E5694D"/>
    <w:rsid w:val="00E66E8A"/>
    <w:rsid w:val="00E70DFF"/>
    <w:rsid w:val="00E75DD7"/>
    <w:rsid w:val="00E76D42"/>
    <w:rsid w:val="00EB0C8B"/>
    <w:rsid w:val="00EC2EDB"/>
    <w:rsid w:val="00ED29F0"/>
    <w:rsid w:val="00EE3FCB"/>
    <w:rsid w:val="00EE5F73"/>
    <w:rsid w:val="00F16B23"/>
    <w:rsid w:val="00F46A8B"/>
    <w:rsid w:val="00F93DFA"/>
    <w:rsid w:val="00FA2F98"/>
    <w:rsid w:val="00FB007B"/>
    <w:rsid w:val="00FC7FF3"/>
    <w:rsid w:val="00FE3B5C"/>
    <w:rsid w:val="00FF41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F5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References">
    <w:name w:val="References"/>
    <w:basedOn w:val="Normal"/>
    <w:rsid w:val="00D35D56"/>
    <w:pPr>
      <w:numPr>
        <w:numId w:val="21"/>
      </w:numPr>
      <w:overflowPunct/>
      <w:adjustRightInd/>
      <w:snapToGrid w:val="0"/>
      <w:spacing w:after="60"/>
      <w:jc w:val="both"/>
      <w:textAlignment w:val="auto"/>
    </w:pPr>
    <w:rPr>
      <w:rFonts w:eastAsia="SimSun"/>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F5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References">
    <w:name w:val="References"/>
    <w:basedOn w:val="Normal"/>
    <w:rsid w:val="00D35D56"/>
    <w:pPr>
      <w:numPr>
        <w:numId w:val="21"/>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75458">
      <w:bodyDiv w:val="1"/>
      <w:marLeft w:val="0"/>
      <w:marRight w:val="0"/>
      <w:marTop w:val="0"/>
      <w:marBottom w:val="0"/>
      <w:divBdr>
        <w:top w:val="none" w:sz="0" w:space="0" w:color="auto"/>
        <w:left w:val="none" w:sz="0" w:space="0" w:color="auto"/>
        <w:bottom w:val="none" w:sz="0" w:space="0" w:color="auto"/>
        <w:right w:val="none" w:sz="0" w:space="0" w:color="auto"/>
      </w:divBdr>
    </w:div>
    <w:div w:id="522983779">
      <w:bodyDiv w:val="1"/>
      <w:marLeft w:val="0"/>
      <w:marRight w:val="0"/>
      <w:marTop w:val="0"/>
      <w:marBottom w:val="0"/>
      <w:divBdr>
        <w:top w:val="none" w:sz="0" w:space="0" w:color="auto"/>
        <w:left w:val="none" w:sz="0" w:space="0" w:color="auto"/>
        <w:bottom w:val="none" w:sz="0" w:space="0" w:color="auto"/>
        <w:right w:val="none" w:sz="0" w:space="0" w:color="auto"/>
      </w:divBdr>
    </w:div>
    <w:div w:id="1179811317">
      <w:bodyDiv w:val="1"/>
      <w:marLeft w:val="0"/>
      <w:marRight w:val="0"/>
      <w:marTop w:val="0"/>
      <w:marBottom w:val="0"/>
      <w:divBdr>
        <w:top w:val="none" w:sz="0" w:space="0" w:color="auto"/>
        <w:left w:val="none" w:sz="0" w:space="0" w:color="auto"/>
        <w:bottom w:val="none" w:sz="0" w:space="0" w:color="auto"/>
        <w:right w:val="none" w:sz="0" w:space="0" w:color="auto"/>
      </w:divBdr>
    </w:div>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 w:id="1465847516">
      <w:bodyDiv w:val="1"/>
      <w:marLeft w:val="0"/>
      <w:marRight w:val="0"/>
      <w:marTop w:val="0"/>
      <w:marBottom w:val="0"/>
      <w:divBdr>
        <w:top w:val="none" w:sz="0" w:space="0" w:color="auto"/>
        <w:left w:val="none" w:sz="0" w:space="0" w:color="auto"/>
        <w:bottom w:val="none" w:sz="0" w:space="0" w:color="auto"/>
        <w:right w:val="none" w:sz="0" w:space="0" w:color="auto"/>
      </w:divBdr>
    </w:div>
    <w:div w:id="162406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D08D5-DC3D-4820-9FCC-F1DD65725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Vodafone</Company>
  <LinksUpToDate>false</LinksUpToDate>
  <CharactersWithSpaces>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Razavi, Razieh, Vodafone Group</cp:lastModifiedBy>
  <cp:revision>5</cp:revision>
  <dcterms:created xsi:type="dcterms:W3CDTF">2016-09-30T19:04:00Z</dcterms:created>
  <dcterms:modified xsi:type="dcterms:W3CDTF">2016-09-30T19:16:00Z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1057049399</vt:i4>
  </property>
  <property fmtid="{D5CDD505-2E9C-101B-9397-08002B2CF9AE}" pid="3" name="_NewReviewCycle">
    <vt:lpwstr/>
  </property>
  <property fmtid="{D5CDD505-2E9C-101B-9397-08002B2CF9AE}" pid="4" name="_EmailSubject">
    <vt:lpwstr>CP length contribution</vt:lpwstr>
  </property>
  <property fmtid="{D5CDD505-2E9C-101B-9397-08002B2CF9AE}" pid="5" name="_AuthorEmail">
    <vt:lpwstr>razieh.razavi@vodafone.com</vt:lpwstr>
  </property>
  <property fmtid="{D5CDD505-2E9C-101B-9397-08002B2CF9AE}" pid="6" name="_AuthorEmailDisplayName">
    <vt:lpwstr>Razavi, Razieh, Vodafone Group</vt:lpwstr>
  </property>
  <property fmtid="{D5CDD505-2E9C-101B-9397-08002B2CF9AE}" pid="7" name="_PreviousAdHocReviewCycleID">
    <vt:i4>-386135994</vt:i4>
  </property>
  <property fmtid="{D5CDD505-2E9C-101B-9397-08002B2CF9AE}" pid="8" name="_ReviewingToolsShownOnce">
    <vt:lpwstr/>
  </property>
</Properties>
</file>