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6CE" w:rsidRPr="00CA26CE" w:rsidRDefault="00CA26CE" w:rsidP="00CA26CE">
      <w:pPr>
        <w:pStyle w:val="Header"/>
        <w:rPr>
          <w:bCs/>
          <w:noProof w:val="0"/>
          <w:sz w:val="24"/>
          <w:lang w:val="en-GB"/>
        </w:rPr>
      </w:pPr>
      <w:r w:rsidRPr="00CA26CE">
        <w:rPr>
          <w:bCs/>
          <w:noProof w:val="0"/>
          <w:sz w:val="24"/>
          <w:lang w:val="en-GB"/>
        </w:rPr>
        <w:t>3GPP TSG-RAN WG1 #86</w:t>
      </w:r>
      <w:r>
        <w:rPr>
          <w:bCs/>
          <w:noProof w:val="0"/>
          <w:sz w:val="24"/>
          <w:lang w:val="en-GB"/>
        </w:rPr>
        <w:t xml:space="preserve"> Bis</w:t>
      </w:r>
      <w:r w:rsidRPr="00CA26CE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Pr="00CA26CE">
        <w:rPr>
          <w:bCs/>
          <w:noProof w:val="0"/>
          <w:sz w:val="24"/>
          <w:lang w:val="en-GB"/>
        </w:rPr>
        <w:t>R1-</w:t>
      </w:r>
      <w:r w:rsidR="00DA6C81" w:rsidRPr="00CA26CE">
        <w:rPr>
          <w:bCs/>
          <w:noProof w:val="0"/>
          <w:sz w:val="24"/>
          <w:lang w:val="en-GB"/>
        </w:rPr>
        <w:t>16</w:t>
      </w:r>
      <w:r w:rsidR="00DA6C81">
        <w:rPr>
          <w:bCs/>
          <w:noProof w:val="0"/>
          <w:sz w:val="24"/>
          <w:lang w:val="en-GB"/>
        </w:rPr>
        <w:t>09739</w:t>
      </w:r>
    </w:p>
    <w:p w:rsidR="00AA65C9" w:rsidRDefault="00D8201E" w:rsidP="00CA26CE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Lis</w:t>
      </w:r>
      <w:r w:rsidR="00CA26CE" w:rsidRPr="00CA26CE">
        <w:rPr>
          <w:bCs/>
          <w:noProof w:val="0"/>
          <w:sz w:val="24"/>
          <w:lang w:val="en-GB"/>
        </w:rPr>
        <w:t>bon, Portugal, October 10-14, 2016</w:t>
      </w:r>
    </w:p>
    <w:p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DA6C81">
        <w:rPr>
          <w:rFonts w:cs="Arial"/>
          <w:b/>
          <w:bCs/>
          <w:sz w:val="24"/>
        </w:rPr>
        <w:t>8.1.7.1</w:t>
      </w:r>
    </w:p>
    <w:p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7121B">
        <w:rPr>
          <w:rFonts w:ascii="Arial" w:hAnsi="Arial" w:cs="Arial"/>
          <w:b/>
          <w:bCs/>
          <w:sz w:val="24"/>
        </w:rPr>
        <w:t>On the D</w:t>
      </w:r>
      <w:r w:rsidR="000B0C45">
        <w:rPr>
          <w:rFonts w:ascii="Arial" w:hAnsi="Arial" w:cs="Arial"/>
          <w:b/>
          <w:bCs/>
          <w:sz w:val="24"/>
        </w:rPr>
        <w:t>L control channel structure for NR</w:t>
      </w:r>
    </w:p>
    <w:p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:rsidR="00CC300C" w:rsidRPr="002E758C" w:rsidRDefault="00BE4EC9" w:rsidP="002E758C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7E5AC2">
        <w:rPr>
          <w:bCs/>
        </w:rPr>
        <w:t xml:space="preserve">the </w:t>
      </w:r>
      <w:r w:rsidR="007D24BF">
        <w:rPr>
          <w:bCs/>
        </w:rPr>
        <w:t>D</w:t>
      </w:r>
      <w:r w:rsidR="000B0C45">
        <w:rPr>
          <w:bCs/>
        </w:rPr>
        <w:t>L control channel design for NR</w:t>
      </w:r>
      <w:r w:rsidR="00CC300C">
        <w:rPr>
          <w:bCs/>
        </w:rPr>
        <w:t>.</w:t>
      </w:r>
      <w:r w:rsidR="004A34C9">
        <w:rPr>
          <w:bCs/>
        </w:rPr>
        <w:t xml:space="preserve"> The b</w:t>
      </w:r>
      <w:r w:rsidR="000B0C45">
        <w:rPr>
          <w:bCs/>
        </w:rPr>
        <w:t>asic</w:t>
      </w:r>
      <w:r w:rsidR="004A34C9">
        <w:rPr>
          <w:bCs/>
        </w:rPr>
        <w:t xml:space="preserve"> NR</w:t>
      </w:r>
      <w:r w:rsidR="000B0C45">
        <w:rPr>
          <w:bCs/>
        </w:rPr>
        <w:t xml:space="preserve"> frame structure forms t</w:t>
      </w:r>
      <w:r w:rsidR="007D24BF">
        <w:rPr>
          <w:bCs/>
        </w:rPr>
        <w:t>he boundary conditions for the D</w:t>
      </w:r>
      <w:r w:rsidR="000B0C45">
        <w:rPr>
          <w:bCs/>
        </w:rPr>
        <w:t xml:space="preserve">L control channel design. </w:t>
      </w:r>
      <w:r w:rsidR="007E5AC2">
        <w:rPr>
          <w:rFonts w:eastAsia="Malgun Gothic"/>
        </w:rPr>
        <w:t>In RAN1 #86</w:t>
      </w:r>
      <w:r w:rsidR="00CC300C">
        <w:rPr>
          <w:rFonts w:eastAsia="Malgun Gothic"/>
        </w:rPr>
        <w:t>, the following agreements</w:t>
      </w:r>
      <w:r w:rsidR="000B0C45">
        <w:rPr>
          <w:rFonts w:eastAsia="Malgun Gothic"/>
        </w:rPr>
        <w:t xml:space="preserve"> related to </w:t>
      </w:r>
      <w:r w:rsidR="00C80BDF">
        <w:rPr>
          <w:rFonts w:eastAsia="Malgun Gothic"/>
        </w:rPr>
        <w:t>slot structure</w:t>
      </w:r>
      <w:r w:rsidR="00CC300C">
        <w:rPr>
          <w:rFonts w:eastAsia="Malgun Gothic"/>
        </w:rPr>
        <w:t xml:space="preserve"> </w:t>
      </w:r>
      <w:r w:rsidR="00CC300C">
        <w:rPr>
          <w:bCs/>
        </w:rPr>
        <w:t>were made</w:t>
      </w:r>
      <w:r w:rsidR="00342AD2">
        <w:rPr>
          <w:bCs/>
        </w:rPr>
        <w:t xml:space="preserve"> [3]</w:t>
      </w:r>
      <w:r w:rsidR="00CC300C">
        <w:rPr>
          <w:rFonts w:eastAsia="Malgun Gothic"/>
        </w:rPr>
        <w:t>:</w:t>
      </w:r>
    </w:p>
    <w:p w:rsidR="000C1D59" w:rsidRPr="000C1D59" w:rsidRDefault="000C1D59" w:rsidP="000C1D59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</w:p>
    <w:p w:rsidR="000B0C45" w:rsidRPr="000B0C45" w:rsidRDefault="00D20E00" w:rsidP="00C80BDF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>
        <w:rPr>
          <w:rFonts w:eastAsia="MS Mincho"/>
          <w:sz w:val="18"/>
          <w:lang w:val="en-US" w:eastAsia="ja-JP"/>
        </w:rPr>
        <w:t>Slo</w:t>
      </w:r>
      <w:r w:rsidR="00D8201E">
        <w:rPr>
          <w:rFonts w:eastAsia="MS Mincho"/>
          <w:sz w:val="18"/>
          <w:lang w:val="en-US" w:eastAsia="ja-JP"/>
        </w:rPr>
        <w:t>t</w:t>
      </w:r>
    </w:p>
    <w:p w:rsidR="000B0C45" w:rsidRPr="000B0C45" w:rsidRDefault="000B0C45" w:rsidP="00C80BDF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B0C45">
        <w:rPr>
          <w:rFonts w:eastAsia="MS Mincho"/>
          <w:sz w:val="18"/>
          <w:lang w:val="en-US" w:eastAsia="ja-JP"/>
        </w:rPr>
        <w:t>Slot of duration y OFDM symbols in the numerology used for transmission</w:t>
      </w:r>
    </w:p>
    <w:p w:rsidR="000B0C45" w:rsidRPr="000B0C45" w:rsidRDefault="000B0C45" w:rsidP="00C80BDF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B0C45">
        <w:rPr>
          <w:rFonts w:eastAsia="MS Mincho"/>
          <w:sz w:val="18"/>
          <w:lang w:val="en-US" w:eastAsia="ja-JP"/>
        </w:rPr>
        <w:t xml:space="preserve">An integer number of slots fit within one subframe duration (at least for </w:t>
      </w:r>
      <w:r w:rsidRPr="000B0C45">
        <w:rPr>
          <w:rFonts w:eastAsia="MS Mincho" w:hint="eastAsia"/>
          <w:sz w:val="18"/>
          <w:lang w:val="en-US" w:eastAsia="ja-JP"/>
        </w:rPr>
        <w:t>subcarrier spacing is larger</w:t>
      </w:r>
      <w:r w:rsidRPr="000B0C45">
        <w:rPr>
          <w:rFonts w:eastAsia="MS Mincho"/>
          <w:sz w:val="18"/>
          <w:lang w:val="en-US" w:eastAsia="ja-JP"/>
        </w:rPr>
        <w:t xml:space="preserve"> than or equal the reference numerology)</w:t>
      </w:r>
    </w:p>
    <w:p w:rsidR="000B0C45" w:rsidRPr="000B0C45" w:rsidRDefault="000B0C45" w:rsidP="00C80BDF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B0C45">
        <w:rPr>
          <w:rFonts w:eastAsia="MS Mincho"/>
          <w:sz w:val="18"/>
          <w:lang w:val="en-US" w:eastAsia="ja-JP"/>
        </w:rPr>
        <w:t>The structure allows for ctrl at the beginning</w:t>
      </w:r>
      <w:r w:rsidRPr="000B0C45">
        <w:rPr>
          <w:rFonts w:eastAsia="MS Mincho" w:hint="eastAsia"/>
          <w:sz w:val="18"/>
          <w:lang w:val="en-US" w:eastAsia="ja-JP"/>
        </w:rPr>
        <w:t xml:space="preserve"> only</w:t>
      </w:r>
    </w:p>
    <w:p w:rsidR="000B0C45" w:rsidRPr="000B0C45" w:rsidRDefault="000B0C45" w:rsidP="00C80BDF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B0C45">
        <w:rPr>
          <w:rFonts w:eastAsia="MS Mincho"/>
          <w:sz w:val="18"/>
          <w:lang w:val="en-US" w:eastAsia="ja-JP"/>
        </w:rPr>
        <w:t>The structure allows for ctrl at the end</w:t>
      </w:r>
      <w:r w:rsidRPr="000B0C45">
        <w:rPr>
          <w:rFonts w:eastAsia="MS Mincho" w:hint="eastAsia"/>
          <w:sz w:val="18"/>
          <w:lang w:val="en-US" w:eastAsia="ja-JP"/>
        </w:rPr>
        <w:t xml:space="preserve"> only</w:t>
      </w:r>
    </w:p>
    <w:p w:rsidR="000B0C45" w:rsidRPr="000B0C45" w:rsidRDefault="000B0C45" w:rsidP="00C80BDF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B0C45">
        <w:rPr>
          <w:rFonts w:eastAsia="MS Mincho"/>
          <w:sz w:val="18"/>
          <w:lang w:val="en-US" w:eastAsia="ja-JP"/>
        </w:rPr>
        <w:t>The structure allows for ctrl at the end and at the beginning</w:t>
      </w:r>
    </w:p>
    <w:p w:rsidR="000B0C45" w:rsidRPr="000B0C45" w:rsidRDefault="000B0C45" w:rsidP="00C80BDF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B0C45">
        <w:rPr>
          <w:rFonts w:eastAsia="MS Mincho" w:hint="eastAsia"/>
          <w:sz w:val="18"/>
          <w:lang w:val="en-US" w:eastAsia="ja-JP"/>
        </w:rPr>
        <w:t>Other structure is not precluded</w:t>
      </w:r>
    </w:p>
    <w:p w:rsidR="000B0C45" w:rsidRPr="000B0C45" w:rsidRDefault="000B0C45" w:rsidP="00C80BDF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B0C45">
        <w:rPr>
          <w:rFonts w:eastAsia="MS Mincho"/>
          <w:sz w:val="18"/>
          <w:lang w:val="en-US" w:eastAsia="ja-JP"/>
        </w:rPr>
        <w:t>One possible scheduling unit</w:t>
      </w:r>
    </w:p>
    <w:p w:rsidR="000B0C45" w:rsidRPr="000B0C45" w:rsidRDefault="000B0C45" w:rsidP="00C80BDF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18"/>
          <w:lang w:val="en-US" w:eastAsia="ja-JP"/>
        </w:rPr>
      </w:pPr>
      <w:r w:rsidRPr="000B0C45">
        <w:rPr>
          <w:rFonts w:eastAsia="MS Mincho"/>
          <w:sz w:val="18"/>
          <w:lang w:val="en-US" w:eastAsia="ja-JP"/>
        </w:rPr>
        <w:t>Note: the names are for the purpose of discussion. Whether some terms can be merged or not is FFS</w:t>
      </w:r>
    </w:p>
    <w:p w:rsidR="000C1D59" w:rsidRPr="000C1D59" w:rsidRDefault="000C1D59" w:rsidP="000C1D59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18"/>
          <w:lang w:val="en-US" w:eastAsia="ja-JP"/>
        </w:rPr>
      </w:pPr>
    </w:p>
    <w:p w:rsidR="0078539D" w:rsidRDefault="00C80BDF" w:rsidP="00E13EE4">
      <w:pPr>
        <w:spacing w:after="120"/>
        <w:jc w:val="both"/>
      </w:pPr>
      <w:r>
        <w:rPr>
          <w:bCs/>
        </w:rPr>
        <w:t xml:space="preserve">We </w:t>
      </w:r>
      <w:r w:rsidR="007E5AC2">
        <w:rPr>
          <w:bCs/>
        </w:rPr>
        <w:t>provide our view</w:t>
      </w:r>
      <w:r>
        <w:rPr>
          <w:bCs/>
        </w:rPr>
        <w:t>s</w:t>
      </w:r>
      <w:r w:rsidR="007E5AC2">
        <w:rPr>
          <w:bCs/>
        </w:rPr>
        <w:t xml:space="preserve"> on </w:t>
      </w:r>
      <w:r w:rsidR="00FD70AE">
        <w:rPr>
          <w:bCs/>
        </w:rPr>
        <w:t xml:space="preserve">the </w:t>
      </w:r>
      <w:r w:rsidR="00BE1553">
        <w:rPr>
          <w:bCs/>
        </w:rPr>
        <w:t>D</w:t>
      </w:r>
      <w:r w:rsidR="00C22B28">
        <w:rPr>
          <w:bCs/>
        </w:rPr>
        <w:t>L control channel structure</w:t>
      </w:r>
      <w:r w:rsidR="00F40F19">
        <w:rPr>
          <w:bCs/>
        </w:rPr>
        <w:t xml:space="preserve"> in this contribution</w:t>
      </w:r>
      <w:r w:rsidR="00ED1759">
        <w:rPr>
          <w:bCs/>
        </w:rPr>
        <w:t xml:space="preserve">. The </w:t>
      </w:r>
      <w:r w:rsidR="00ED1759" w:rsidRPr="00ED1759">
        <w:rPr>
          <w:bCs/>
        </w:rPr>
        <w:t>basic requirements and design principle for dow</w:t>
      </w:r>
      <w:r w:rsidR="00ED1759">
        <w:rPr>
          <w:bCs/>
        </w:rPr>
        <w:t xml:space="preserve">nlink control channel solution taking account </w:t>
      </w:r>
      <w:r w:rsidR="00ED1759" w:rsidRPr="00ED1759">
        <w:rPr>
          <w:bCs/>
        </w:rPr>
        <w:t>scheduler perspective</w:t>
      </w:r>
      <w:r w:rsidR="003B68C8">
        <w:rPr>
          <w:bCs/>
        </w:rPr>
        <w:t xml:space="preserve"> is outlined in </w:t>
      </w:r>
      <w:r w:rsidR="00ED1759">
        <w:rPr>
          <w:bCs/>
        </w:rPr>
        <w:t>[4</w:t>
      </w:r>
      <w:r w:rsidR="003B68C8">
        <w:rPr>
          <w:bCs/>
        </w:rPr>
        <w:t>].</w:t>
      </w:r>
    </w:p>
    <w:p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5E5E1A">
        <w:t xml:space="preserve">Discussion </w:t>
      </w:r>
    </w:p>
    <w:p w:rsidR="00D20E00" w:rsidRDefault="005A4959" w:rsidP="005A4959">
      <w:pPr>
        <w:spacing w:after="0"/>
      </w:pPr>
      <w:r>
        <w:t>The key targets for NR PDCCH design are listed below</w:t>
      </w:r>
      <w:r w:rsidR="00D20E00">
        <w:t xml:space="preserve">: </w:t>
      </w:r>
    </w:p>
    <w:p w:rsidR="00D20E00" w:rsidRDefault="00D20E00" w:rsidP="00D20E00">
      <w:pPr>
        <w:pStyle w:val="ListParagraph"/>
        <w:numPr>
          <w:ilvl w:val="0"/>
          <w:numId w:val="39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Support for </w:t>
      </w:r>
      <w:r w:rsidRPr="00796D86">
        <w:rPr>
          <w:sz w:val="20"/>
          <w:szCs w:val="20"/>
          <w:lang w:val="en-US"/>
        </w:rPr>
        <w:t>fast energy efficient pipeline processing at the receiver</w:t>
      </w:r>
    </w:p>
    <w:p w:rsidR="00E80515" w:rsidRDefault="00E80515" w:rsidP="00D20E00">
      <w:pPr>
        <w:pStyle w:val="ListParagraph"/>
        <w:numPr>
          <w:ilvl w:val="0"/>
          <w:numId w:val="39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Support of very low scheduling latency </w:t>
      </w:r>
    </w:p>
    <w:p w:rsidR="00D20E00" w:rsidRDefault="00D20E00" w:rsidP="00AC238D">
      <w:pPr>
        <w:pStyle w:val="ListParagraph"/>
        <w:numPr>
          <w:ilvl w:val="0"/>
          <w:numId w:val="39"/>
        </w:numPr>
        <w:rPr>
          <w:sz w:val="20"/>
          <w:szCs w:val="20"/>
          <w:lang w:val="en-US"/>
        </w:rPr>
      </w:pPr>
      <w:r w:rsidRPr="00D20E00">
        <w:rPr>
          <w:sz w:val="20"/>
          <w:szCs w:val="20"/>
          <w:lang w:val="en-US"/>
        </w:rPr>
        <w:t xml:space="preserve">Support for high </w:t>
      </w:r>
      <w:r>
        <w:rPr>
          <w:sz w:val="20"/>
          <w:szCs w:val="20"/>
          <w:lang w:val="en-US"/>
        </w:rPr>
        <w:t>control channel capacity</w:t>
      </w:r>
    </w:p>
    <w:p w:rsidR="00D20E00" w:rsidRPr="00D20E00" w:rsidRDefault="00D20E00" w:rsidP="00AC238D">
      <w:pPr>
        <w:pStyle w:val="ListParagraph"/>
        <w:numPr>
          <w:ilvl w:val="0"/>
          <w:numId w:val="39"/>
        </w:numPr>
        <w:rPr>
          <w:sz w:val="20"/>
          <w:szCs w:val="20"/>
          <w:lang w:val="en-US"/>
        </w:rPr>
      </w:pPr>
      <w:r w:rsidRPr="00D20E00">
        <w:rPr>
          <w:sz w:val="20"/>
          <w:szCs w:val="20"/>
          <w:lang w:val="en-US"/>
        </w:rPr>
        <w:t>Support for frequency domain scheduling and ICIC for downlink control channel.</w:t>
      </w:r>
    </w:p>
    <w:p w:rsidR="00D20E00" w:rsidRPr="00D84C3B" w:rsidRDefault="00D20E00" w:rsidP="00D20E00">
      <w:pPr>
        <w:pStyle w:val="ListParagraph"/>
        <w:numPr>
          <w:ilvl w:val="0"/>
          <w:numId w:val="39"/>
        </w:numPr>
        <w:rPr>
          <w:lang w:val="en-US"/>
        </w:rPr>
      </w:pPr>
      <w:r>
        <w:rPr>
          <w:sz w:val="20"/>
          <w:szCs w:val="20"/>
          <w:lang w:val="en-US"/>
        </w:rPr>
        <w:t>Support for beamforming</w:t>
      </w:r>
    </w:p>
    <w:p w:rsidR="00D84C3B" w:rsidRPr="00A168A6" w:rsidRDefault="00D84C3B" w:rsidP="00D20E00">
      <w:pPr>
        <w:pStyle w:val="ListParagraph"/>
        <w:numPr>
          <w:ilvl w:val="0"/>
          <w:numId w:val="39"/>
        </w:numPr>
        <w:rPr>
          <w:lang w:val="en-US"/>
        </w:rPr>
      </w:pPr>
      <w:r>
        <w:rPr>
          <w:sz w:val="20"/>
          <w:szCs w:val="20"/>
          <w:lang w:val="en-US"/>
        </w:rPr>
        <w:t>Support for forward compatible resource blanking</w:t>
      </w:r>
    </w:p>
    <w:p w:rsidR="00A168A6" w:rsidRPr="00796D86" w:rsidRDefault="00A168A6" w:rsidP="00D20E00">
      <w:pPr>
        <w:pStyle w:val="ListParagraph"/>
        <w:numPr>
          <w:ilvl w:val="0"/>
          <w:numId w:val="39"/>
        </w:numPr>
        <w:rPr>
          <w:lang w:val="en-US"/>
        </w:rPr>
      </w:pPr>
      <w:r>
        <w:rPr>
          <w:sz w:val="20"/>
          <w:szCs w:val="20"/>
          <w:lang w:val="en-US"/>
        </w:rPr>
        <w:t>Support for multi</w:t>
      </w:r>
      <w:r w:rsidR="00D8201E">
        <w:rPr>
          <w:sz w:val="20"/>
          <w:szCs w:val="20"/>
          <w:lang w:val="en-US"/>
        </w:rPr>
        <w:t>-</w:t>
      </w:r>
      <w:r>
        <w:rPr>
          <w:sz w:val="20"/>
          <w:szCs w:val="20"/>
          <w:lang w:val="en-US"/>
        </w:rPr>
        <w:t>numerol</w:t>
      </w:r>
      <w:r w:rsidR="001B69CA">
        <w:rPr>
          <w:sz w:val="20"/>
          <w:szCs w:val="20"/>
          <w:lang w:val="en-US"/>
        </w:rPr>
        <w:t>og</w:t>
      </w:r>
      <w:r>
        <w:rPr>
          <w:sz w:val="20"/>
          <w:szCs w:val="20"/>
          <w:lang w:val="en-US"/>
        </w:rPr>
        <w:t>y</w:t>
      </w:r>
      <w:r w:rsidR="005A4959">
        <w:rPr>
          <w:sz w:val="20"/>
          <w:szCs w:val="20"/>
          <w:lang w:val="en-US"/>
        </w:rPr>
        <w:t>.</w:t>
      </w:r>
    </w:p>
    <w:p w:rsidR="00D20E00" w:rsidRPr="00796D86" w:rsidRDefault="00D20E00" w:rsidP="00E80515">
      <w:pPr>
        <w:pStyle w:val="ListParagraph"/>
        <w:rPr>
          <w:lang w:val="en-US"/>
        </w:rPr>
      </w:pPr>
    </w:p>
    <w:p w:rsidR="00D65D78" w:rsidRDefault="00245A6F" w:rsidP="004A34C9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Three slot</w:t>
      </w:r>
      <w:r w:rsidRPr="005420DE">
        <w:rPr>
          <w:rFonts w:eastAsia="MS Mincho"/>
          <w:lang w:val="en-US" w:eastAsia="ja-JP"/>
        </w:rPr>
        <w:t xml:space="preserve"> types shown in Figure 1</w:t>
      </w:r>
      <w:r>
        <w:rPr>
          <w:rFonts w:eastAsia="MS Mincho"/>
          <w:lang w:val="en-US" w:eastAsia="ja-JP"/>
        </w:rPr>
        <w:t xml:space="preserve"> </w:t>
      </w:r>
      <w:r w:rsidR="005A2D6D">
        <w:rPr>
          <w:rFonts w:eastAsia="MS Mincho"/>
          <w:lang w:val="en-US" w:eastAsia="ja-JP"/>
        </w:rPr>
        <w:t>provide</w:t>
      </w:r>
      <w:r w:rsidRPr="005420DE">
        <w:rPr>
          <w:rFonts w:eastAsia="MS Mincho"/>
          <w:lang w:val="en-US" w:eastAsia="ja-JP"/>
        </w:rPr>
        <w:t xml:space="preserve"> the basic</w:t>
      </w:r>
      <w:r>
        <w:rPr>
          <w:rFonts w:eastAsia="MS Mincho"/>
          <w:lang w:val="en-US" w:eastAsia="ja-JP"/>
        </w:rPr>
        <w:t xml:space="preserve"> NR functionality for both TDD and FDD modes. </w:t>
      </w:r>
      <w:r w:rsidRPr="005420DE">
        <w:rPr>
          <w:rFonts w:eastAsia="MS Mincho"/>
          <w:lang w:val="en-US" w:eastAsia="ja-JP"/>
        </w:rPr>
        <w:t xml:space="preserve">For the bi-directional </w:t>
      </w:r>
      <w:r w:rsidR="00B66594">
        <w:rPr>
          <w:rFonts w:eastAsia="MS Mincho"/>
          <w:lang w:val="en-US" w:eastAsia="ja-JP"/>
        </w:rPr>
        <w:t>slot types</w:t>
      </w:r>
      <w:r w:rsidRPr="005420DE">
        <w:rPr>
          <w:rFonts w:eastAsia="MS Mincho"/>
          <w:lang w:val="en-US" w:eastAsia="ja-JP"/>
        </w:rPr>
        <w:t xml:space="preserve">, there is either downlink data or uplink data </w:t>
      </w:r>
      <w:r w:rsidR="00D65D78">
        <w:rPr>
          <w:rFonts w:eastAsia="MS Mincho"/>
          <w:lang w:val="en-US" w:eastAsia="ja-JP"/>
        </w:rPr>
        <w:t xml:space="preserve">transmission </w:t>
      </w:r>
      <w:r w:rsidRPr="005420DE">
        <w:rPr>
          <w:rFonts w:eastAsia="MS Mincho"/>
          <w:lang w:val="en-US" w:eastAsia="ja-JP"/>
        </w:rPr>
        <w:t xml:space="preserve">in each </w:t>
      </w:r>
      <w:r>
        <w:rPr>
          <w:rFonts w:eastAsia="MS Mincho"/>
          <w:lang w:val="en-US" w:eastAsia="ja-JP"/>
        </w:rPr>
        <w:t>slot</w:t>
      </w:r>
      <w:r w:rsidRPr="005420DE">
        <w:rPr>
          <w:rFonts w:eastAsia="MS Mincho"/>
          <w:lang w:val="en-US" w:eastAsia="ja-JP"/>
        </w:rPr>
        <w:t xml:space="preserve">, as well as the corresponding downlink and uplink control. </w:t>
      </w:r>
      <w:r w:rsidR="00D65D78">
        <w:rPr>
          <w:rFonts w:eastAsia="MS Mincho"/>
          <w:lang w:val="en-US" w:eastAsia="ja-JP"/>
        </w:rPr>
        <w:t>Multiplexing</w:t>
      </w:r>
      <w:r w:rsidRPr="005420DE">
        <w:rPr>
          <w:rFonts w:eastAsia="MS Mincho"/>
          <w:lang w:val="en-US" w:eastAsia="ja-JP"/>
        </w:rPr>
        <w:t xml:space="preserve"> between DL control, DL/UL data, GP and UL control is </w:t>
      </w:r>
      <w:r w:rsidR="001E3F75">
        <w:rPr>
          <w:rFonts w:eastAsia="MS Mincho"/>
          <w:lang w:val="en-US" w:eastAsia="ja-JP"/>
        </w:rPr>
        <w:t xml:space="preserve">preferably </w:t>
      </w:r>
      <w:r w:rsidRPr="005420DE">
        <w:rPr>
          <w:rFonts w:eastAsia="MS Mincho"/>
          <w:lang w:val="en-US" w:eastAsia="ja-JP"/>
        </w:rPr>
        <w:t>based on time division multiplexing</w:t>
      </w:r>
      <w:r w:rsidR="001E3F75">
        <w:rPr>
          <w:rFonts w:eastAsia="MS Mincho"/>
          <w:lang w:val="en-US" w:eastAsia="ja-JP"/>
        </w:rPr>
        <w:t xml:space="preserve"> when possible</w:t>
      </w:r>
      <w:r w:rsidR="00B66594">
        <w:rPr>
          <w:rFonts w:eastAsia="MS Mincho"/>
          <w:lang w:val="en-US" w:eastAsia="ja-JP"/>
        </w:rPr>
        <w:t xml:space="preserve"> (</w:t>
      </w:r>
      <w:r w:rsidR="00F40F19">
        <w:rPr>
          <w:rFonts w:eastAsia="MS Mincho"/>
          <w:lang w:val="en-US" w:eastAsia="ja-JP"/>
        </w:rPr>
        <w:t>exact multiplexing details are FFS</w:t>
      </w:r>
      <w:r w:rsidR="00B66594">
        <w:rPr>
          <w:rFonts w:eastAsia="MS Mincho"/>
          <w:lang w:val="en-US" w:eastAsia="ja-JP"/>
        </w:rPr>
        <w:t>)</w:t>
      </w:r>
      <w:r>
        <w:rPr>
          <w:rFonts w:eastAsia="MS Mincho"/>
          <w:lang w:val="en-US" w:eastAsia="ja-JP"/>
        </w:rPr>
        <w:t xml:space="preserve">. This allows not only </w:t>
      </w:r>
      <w:r w:rsidRPr="005420DE">
        <w:rPr>
          <w:rFonts w:eastAsia="MS Mincho"/>
          <w:lang w:val="en-US" w:eastAsia="ja-JP"/>
        </w:rPr>
        <w:t xml:space="preserve">fast energy efficient pipeline processing </w:t>
      </w:r>
      <w:r w:rsidR="004A34C9">
        <w:rPr>
          <w:rFonts w:eastAsia="MS Mincho"/>
          <w:lang w:val="en-US" w:eastAsia="ja-JP"/>
        </w:rPr>
        <w:t>at the</w:t>
      </w:r>
      <w:r w:rsidRPr="005420DE">
        <w:rPr>
          <w:rFonts w:eastAsia="MS Mincho"/>
          <w:lang w:val="en-US" w:eastAsia="ja-JP"/>
        </w:rPr>
        <w:t xml:space="preserve"> receiver</w:t>
      </w:r>
      <w:r>
        <w:rPr>
          <w:rFonts w:eastAsia="MS Mincho"/>
          <w:lang w:val="en-US" w:eastAsia="ja-JP"/>
        </w:rPr>
        <w:t xml:space="preserve"> but </w:t>
      </w:r>
      <w:r w:rsidR="004A34C9">
        <w:rPr>
          <w:rFonts w:eastAsia="MS Mincho"/>
          <w:lang w:val="en-US" w:eastAsia="ja-JP"/>
        </w:rPr>
        <w:t xml:space="preserve">provides also favorable interference conditions for control signals, </w:t>
      </w:r>
      <w:r w:rsidR="00D65D78">
        <w:rPr>
          <w:rFonts w:eastAsia="MS Mincho"/>
          <w:lang w:val="en-US" w:eastAsia="ja-JP"/>
        </w:rPr>
        <w:t>also in the case of flexible TDD</w:t>
      </w:r>
      <w:r w:rsidR="004A34C9">
        <w:rPr>
          <w:rFonts w:eastAsia="MS Mincho"/>
          <w:lang w:val="en-US" w:eastAsia="ja-JP"/>
        </w:rPr>
        <w:t xml:space="preserve">. </w:t>
      </w:r>
    </w:p>
    <w:p w:rsidR="00245A6F" w:rsidRDefault="00245A6F" w:rsidP="00245A6F">
      <w:pPr>
        <w:pStyle w:val="00BodyText"/>
        <w:keepNext/>
        <w:spacing w:after="0"/>
        <w:jc w:val="center"/>
      </w:pPr>
      <w:r w:rsidRPr="00245A6F">
        <w:rPr>
          <w:noProof/>
        </w:rPr>
        <w:lastRenderedPageBreak/>
        <w:drawing>
          <wp:inline distT="0" distB="0" distL="0" distR="0">
            <wp:extent cx="2207941" cy="1601204"/>
            <wp:effectExtent l="0" t="0" r="1905" b="0"/>
            <wp:docPr id="2712" name="Picture 2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624" cy="1611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515074">
        <w:rPr>
          <w:noProof/>
        </w:rPr>
        <w:drawing>
          <wp:inline distT="0" distB="0" distL="0" distR="0">
            <wp:extent cx="746974" cy="565562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27" cy="589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A6F" w:rsidRDefault="00245A6F" w:rsidP="00B66594">
      <w:pPr>
        <w:pStyle w:val="Caption"/>
        <w:ind w:right="283"/>
        <w:jc w:val="center"/>
      </w:pPr>
      <w:r>
        <w:t xml:space="preserve">Figure </w:t>
      </w:r>
      <w:r w:rsidR="00DE0C66">
        <w:fldChar w:fldCharType="begin"/>
      </w:r>
      <w:r w:rsidR="00DE0C66">
        <w:instrText xml:space="preserve"> SEQ Figure \* ARABIC </w:instrText>
      </w:r>
      <w:r w:rsidR="00DE0C66">
        <w:fldChar w:fldCharType="separate"/>
      </w:r>
      <w:r w:rsidR="00BE0A4E">
        <w:rPr>
          <w:noProof/>
        </w:rPr>
        <w:t>1</w:t>
      </w:r>
      <w:r w:rsidR="00DE0C66">
        <w:rPr>
          <w:noProof/>
        </w:rPr>
        <w:fldChar w:fldCharType="end"/>
      </w:r>
      <w:r>
        <w:t xml:space="preserve"> </w:t>
      </w:r>
      <w:r w:rsidRPr="00245A6F">
        <w:rPr>
          <w:lang w:val="en-US"/>
        </w:rPr>
        <w:t>Slot</w:t>
      </w:r>
      <w:r>
        <w:t xml:space="preserve"> types, </w:t>
      </w:r>
      <w:r w:rsidRPr="004A34C9">
        <w:rPr>
          <w:i/>
          <w:lang w:val="en-US"/>
        </w:rPr>
        <w:t>y</w:t>
      </w:r>
      <w:r w:rsidRPr="004A34C9">
        <w:rPr>
          <w:lang w:val="en-US"/>
        </w:rPr>
        <w:t>=7</w:t>
      </w:r>
      <w:r>
        <w:t>.</w:t>
      </w:r>
    </w:p>
    <w:p w:rsidR="00356275" w:rsidRDefault="00356275" w:rsidP="00513DEF">
      <w:pPr>
        <w:spacing w:after="0"/>
      </w:pPr>
    </w:p>
    <w:p w:rsidR="00D736A2" w:rsidRDefault="00D736A2" w:rsidP="00667385">
      <w:pPr>
        <w:jc w:val="both"/>
        <w:rPr>
          <w:b/>
          <w:i/>
        </w:rPr>
      </w:pPr>
      <w:r>
        <w:rPr>
          <w:rFonts w:eastAsia="MS Mincho"/>
          <w:lang w:val="en-US" w:eastAsia="ja-JP"/>
        </w:rPr>
        <w:t xml:space="preserve">Following the </w:t>
      </w:r>
      <w:r w:rsidR="005A4959">
        <w:rPr>
          <w:rFonts w:eastAsia="MS Mincho"/>
          <w:lang w:val="en-US" w:eastAsia="ja-JP"/>
        </w:rPr>
        <w:t xml:space="preserve">slot types </w:t>
      </w:r>
      <w:r w:rsidR="007D24BF">
        <w:rPr>
          <w:rFonts w:eastAsia="MS Mincho"/>
          <w:lang w:val="en-US" w:eastAsia="ja-JP"/>
        </w:rPr>
        <w:t>shown in F</w:t>
      </w:r>
      <w:r w:rsidR="005E5E1A">
        <w:rPr>
          <w:rFonts w:eastAsia="MS Mincho"/>
          <w:lang w:val="en-US" w:eastAsia="ja-JP"/>
        </w:rPr>
        <w:t xml:space="preserve">igure 1, physical downlink </w:t>
      </w:r>
      <w:r w:rsidR="007D24BF">
        <w:rPr>
          <w:rFonts w:eastAsia="MS Mincho"/>
          <w:lang w:val="en-US" w:eastAsia="ja-JP"/>
        </w:rPr>
        <w:t>control channel (PDCCH) is conveyed via the D</w:t>
      </w:r>
      <w:r>
        <w:rPr>
          <w:rFonts w:eastAsia="MS Mincho"/>
          <w:lang w:val="en-US" w:eastAsia="ja-JP"/>
        </w:rPr>
        <w:t>L cont</w:t>
      </w:r>
      <w:r w:rsidR="007D24BF">
        <w:rPr>
          <w:rFonts w:eastAsia="MS Mincho"/>
          <w:lang w:val="en-US" w:eastAsia="ja-JP"/>
        </w:rPr>
        <w:t xml:space="preserve">rol symbol(s) located at the beginning </w:t>
      </w:r>
      <w:r>
        <w:rPr>
          <w:rFonts w:eastAsia="MS Mincho"/>
          <w:lang w:val="en-US" w:eastAsia="ja-JP"/>
        </w:rPr>
        <w:t xml:space="preserve">of the </w:t>
      </w:r>
      <w:r w:rsidR="004F3076">
        <w:rPr>
          <w:rFonts w:eastAsia="MS Mincho"/>
          <w:lang w:val="en-US" w:eastAsia="ja-JP"/>
        </w:rPr>
        <w:t>slot</w:t>
      </w:r>
      <w:r>
        <w:rPr>
          <w:rFonts w:eastAsia="MS Mincho"/>
          <w:lang w:val="en-US" w:eastAsia="ja-JP"/>
        </w:rPr>
        <w:t xml:space="preserve">. </w:t>
      </w:r>
      <w:r w:rsidR="00FF1D24">
        <w:rPr>
          <w:rFonts w:eastAsia="MS Mincho"/>
          <w:lang w:val="en-US" w:eastAsia="ja-JP"/>
        </w:rPr>
        <w:t xml:space="preserve">PDCCH </w:t>
      </w:r>
      <w:r w:rsidR="004F3076">
        <w:rPr>
          <w:rFonts w:eastAsia="MS Mincho"/>
          <w:lang w:val="en-US" w:eastAsia="ja-JP"/>
        </w:rPr>
        <w:t>carries</w:t>
      </w:r>
      <w:r>
        <w:rPr>
          <w:rFonts w:eastAsia="MS Mincho"/>
          <w:lang w:val="en-US" w:eastAsia="ja-JP"/>
        </w:rPr>
        <w:t xml:space="preserve"> differe</w:t>
      </w:r>
      <w:r w:rsidR="005E5E1A">
        <w:rPr>
          <w:rFonts w:eastAsia="MS Mincho"/>
          <w:lang w:val="en-US" w:eastAsia="ja-JP"/>
        </w:rPr>
        <w:t>nt downlink control information (D</w:t>
      </w:r>
      <w:r>
        <w:rPr>
          <w:rFonts w:eastAsia="MS Mincho"/>
          <w:lang w:val="en-US" w:eastAsia="ja-JP"/>
        </w:rPr>
        <w:t xml:space="preserve">CI) types </w:t>
      </w:r>
      <w:r w:rsidR="004F3076">
        <w:rPr>
          <w:rFonts w:eastAsia="MS Mincho"/>
          <w:lang w:val="en-US" w:eastAsia="ja-JP"/>
        </w:rPr>
        <w:t>containing latency critical DL/UL</w:t>
      </w:r>
      <w:r w:rsidR="00667385">
        <w:rPr>
          <w:rFonts w:eastAsia="MS Mincho"/>
          <w:lang w:val="en-US" w:eastAsia="ja-JP"/>
        </w:rPr>
        <w:t xml:space="preserve"> scheduling information,</w:t>
      </w:r>
      <w:r>
        <w:rPr>
          <w:rFonts w:eastAsia="MS Mincho"/>
          <w:lang w:val="en-US" w:eastAsia="ja-JP"/>
        </w:rPr>
        <w:t xml:space="preserve"> </w:t>
      </w:r>
      <w:r w:rsidR="00667385">
        <w:rPr>
          <w:rFonts w:eastAsia="MS Mincho"/>
          <w:lang w:val="en-US" w:eastAsia="ja-JP"/>
        </w:rPr>
        <w:t xml:space="preserve">HARQ </w:t>
      </w:r>
      <w:r w:rsidR="00EE7C7E">
        <w:rPr>
          <w:rFonts w:eastAsia="MS Mincho"/>
          <w:lang w:val="en-US" w:eastAsia="ja-JP"/>
        </w:rPr>
        <w:t>information</w:t>
      </w:r>
      <w:r w:rsidR="00667385">
        <w:rPr>
          <w:rFonts w:eastAsia="MS Mincho"/>
          <w:lang w:val="en-US" w:eastAsia="ja-JP"/>
        </w:rPr>
        <w:t>,</w:t>
      </w:r>
      <w:r w:rsidR="004F3076">
        <w:rPr>
          <w:rFonts w:eastAsia="MS Mincho"/>
          <w:lang w:val="en-US" w:eastAsia="ja-JP"/>
        </w:rPr>
        <w:t xml:space="preserve"> MIMO feedback,</w:t>
      </w:r>
      <w:r w:rsidR="00667385">
        <w:rPr>
          <w:rFonts w:eastAsia="MS Mincho"/>
          <w:lang w:val="en-US" w:eastAsia="ja-JP"/>
        </w:rPr>
        <w:t xml:space="preserve"> CSI</w:t>
      </w:r>
      <w:r w:rsidR="004F3076">
        <w:rPr>
          <w:rFonts w:eastAsia="MS Mincho"/>
          <w:lang w:val="en-US" w:eastAsia="ja-JP"/>
        </w:rPr>
        <w:t>/SRS</w:t>
      </w:r>
      <w:r w:rsidR="00667385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reque</w:t>
      </w:r>
      <w:r w:rsidR="00667385">
        <w:rPr>
          <w:rFonts w:eastAsia="MS Mincho"/>
          <w:lang w:val="en-US" w:eastAsia="ja-JP"/>
        </w:rPr>
        <w:t xml:space="preserve">st </w:t>
      </w:r>
      <w:r w:rsidR="005E5E1A">
        <w:rPr>
          <w:rFonts w:eastAsia="MS Mincho"/>
          <w:lang w:val="en-US" w:eastAsia="ja-JP"/>
        </w:rPr>
        <w:t xml:space="preserve">and </w:t>
      </w:r>
      <w:r w:rsidR="004F3076">
        <w:rPr>
          <w:rFonts w:eastAsia="MS Mincho"/>
          <w:lang w:val="en-US" w:eastAsia="ja-JP"/>
        </w:rPr>
        <w:t xml:space="preserve">other </w:t>
      </w:r>
      <w:r w:rsidR="00B7291A">
        <w:rPr>
          <w:rFonts w:eastAsia="MS Mincho"/>
          <w:lang w:val="en-US" w:eastAsia="ja-JP"/>
        </w:rPr>
        <w:t>necessary L1 DL</w:t>
      </w:r>
      <w:r w:rsidR="005A2D6D">
        <w:rPr>
          <w:rFonts w:eastAsia="MS Mincho"/>
          <w:lang w:val="en-US" w:eastAsia="ja-JP"/>
        </w:rPr>
        <w:t xml:space="preserve"> control</w:t>
      </w:r>
      <w:r w:rsidR="00B7291A">
        <w:rPr>
          <w:rFonts w:eastAsia="MS Mincho"/>
          <w:lang w:val="en-US" w:eastAsia="ja-JP"/>
        </w:rPr>
        <w:t xml:space="preserve"> information</w:t>
      </w:r>
      <w:r>
        <w:rPr>
          <w:rFonts w:eastAsia="MS Mincho"/>
          <w:lang w:val="en-US" w:eastAsia="ja-JP"/>
        </w:rPr>
        <w:t xml:space="preserve">. </w:t>
      </w:r>
    </w:p>
    <w:p w:rsidR="00EE7C7E" w:rsidRDefault="00EE7C7E" w:rsidP="00667385">
      <w:p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As discussed multiplexing between DL data and DL control within slot is</w:t>
      </w:r>
      <w:r w:rsidR="006C3959" w:rsidRPr="006C3959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based</w:t>
      </w:r>
      <w:r w:rsidR="004F3076" w:rsidRPr="006C3959">
        <w:rPr>
          <w:rFonts w:eastAsia="MS Mincho"/>
          <w:lang w:val="en-US" w:eastAsia="ja-JP"/>
        </w:rPr>
        <w:t xml:space="preserve"> </w:t>
      </w:r>
      <w:r w:rsidR="00394270">
        <w:rPr>
          <w:rFonts w:eastAsia="MS Mincho"/>
          <w:lang w:val="en-US" w:eastAsia="ja-JP"/>
        </w:rPr>
        <w:t xml:space="preserve">primarily </w:t>
      </w:r>
      <w:r w:rsidR="006C3959" w:rsidRPr="006C3959">
        <w:rPr>
          <w:rFonts w:eastAsia="MS Mincho"/>
          <w:lang w:val="en-US" w:eastAsia="ja-JP"/>
        </w:rPr>
        <w:t>on t</w:t>
      </w:r>
      <w:r>
        <w:rPr>
          <w:rFonts w:eastAsia="MS Mincho"/>
          <w:lang w:val="en-US" w:eastAsia="ja-JP"/>
        </w:rPr>
        <w:t>ime division multiplexing</w:t>
      </w:r>
      <w:r w:rsidR="006C3959" w:rsidRPr="006C3959">
        <w:rPr>
          <w:rFonts w:eastAsia="MS Mincho"/>
          <w:lang w:val="en-US" w:eastAsia="ja-JP"/>
        </w:rPr>
        <w:t>.</w:t>
      </w:r>
      <w:r w:rsidR="00CE2B02">
        <w:rPr>
          <w:rFonts w:eastAsia="MS Mincho"/>
          <w:lang w:val="en-US" w:eastAsia="ja-JP"/>
        </w:rPr>
        <w:t xml:space="preserve"> D</w:t>
      </w:r>
      <w:r w:rsidR="006C3959" w:rsidRPr="006C3959">
        <w:rPr>
          <w:rFonts w:eastAsia="MS Mincho"/>
          <w:lang w:val="en-US" w:eastAsia="ja-JP"/>
        </w:rPr>
        <w:t xml:space="preserve">ue to the fact that mini-slot duration in terms of number of OFDMA symbols can be relatively small (such as one or two OFDMA symbols), </w:t>
      </w:r>
      <w:r w:rsidR="00CE2B02">
        <w:rPr>
          <w:rFonts w:eastAsia="MS Mincho"/>
          <w:lang w:val="en-US" w:eastAsia="ja-JP"/>
        </w:rPr>
        <w:t xml:space="preserve">it seems to be necessary to support also </w:t>
      </w:r>
      <w:r w:rsidR="006C3959" w:rsidRPr="006C3959">
        <w:rPr>
          <w:rFonts w:eastAsia="MS Mincho"/>
          <w:lang w:val="en-US" w:eastAsia="ja-JP"/>
        </w:rPr>
        <w:t xml:space="preserve">FDM between </w:t>
      </w:r>
      <w:r>
        <w:rPr>
          <w:rFonts w:eastAsia="MS Mincho"/>
          <w:lang w:val="en-US" w:eastAsia="ja-JP"/>
        </w:rPr>
        <w:t xml:space="preserve">DL </w:t>
      </w:r>
      <w:r w:rsidR="006C3959" w:rsidRPr="006C3959">
        <w:rPr>
          <w:rFonts w:eastAsia="MS Mincho"/>
          <w:lang w:val="en-US" w:eastAsia="ja-JP"/>
        </w:rPr>
        <w:t xml:space="preserve">control and </w:t>
      </w:r>
      <w:r>
        <w:rPr>
          <w:rFonts w:eastAsia="MS Mincho"/>
          <w:lang w:val="en-US" w:eastAsia="ja-JP"/>
        </w:rPr>
        <w:t xml:space="preserve">DL </w:t>
      </w:r>
      <w:r w:rsidR="006C3959" w:rsidRPr="006C3959">
        <w:rPr>
          <w:rFonts w:eastAsia="MS Mincho"/>
          <w:lang w:val="en-US" w:eastAsia="ja-JP"/>
        </w:rPr>
        <w:t xml:space="preserve">data </w:t>
      </w:r>
      <w:r w:rsidR="00394270">
        <w:rPr>
          <w:rFonts w:eastAsia="MS Mincho"/>
          <w:lang w:val="en-US" w:eastAsia="ja-JP"/>
        </w:rPr>
        <w:t>[8]</w:t>
      </w:r>
      <w:r w:rsidR="004F3076">
        <w:rPr>
          <w:rFonts w:eastAsia="MS Mincho"/>
          <w:lang w:val="en-US" w:eastAsia="ja-JP"/>
        </w:rPr>
        <w:t>.</w:t>
      </w:r>
      <w:r w:rsidR="00CE2B02">
        <w:rPr>
          <w:rFonts w:eastAsia="MS Mincho"/>
          <w:lang w:val="en-US" w:eastAsia="ja-JP"/>
        </w:rPr>
        <w:t xml:space="preserve"> We think that </w:t>
      </w:r>
      <w:r w:rsidR="001E3F75">
        <w:rPr>
          <w:rFonts w:eastAsia="MS Mincho"/>
          <w:lang w:val="en-US" w:eastAsia="ja-JP"/>
        </w:rPr>
        <w:t xml:space="preserve">it </w:t>
      </w:r>
      <w:r>
        <w:rPr>
          <w:rFonts w:eastAsia="MS Mincho"/>
          <w:lang w:val="en-US" w:eastAsia="ja-JP"/>
        </w:rPr>
        <w:t>should be possible t</w:t>
      </w:r>
      <w:r w:rsidR="00CE2B02">
        <w:rPr>
          <w:rFonts w:eastAsia="MS Mincho"/>
          <w:lang w:val="en-US" w:eastAsia="ja-JP"/>
        </w:rPr>
        <w:t xml:space="preserve">o support FDM between DL </w:t>
      </w:r>
      <w:r w:rsidR="00047FFA">
        <w:rPr>
          <w:rFonts w:eastAsia="MS Mincho"/>
          <w:lang w:val="en-US" w:eastAsia="ja-JP"/>
        </w:rPr>
        <w:t>control/data</w:t>
      </w:r>
      <w:r>
        <w:rPr>
          <w:rFonts w:eastAsia="MS Mincho"/>
          <w:lang w:val="en-US" w:eastAsia="ja-JP"/>
        </w:rPr>
        <w:t xml:space="preserve"> also </w:t>
      </w:r>
      <w:r w:rsidR="00047FFA">
        <w:rPr>
          <w:rFonts w:eastAsia="MS Mincho"/>
          <w:lang w:val="en-US" w:eastAsia="ja-JP"/>
        </w:rPr>
        <w:t>with</w:t>
      </w:r>
      <w:r>
        <w:rPr>
          <w:rFonts w:eastAsia="MS Mincho"/>
          <w:lang w:val="en-US" w:eastAsia="ja-JP"/>
        </w:rPr>
        <w:t xml:space="preserve"> regular slots.</w:t>
      </w:r>
      <w:r w:rsidR="00CE2B02">
        <w:rPr>
          <w:rFonts w:eastAsia="MS Mincho"/>
          <w:lang w:val="en-US" w:eastAsia="ja-JP"/>
        </w:rPr>
        <w:t xml:space="preserve"> This </w:t>
      </w:r>
      <w:r w:rsidR="00047FFA">
        <w:rPr>
          <w:rFonts w:eastAsia="MS Mincho"/>
          <w:lang w:val="en-US" w:eastAsia="ja-JP"/>
        </w:rPr>
        <w:t>allows</w:t>
      </w:r>
      <w:r w:rsidR="00CE2B02">
        <w:rPr>
          <w:rFonts w:eastAsia="MS Mincho"/>
          <w:lang w:val="en-US" w:eastAsia="ja-JP"/>
        </w:rPr>
        <w:t xml:space="preserve"> minimizing the DL control</w:t>
      </w:r>
      <w:r w:rsidR="00047FFA">
        <w:rPr>
          <w:rFonts w:eastAsia="MS Mincho"/>
          <w:lang w:val="en-US" w:eastAsia="ja-JP"/>
        </w:rPr>
        <w:t xml:space="preserve"> channel</w:t>
      </w:r>
      <w:r w:rsidR="00CE2B02">
        <w:rPr>
          <w:rFonts w:eastAsia="MS Mincho"/>
          <w:lang w:val="en-US" w:eastAsia="ja-JP"/>
        </w:rPr>
        <w:t xml:space="preserve"> overhead, e.g. in the cases when multiple DL control </w:t>
      </w:r>
      <w:r w:rsidR="00047FFA">
        <w:rPr>
          <w:rFonts w:eastAsia="MS Mincho"/>
          <w:lang w:val="en-US" w:eastAsia="ja-JP"/>
        </w:rPr>
        <w:t>symbols are needed</w:t>
      </w:r>
      <w:r w:rsidR="00CE2B02">
        <w:rPr>
          <w:rFonts w:eastAsia="MS Mincho"/>
          <w:lang w:val="en-US" w:eastAsia="ja-JP"/>
        </w:rPr>
        <w:t xml:space="preserve">. </w:t>
      </w:r>
    </w:p>
    <w:p w:rsidR="001B69CA" w:rsidRDefault="001B69CA" w:rsidP="00667385">
      <w:pPr>
        <w:spacing w:after="0"/>
        <w:rPr>
          <w:rFonts w:eastAsia="MS Mincho"/>
          <w:lang w:val="en-US" w:eastAsia="ja-JP"/>
        </w:rPr>
      </w:pPr>
    </w:p>
    <w:p w:rsidR="00067D46" w:rsidRDefault="00067D46" w:rsidP="00067D46">
      <w:pPr>
        <w:spacing w:after="0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#1</w:t>
      </w:r>
      <w:r>
        <w:t xml:space="preserve">: </w:t>
      </w:r>
      <w:r>
        <w:rPr>
          <w:i/>
        </w:rPr>
        <w:t xml:space="preserve">PDCCH is transmitted </w:t>
      </w:r>
      <w:r w:rsidRPr="008E5307">
        <w:rPr>
          <w:rFonts w:eastAsia="MS Mincho"/>
          <w:i/>
          <w:lang w:val="en-US" w:eastAsia="ja-JP"/>
        </w:rPr>
        <w:t>at the beginning of slot</w:t>
      </w:r>
      <w:r w:rsidR="00CE2B02">
        <w:rPr>
          <w:rFonts w:eastAsia="MS Mincho"/>
          <w:i/>
          <w:lang w:val="en-US" w:eastAsia="ja-JP"/>
        </w:rPr>
        <w:t>/mini-slot</w:t>
      </w:r>
      <w:r w:rsidRPr="008E5307">
        <w:rPr>
          <w:rFonts w:eastAsia="MS Mincho"/>
          <w:i/>
          <w:lang w:val="en-US" w:eastAsia="ja-JP"/>
        </w:rPr>
        <w:t>.</w:t>
      </w:r>
    </w:p>
    <w:p w:rsidR="00667385" w:rsidRDefault="00D736A2" w:rsidP="00667385">
      <w:pPr>
        <w:spacing w:after="0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 w:rsidR="00667385" w:rsidRPr="00DF3B76">
        <w:rPr>
          <w:rFonts w:eastAsia="MS Mincho"/>
          <w:i/>
          <w:lang w:val="en-US" w:eastAsia="ja-JP"/>
        </w:rPr>
        <w:t xml:space="preserve">Support FDM between </w:t>
      </w:r>
      <w:r w:rsidR="00B7291A">
        <w:rPr>
          <w:rFonts w:eastAsia="MS Mincho"/>
          <w:i/>
          <w:lang w:val="en-US" w:eastAsia="ja-JP"/>
        </w:rPr>
        <w:t xml:space="preserve">DL </w:t>
      </w:r>
      <w:r w:rsidR="00667385" w:rsidRPr="00DF3B76">
        <w:rPr>
          <w:rFonts w:eastAsia="MS Mincho"/>
          <w:i/>
          <w:lang w:val="en-US" w:eastAsia="ja-JP"/>
        </w:rPr>
        <w:t xml:space="preserve">control and </w:t>
      </w:r>
      <w:r w:rsidR="00B7291A">
        <w:rPr>
          <w:rFonts w:eastAsia="MS Mincho"/>
          <w:i/>
          <w:lang w:val="en-US" w:eastAsia="ja-JP"/>
        </w:rPr>
        <w:t xml:space="preserve">DL </w:t>
      </w:r>
      <w:r w:rsidR="00667385" w:rsidRPr="00DF3B76">
        <w:rPr>
          <w:rFonts w:eastAsia="MS Mincho"/>
          <w:i/>
          <w:lang w:val="en-US" w:eastAsia="ja-JP"/>
        </w:rPr>
        <w:t>data</w:t>
      </w:r>
      <w:r w:rsidR="001E3F75">
        <w:rPr>
          <w:rFonts w:eastAsia="MS Mincho"/>
          <w:i/>
          <w:lang w:val="en-US" w:eastAsia="ja-JP"/>
        </w:rPr>
        <w:t>.</w:t>
      </w:r>
      <w:r w:rsidR="00667385" w:rsidRPr="006C3959">
        <w:rPr>
          <w:rFonts w:eastAsia="MS Mincho"/>
          <w:lang w:val="en-US" w:eastAsia="ja-JP"/>
        </w:rPr>
        <w:t xml:space="preserve"> </w:t>
      </w:r>
    </w:p>
    <w:p w:rsidR="00067D46" w:rsidRDefault="00067D46" w:rsidP="00067D46">
      <w:pPr>
        <w:spacing w:after="0"/>
        <w:rPr>
          <w:b/>
          <w:i/>
        </w:rPr>
      </w:pPr>
    </w:p>
    <w:p w:rsidR="005A4959" w:rsidRDefault="005A4959" w:rsidP="00067D46">
      <w:pPr>
        <w:spacing w:after="0"/>
      </w:pPr>
    </w:p>
    <w:p w:rsidR="00296371" w:rsidRDefault="005A4959" w:rsidP="003D7D81">
      <w:pPr>
        <w:spacing w:after="0"/>
        <w:rPr>
          <w:lang w:val="en-US"/>
        </w:rPr>
      </w:pPr>
      <w:r>
        <w:t>From</w:t>
      </w:r>
      <w:r w:rsidR="00067D46">
        <w:t xml:space="preserve"> </w:t>
      </w:r>
      <w:r w:rsidR="00067D46">
        <w:rPr>
          <w:lang w:val="en-US"/>
        </w:rPr>
        <w:t>f</w:t>
      </w:r>
      <w:r w:rsidR="00C40FC3">
        <w:rPr>
          <w:lang w:val="en-US"/>
        </w:rPr>
        <w:t>orward c</w:t>
      </w:r>
      <w:r w:rsidR="00060269">
        <w:rPr>
          <w:lang w:val="en-US"/>
        </w:rPr>
        <w:t>ompatibility</w:t>
      </w:r>
      <w:r w:rsidR="00067D46">
        <w:rPr>
          <w:lang w:val="en-US"/>
        </w:rPr>
        <w:t xml:space="preserve"> point of view, it makes sense </w:t>
      </w:r>
      <w:r w:rsidR="00C40FC3">
        <w:rPr>
          <w:lang w:val="en-US"/>
        </w:rPr>
        <w:t>to d</w:t>
      </w:r>
      <w:r w:rsidR="00060269">
        <w:rPr>
          <w:lang w:val="en-US"/>
        </w:rPr>
        <w:t>efine</w:t>
      </w:r>
      <w:r w:rsidR="00C40FC3" w:rsidRPr="00EB2146">
        <w:rPr>
          <w:lang w:val="en-US"/>
        </w:rPr>
        <w:t xml:space="preserve"> downlink control </w:t>
      </w:r>
      <w:r w:rsidR="00C40FC3">
        <w:rPr>
          <w:lang w:val="en-US"/>
        </w:rPr>
        <w:t>(</w:t>
      </w:r>
      <w:r w:rsidR="00C40FC3" w:rsidRPr="00EB2146">
        <w:rPr>
          <w:lang w:val="en-US"/>
        </w:rPr>
        <w:t>and data channels</w:t>
      </w:r>
      <w:r w:rsidR="00C40FC3">
        <w:rPr>
          <w:lang w:val="en-US"/>
        </w:rPr>
        <w:t>)</w:t>
      </w:r>
      <w:r w:rsidR="00C40FC3" w:rsidRPr="00EB2146">
        <w:rPr>
          <w:lang w:val="en-US"/>
        </w:rPr>
        <w:t xml:space="preserve"> as well as reference signals in block based manner</w:t>
      </w:r>
      <w:r w:rsidR="001B69CA">
        <w:rPr>
          <w:lang w:val="en-US"/>
        </w:rPr>
        <w:t xml:space="preserve"> [5</w:t>
      </w:r>
      <w:r w:rsidR="00060269">
        <w:rPr>
          <w:lang w:val="en-US"/>
        </w:rPr>
        <w:t>].</w:t>
      </w:r>
      <w:r w:rsidR="00067D46">
        <w:rPr>
          <w:lang w:val="en-US"/>
        </w:rPr>
        <w:t xml:space="preserve"> This makes it possible for an UE to receive DL control channel using a narrow sub-band of the entire system bandwidth.</w:t>
      </w:r>
      <w:r w:rsidR="005A2D6D">
        <w:rPr>
          <w:lang w:val="en-US"/>
        </w:rPr>
        <w:t xml:space="preserve"> </w:t>
      </w:r>
    </w:p>
    <w:p w:rsidR="00296371" w:rsidRDefault="00296371" w:rsidP="003D7D81">
      <w:pPr>
        <w:spacing w:after="0"/>
        <w:rPr>
          <w:lang w:val="en-US"/>
        </w:rPr>
      </w:pPr>
    </w:p>
    <w:p w:rsidR="003D7D81" w:rsidRDefault="005A2D6D" w:rsidP="003D7D81">
      <w:pPr>
        <w:spacing w:after="0"/>
      </w:pPr>
      <w:r>
        <w:rPr>
          <w:lang w:val="en-US"/>
        </w:rPr>
        <w:t>This can be</w:t>
      </w:r>
      <w:r w:rsidR="00296371">
        <w:rPr>
          <w:lang w:val="en-US"/>
        </w:rPr>
        <w:t xml:space="preserve"> made by means of PDCCH</w:t>
      </w:r>
      <w:r>
        <w:rPr>
          <w:lang w:val="en-US"/>
        </w:rPr>
        <w:t xml:space="preserve"> resource unit consisting a predefined number of consecutive subcarriers</w:t>
      </w:r>
      <w:r w:rsidR="005314C5">
        <w:rPr>
          <w:lang w:val="en-US"/>
        </w:rPr>
        <w:t xml:space="preserve"> within OFDMA symbol</w:t>
      </w:r>
      <w:r>
        <w:rPr>
          <w:lang w:val="en-US"/>
        </w:rPr>
        <w:t xml:space="preserve">. </w:t>
      </w:r>
      <w:r w:rsidR="00060269">
        <w:rPr>
          <w:lang w:val="en-US"/>
        </w:rPr>
        <w:t xml:space="preserve">In order to allow efficient multiplexing </w:t>
      </w:r>
      <w:r w:rsidR="00665138">
        <w:rPr>
          <w:lang w:val="en-US"/>
        </w:rPr>
        <w:t xml:space="preserve">between </w:t>
      </w:r>
      <w:r w:rsidR="00E0424A">
        <w:rPr>
          <w:lang w:val="en-US"/>
        </w:rPr>
        <w:t xml:space="preserve">PDCCH and PDSCH </w:t>
      </w:r>
      <w:r w:rsidR="00060269">
        <w:rPr>
          <w:lang w:val="en-US"/>
        </w:rPr>
        <w:t>within OFDM symbol,</w:t>
      </w:r>
      <w:r w:rsidR="00E0424A">
        <w:rPr>
          <w:lang w:val="en-US"/>
        </w:rPr>
        <w:t xml:space="preserve"> </w:t>
      </w:r>
      <w:r w:rsidR="008E7D63">
        <w:rPr>
          <w:lang w:val="en-US"/>
        </w:rPr>
        <w:t xml:space="preserve">the </w:t>
      </w:r>
      <w:r>
        <w:rPr>
          <w:lang w:val="en-US"/>
        </w:rPr>
        <w:t>PRB</w:t>
      </w:r>
      <w:r w:rsidR="00060269">
        <w:rPr>
          <w:lang w:val="en-US"/>
        </w:rPr>
        <w:t xml:space="preserve"> size</w:t>
      </w:r>
      <w:r w:rsidR="00DD0F95">
        <w:rPr>
          <w:lang w:val="en-US"/>
        </w:rPr>
        <w:t xml:space="preserve"> in frequency </w:t>
      </w:r>
      <w:r w:rsidR="00060269">
        <w:rPr>
          <w:lang w:val="en-US"/>
        </w:rPr>
        <w:t xml:space="preserve">should be </w:t>
      </w:r>
      <w:r w:rsidR="00067D46">
        <w:rPr>
          <w:lang w:val="en-US"/>
        </w:rPr>
        <w:t>common</w:t>
      </w:r>
      <w:r w:rsidR="00060269">
        <w:rPr>
          <w:lang w:val="en-US"/>
        </w:rPr>
        <w:t xml:space="preserve"> for </w:t>
      </w:r>
      <w:r>
        <w:rPr>
          <w:lang w:val="en-US"/>
        </w:rPr>
        <w:t xml:space="preserve">both </w:t>
      </w:r>
      <w:r w:rsidR="00060269">
        <w:rPr>
          <w:lang w:val="en-US"/>
        </w:rPr>
        <w:t>PDCCH and PDSCH</w:t>
      </w:r>
      <w:r w:rsidR="005C41D4">
        <w:rPr>
          <w:lang w:val="en-US"/>
        </w:rPr>
        <w:t xml:space="preserve">. </w:t>
      </w:r>
      <w:r w:rsidR="00DD0F95">
        <w:rPr>
          <w:lang w:val="en-US"/>
        </w:rPr>
        <w:t xml:space="preserve">Thus, </w:t>
      </w:r>
      <w:r w:rsidR="00DD0F95" w:rsidRPr="004A441B">
        <w:rPr>
          <w:lang w:val="en-US"/>
        </w:rPr>
        <w:t>assuming that the number o</w:t>
      </w:r>
      <w:r w:rsidR="00DD0F95">
        <w:rPr>
          <w:lang w:val="en-US"/>
        </w:rPr>
        <w:t>f</w:t>
      </w:r>
      <w:r w:rsidR="00DF3B76">
        <w:rPr>
          <w:lang w:val="en-US"/>
        </w:rPr>
        <w:t xml:space="preserve"> subcarriers per PRB is 12 [6</w:t>
      </w:r>
      <w:r w:rsidR="00DD0F95">
        <w:rPr>
          <w:lang w:val="en-US"/>
        </w:rPr>
        <w:t>], t</w:t>
      </w:r>
      <w:r w:rsidR="00DD0F95" w:rsidRPr="00DD0F95">
        <w:rPr>
          <w:lang w:val="en-US"/>
        </w:rPr>
        <w:t xml:space="preserve">he number of subcarriers per PDCCH resource unit </w:t>
      </w:r>
      <w:r>
        <w:rPr>
          <w:lang w:val="en-US"/>
        </w:rPr>
        <w:t xml:space="preserve">should </w:t>
      </w:r>
      <w:r w:rsidR="00DD0F95" w:rsidRPr="00DD0F95">
        <w:rPr>
          <w:lang w:val="en-US"/>
        </w:rPr>
        <w:t>e</w:t>
      </w:r>
      <w:r>
        <w:rPr>
          <w:lang w:val="en-US"/>
        </w:rPr>
        <w:t>qual</w:t>
      </w:r>
      <w:r w:rsidR="00DD0F95">
        <w:rPr>
          <w:lang w:val="en-US"/>
        </w:rPr>
        <w:t xml:space="preserve"> to M*12.</w:t>
      </w:r>
      <w:r w:rsidR="00BF7C74" w:rsidRPr="00BF7C74">
        <w:t xml:space="preserve"> </w:t>
      </w:r>
    </w:p>
    <w:p w:rsidR="003D7D81" w:rsidRDefault="003D7D81" w:rsidP="003D7D81">
      <w:pPr>
        <w:spacing w:after="0"/>
      </w:pPr>
    </w:p>
    <w:p w:rsidR="00BF7C74" w:rsidRPr="00BF7C74" w:rsidRDefault="00BF7C74" w:rsidP="003D7D81">
      <w:pPr>
        <w:spacing w:after="0"/>
        <w:rPr>
          <w:lang w:val="en-US"/>
        </w:rPr>
      </w:pPr>
      <w:r>
        <w:t xml:space="preserve">The </w:t>
      </w:r>
      <w:r w:rsidRPr="00BF7C74">
        <w:rPr>
          <w:lang w:val="en-US"/>
        </w:rPr>
        <w:t>PDCCH resource unit size can be dimensi</w:t>
      </w:r>
      <w:r w:rsidR="001B69CA">
        <w:rPr>
          <w:lang w:val="en-US"/>
        </w:rPr>
        <w:t>oned according to the expected D</w:t>
      </w:r>
      <w:r w:rsidRPr="00BF7C74">
        <w:rPr>
          <w:lang w:val="en-US"/>
        </w:rPr>
        <w:t>CI payload. For example, with M=</w:t>
      </w:r>
      <w:r w:rsidR="005314C5">
        <w:rPr>
          <w:lang w:val="en-US"/>
        </w:rPr>
        <w:t>4</w:t>
      </w:r>
      <w:r w:rsidR="003D7D81">
        <w:rPr>
          <w:lang w:val="en-US"/>
        </w:rPr>
        <w:t xml:space="preserve">, there are </w:t>
      </w:r>
      <w:r w:rsidR="005314C5">
        <w:rPr>
          <w:lang w:val="en-US"/>
        </w:rPr>
        <w:t>48</w:t>
      </w:r>
      <w:r w:rsidRPr="00BF7C74">
        <w:rPr>
          <w:lang w:val="en-US"/>
        </w:rPr>
        <w:t xml:space="preserve"> subcarriers/OFDMA</w:t>
      </w:r>
      <w:r>
        <w:rPr>
          <w:lang w:val="en-US"/>
        </w:rPr>
        <w:t xml:space="preserve"> symbol available within each PD</w:t>
      </w:r>
      <w:r w:rsidRPr="00BF7C74">
        <w:rPr>
          <w:lang w:val="en-US"/>
        </w:rPr>
        <w:t>CCH resource unit. Assuming that one third of the subcarriers are allocated to DMRS, each PUCCH resource unit contains:</w:t>
      </w:r>
    </w:p>
    <w:p w:rsidR="00BF7C74" w:rsidRPr="005A4959" w:rsidRDefault="005314C5" w:rsidP="005A4959">
      <w:pPr>
        <w:pStyle w:val="ListParagraph"/>
        <w:keepNext/>
        <w:numPr>
          <w:ilvl w:val="0"/>
          <w:numId w:val="42"/>
        </w:numPr>
        <w:tabs>
          <w:tab w:val="num" w:pos="709"/>
        </w:tabs>
        <w:rPr>
          <w:sz w:val="20"/>
          <w:lang w:val="en-US"/>
        </w:rPr>
      </w:pPr>
      <w:r>
        <w:rPr>
          <w:sz w:val="20"/>
          <w:lang w:val="en-US"/>
        </w:rPr>
        <w:t>16</w:t>
      </w:r>
      <w:r w:rsidR="008E7D63" w:rsidRPr="005A4959">
        <w:rPr>
          <w:sz w:val="20"/>
          <w:lang w:val="en-US"/>
        </w:rPr>
        <w:t xml:space="preserve"> subcarriers are allocated to PD</w:t>
      </w:r>
      <w:r w:rsidR="00BF7C74" w:rsidRPr="005A4959">
        <w:rPr>
          <w:sz w:val="20"/>
          <w:lang w:val="en-US"/>
        </w:rPr>
        <w:t>CCH DMRS and</w:t>
      </w:r>
    </w:p>
    <w:p w:rsidR="00BF7C74" w:rsidRPr="005A4959" w:rsidRDefault="005314C5" w:rsidP="005A4959">
      <w:pPr>
        <w:pStyle w:val="ListParagraph"/>
        <w:keepNext/>
        <w:numPr>
          <w:ilvl w:val="0"/>
          <w:numId w:val="42"/>
        </w:numPr>
        <w:tabs>
          <w:tab w:val="num" w:pos="709"/>
        </w:tabs>
        <w:rPr>
          <w:sz w:val="20"/>
          <w:lang w:val="en-US"/>
        </w:rPr>
      </w:pPr>
      <w:r>
        <w:rPr>
          <w:sz w:val="20"/>
          <w:lang w:val="en-US"/>
        </w:rPr>
        <w:t>32</w:t>
      </w:r>
      <w:r w:rsidR="00BF7C74" w:rsidRPr="005A4959">
        <w:rPr>
          <w:sz w:val="20"/>
          <w:lang w:val="en-US"/>
        </w:rPr>
        <w:t xml:space="preserve"> subca</w:t>
      </w:r>
      <w:r w:rsidR="008E7D63" w:rsidRPr="005A4959">
        <w:rPr>
          <w:sz w:val="20"/>
          <w:lang w:val="en-US"/>
        </w:rPr>
        <w:t>rriers would be available for DCI</w:t>
      </w:r>
    </w:p>
    <w:p w:rsidR="004A441B" w:rsidRDefault="00BF7C74" w:rsidP="00BF7C74">
      <w:pPr>
        <w:keepNext/>
        <w:tabs>
          <w:tab w:val="num" w:pos="709"/>
        </w:tabs>
        <w:spacing w:after="0"/>
        <w:rPr>
          <w:lang w:val="en-US"/>
        </w:rPr>
      </w:pPr>
      <w:r w:rsidRPr="00BF7C74">
        <w:rPr>
          <w:lang w:val="en-US"/>
        </w:rPr>
        <w:t xml:space="preserve">This provides </w:t>
      </w:r>
      <w:r w:rsidR="005314C5">
        <w:rPr>
          <w:lang w:val="en-US"/>
        </w:rPr>
        <w:t>64</w:t>
      </w:r>
      <w:r w:rsidRPr="00BF7C74">
        <w:rPr>
          <w:lang w:val="en-US"/>
        </w:rPr>
        <w:t xml:space="preserve"> </w:t>
      </w:r>
      <w:r>
        <w:rPr>
          <w:lang w:val="en-US"/>
        </w:rPr>
        <w:t>coded bits/</w:t>
      </w:r>
      <w:r w:rsidR="005314C5">
        <w:rPr>
          <w:lang w:val="en-US"/>
        </w:rPr>
        <w:t>PDCCH resource unit</w:t>
      </w:r>
      <w:r w:rsidR="008E7D63">
        <w:rPr>
          <w:lang w:val="en-US"/>
        </w:rPr>
        <w:t xml:space="preserve"> </w:t>
      </w:r>
      <w:r w:rsidRPr="00BF7C74">
        <w:rPr>
          <w:lang w:val="en-US"/>
        </w:rPr>
        <w:t>with QPSK modulation.</w:t>
      </w:r>
    </w:p>
    <w:p w:rsidR="005A4959" w:rsidRDefault="005A4959" w:rsidP="00BF7C74">
      <w:pPr>
        <w:keepNext/>
        <w:tabs>
          <w:tab w:val="num" w:pos="709"/>
        </w:tabs>
        <w:spacing w:after="0"/>
        <w:rPr>
          <w:lang w:val="en-US"/>
        </w:rPr>
      </w:pPr>
    </w:p>
    <w:p w:rsidR="005A4959" w:rsidRDefault="005A4959" w:rsidP="005A4959">
      <w:pPr>
        <w:keepNext/>
        <w:tabs>
          <w:tab w:val="num" w:pos="709"/>
        </w:tabs>
        <w:spacing w:after="0"/>
        <w:rPr>
          <w:lang w:val="en-US"/>
        </w:rPr>
      </w:pPr>
      <w:r>
        <w:rPr>
          <w:lang w:val="en-US"/>
        </w:rPr>
        <w:t xml:space="preserve">The PDCCH </w:t>
      </w:r>
      <w:r w:rsidR="00F9606C">
        <w:rPr>
          <w:lang w:val="en-US"/>
        </w:rPr>
        <w:t xml:space="preserve">resource unit </w:t>
      </w:r>
      <w:r>
        <w:rPr>
          <w:lang w:val="en-US"/>
        </w:rPr>
        <w:t>aggregation in time and frequency needs to be supported in order to provide sufficient coverage and interference resistivity. On the other hand, in</w:t>
      </w:r>
      <w:r w:rsidRPr="00ED1759">
        <w:rPr>
          <w:lang w:val="en-US"/>
        </w:rPr>
        <w:t xml:space="preserve"> order to maximize the multiplexing capacity, </w:t>
      </w:r>
      <w:r>
        <w:rPr>
          <w:lang w:val="en-US"/>
        </w:rPr>
        <w:t xml:space="preserve">spatial multiplexing of UEs within a PDCCH resource unit needs to be </w:t>
      </w:r>
      <w:r w:rsidR="005A2D6D">
        <w:rPr>
          <w:lang w:val="en-US"/>
        </w:rPr>
        <w:t>supported</w:t>
      </w:r>
      <w:r w:rsidR="003D7D81">
        <w:rPr>
          <w:lang w:val="en-US"/>
        </w:rPr>
        <w:t xml:space="preserve"> as well</w:t>
      </w:r>
      <w:r>
        <w:rPr>
          <w:lang w:val="en-US"/>
        </w:rPr>
        <w:t xml:space="preserve">. </w:t>
      </w:r>
    </w:p>
    <w:p w:rsidR="00DD0F95" w:rsidRDefault="00DD0F95" w:rsidP="004A441B">
      <w:pPr>
        <w:keepNext/>
        <w:tabs>
          <w:tab w:val="num" w:pos="709"/>
        </w:tabs>
        <w:spacing w:after="0"/>
        <w:rPr>
          <w:lang w:val="en-US"/>
        </w:rPr>
      </w:pPr>
    </w:p>
    <w:p w:rsidR="005A4959" w:rsidRPr="00DF3B76" w:rsidRDefault="005A4959" w:rsidP="005A4959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3</w:t>
      </w:r>
      <w:r>
        <w:t xml:space="preserve">: </w:t>
      </w:r>
      <w:r w:rsidRPr="00DF3B76">
        <w:rPr>
          <w:i/>
        </w:rPr>
        <w:t xml:space="preserve">Control channel and related reference signals are constructed by aggregating basic </w:t>
      </w:r>
      <w:r w:rsidR="001E3F75">
        <w:rPr>
          <w:i/>
        </w:rPr>
        <w:t xml:space="preserve">PDCCH </w:t>
      </w:r>
      <w:r w:rsidRPr="00DF3B76">
        <w:rPr>
          <w:i/>
        </w:rPr>
        <w:t xml:space="preserve">resource </w:t>
      </w:r>
      <w:r w:rsidR="001C52F3">
        <w:rPr>
          <w:i/>
        </w:rPr>
        <w:t>units</w:t>
      </w:r>
    </w:p>
    <w:p w:rsidR="00DD0F95" w:rsidRPr="00DF3B76" w:rsidRDefault="00DD0F95" w:rsidP="00DD0F95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4</w:t>
      </w:r>
      <w:r>
        <w:t xml:space="preserve">: </w:t>
      </w:r>
      <w:r w:rsidRPr="00DF3B76">
        <w:rPr>
          <w:i/>
        </w:rPr>
        <w:t>Physical Resource Block size in the terms of number of subcarrier is comm</w:t>
      </w:r>
      <w:r w:rsidR="00067D46">
        <w:rPr>
          <w:i/>
        </w:rPr>
        <w:t>o</w:t>
      </w:r>
      <w:r w:rsidRPr="00DF3B76">
        <w:rPr>
          <w:i/>
        </w:rPr>
        <w:t>n for PDCCH and PDSCH</w:t>
      </w:r>
    </w:p>
    <w:p w:rsidR="00DD0F95" w:rsidRDefault="00DD0F95" w:rsidP="00DD0F95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5</w:t>
      </w:r>
      <w:r w:rsidRPr="00DD0F95">
        <w:rPr>
          <w:b/>
        </w:rPr>
        <w:t>:</w:t>
      </w:r>
      <w:r w:rsidRPr="00DD0F95">
        <w:t xml:space="preserve"> </w:t>
      </w:r>
      <w:r w:rsidRPr="00DF3B76">
        <w:rPr>
          <w:i/>
        </w:rPr>
        <w:t>PDCCH resource unit size in frequency is M*12 subcarriers (parameter M is FFS)</w:t>
      </w:r>
    </w:p>
    <w:p w:rsidR="005A4959" w:rsidRPr="005A4959" w:rsidRDefault="005A4959" w:rsidP="005A4959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6</w:t>
      </w:r>
      <w:r w:rsidRPr="00DD0F95">
        <w:rPr>
          <w:b/>
        </w:rPr>
        <w:t>:</w:t>
      </w:r>
      <w:r>
        <w:rPr>
          <w:b/>
        </w:rPr>
        <w:t xml:space="preserve"> </w:t>
      </w:r>
      <w:r>
        <w:rPr>
          <w:i/>
        </w:rPr>
        <w:t xml:space="preserve">Support spatial multiplexing within </w:t>
      </w:r>
      <w:r w:rsidR="001E3F75">
        <w:rPr>
          <w:i/>
        </w:rPr>
        <w:t xml:space="preserve">a </w:t>
      </w:r>
      <w:r>
        <w:rPr>
          <w:i/>
        </w:rPr>
        <w:t>PDCCH resource unit</w:t>
      </w:r>
    </w:p>
    <w:p w:rsidR="00067D46" w:rsidRPr="005A4959" w:rsidRDefault="00067D46" w:rsidP="00ED1759">
      <w:pPr>
        <w:keepNext/>
        <w:tabs>
          <w:tab w:val="num" w:pos="709"/>
        </w:tabs>
        <w:spacing w:after="0"/>
      </w:pPr>
    </w:p>
    <w:p w:rsidR="0090638B" w:rsidRDefault="0090638B" w:rsidP="0090638B">
      <w:pPr>
        <w:spacing w:after="0"/>
        <w:rPr>
          <w:b/>
          <w:i/>
        </w:rPr>
      </w:pPr>
    </w:p>
    <w:p w:rsidR="00DF3B76" w:rsidRDefault="0090638B" w:rsidP="0090638B">
      <w:pPr>
        <w:rPr>
          <w:lang w:val="en-US"/>
        </w:rPr>
      </w:pPr>
      <w:r>
        <w:t xml:space="preserve">The beamforming architecture used in the BS needs to be taken into account also in the PDCCH design. </w:t>
      </w:r>
      <w:r w:rsidRPr="0035785F">
        <w:rPr>
          <w:lang w:val="en-US"/>
        </w:rPr>
        <w:t>Typical characteristics for hybrid beamforming operating with limited number of RF beams in parallel</w:t>
      </w:r>
      <w:r>
        <w:rPr>
          <w:lang w:val="en-US"/>
        </w:rPr>
        <w:t xml:space="preserve"> is</w:t>
      </w:r>
      <w:r w:rsidRPr="0035785F">
        <w:rPr>
          <w:lang w:val="en-US"/>
        </w:rPr>
        <w:t xml:space="preserve"> that</w:t>
      </w:r>
      <w:r>
        <w:rPr>
          <w:lang w:val="en-US"/>
        </w:rPr>
        <w:t xml:space="preserve"> the beams</w:t>
      </w:r>
      <w:r w:rsidRPr="0035785F">
        <w:rPr>
          <w:lang w:val="en-US"/>
        </w:rPr>
        <w:t xml:space="preserve"> can cover only portion of the cell coverage at a time as shown </w:t>
      </w:r>
      <w:r>
        <w:rPr>
          <w:lang w:val="en-US"/>
        </w:rPr>
        <w:t xml:space="preserve">Figure 3. In this example the </w:t>
      </w:r>
      <w:r w:rsidRPr="0035785F">
        <w:rPr>
          <w:lang w:val="en-US"/>
        </w:rPr>
        <w:t xml:space="preserve">BS has capability to form 2 RF beams at a time. </w:t>
      </w:r>
      <w:r>
        <w:rPr>
          <w:lang w:val="en-US"/>
        </w:rPr>
        <w:t xml:space="preserve">The more </w:t>
      </w:r>
      <w:r w:rsidRPr="0035785F">
        <w:rPr>
          <w:lang w:val="en-US"/>
        </w:rPr>
        <w:t xml:space="preserve">narrow beam the less UEs can share the same beam and thus the multiplexing capacity will be limited by the number of TXRUs. </w:t>
      </w:r>
      <w:r w:rsidR="003D7D81">
        <w:rPr>
          <w:lang w:val="en-US"/>
        </w:rPr>
        <w:t>The situation can be improved by allocating more than one PDCCH symbols per slot. Obviously, t</w:t>
      </w:r>
      <w:r>
        <w:rPr>
          <w:lang w:val="en-US"/>
        </w:rPr>
        <w:t xml:space="preserve">here should be an opportunity </w:t>
      </w:r>
      <w:r>
        <w:t xml:space="preserve">for RF beam switching </w:t>
      </w:r>
      <w:r>
        <w:rPr>
          <w:lang w:val="en-US"/>
        </w:rPr>
        <w:t xml:space="preserve">between consecutive PDCCH symbols. </w:t>
      </w:r>
    </w:p>
    <w:p w:rsidR="0090638B" w:rsidRDefault="0090638B" w:rsidP="0090638B">
      <w:pPr>
        <w:rPr>
          <w:lang w:val="en-US"/>
        </w:rPr>
      </w:pPr>
      <w:r>
        <w:rPr>
          <w:b/>
          <w:i/>
        </w:rPr>
        <w:lastRenderedPageBreak/>
        <w:t>Observation #1</w:t>
      </w:r>
      <w:r>
        <w:t xml:space="preserve">: </w:t>
      </w:r>
      <w:r>
        <w:rPr>
          <w:i/>
        </w:rPr>
        <w:t xml:space="preserve">RF beamforming requires scalable PDCCH design in both frequency and time. </w:t>
      </w:r>
    </w:p>
    <w:p w:rsidR="0090638B" w:rsidRPr="0035785F" w:rsidRDefault="0090638B" w:rsidP="0090638B">
      <w:pPr>
        <w:jc w:val="center"/>
      </w:pPr>
      <w:r w:rsidRPr="00CF393D">
        <w:rPr>
          <w:noProof/>
          <w:lang w:val="en-US"/>
        </w:rPr>
        <w:drawing>
          <wp:inline distT="0" distB="0" distL="0" distR="0">
            <wp:extent cx="624437" cy="1248874"/>
            <wp:effectExtent l="0" t="7302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33730" cy="1267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638B" w:rsidRPr="0035785F" w:rsidRDefault="0090638B" w:rsidP="0090638B">
      <w:pPr>
        <w:spacing w:before="120" w:after="120"/>
        <w:jc w:val="center"/>
        <w:rPr>
          <w:b/>
          <w:lang w:val="en-US"/>
        </w:rPr>
      </w:pPr>
      <w:r w:rsidRPr="0035785F">
        <w:rPr>
          <w:b/>
        </w:rPr>
        <w:t xml:space="preserve">Figure </w:t>
      </w:r>
      <w:r w:rsidR="009907E2" w:rsidRPr="0035785F">
        <w:rPr>
          <w:b/>
        </w:rPr>
        <w:fldChar w:fldCharType="begin"/>
      </w:r>
      <w:r w:rsidRPr="0035785F">
        <w:rPr>
          <w:b/>
        </w:rPr>
        <w:instrText xml:space="preserve"> SEQ Figure \* ARABIC </w:instrText>
      </w:r>
      <w:r w:rsidR="009907E2" w:rsidRPr="0035785F">
        <w:rPr>
          <w:b/>
        </w:rPr>
        <w:fldChar w:fldCharType="separate"/>
      </w:r>
      <w:r w:rsidR="00BE0A4E">
        <w:rPr>
          <w:b/>
          <w:noProof/>
        </w:rPr>
        <w:t>2</w:t>
      </w:r>
      <w:r w:rsidR="009907E2" w:rsidRPr="0035785F">
        <w:rPr>
          <w:b/>
        </w:rPr>
        <w:fldChar w:fldCharType="end"/>
      </w:r>
      <w:r w:rsidRPr="0035785F">
        <w:rPr>
          <w:b/>
          <w:lang w:val="en-US"/>
        </w:rPr>
        <w:t xml:space="preserve"> Sector coverage using limited number of narrow RF beams at a time.</w:t>
      </w:r>
    </w:p>
    <w:p w:rsidR="0090638B" w:rsidRDefault="0090638B" w:rsidP="0090638B">
      <w:pPr>
        <w:jc w:val="center"/>
        <w:rPr>
          <w:lang w:val="en-US"/>
        </w:rPr>
      </w:pPr>
    </w:p>
    <w:p w:rsidR="00986396" w:rsidRDefault="00986396" w:rsidP="00986396">
      <w:pPr>
        <w:pStyle w:val="00BodyText"/>
        <w:spacing w:after="0"/>
        <w:rPr>
          <w:rFonts w:eastAsia="MS Mincho"/>
          <w:lang w:eastAsia="ja-JP"/>
        </w:rPr>
      </w:pPr>
      <w:r>
        <w:rPr>
          <w:rFonts w:ascii="Times New Roman" w:hAnsi="Times New Roman"/>
          <w:sz w:val="20"/>
        </w:rPr>
        <w:t>As agreed in 3GPP RAN1#85, m</w:t>
      </w:r>
      <w:r w:rsidRPr="00986396">
        <w:rPr>
          <w:rFonts w:ascii="Times New Roman" w:hAnsi="Times New Roman"/>
          <w:sz w:val="20"/>
        </w:rPr>
        <w:t>ultiplexing different numerologies within a same NR carrier bandwidth (from the network perspective) is supported.</w:t>
      </w:r>
      <w:r>
        <w:rPr>
          <w:rFonts w:ascii="Times New Roman" w:hAnsi="Times New Roman"/>
          <w:sz w:val="20"/>
        </w:rPr>
        <w:t xml:space="preserve"> From UE point of view, </w:t>
      </w:r>
      <w:r w:rsidRPr="00986396">
        <w:rPr>
          <w:rFonts w:ascii="Times New Roman" w:eastAsia="MS Mincho" w:hAnsi="Times New Roman"/>
          <w:sz w:val="20"/>
          <w:lang w:eastAsia="ja-JP"/>
        </w:rPr>
        <w:t xml:space="preserve">dynamic </w:t>
      </w:r>
      <w:r w:rsidR="008C57D6">
        <w:rPr>
          <w:rFonts w:ascii="Times New Roman" w:eastAsia="MS Mincho" w:hAnsi="Times New Roman"/>
          <w:sz w:val="20"/>
          <w:lang w:eastAsia="ja-JP"/>
        </w:rPr>
        <w:t xml:space="preserve">numerology </w:t>
      </w:r>
      <w:r w:rsidRPr="00986396">
        <w:rPr>
          <w:rFonts w:ascii="Times New Roman" w:eastAsia="MS Mincho" w:hAnsi="Times New Roman"/>
          <w:sz w:val="20"/>
          <w:lang w:eastAsia="ja-JP"/>
        </w:rPr>
        <w:t xml:space="preserve">adaptation </w:t>
      </w:r>
      <w:r>
        <w:rPr>
          <w:rFonts w:ascii="Times New Roman" w:eastAsia="MS Mincho" w:hAnsi="Times New Roman"/>
          <w:sz w:val="20"/>
          <w:lang w:eastAsia="ja-JP"/>
        </w:rPr>
        <w:t>based on TDM</w:t>
      </w:r>
      <w:bookmarkStart w:id="0" w:name="_GoBack"/>
      <w:bookmarkEnd w:id="0"/>
      <w:r>
        <w:rPr>
          <w:rFonts w:ascii="Times New Roman" w:eastAsia="MS Mincho" w:hAnsi="Times New Roman"/>
          <w:sz w:val="20"/>
          <w:lang w:eastAsia="ja-JP"/>
        </w:rPr>
        <w:t>,</w:t>
      </w:r>
      <w:r w:rsidRPr="00986396">
        <w:rPr>
          <w:rFonts w:ascii="Times New Roman" w:eastAsia="MS Mincho" w:hAnsi="Times New Roman"/>
          <w:sz w:val="20"/>
          <w:lang w:eastAsia="ja-JP"/>
        </w:rPr>
        <w:t xml:space="preserve"> </w:t>
      </w:r>
      <w:r>
        <w:rPr>
          <w:rFonts w:ascii="Times New Roman" w:eastAsia="MS Mincho" w:hAnsi="Times New Roman"/>
          <w:sz w:val="20"/>
          <w:lang w:eastAsia="ja-JP"/>
        </w:rPr>
        <w:t>could</w:t>
      </w:r>
      <w:r w:rsidRPr="00986396">
        <w:rPr>
          <w:rFonts w:ascii="Times New Roman" w:eastAsia="MS Mincho" w:hAnsi="Times New Roman"/>
          <w:sz w:val="20"/>
          <w:lang w:eastAsia="ja-JP"/>
        </w:rPr>
        <w:t xml:space="preserve"> provide certain benefits</w:t>
      </w:r>
      <w:r>
        <w:rPr>
          <w:rFonts w:ascii="Times New Roman" w:eastAsia="MS Mincho" w:hAnsi="Times New Roman"/>
          <w:sz w:val="20"/>
          <w:lang w:eastAsia="ja-JP"/>
        </w:rPr>
        <w:t xml:space="preserve"> compared to the scenario with a single numerology. It could for example provide</w:t>
      </w:r>
      <w:r w:rsidRPr="00986396">
        <w:rPr>
          <w:rFonts w:ascii="Times New Roman" w:eastAsia="MS Mincho" w:hAnsi="Times New Roman"/>
          <w:sz w:val="20"/>
          <w:lang w:eastAsia="ja-JP"/>
        </w:rPr>
        <w:t xml:space="preserve"> opportunities for dynamic bandwidth adaptation and</w:t>
      </w:r>
      <w:r>
        <w:rPr>
          <w:rFonts w:ascii="Times New Roman" w:eastAsia="MS Mincho" w:hAnsi="Times New Roman"/>
          <w:sz w:val="20"/>
          <w:lang w:eastAsia="ja-JP"/>
        </w:rPr>
        <w:t xml:space="preserve"> improved</w:t>
      </w:r>
      <w:r w:rsidRPr="00986396">
        <w:rPr>
          <w:rFonts w:ascii="Times New Roman" w:eastAsia="MS Mincho" w:hAnsi="Times New Roman"/>
          <w:sz w:val="20"/>
          <w:lang w:eastAsia="ja-JP"/>
        </w:rPr>
        <w:t xml:space="preserve"> power saving.</w:t>
      </w:r>
    </w:p>
    <w:p w:rsidR="00986396" w:rsidRPr="00986396" w:rsidRDefault="00986396" w:rsidP="00986396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:rsidR="00067D46" w:rsidRDefault="00986396" w:rsidP="00124665">
      <w:pPr>
        <w:pStyle w:val="00BodyText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Dynamic</w:t>
      </w:r>
      <w:r>
        <w:rPr>
          <w:rFonts w:ascii="Times New Roman" w:hAnsi="Times New Roman"/>
          <w:sz w:val="20"/>
        </w:rPr>
        <w:t xml:space="preserve"> scheduling between multiple numerologies</w:t>
      </w:r>
      <w:r w:rsidR="00067D46">
        <w:rPr>
          <w:rFonts w:ascii="Times New Roman" w:hAnsi="Times New Roman"/>
          <w:sz w:val="20"/>
        </w:rPr>
        <w:t xml:space="preserve"> will increase the</w:t>
      </w:r>
      <w:r w:rsidR="008D261F" w:rsidRPr="00124665">
        <w:rPr>
          <w:rFonts w:ascii="Times New Roman" w:hAnsi="Times New Roman"/>
          <w:sz w:val="20"/>
        </w:rPr>
        <w:t xml:space="preserve"> PDCCH</w:t>
      </w:r>
      <w:r w:rsidR="00067D46">
        <w:rPr>
          <w:rFonts w:ascii="Times New Roman" w:hAnsi="Times New Roman"/>
          <w:sz w:val="20"/>
        </w:rPr>
        <w:t xml:space="preserve"> blind </w:t>
      </w:r>
      <w:r w:rsidR="008D261F" w:rsidRPr="00124665">
        <w:rPr>
          <w:rFonts w:ascii="Times New Roman" w:hAnsi="Times New Roman"/>
          <w:sz w:val="20"/>
        </w:rPr>
        <w:t xml:space="preserve">detection burden </w:t>
      </w:r>
      <w:r w:rsidR="00067D46">
        <w:rPr>
          <w:rFonts w:ascii="Times New Roman" w:hAnsi="Times New Roman"/>
          <w:sz w:val="20"/>
        </w:rPr>
        <w:t xml:space="preserve">compared to the </w:t>
      </w:r>
      <w:r w:rsidR="008F110E">
        <w:rPr>
          <w:rFonts w:ascii="Times New Roman" w:hAnsi="Times New Roman"/>
          <w:sz w:val="20"/>
        </w:rPr>
        <w:t xml:space="preserve">scenario </w:t>
      </w:r>
      <w:r w:rsidR="00067D46">
        <w:rPr>
          <w:rFonts w:ascii="Times New Roman" w:hAnsi="Times New Roman"/>
          <w:sz w:val="20"/>
        </w:rPr>
        <w:t xml:space="preserve">with </w:t>
      </w:r>
      <w:r w:rsidR="00773B54">
        <w:rPr>
          <w:rFonts w:ascii="Times New Roman" w:hAnsi="Times New Roman"/>
          <w:sz w:val="20"/>
        </w:rPr>
        <w:t xml:space="preserve">a </w:t>
      </w:r>
      <w:r w:rsidR="00067D46">
        <w:rPr>
          <w:rFonts w:ascii="Times New Roman" w:hAnsi="Times New Roman"/>
          <w:sz w:val="20"/>
        </w:rPr>
        <w:t xml:space="preserve">single numerology. </w:t>
      </w:r>
      <w:r w:rsidR="00773B54">
        <w:rPr>
          <w:rFonts w:ascii="Times New Roman" w:hAnsi="Times New Roman"/>
          <w:sz w:val="20"/>
        </w:rPr>
        <w:t>It</w:t>
      </w:r>
      <w:r w:rsidR="008565F1">
        <w:rPr>
          <w:rFonts w:ascii="Times New Roman" w:hAnsi="Times New Roman"/>
          <w:sz w:val="20"/>
        </w:rPr>
        <w:t xml:space="preserve"> may be a challenge, </w:t>
      </w:r>
      <w:r w:rsidR="005A4959">
        <w:rPr>
          <w:rFonts w:ascii="Times New Roman" w:hAnsi="Times New Roman"/>
          <w:sz w:val="20"/>
        </w:rPr>
        <w:t xml:space="preserve">for </w:t>
      </w:r>
      <w:r w:rsidR="008565F1">
        <w:rPr>
          <w:rFonts w:ascii="Times New Roman" w:hAnsi="Times New Roman"/>
          <w:sz w:val="20"/>
        </w:rPr>
        <w:t>at least certain UE categories</w:t>
      </w:r>
      <w:r w:rsidR="00773B54">
        <w:rPr>
          <w:rFonts w:ascii="Times New Roman" w:hAnsi="Times New Roman"/>
          <w:sz w:val="20"/>
        </w:rPr>
        <w:t>,</w:t>
      </w:r>
      <w:r w:rsidR="008565F1">
        <w:rPr>
          <w:rFonts w:ascii="Times New Roman" w:hAnsi="Times New Roman"/>
          <w:sz w:val="20"/>
        </w:rPr>
        <w:t xml:space="preserve"> to </w:t>
      </w:r>
      <w:r w:rsidR="008565F1" w:rsidRPr="00124665">
        <w:rPr>
          <w:rFonts w:ascii="Times New Roman" w:hAnsi="Times New Roman"/>
          <w:sz w:val="20"/>
        </w:rPr>
        <w:t xml:space="preserve">decode multiple numerologies simultaneously </w:t>
      </w:r>
      <w:r w:rsidR="008565F1">
        <w:rPr>
          <w:rFonts w:ascii="Times New Roman" w:hAnsi="Times New Roman"/>
          <w:sz w:val="20"/>
        </w:rPr>
        <w:t>e.g. due to tough</w:t>
      </w:r>
      <w:r w:rsidR="008565F1" w:rsidRPr="00124665">
        <w:rPr>
          <w:rFonts w:ascii="Times New Roman" w:hAnsi="Times New Roman"/>
          <w:sz w:val="20"/>
        </w:rPr>
        <w:t xml:space="preserve"> delay budget and hardware limit</w:t>
      </w:r>
      <w:r w:rsidR="005A4959">
        <w:rPr>
          <w:rFonts w:ascii="Times New Roman" w:hAnsi="Times New Roman"/>
          <w:sz w:val="20"/>
        </w:rPr>
        <w:t>ations</w:t>
      </w:r>
      <w:r w:rsidR="008565F1">
        <w:rPr>
          <w:rFonts w:ascii="Times New Roman" w:hAnsi="Times New Roman"/>
          <w:sz w:val="20"/>
        </w:rPr>
        <w:t>.</w:t>
      </w:r>
    </w:p>
    <w:p w:rsidR="008565F1" w:rsidRDefault="008565F1" w:rsidP="00124665">
      <w:pPr>
        <w:pStyle w:val="00BodyText"/>
        <w:spacing w:after="0"/>
        <w:rPr>
          <w:rFonts w:ascii="Times New Roman" w:hAnsi="Times New Roman"/>
          <w:sz w:val="20"/>
        </w:rPr>
      </w:pPr>
    </w:p>
    <w:p w:rsidR="00124665" w:rsidRPr="00124665" w:rsidRDefault="008D261F" w:rsidP="00124665">
      <w:pPr>
        <w:pStyle w:val="00BodyText"/>
        <w:spacing w:after="0"/>
        <w:rPr>
          <w:rFonts w:ascii="Times New Roman" w:hAnsi="Times New Roman"/>
          <w:sz w:val="20"/>
        </w:rPr>
      </w:pPr>
      <w:r w:rsidRPr="00124665">
        <w:rPr>
          <w:rFonts w:ascii="Times New Roman" w:hAnsi="Times New Roman"/>
          <w:sz w:val="20"/>
        </w:rPr>
        <w:t>One option to reduce DCI detection burden is to use predetermined subcarrier spacing</w:t>
      </w:r>
      <w:r w:rsidR="005A4959">
        <w:rPr>
          <w:rFonts w:ascii="Times New Roman" w:hAnsi="Times New Roman"/>
          <w:sz w:val="20"/>
        </w:rPr>
        <w:t xml:space="preserve"> for</w:t>
      </w:r>
      <w:r w:rsidRPr="00124665">
        <w:rPr>
          <w:rFonts w:ascii="Times New Roman" w:hAnsi="Times New Roman"/>
          <w:sz w:val="20"/>
        </w:rPr>
        <w:t xml:space="preserve"> </w:t>
      </w:r>
      <w:r w:rsidR="003B68C8">
        <w:rPr>
          <w:rFonts w:ascii="Times New Roman" w:hAnsi="Times New Roman"/>
          <w:sz w:val="20"/>
        </w:rPr>
        <w:t xml:space="preserve">at least </w:t>
      </w:r>
      <w:r w:rsidR="005A4959">
        <w:rPr>
          <w:rFonts w:ascii="Times New Roman" w:hAnsi="Times New Roman"/>
          <w:sz w:val="20"/>
        </w:rPr>
        <w:t xml:space="preserve">the </w:t>
      </w:r>
      <w:r w:rsidR="003B68C8">
        <w:rPr>
          <w:rFonts w:ascii="Times New Roman" w:hAnsi="Times New Roman"/>
          <w:sz w:val="20"/>
        </w:rPr>
        <w:t xml:space="preserve">first </w:t>
      </w:r>
      <w:r w:rsidR="005A4959">
        <w:rPr>
          <w:rFonts w:ascii="Times New Roman" w:hAnsi="Times New Roman"/>
          <w:sz w:val="20"/>
        </w:rPr>
        <w:t xml:space="preserve">control </w:t>
      </w:r>
      <w:r w:rsidR="003B68C8">
        <w:rPr>
          <w:rFonts w:ascii="Times New Roman" w:hAnsi="Times New Roman"/>
          <w:sz w:val="20"/>
        </w:rPr>
        <w:t>symbol</w:t>
      </w:r>
      <w:r w:rsidRPr="00124665">
        <w:rPr>
          <w:rFonts w:ascii="Times New Roman" w:hAnsi="Times New Roman"/>
          <w:sz w:val="20"/>
        </w:rPr>
        <w:t xml:space="preserve"> </w:t>
      </w:r>
      <w:r w:rsidR="005A4959">
        <w:rPr>
          <w:rFonts w:ascii="Times New Roman" w:hAnsi="Times New Roman"/>
          <w:sz w:val="20"/>
        </w:rPr>
        <w:t xml:space="preserve">of the </w:t>
      </w:r>
      <w:r w:rsidR="008F110E">
        <w:rPr>
          <w:rFonts w:ascii="Times New Roman" w:hAnsi="Times New Roman"/>
          <w:sz w:val="20"/>
        </w:rPr>
        <w:t>slot</w:t>
      </w:r>
      <w:r w:rsidR="005A4959">
        <w:rPr>
          <w:rFonts w:ascii="Times New Roman" w:hAnsi="Times New Roman"/>
          <w:sz w:val="20"/>
        </w:rPr>
        <w:t xml:space="preserve"> (according to reference numerology)</w:t>
      </w:r>
      <w:r w:rsidRPr="00124665">
        <w:rPr>
          <w:rFonts w:ascii="Times New Roman" w:hAnsi="Times New Roman"/>
          <w:sz w:val="20"/>
        </w:rPr>
        <w:t xml:space="preserve">. The </w:t>
      </w:r>
      <w:r w:rsidR="005A4959">
        <w:rPr>
          <w:rFonts w:ascii="Times New Roman" w:hAnsi="Times New Roman"/>
          <w:sz w:val="20"/>
        </w:rPr>
        <w:t>first control</w:t>
      </w:r>
      <w:r w:rsidR="005A4959" w:rsidRPr="00124665">
        <w:rPr>
          <w:rFonts w:ascii="Times New Roman" w:hAnsi="Times New Roman"/>
          <w:sz w:val="20"/>
        </w:rPr>
        <w:t xml:space="preserve"> </w:t>
      </w:r>
      <w:r w:rsidR="001540E4" w:rsidRPr="00124665">
        <w:rPr>
          <w:rFonts w:ascii="Times New Roman" w:hAnsi="Times New Roman"/>
          <w:sz w:val="20"/>
        </w:rPr>
        <w:t xml:space="preserve">symbol with predetermined </w:t>
      </w:r>
      <w:r w:rsidR="00E0520E">
        <w:rPr>
          <w:rFonts w:ascii="Times New Roman" w:hAnsi="Times New Roman"/>
          <w:sz w:val="20"/>
        </w:rPr>
        <w:t xml:space="preserve">subcarrier spacing </w:t>
      </w:r>
      <w:r w:rsidRPr="00124665">
        <w:rPr>
          <w:rFonts w:ascii="Times New Roman" w:hAnsi="Times New Roman"/>
          <w:sz w:val="20"/>
        </w:rPr>
        <w:t xml:space="preserve">contains </w:t>
      </w:r>
      <w:r w:rsidR="001E3F75">
        <w:rPr>
          <w:rFonts w:ascii="Times New Roman" w:hAnsi="Times New Roman"/>
          <w:sz w:val="20"/>
        </w:rPr>
        <w:t>the</w:t>
      </w:r>
      <w:r w:rsidR="001E3F75" w:rsidRPr="00124665">
        <w:rPr>
          <w:rFonts w:ascii="Times New Roman" w:hAnsi="Times New Roman"/>
          <w:sz w:val="20"/>
        </w:rPr>
        <w:t xml:space="preserve"> </w:t>
      </w:r>
      <w:r w:rsidRPr="00124665">
        <w:rPr>
          <w:rFonts w:ascii="Times New Roman" w:hAnsi="Times New Roman"/>
          <w:sz w:val="20"/>
        </w:rPr>
        <w:t>information about subcarrier spacing used</w:t>
      </w:r>
      <w:r w:rsidR="00667385">
        <w:rPr>
          <w:rFonts w:ascii="Times New Roman" w:hAnsi="Times New Roman"/>
          <w:sz w:val="20"/>
        </w:rPr>
        <w:t xml:space="preserve"> in the rest of the s</w:t>
      </w:r>
      <w:r w:rsidR="008F110E">
        <w:rPr>
          <w:rFonts w:ascii="Times New Roman" w:hAnsi="Times New Roman"/>
          <w:sz w:val="20"/>
        </w:rPr>
        <w:t>lot</w:t>
      </w:r>
      <w:r w:rsidR="00667385">
        <w:rPr>
          <w:rFonts w:ascii="Times New Roman" w:hAnsi="Times New Roman"/>
          <w:sz w:val="20"/>
        </w:rPr>
        <w:t xml:space="preserve">. </w:t>
      </w:r>
      <w:r w:rsidR="00B7291A">
        <w:rPr>
          <w:rFonts w:ascii="Times New Roman" w:hAnsi="Times New Roman"/>
          <w:sz w:val="20"/>
        </w:rPr>
        <w:t xml:space="preserve">Figure 3 shows three examples </w:t>
      </w:r>
      <w:r w:rsidR="008F110E">
        <w:rPr>
          <w:rFonts w:ascii="Times New Roman" w:hAnsi="Times New Roman"/>
          <w:sz w:val="20"/>
        </w:rPr>
        <w:t>where</w:t>
      </w:r>
      <w:r w:rsidR="00B7291A">
        <w:rPr>
          <w:rFonts w:ascii="Times New Roman" w:hAnsi="Times New Roman"/>
          <w:sz w:val="20"/>
        </w:rPr>
        <w:t xml:space="preserve"> DL control channel is based on 60 kHz numerology. </w:t>
      </w:r>
      <w:r w:rsidR="00124665" w:rsidRPr="00124665">
        <w:rPr>
          <w:rFonts w:ascii="Times New Roman" w:hAnsi="Times New Roman"/>
          <w:sz w:val="20"/>
        </w:rPr>
        <w:t>Regardless o</w:t>
      </w:r>
      <w:r w:rsidR="001E3F75">
        <w:rPr>
          <w:rFonts w:ascii="Times New Roman" w:hAnsi="Times New Roman"/>
          <w:sz w:val="20"/>
        </w:rPr>
        <w:t>f</w:t>
      </w:r>
      <w:r w:rsidR="00124665" w:rsidRPr="00124665">
        <w:rPr>
          <w:rFonts w:ascii="Times New Roman" w:hAnsi="Times New Roman"/>
          <w:sz w:val="20"/>
        </w:rPr>
        <w:t xml:space="preserve"> the numerology selected for data channel, the subcarrier spacing of </w:t>
      </w:r>
      <w:r w:rsidR="00B7291A">
        <w:rPr>
          <w:rFonts w:ascii="Times New Roman" w:hAnsi="Times New Roman"/>
          <w:sz w:val="20"/>
        </w:rPr>
        <w:t xml:space="preserve">the </w:t>
      </w:r>
      <w:r w:rsidR="00124665" w:rsidRPr="00124665">
        <w:rPr>
          <w:rFonts w:ascii="Times New Roman" w:hAnsi="Times New Roman"/>
          <w:sz w:val="20"/>
        </w:rPr>
        <w:t xml:space="preserve">first </w:t>
      </w:r>
      <w:r w:rsidR="00B7291A">
        <w:rPr>
          <w:rFonts w:ascii="Times New Roman" w:hAnsi="Times New Roman"/>
          <w:sz w:val="20"/>
        </w:rPr>
        <w:t xml:space="preserve">control </w:t>
      </w:r>
      <w:r w:rsidR="00124665" w:rsidRPr="00124665">
        <w:rPr>
          <w:rFonts w:ascii="Times New Roman" w:hAnsi="Times New Roman"/>
          <w:sz w:val="20"/>
        </w:rPr>
        <w:t>symbol is 60 kHz.</w:t>
      </w:r>
    </w:p>
    <w:p w:rsidR="008D261F" w:rsidRDefault="008D261F" w:rsidP="005E5E1A">
      <w:pPr>
        <w:rPr>
          <w:lang w:val="en-US"/>
        </w:rPr>
      </w:pPr>
    </w:p>
    <w:p w:rsidR="005A4959" w:rsidRPr="00DF3B76" w:rsidRDefault="005A4959" w:rsidP="005A4959">
      <w:pPr>
        <w:spacing w:after="0"/>
        <w:rPr>
          <w:b/>
          <w:i/>
        </w:rPr>
      </w:pPr>
      <w:r>
        <w:rPr>
          <w:b/>
          <w:i/>
        </w:rPr>
        <w:t>Observation #2</w:t>
      </w:r>
      <w:r>
        <w:t xml:space="preserve">: </w:t>
      </w:r>
      <w:r>
        <w:rPr>
          <w:i/>
        </w:rPr>
        <w:t>Dynamic scheduling of multiple numerologies increases PDCCH blind detection burden at UE</w:t>
      </w:r>
    </w:p>
    <w:p w:rsidR="005A4959" w:rsidRPr="00DF3B76" w:rsidRDefault="005A4959" w:rsidP="005A4959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7291A">
        <w:rPr>
          <w:b/>
          <w:i/>
        </w:rPr>
        <w:t>7</w:t>
      </w:r>
      <w:r>
        <w:t xml:space="preserve">: </w:t>
      </w:r>
      <w:r>
        <w:rPr>
          <w:i/>
        </w:rPr>
        <w:t xml:space="preserve">Consider different numerologies for control and data as an enabler for </w:t>
      </w:r>
      <w:r w:rsidR="008F110E" w:rsidRPr="008F110E">
        <w:rPr>
          <w:i/>
        </w:rPr>
        <w:t>dynamic scheduling between multiple numerologies</w:t>
      </w:r>
    </w:p>
    <w:p w:rsidR="0090638B" w:rsidRDefault="00BE0A4E" w:rsidP="0090638B">
      <w:pPr>
        <w:keepNext/>
        <w:ind w:left="1420"/>
      </w:pPr>
      <w:r w:rsidRPr="00BE0A4E">
        <w:rPr>
          <w:noProof/>
          <w:lang w:val="en-US"/>
        </w:rPr>
        <w:drawing>
          <wp:inline distT="0" distB="0" distL="0" distR="0">
            <wp:extent cx="3167529" cy="213965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465" cy="21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515074">
        <w:rPr>
          <w:noProof/>
          <w:lang w:val="en-US"/>
        </w:rPr>
        <w:drawing>
          <wp:inline distT="0" distB="0" distL="0" distR="0">
            <wp:extent cx="746974" cy="565562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27" cy="589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8B" w:rsidRPr="0090638B" w:rsidRDefault="0090638B" w:rsidP="0090638B">
      <w:pPr>
        <w:pStyle w:val="Caption"/>
        <w:rPr>
          <w:lang w:val="en-US"/>
        </w:rPr>
      </w:pPr>
      <w:r>
        <w:t xml:space="preserve">Figure </w:t>
      </w:r>
      <w:r w:rsidR="00DE0C66">
        <w:fldChar w:fldCharType="begin"/>
      </w:r>
      <w:r w:rsidR="00DE0C66">
        <w:instrText xml:space="preserve"> SEQ Figure \* ARABIC </w:instrText>
      </w:r>
      <w:r w:rsidR="00DE0C66">
        <w:fldChar w:fldCharType="separate"/>
      </w:r>
      <w:r w:rsidR="00BE0A4E">
        <w:rPr>
          <w:noProof/>
        </w:rPr>
        <w:t>3</w:t>
      </w:r>
      <w:r w:rsidR="00DE0C66">
        <w:rPr>
          <w:noProof/>
        </w:rPr>
        <w:fldChar w:fldCharType="end"/>
      </w:r>
      <w:r w:rsidRPr="0090638B">
        <w:rPr>
          <w:lang w:val="en-US"/>
        </w:rPr>
        <w:t xml:space="preserve"> </w:t>
      </w:r>
      <w:r w:rsidR="00B7291A">
        <w:rPr>
          <w:lang w:val="en-US"/>
        </w:rPr>
        <w:t xml:space="preserve">Exemplary slot </w:t>
      </w:r>
      <w:r w:rsidRPr="0090638B">
        <w:rPr>
          <w:lang w:val="en-US"/>
        </w:rPr>
        <w:t>structure</w:t>
      </w:r>
      <w:r w:rsidR="008565F1">
        <w:rPr>
          <w:lang w:val="en-US"/>
        </w:rPr>
        <w:t>s</w:t>
      </w:r>
      <w:r w:rsidR="00B7291A">
        <w:rPr>
          <w:lang w:val="en-US"/>
        </w:rPr>
        <w:t xml:space="preserve"> with different numerologies (15 kHz, 60 </w:t>
      </w:r>
      <w:r w:rsidR="008F110E">
        <w:rPr>
          <w:lang w:val="en-US"/>
        </w:rPr>
        <w:t>kHz) for control and data parts, reference numerology = 15 kHz.</w:t>
      </w:r>
      <w:r w:rsidR="00B7291A">
        <w:rPr>
          <w:lang w:val="en-US"/>
        </w:rPr>
        <w:t xml:space="preserve"> </w:t>
      </w:r>
    </w:p>
    <w:p w:rsidR="0034111C" w:rsidRPr="00A51522" w:rsidRDefault="005A4959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:rsidR="00731B79" w:rsidRDefault="003D3FBA" w:rsidP="006060C2">
      <w:pPr>
        <w:spacing w:after="120"/>
        <w:jc w:val="both"/>
      </w:pPr>
      <w:r w:rsidRPr="00A51522">
        <w:t xml:space="preserve">In this contribution we have discussed </w:t>
      </w:r>
      <w:r w:rsidR="00342AD2">
        <w:rPr>
          <w:bCs/>
        </w:rPr>
        <w:t xml:space="preserve">the </w:t>
      </w:r>
      <w:r w:rsidR="0090638B">
        <w:rPr>
          <w:bCs/>
        </w:rPr>
        <w:t>D</w:t>
      </w:r>
      <w:r w:rsidR="006060C2">
        <w:rPr>
          <w:bCs/>
        </w:rPr>
        <w:t>L control channel structure and related requirements in the NR scenario.</w:t>
      </w:r>
      <w:r w:rsidR="00342AD2">
        <w:rPr>
          <w:bCs/>
        </w:rPr>
        <w:t xml:space="preserve"> Based on the discussion, we make the following </w:t>
      </w:r>
      <w:r w:rsidR="006060C2">
        <w:rPr>
          <w:bCs/>
        </w:rPr>
        <w:t xml:space="preserve">observation and </w:t>
      </w:r>
      <w:r w:rsidR="00342AD2">
        <w:rPr>
          <w:bCs/>
        </w:rPr>
        <w:t>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:rsidR="008F110E" w:rsidRDefault="00DF3B76" w:rsidP="008F110E">
      <w:pPr>
        <w:spacing w:after="0"/>
        <w:rPr>
          <w:i/>
        </w:rPr>
      </w:pPr>
      <w:r>
        <w:rPr>
          <w:b/>
          <w:i/>
        </w:rPr>
        <w:t>Observation #1</w:t>
      </w:r>
      <w:r>
        <w:t xml:space="preserve">: </w:t>
      </w:r>
      <w:r>
        <w:rPr>
          <w:i/>
        </w:rPr>
        <w:t>RF beamforming requires scalable PDCCH design in both frequency and time.</w:t>
      </w:r>
    </w:p>
    <w:p w:rsidR="008F110E" w:rsidRPr="00DF3B76" w:rsidRDefault="008F110E" w:rsidP="008F110E">
      <w:pPr>
        <w:rPr>
          <w:b/>
          <w:i/>
        </w:rPr>
      </w:pPr>
      <w:r>
        <w:rPr>
          <w:b/>
          <w:i/>
        </w:rPr>
        <w:t>Observation #2</w:t>
      </w:r>
      <w:r>
        <w:t xml:space="preserve">: </w:t>
      </w:r>
      <w:r>
        <w:rPr>
          <w:i/>
        </w:rPr>
        <w:t>Dynamic scheduling of multiple numerologies increases PDCCH blind detection burden at UE</w:t>
      </w:r>
    </w:p>
    <w:p w:rsidR="008F110E" w:rsidRDefault="008F110E" w:rsidP="008F110E">
      <w:pPr>
        <w:spacing w:after="0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#1</w:t>
      </w:r>
      <w:r>
        <w:t xml:space="preserve">: </w:t>
      </w:r>
      <w:r>
        <w:rPr>
          <w:i/>
        </w:rPr>
        <w:t xml:space="preserve">PDCCH is transmitted </w:t>
      </w:r>
      <w:r w:rsidRPr="008E5307">
        <w:rPr>
          <w:rFonts w:eastAsia="MS Mincho"/>
          <w:i/>
          <w:lang w:val="en-US" w:eastAsia="ja-JP"/>
        </w:rPr>
        <w:t>at the beginning of slot</w:t>
      </w:r>
      <w:r>
        <w:rPr>
          <w:rFonts w:eastAsia="MS Mincho"/>
          <w:i/>
          <w:lang w:val="en-US" w:eastAsia="ja-JP"/>
        </w:rPr>
        <w:t>/mini-slot</w:t>
      </w:r>
      <w:r w:rsidRPr="008E5307">
        <w:rPr>
          <w:rFonts w:eastAsia="MS Mincho"/>
          <w:i/>
          <w:lang w:val="en-US" w:eastAsia="ja-JP"/>
        </w:rPr>
        <w:t>.</w:t>
      </w:r>
    </w:p>
    <w:p w:rsidR="008F110E" w:rsidRDefault="008F110E" w:rsidP="008F110E">
      <w:pPr>
        <w:spacing w:after="0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 w:rsidRPr="00DF3B76">
        <w:rPr>
          <w:rFonts w:eastAsia="MS Mincho"/>
          <w:i/>
          <w:lang w:val="en-US" w:eastAsia="ja-JP"/>
        </w:rPr>
        <w:t xml:space="preserve">Support FDM between </w:t>
      </w:r>
      <w:r>
        <w:rPr>
          <w:rFonts w:eastAsia="MS Mincho"/>
          <w:i/>
          <w:lang w:val="en-US" w:eastAsia="ja-JP"/>
        </w:rPr>
        <w:t xml:space="preserve">DL </w:t>
      </w:r>
      <w:r w:rsidRPr="00DF3B76">
        <w:rPr>
          <w:rFonts w:eastAsia="MS Mincho"/>
          <w:i/>
          <w:lang w:val="en-US" w:eastAsia="ja-JP"/>
        </w:rPr>
        <w:t xml:space="preserve">control and </w:t>
      </w:r>
      <w:r>
        <w:rPr>
          <w:rFonts w:eastAsia="MS Mincho"/>
          <w:i/>
          <w:lang w:val="en-US" w:eastAsia="ja-JP"/>
        </w:rPr>
        <w:t xml:space="preserve">DL </w:t>
      </w:r>
      <w:r w:rsidRPr="00DF3B76">
        <w:rPr>
          <w:rFonts w:eastAsia="MS Mincho"/>
          <w:i/>
          <w:lang w:val="en-US" w:eastAsia="ja-JP"/>
        </w:rPr>
        <w:t>data</w:t>
      </w:r>
      <w:r w:rsidRPr="006C3959">
        <w:rPr>
          <w:rFonts w:eastAsia="MS Mincho"/>
          <w:lang w:val="en-US" w:eastAsia="ja-JP"/>
        </w:rPr>
        <w:t xml:space="preserve"> </w:t>
      </w:r>
    </w:p>
    <w:p w:rsidR="008F110E" w:rsidRPr="00DF3B76" w:rsidRDefault="008F110E" w:rsidP="008F110E">
      <w:pPr>
        <w:spacing w:after="0"/>
        <w:rPr>
          <w:i/>
        </w:rPr>
      </w:pPr>
      <w:r>
        <w:rPr>
          <w:b/>
          <w:i/>
        </w:rPr>
        <w:lastRenderedPageBreak/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3</w:t>
      </w:r>
      <w:r>
        <w:t xml:space="preserve">: </w:t>
      </w:r>
      <w:r w:rsidRPr="00DF3B76">
        <w:rPr>
          <w:i/>
        </w:rPr>
        <w:t xml:space="preserve">Control channel and related reference signals are constructed by aggregating </w:t>
      </w:r>
      <w:r w:rsidR="001E3F75">
        <w:rPr>
          <w:i/>
        </w:rPr>
        <w:t xml:space="preserve">PDCCH </w:t>
      </w:r>
      <w:r w:rsidRPr="00DF3B76">
        <w:rPr>
          <w:i/>
        </w:rPr>
        <w:t xml:space="preserve">basic resource </w:t>
      </w:r>
      <w:r>
        <w:rPr>
          <w:i/>
        </w:rPr>
        <w:t>units</w:t>
      </w:r>
    </w:p>
    <w:p w:rsidR="008F110E" w:rsidRPr="00DF3B76" w:rsidRDefault="008F110E" w:rsidP="008F110E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4</w:t>
      </w:r>
      <w:r>
        <w:t xml:space="preserve">: </w:t>
      </w:r>
      <w:r w:rsidRPr="00DF3B76">
        <w:rPr>
          <w:i/>
        </w:rPr>
        <w:t>Physical Resource Block size in the terms of number of subcarrier is comm</w:t>
      </w:r>
      <w:r>
        <w:rPr>
          <w:i/>
        </w:rPr>
        <w:t>o</w:t>
      </w:r>
      <w:r w:rsidRPr="00DF3B76">
        <w:rPr>
          <w:i/>
        </w:rPr>
        <w:t>n for PDCCH and PDSCH</w:t>
      </w:r>
    </w:p>
    <w:p w:rsidR="008F110E" w:rsidRDefault="008F110E" w:rsidP="008F110E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5</w:t>
      </w:r>
      <w:r w:rsidRPr="00DD0F95">
        <w:rPr>
          <w:b/>
        </w:rPr>
        <w:t>:</w:t>
      </w:r>
      <w:r w:rsidRPr="00DD0F95">
        <w:t xml:space="preserve"> </w:t>
      </w:r>
      <w:r w:rsidRPr="00DF3B76">
        <w:rPr>
          <w:i/>
        </w:rPr>
        <w:t>PDCCH resource unit size in frequency is M*12 subcarriers (parameter M is FFS)</w:t>
      </w:r>
    </w:p>
    <w:p w:rsidR="008F110E" w:rsidRPr="005A4959" w:rsidRDefault="008F110E" w:rsidP="008F110E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6</w:t>
      </w:r>
      <w:r w:rsidRPr="00DD0F95">
        <w:rPr>
          <w:b/>
        </w:rPr>
        <w:t>:</w:t>
      </w:r>
      <w:r>
        <w:rPr>
          <w:b/>
        </w:rPr>
        <w:t xml:space="preserve"> </w:t>
      </w:r>
      <w:r>
        <w:rPr>
          <w:i/>
        </w:rPr>
        <w:t>Support spatial multiplexing within PDCCH resource unit</w:t>
      </w:r>
    </w:p>
    <w:p w:rsidR="008F110E" w:rsidRPr="00DF3B76" w:rsidRDefault="008F110E" w:rsidP="008F110E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7</w:t>
      </w:r>
      <w:r>
        <w:t xml:space="preserve">: </w:t>
      </w:r>
      <w:r>
        <w:rPr>
          <w:i/>
        </w:rPr>
        <w:t xml:space="preserve">Consider different numerologies for control and data as an enabler for </w:t>
      </w:r>
      <w:r w:rsidRPr="008F110E">
        <w:rPr>
          <w:i/>
        </w:rPr>
        <w:t>dynamic scheduling between multiple numerologies</w:t>
      </w:r>
    </w:p>
    <w:p w:rsidR="0007208A" w:rsidRPr="00B7291A" w:rsidRDefault="0007208A" w:rsidP="0007208A">
      <w:pPr>
        <w:spacing w:after="0"/>
        <w:rPr>
          <w:b/>
          <w:i/>
        </w:rPr>
      </w:pPr>
    </w:p>
    <w:p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:rsidR="00ED1759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#86, 3PGG</w:t>
      </w:r>
    </w:p>
    <w:p w:rsidR="00342AD2" w:rsidRPr="004C3EC7" w:rsidRDefault="00DA6C81" w:rsidP="00DA6C81">
      <w:pPr>
        <w:numPr>
          <w:ilvl w:val="0"/>
          <w:numId w:val="1"/>
        </w:numPr>
        <w:rPr>
          <w:sz w:val="18"/>
        </w:rPr>
      </w:pPr>
      <w:r w:rsidRPr="00DA6C81">
        <w:rPr>
          <w:sz w:val="18"/>
        </w:rPr>
        <w:t>R1-1609741</w:t>
      </w:r>
      <w:r w:rsidR="003B68C8" w:rsidRPr="00DA6C81">
        <w:rPr>
          <w:sz w:val="18"/>
        </w:rPr>
        <w:t xml:space="preserve">, </w:t>
      </w:r>
      <w:r w:rsidRPr="00DA6C81">
        <w:rPr>
          <w:sz w:val="18"/>
        </w:rPr>
        <w:t>“</w:t>
      </w:r>
      <w:r w:rsidR="00ED1759" w:rsidRPr="00DA6C81">
        <w:rPr>
          <w:i/>
          <w:sz w:val="18"/>
        </w:rPr>
        <w:t>Input to control channel design from a scheduler perspective</w:t>
      </w:r>
      <w:r w:rsidR="003B68C8" w:rsidRPr="003B68C8">
        <w:rPr>
          <w:sz w:val="18"/>
        </w:rPr>
        <w:t>”, Nokia, Alcatel-Lucent Shanghai Bell</w:t>
      </w:r>
    </w:p>
    <w:p w:rsidR="00BF711C" w:rsidRPr="004C3EC7" w:rsidRDefault="00DA6C81" w:rsidP="00DA6C81">
      <w:pPr>
        <w:numPr>
          <w:ilvl w:val="0"/>
          <w:numId w:val="1"/>
        </w:numPr>
        <w:rPr>
          <w:sz w:val="18"/>
        </w:rPr>
      </w:pPr>
      <w:r w:rsidRPr="00DA6C81">
        <w:rPr>
          <w:sz w:val="18"/>
        </w:rPr>
        <w:t>R1-</w:t>
      </w:r>
      <w:r>
        <w:rPr>
          <w:sz w:val="18"/>
        </w:rPr>
        <w:t xml:space="preserve">1609666, </w:t>
      </w:r>
      <w:r w:rsidR="00BF711C" w:rsidRPr="004C3EC7">
        <w:rPr>
          <w:sz w:val="18"/>
        </w:rPr>
        <w:t>“</w:t>
      </w:r>
      <w:r w:rsidRPr="00DA6C81">
        <w:rPr>
          <w:i/>
          <w:sz w:val="18"/>
        </w:rPr>
        <w:t>On the indication of forward compatibility resources</w:t>
      </w:r>
      <w:r w:rsidR="00BF711C" w:rsidRPr="004C3EC7">
        <w:rPr>
          <w:sz w:val="18"/>
        </w:rPr>
        <w:t xml:space="preserve">”, </w:t>
      </w:r>
      <w:r w:rsidR="004C3EC7" w:rsidRPr="004C3EC7">
        <w:rPr>
          <w:sz w:val="18"/>
        </w:rPr>
        <w:t>Nokia, Alcatel-Lucent Shanghai Bell</w:t>
      </w:r>
    </w:p>
    <w:p w:rsidR="004C3EC7" w:rsidRDefault="00DA6C81" w:rsidP="004C3EC7">
      <w:pPr>
        <w:numPr>
          <w:ilvl w:val="0"/>
          <w:numId w:val="1"/>
        </w:numPr>
        <w:rPr>
          <w:sz w:val="18"/>
        </w:rPr>
      </w:pPr>
      <w:r w:rsidRPr="00DA6C81">
        <w:rPr>
          <w:sz w:val="18"/>
        </w:rPr>
        <w:t>R1-</w:t>
      </w:r>
      <w:r>
        <w:rPr>
          <w:sz w:val="18"/>
        </w:rPr>
        <w:t xml:space="preserve">1609657, </w:t>
      </w:r>
      <w:r w:rsidR="004C3EC7" w:rsidRPr="004C3EC7">
        <w:rPr>
          <w:sz w:val="18"/>
        </w:rPr>
        <w:t>“</w:t>
      </w:r>
      <w:r w:rsidR="004C3EC7" w:rsidRPr="004C3EC7">
        <w:rPr>
          <w:i/>
          <w:sz w:val="18"/>
        </w:rPr>
        <w:t>On the number of subcarriers per PRB</w:t>
      </w:r>
      <w:r w:rsidR="004C3EC7" w:rsidRPr="004C3EC7">
        <w:rPr>
          <w:sz w:val="18"/>
        </w:rPr>
        <w:t>”, Nokia, Alcatel-Lucent Shanghai Bell</w:t>
      </w:r>
    </w:p>
    <w:p w:rsidR="00CC35AE" w:rsidRDefault="00CC35AE" w:rsidP="00CC35AE">
      <w:pPr>
        <w:numPr>
          <w:ilvl w:val="0"/>
          <w:numId w:val="1"/>
        </w:numPr>
        <w:rPr>
          <w:sz w:val="18"/>
        </w:rPr>
      </w:pPr>
      <w:r w:rsidRPr="00CC35AE">
        <w:rPr>
          <w:sz w:val="18"/>
        </w:rPr>
        <w:t>R1-167291</w:t>
      </w:r>
      <w:r>
        <w:rPr>
          <w:sz w:val="18"/>
        </w:rPr>
        <w:t>, “</w:t>
      </w:r>
      <w:r>
        <w:rPr>
          <w:i/>
          <w:sz w:val="18"/>
        </w:rPr>
        <w:t>Digital Subsystem with Hybrid Beamforming</w:t>
      </w:r>
      <w:r>
        <w:rPr>
          <w:sz w:val="18"/>
        </w:rPr>
        <w:t xml:space="preserve">”, </w:t>
      </w:r>
      <w:r w:rsidRPr="00CC35AE">
        <w:rPr>
          <w:sz w:val="18"/>
        </w:rPr>
        <w:t>Nokia, Alcatel-Lucent Shanghai Bell, Verizon Wireless</w:t>
      </w:r>
    </w:p>
    <w:p w:rsidR="00EE7C7E" w:rsidRPr="00EE7C7E" w:rsidRDefault="00DA6C81" w:rsidP="00EE7C7E">
      <w:pPr>
        <w:pStyle w:val="ListParagraph"/>
        <w:numPr>
          <w:ilvl w:val="0"/>
          <w:numId w:val="1"/>
        </w:numPr>
        <w:rPr>
          <w:sz w:val="18"/>
          <w:szCs w:val="20"/>
          <w:lang w:val="en-GB" w:eastAsia="en-US"/>
        </w:rPr>
      </w:pPr>
      <w:r w:rsidRPr="00DA6C81">
        <w:rPr>
          <w:sz w:val="18"/>
          <w:lang w:val="en-US"/>
        </w:rPr>
        <w:t>R1-160966</w:t>
      </w:r>
      <w:r>
        <w:rPr>
          <w:sz w:val="18"/>
          <w:lang w:val="en-US"/>
        </w:rPr>
        <w:t>3</w:t>
      </w:r>
      <w:r w:rsidRPr="00DA6C81">
        <w:rPr>
          <w:sz w:val="18"/>
          <w:lang w:val="en-US"/>
        </w:rPr>
        <w:t xml:space="preserve">, </w:t>
      </w:r>
      <w:r w:rsidR="00EE7C7E" w:rsidRPr="00EE7C7E">
        <w:rPr>
          <w:sz w:val="18"/>
          <w:szCs w:val="20"/>
          <w:lang w:val="en-GB" w:eastAsia="en-US"/>
        </w:rPr>
        <w:t>"</w:t>
      </w:r>
      <w:r w:rsidR="00EE7C7E" w:rsidRPr="00EE7C7E">
        <w:rPr>
          <w:i/>
          <w:sz w:val="18"/>
          <w:szCs w:val="20"/>
          <w:lang w:val="en-GB" w:eastAsia="en-US"/>
        </w:rPr>
        <w:t>On the mini-slot structures in NR</w:t>
      </w:r>
      <w:r w:rsidR="00EE7C7E" w:rsidRPr="00EE7C7E">
        <w:rPr>
          <w:sz w:val="18"/>
          <w:szCs w:val="20"/>
          <w:lang w:val="en-GB" w:eastAsia="en-US"/>
        </w:rPr>
        <w:t>", Nokia, Alcatel-Lucent Shanghai Bell</w:t>
      </w:r>
    </w:p>
    <w:p w:rsidR="00EE7C7E" w:rsidRDefault="00EE7C7E" w:rsidP="00EE7C7E">
      <w:pPr>
        <w:ind w:left="357"/>
        <w:rPr>
          <w:sz w:val="18"/>
        </w:rPr>
      </w:pPr>
    </w:p>
    <w:p w:rsidR="003D132A" w:rsidRDefault="003D132A" w:rsidP="003D132A">
      <w:pPr>
        <w:rPr>
          <w:sz w:val="18"/>
          <w:highlight w:val="yellow"/>
        </w:rPr>
      </w:pPr>
    </w:p>
    <w:p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043" w:rsidRDefault="00BB5043">
      <w:r>
        <w:separator/>
      </w:r>
    </w:p>
  </w:endnote>
  <w:endnote w:type="continuationSeparator" w:id="0">
    <w:p w:rsidR="00BB5043" w:rsidRDefault="00BB5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043" w:rsidRDefault="00BB5043">
      <w:r>
        <w:separator/>
      </w:r>
    </w:p>
  </w:footnote>
  <w:footnote w:type="continuationSeparator" w:id="0">
    <w:p w:rsidR="00BB5043" w:rsidRDefault="00BB5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0764CB"/>
    <w:multiLevelType w:val="hybridMultilevel"/>
    <w:tmpl w:val="03320D28"/>
    <w:lvl w:ilvl="0" w:tplc="3CF4C54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4E252C">
      <w:start w:val="9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FC680DE">
      <w:start w:val="9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7C6E7F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A2674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080C5E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42C413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F4C7E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6FC982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246685"/>
    <w:multiLevelType w:val="hybridMultilevel"/>
    <w:tmpl w:val="AF200DB6"/>
    <w:lvl w:ilvl="0" w:tplc="04090003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" w15:restartNumberingAfterBreak="0">
    <w:nsid w:val="0C252544"/>
    <w:multiLevelType w:val="hybridMultilevel"/>
    <w:tmpl w:val="936C29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571A1E"/>
    <w:multiLevelType w:val="hybridMultilevel"/>
    <w:tmpl w:val="4190934C"/>
    <w:lvl w:ilvl="0" w:tplc="096CE470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611F3A"/>
    <w:multiLevelType w:val="hybridMultilevel"/>
    <w:tmpl w:val="5D5E6890"/>
    <w:lvl w:ilvl="0" w:tplc="4FBE930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87E0B"/>
    <w:multiLevelType w:val="singleLevel"/>
    <w:tmpl w:val="F18AE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4"/>
      </w:rPr>
    </w:lvl>
  </w:abstractNum>
  <w:abstractNum w:abstractNumId="8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7DD3FFC"/>
    <w:multiLevelType w:val="hybridMultilevel"/>
    <w:tmpl w:val="DEAE781A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B4284"/>
    <w:multiLevelType w:val="hybridMultilevel"/>
    <w:tmpl w:val="2A4A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670FCC"/>
    <w:multiLevelType w:val="hybridMultilevel"/>
    <w:tmpl w:val="539AB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821AE"/>
    <w:multiLevelType w:val="hybridMultilevel"/>
    <w:tmpl w:val="7068C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412EE1"/>
    <w:multiLevelType w:val="hybridMultilevel"/>
    <w:tmpl w:val="6B483A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D47CD"/>
    <w:multiLevelType w:val="hybridMultilevel"/>
    <w:tmpl w:val="A26EE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C2E35"/>
    <w:multiLevelType w:val="hybridMultilevel"/>
    <w:tmpl w:val="C3A40CF6"/>
    <w:lvl w:ilvl="0" w:tplc="461629E8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8" w15:restartNumberingAfterBreak="0">
    <w:nsid w:val="2FA63564"/>
    <w:multiLevelType w:val="hybridMultilevel"/>
    <w:tmpl w:val="EFC6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E2633"/>
    <w:multiLevelType w:val="hybridMultilevel"/>
    <w:tmpl w:val="E092E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65A42"/>
    <w:multiLevelType w:val="hybridMultilevel"/>
    <w:tmpl w:val="AD727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691305"/>
    <w:multiLevelType w:val="hybridMultilevel"/>
    <w:tmpl w:val="7A7E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F657B6"/>
    <w:multiLevelType w:val="hybridMultilevel"/>
    <w:tmpl w:val="4B6E4B68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65C0D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9A04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7EC88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662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CA838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EB24D69"/>
    <w:multiLevelType w:val="hybridMultilevel"/>
    <w:tmpl w:val="F83E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0C37AD"/>
    <w:multiLevelType w:val="hybridMultilevel"/>
    <w:tmpl w:val="3B64B40C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5A7F8A"/>
    <w:multiLevelType w:val="hybridMultilevel"/>
    <w:tmpl w:val="5F243D6A"/>
    <w:lvl w:ilvl="0" w:tplc="461629E8">
      <w:start w:val="1"/>
      <w:numFmt w:val="bullet"/>
      <w:lvlText w:val="•"/>
      <w:lvlJc w:val="left"/>
      <w:pPr>
        <w:ind w:left="8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9" w15:restartNumberingAfterBreak="0">
    <w:nsid w:val="596E1EFB"/>
    <w:multiLevelType w:val="hybridMultilevel"/>
    <w:tmpl w:val="96189E1E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744CCC"/>
    <w:multiLevelType w:val="hybridMultilevel"/>
    <w:tmpl w:val="E5266054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BE4C17"/>
    <w:multiLevelType w:val="hybridMultilevel"/>
    <w:tmpl w:val="8C46D238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3340C8"/>
    <w:multiLevelType w:val="hybridMultilevel"/>
    <w:tmpl w:val="0C2C4E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9807C1"/>
    <w:multiLevelType w:val="hybridMultilevel"/>
    <w:tmpl w:val="405EBD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FA922EA"/>
    <w:multiLevelType w:val="hybridMultilevel"/>
    <w:tmpl w:val="605AE15C"/>
    <w:lvl w:ilvl="0" w:tplc="13AE6A0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A37838"/>
    <w:multiLevelType w:val="hybridMultilevel"/>
    <w:tmpl w:val="6A78E76C"/>
    <w:lvl w:ilvl="0" w:tplc="DA6E52A2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437B3A"/>
    <w:multiLevelType w:val="hybridMultilevel"/>
    <w:tmpl w:val="5456FC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E144C2B"/>
    <w:multiLevelType w:val="hybridMultilevel"/>
    <w:tmpl w:val="C71A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2D4CA0"/>
    <w:multiLevelType w:val="hybridMultilevel"/>
    <w:tmpl w:val="9452A8C6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375AB"/>
    <w:multiLevelType w:val="hybridMultilevel"/>
    <w:tmpl w:val="87D80220"/>
    <w:lvl w:ilvl="0" w:tplc="461629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61629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D1E51"/>
    <w:multiLevelType w:val="hybridMultilevel"/>
    <w:tmpl w:val="817A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EF6521"/>
    <w:multiLevelType w:val="hybridMultilevel"/>
    <w:tmpl w:val="F5487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1"/>
  </w:num>
  <w:num w:numId="4">
    <w:abstractNumId w:val="41"/>
  </w:num>
  <w:num w:numId="5">
    <w:abstractNumId w:val="38"/>
  </w:num>
  <w:num w:numId="6">
    <w:abstractNumId w:val="25"/>
  </w:num>
  <w:num w:numId="7">
    <w:abstractNumId w:val="7"/>
    <w:lvlOverride w:ilvl="0">
      <w:startOverride w:val="1"/>
    </w:lvlOverride>
  </w:num>
  <w:num w:numId="8">
    <w:abstractNumId w:val="8"/>
  </w:num>
  <w:num w:numId="9">
    <w:abstractNumId w:val="24"/>
  </w:num>
  <w:num w:numId="10">
    <w:abstractNumId w:val="18"/>
  </w:num>
  <w:num w:numId="11">
    <w:abstractNumId w:val="22"/>
  </w:num>
  <w:num w:numId="12">
    <w:abstractNumId w:val="3"/>
  </w:num>
  <w:num w:numId="13">
    <w:abstractNumId w:val="36"/>
  </w:num>
  <w:num w:numId="14">
    <w:abstractNumId w:val="20"/>
  </w:num>
  <w:num w:numId="15">
    <w:abstractNumId w:val="13"/>
  </w:num>
  <w:num w:numId="16">
    <w:abstractNumId w:val="15"/>
  </w:num>
  <w:num w:numId="17">
    <w:abstractNumId w:val="35"/>
  </w:num>
  <w:num w:numId="18">
    <w:abstractNumId w:val="32"/>
  </w:num>
  <w:num w:numId="19">
    <w:abstractNumId w:val="2"/>
  </w:num>
  <w:num w:numId="20">
    <w:abstractNumId w:val="9"/>
  </w:num>
  <w:num w:numId="21">
    <w:abstractNumId w:val="33"/>
  </w:num>
  <w:num w:numId="22">
    <w:abstractNumId w:val="40"/>
  </w:num>
  <w:num w:numId="23">
    <w:abstractNumId w:val="26"/>
  </w:num>
  <w:num w:numId="24">
    <w:abstractNumId w:val="12"/>
  </w:num>
  <w:num w:numId="25">
    <w:abstractNumId w:val="5"/>
  </w:num>
  <w:num w:numId="26">
    <w:abstractNumId w:val="39"/>
  </w:num>
  <w:num w:numId="27">
    <w:abstractNumId w:val="19"/>
  </w:num>
  <w:num w:numId="28">
    <w:abstractNumId w:val="1"/>
  </w:num>
  <w:num w:numId="29">
    <w:abstractNumId w:val="6"/>
  </w:num>
  <w:num w:numId="30">
    <w:abstractNumId w:val="28"/>
  </w:num>
  <w:num w:numId="31">
    <w:abstractNumId w:val="29"/>
  </w:num>
  <w:num w:numId="32">
    <w:abstractNumId w:val="34"/>
  </w:num>
  <w:num w:numId="33">
    <w:abstractNumId w:val="27"/>
  </w:num>
  <w:num w:numId="34">
    <w:abstractNumId w:val="37"/>
  </w:num>
  <w:num w:numId="35">
    <w:abstractNumId w:val="23"/>
  </w:num>
  <w:num w:numId="36">
    <w:abstractNumId w:val="10"/>
  </w:num>
  <w:num w:numId="37">
    <w:abstractNumId w:val="30"/>
  </w:num>
  <w:num w:numId="38">
    <w:abstractNumId w:val="31"/>
  </w:num>
  <w:num w:numId="39">
    <w:abstractNumId w:val="16"/>
  </w:num>
  <w:num w:numId="40">
    <w:abstractNumId w:val="14"/>
  </w:num>
  <w:num w:numId="41">
    <w:abstractNumId w:val="42"/>
  </w:num>
  <w:num w:numId="42">
    <w:abstractNumId w:val="4"/>
  </w:num>
  <w:num w:numId="43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4132D"/>
    <w:rsid w:val="00044CFA"/>
    <w:rsid w:val="000459C7"/>
    <w:rsid w:val="00046630"/>
    <w:rsid w:val="00046C80"/>
    <w:rsid w:val="00047FFA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269"/>
    <w:rsid w:val="00060D8E"/>
    <w:rsid w:val="00062159"/>
    <w:rsid w:val="00063D9E"/>
    <w:rsid w:val="00064AD3"/>
    <w:rsid w:val="00065088"/>
    <w:rsid w:val="000652D3"/>
    <w:rsid w:val="000654A0"/>
    <w:rsid w:val="00067D46"/>
    <w:rsid w:val="000707CA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101C4F"/>
    <w:rsid w:val="00102C9F"/>
    <w:rsid w:val="001068D2"/>
    <w:rsid w:val="001103BD"/>
    <w:rsid w:val="00111208"/>
    <w:rsid w:val="00111808"/>
    <w:rsid w:val="0011339F"/>
    <w:rsid w:val="00114E96"/>
    <w:rsid w:val="0011644A"/>
    <w:rsid w:val="00117332"/>
    <w:rsid w:val="001204DD"/>
    <w:rsid w:val="00122839"/>
    <w:rsid w:val="001237AC"/>
    <w:rsid w:val="00124665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40E4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69CA"/>
    <w:rsid w:val="001B7E0C"/>
    <w:rsid w:val="001C0674"/>
    <w:rsid w:val="001C226F"/>
    <w:rsid w:val="001C52F3"/>
    <w:rsid w:val="001C66AC"/>
    <w:rsid w:val="001C6754"/>
    <w:rsid w:val="001C77F0"/>
    <w:rsid w:val="001D46A0"/>
    <w:rsid w:val="001D7CA4"/>
    <w:rsid w:val="001D7E58"/>
    <w:rsid w:val="001E30A0"/>
    <w:rsid w:val="001E3F75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6462"/>
    <w:rsid w:val="00267587"/>
    <w:rsid w:val="00270822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96371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5DA0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443D"/>
    <w:rsid w:val="00354FEE"/>
    <w:rsid w:val="00356275"/>
    <w:rsid w:val="00356B54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4270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68C8"/>
    <w:rsid w:val="003B75B9"/>
    <w:rsid w:val="003C0DA2"/>
    <w:rsid w:val="003C1A18"/>
    <w:rsid w:val="003C5C41"/>
    <w:rsid w:val="003C7461"/>
    <w:rsid w:val="003D0788"/>
    <w:rsid w:val="003D132A"/>
    <w:rsid w:val="003D1517"/>
    <w:rsid w:val="003D2938"/>
    <w:rsid w:val="003D2C75"/>
    <w:rsid w:val="003D3FBA"/>
    <w:rsid w:val="003D402B"/>
    <w:rsid w:val="003D764F"/>
    <w:rsid w:val="003D7D81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54F7"/>
    <w:rsid w:val="00416D44"/>
    <w:rsid w:val="004176FF"/>
    <w:rsid w:val="00421A27"/>
    <w:rsid w:val="00421D0A"/>
    <w:rsid w:val="004241C5"/>
    <w:rsid w:val="00424FA7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4CA8"/>
    <w:rsid w:val="00474E43"/>
    <w:rsid w:val="0048076D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441B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2669"/>
    <w:rsid w:val="004C3EC7"/>
    <w:rsid w:val="004C3EEE"/>
    <w:rsid w:val="004C483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2DDD"/>
    <w:rsid w:val="004F3076"/>
    <w:rsid w:val="004F3B71"/>
    <w:rsid w:val="004F5154"/>
    <w:rsid w:val="004F5835"/>
    <w:rsid w:val="004F661C"/>
    <w:rsid w:val="004F6D99"/>
    <w:rsid w:val="00500572"/>
    <w:rsid w:val="00501304"/>
    <w:rsid w:val="00501425"/>
    <w:rsid w:val="005036BE"/>
    <w:rsid w:val="00504311"/>
    <w:rsid w:val="0050485C"/>
    <w:rsid w:val="00504AC6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C99"/>
    <w:rsid w:val="00527FB1"/>
    <w:rsid w:val="005314C5"/>
    <w:rsid w:val="0053162F"/>
    <w:rsid w:val="00531777"/>
    <w:rsid w:val="0053281C"/>
    <w:rsid w:val="005340C9"/>
    <w:rsid w:val="005375FE"/>
    <w:rsid w:val="005420DE"/>
    <w:rsid w:val="00542249"/>
    <w:rsid w:val="005431F5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2D6D"/>
    <w:rsid w:val="005A34D5"/>
    <w:rsid w:val="005A4904"/>
    <w:rsid w:val="005A4959"/>
    <w:rsid w:val="005A515A"/>
    <w:rsid w:val="005A704D"/>
    <w:rsid w:val="005B3C6D"/>
    <w:rsid w:val="005B4045"/>
    <w:rsid w:val="005B609E"/>
    <w:rsid w:val="005B6DF6"/>
    <w:rsid w:val="005B780E"/>
    <w:rsid w:val="005B7B7D"/>
    <w:rsid w:val="005C1948"/>
    <w:rsid w:val="005C263C"/>
    <w:rsid w:val="005C2679"/>
    <w:rsid w:val="005C41D4"/>
    <w:rsid w:val="005D059A"/>
    <w:rsid w:val="005D07C5"/>
    <w:rsid w:val="005D4302"/>
    <w:rsid w:val="005D5A20"/>
    <w:rsid w:val="005D786C"/>
    <w:rsid w:val="005E00E5"/>
    <w:rsid w:val="005E049F"/>
    <w:rsid w:val="005E3073"/>
    <w:rsid w:val="005E316A"/>
    <w:rsid w:val="005E5E1A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985"/>
    <w:rsid w:val="00600CEB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1762"/>
    <w:rsid w:val="00632196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138"/>
    <w:rsid w:val="00665F7C"/>
    <w:rsid w:val="0066699A"/>
    <w:rsid w:val="00666DFC"/>
    <w:rsid w:val="00666EBB"/>
    <w:rsid w:val="00667385"/>
    <w:rsid w:val="0066779E"/>
    <w:rsid w:val="0067269D"/>
    <w:rsid w:val="00672988"/>
    <w:rsid w:val="00672C64"/>
    <w:rsid w:val="00674E6A"/>
    <w:rsid w:val="00676A64"/>
    <w:rsid w:val="00677925"/>
    <w:rsid w:val="00680F46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3959"/>
    <w:rsid w:val="006C4FC1"/>
    <w:rsid w:val="006C51A5"/>
    <w:rsid w:val="006C529D"/>
    <w:rsid w:val="006C7CC9"/>
    <w:rsid w:val="006D0E6B"/>
    <w:rsid w:val="006D1073"/>
    <w:rsid w:val="006D2146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B44"/>
    <w:rsid w:val="00753BB5"/>
    <w:rsid w:val="00756832"/>
    <w:rsid w:val="007626D0"/>
    <w:rsid w:val="007651CA"/>
    <w:rsid w:val="00767519"/>
    <w:rsid w:val="007704E1"/>
    <w:rsid w:val="00772569"/>
    <w:rsid w:val="00772E8C"/>
    <w:rsid w:val="007736D3"/>
    <w:rsid w:val="00773B54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D86"/>
    <w:rsid w:val="00796F15"/>
    <w:rsid w:val="007A138F"/>
    <w:rsid w:val="007A1640"/>
    <w:rsid w:val="007A39DF"/>
    <w:rsid w:val="007A43ED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24BF"/>
    <w:rsid w:val="007D3307"/>
    <w:rsid w:val="007D5E27"/>
    <w:rsid w:val="007D6F64"/>
    <w:rsid w:val="007E25AB"/>
    <w:rsid w:val="007E5AC2"/>
    <w:rsid w:val="007E79C5"/>
    <w:rsid w:val="007F2845"/>
    <w:rsid w:val="007F43BC"/>
    <w:rsid w:val="007F4740"/>
    <w:rsid w:val="007F5CEB"/>
    <w:rsid w:val="008006C6"/>
    <w:rsid w:val="00800C52"/>
    <w:rsid w:val="0080153E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565F1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121B"/>
    <w:rsid w:val="008743F3"/>
    <w:rsid w:val="0087444A"/>
    <w:rsid w:val="00875139"/>
    <w:rsid w:val="00875410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290"/>
    <w:rsid w:val="008C2CFD"/>
    <w:rsid w:val="008C57D6"/>
    <w:rsid w:val="008C603A"/>
    <w:rsid w:val="008C71C8"/>
    <w:rsid w:val="008D167D"/>
    <w:rsid w:val="008D261F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307"/>
    <w:rsid w:val="008E5657"/>
    <w:rsid w:val="008E5E51"/>
    <w:rsid w:val="008E7D63"/>
    <w:rsid w:val="008F00DB"/>
    <w:rsid w:val="008F110E"/>
    <w:rsid w:val="008F1264"/>
    <w:rsid w:val="008F47C6"/>
    <w:rsid w:val="008F5948"/>
    <w:rsid w:val="009006A2"/>
    <w:rsid w:val="0090102B"/>
    <w:rsid w:val="00901448"/>
    <w:rsid w:val="009036BC"/>
    <w:rsid w:val="00905C47"/>
    <w:rsid w:val="00906379"/>
    <w:rsid w:val="0090638B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396"/>
    <w:rsid w:val="00986CF9"/>
    <w:rsid w:val="00987416"/>
    <w:rsid w:val="009907E2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0E75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2FAD"/>
    <w:rsid w:val="00A03978"/>
    <w:rsid w:val="00A05DF3"/>
    <w:rsid w:val="00A07E08"/>
    <w:rsid w:val="00A12798"/>
    <w:rsid w:val="00A153BE"/>
    <w:rsid w:val="00A15DEE"/>
    <w:rsid w:val="00A167B5"/>
    <w:rsid w:val="00A168A6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1244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6E76"/>
    <w:rsid w:val="00AE7527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17EA8"/>
    <w:rsid w:val="00B20725"/>
    <w:rsid w:val="00B20B94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1188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91A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76A9"/>
    <w:rsid w:val="00BB3E2B"/>
    <w:rsid w:val="00BB5043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BFE"/>
    <w:rsid w:val="00BD7D14"/>
    <w:rsid w:val="00BE02B4"/>
    <w:rsid w:val="00BE0A4E"/>
    <w:rsid w:val="00BE1553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711C"/>
    <w:rsid w:val="00BF7C74"/>
    <w:rsid w:val="00C00ED8"/>
    <w:rsid w:val="00C03309"/>
    <w:rsid w:val="00C072FE"/>
    <w:rsid w:val="00C12E39"/>
    <w:rsid w:val="00C14164"/>
    <w:rsid w:val="00C15D8E"/>
    <w:rsid w:val="00C17012"/>
    <w:rsid w:val="00C178FB"/>
    <w:rsid w:val="00C22B28"/>
    <w:rsid w:val="00C22B5A"/>
    <w:rsid w:val="00C257B7"/>
    <w:rsid w:val="00C272E8"/>
    <w:rsid w:val="00C33359"/>
    <w:rsid w:val="00C348D6"/>
    <w:rsid w:val="00C365E7"/>
    <w:rsid w:val="00C36E34"/>
    <w:rsid w:val="00C404EE"/>
    <w:rsid w:val="00C40FC3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55566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36C"/>
    <w:rsid w:val="00CD761D"/>
    <w:rsid w:val="00CD76B5"/>
    <w:rsid w:val="00CE2346"/>
    <w:rsid w:val="00CE2B02"/>
    <w:rsid w:val="00CE6F0F"/>
    <w:rsid w:val="00CF002F"/>
    <w:rsid w:val="00CF0246"/>
    <w:rsid w:val="00CF1899"/>
    <w:rsid w:val="00CF2483"/>
    <w:rsid w:val="00CF24E2"/>
    <w:rsid w:val="00CF393D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0E00"/>
    <w:rsid w:val="00D2279F"/>
    <w:rsid w:val="00D22AF1"/>
    <w:rsid w:val="00D22E93"/>
    <w:rsid w:val="00D242DA"/>
    <w:rsid w:val="00D26448"/>
    <w:rsid w:val="00D264CE"/>
    <w:rsid w:val="00D26670"/>
    <w:rsid w:val="00D27137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201E"/>
    <w:rsid w:val="00D84A57"/>
    <w:rsid w:val="00D84C3B"/>
    <w:rsid w:val="00D874DF"/>
    <w:rsid w:val="00D87A12"/>
    <w:rsid w:val="00D930E1"/>
    <w:rsid w:val="00D9415C"/>
    <w:rsid w:val="00D942CC"/>
    <w:rsid w:val="00D94D87"/>
    <w:rsid w:val="00D962DC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7951"/>
    <w:rsid w:val="00DD0F95"/>
    <w:rsid w:val="00DD1C4B"/>
    <w:rsid w:val="00DD1F7B"/>
    <w:rsid w:val="00DD229E"/>
    <w:rsid w:val="00DD3029"/>
    <w:rsid w:val="00DD55E0"/>
    <w:rsid w:val="00DE0C66"/>
    <w:rsid w:val="00DE1904"/>
    <w:rsid w:val="00DE3DBB"/>
    <w:rsid w:val="00DE43A2"/>
    <w:rsid w:val="00DE4A74"/>
    <w:rsid w:val="00DE4B05"/>
    <w:rsid w:val="00DE541C"/>
    <w:rsid w:val="00DE737B"/>
    <w:rsid w:val="00DF100B"/>
    <w:rsid w:val="00DF3B76"/>
    <w:rsid w:val="00DF4359"/>
    <w:rsid w:val="00DF7751"/>
    <w:rsid w:val="00E031BB"/>
    <w:rsid w:val="00E0424A"/>
    <w:rsid w:val="00E0520E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9D1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608B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0515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F4C"/>
    <w:rsid w:val="00EB1D47"/>
    <w:rsid w:val="00EB2146"/>
    <w:rsid w:val="00EB2317"/>
    <w:rsid w:val="00EB279B"/>
    <w:rsid w:val="00EB2ABB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1759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76A9"/>
    <w:rsid w:val="00EE799E"/>
    <w:rsid w:val="00EE7C7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0F19"/>
    <w:rsid w:val="00F4275C"/>
    <w:rsid w:val="00F45693"/>
    <w:rsid w:val="00F52339"/>
    <w:rsid w:val="00F5277A"/>
    <w:rsid w:val="00F532E8"/>
    <w:rsid w:val="00F537FF"/>
    <w:rsid w:val="00F560FE"/>
    <w:rsid w:val="00F6111C"/>
    <w:rsid w:val="00F614C0"/>
    <w:rsid w:val="00F61647"/>
    <w:rsid w:val="00F657CF"/>
    <w:rsid w:val="00F66A00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3AEE"/>
    <w:rsid w:val="00FC6238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1D24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46AA53-45A0-4DB6-AC85-43E29039C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A450161-566D-42FC-9135-0A380234C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</TotalTime>
  <Pages>4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Tiirola, Esa (Nokia - FI/Oulu)</cp:lastModifiedBy>
  <cp:revision>9</cp:revision>
  <cp:lastPrinted>2016-06-20T11:35:00Z</cp:lastPrinted>
  <dcterms:created xsi:type="dcterms:W3CDTF">2016-09-29T09:49:00Z</dcterms:created>
  <dcterms:modified xsi:type="dcterms:W3CDTF">2016-09-30T09:57:00Z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AdHocReviewCycleID">
    <vt:i4>-902112017</vt:i4>
  </property>
  <property fmtid="{D5CDD505-2E9C-101B-9397-08002B2CF9AE}" pid="9" name="_EmailSubject">
    <vt:lpwstr>[RAN1#86bis]: TDoc draft related to DL control channel</vt:lpwstr>
  </property>
  <property fmtid="{D5CDD505-2E9C-101B-9397-08002B2CF9AE}" pid="10" name="_AuthorEmail">
    <vt:lpwstr>sigen.ye@nokia.com</vt:lpwstr>
  </property>
  <property fmtid="{D5CDD505-2E9C-101B-9397-08002B2CF9AE}" pid="11" name="_AuthorEmailDisplayName">
    <vt:lpwstr>Ye, Sigen (Nokia - US)</vt:lpwstr>
  </property>
  <property fmtid="{D5CDD505-2E9C-101B-9397-08002B2CF9AE}" pid="12" name="_ReviewingToolsShownOnce">
    <vt:lpwstr/>
  </property>
</Properties>
</file>