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#86</w:t>
      </w:r>
      <w:r w:rsidR="00BC26CC">
        <w:rPr>
          <w:bCs/>
          <w:noProof w:val="0"/>
          <w:sz w:val="24"/>
          <w:lang w:val="en-GB"/>
        </w:rPr>
        <w:t>b</w:t>
      </w:r>
      <w:r>
        <w:rPr>
          <w:bCs/>
          <w:noProof w:val="0"/>
          <w:sz w:val="24"/>
          <w:lang w:val="en-GB"/>
        </w:rPr>
        <w:t>is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</w:t>
      </w:r>
      <w:r w:rsidR="002136F9" w:rsidRPr="00CA26CE">
        <w:rPr>
          <w:bCs/>
          <w:noProof w:val="0"/>
          <w:sz w:val="24"/>
          <w:lang w:val="en-GB"/>
        </w:rPr>
        <w:t>16</w:t>
      </w:r>
      <w:r w:rsidR="002136F9">
        <w:rPr>
          <w:bCs/>
          <w:noProof w:val="0"/>
          <w:sz w:val="24"/>
          <w:lang w:val="en-GB"/>
        </w:rPr>
        <w:t>09657</w:t>
      </w:r>
    </w:p>
    <w:p w:rsidR="00AA65C9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Lisbon, Portugal, October 10-14, 2016</w:t>
      </w:r>
    </w:p>
    <w:p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2136F9">
        <w:rPr>
          <w:rFonts w:cs="Arial"/>
          <w:b/>
          <w:bCs/>
          <w:sz w:val="24"/>
        </w:rPr>
        <w:t>8.1.2.1</w:t>
      </w:r>
    </w:p>
    <w:p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C1D59">
        <w:rPr>
          <w:rFonts w:ascii="Arial" w:hAnsi="Arial" w:cs="Arial"/>
          <w:b/>
          <w:bCs/>
          <w:sz w:val="24"/>
        </w:rPr>
        <w:t>On the number of subcarriers per PRB</w:t>
      </w:r>
      <w:r w:rsidR="004C0401" w:rsidRPr="0016316A">
        <w:rPr>
          <w:rFonts w:ascii="Arial" w:hAnsi="Arial" w:cs="Arial"/>
          <w:b/>
          <w:bCs/>
          <w:sz w:val="24"/>
        </w:rPr>
        <w:t xml:space="preserve"> </w:t>
      </w:r>
    </w:p>
    <w:p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7E5AC2">
        <w:rPr>
          <w:bCs/>
        </w:rPr>
        <w:t>the physical resource block (PRB) definition in frequency</w:t>
      </w:r>
      <w:r w:rsidR="00CC300C">
        <w:rPr>
          <w:bCs/>
        </w:rPr>
        <w:t>.</w:t>
      </w:r>
      <w:r w:rsidR="00513839">
        <w:rPr>
          <w:bCs/>
        </w:rPr>
        <w:t xml:space="preserve"> </w:t>
      </w:r>
      <w:r w:rsidR="007E5AC2">
        <w:rPr>
          <w:rFonts w:eastAsia="Malgun Gothic"/>
        </w:rPr>
        <w:t>In RAN1 #86</w:t>
      </w:r>
      <w:r w:rsidR="00CC300C">
        <w:rPr>
          <w:rFonts w:eastAsia="Malgun Gothic"/>
        </w:rPr>
        <w:t xml:space="preserve">, the following agreements </w:t>
      </w:r>
      <w:r w:rsidR="00CC300C">
        <w:rPr>
          <w:bCs/>
        </w:rPr>
        <w:t>were made</w:t>
      </w:r>
      <w:r w:rsidR="00342AD2">
        <w:rPr>
          <w:bCs/>
        </w:rPr>
        <w:t xml:space="preserve"> [3]</w:t>
      </w:r>
      <w:r w:rsidR="00CC300C">
        <w:rPr>
          <w:rFonts w:eastAsia="Malgun Gothic"/>
        </w:rPr>
        <w:t>:</w:t>
      </w:r>
    </w:p>
    <w:p w:rsidR="000C1D59" w:rsidRPr="000C1D59" w:rsidRDefault="000C1D59" w:rsidP="000C1D59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:rsidR="000C1D59" w:rsidRPr="000C1D59" w:rsidRDefault="000C1D59" w:rsidP="000C1D59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C1D59">
        <w:rPr>
          <w:rFonts w:eastAsia="MS Mincho" w:hint="eastAsia"/>
          <w:sz w:val="18"/>
          <w:lang w:val="en-US" w:eastAsia="ja-JP"/>
        </w:rPr>
        <w:t>PRB definition where the number of subcarriers per PRB is the same for all numerologies is supported</w:t>
      </w:r>
    </w:p>
    <w:p w:rsidR="000C1D59" w:rsidRPr="000C1D59" w:rsidRDefault="000C1D59" w:rsidP="000C1D5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C1D59">
        <w:rPr>
          <w:rFonts w:eastAsia="MS Mincho" w:hint="eastAsia"/>
          <w:sz w:val="18"/>
          <w:lang w:val="en-US" w:eastAsia="ja-JP"/>
        </w:rPr>
        <w:t>Examples of t</w:t>
      </w:r>
      <w:r w:rsidRPr="000C1D59">
        <w:rPr>
          <w:sz w:val="18"/>
          <w:lang w:val="en-US"/>
        </w:rPr>
        <w:t xml:space="preserve">he number of subcarriers per PRB </w:t>
      </w:r>
      <w:r w:rsidRPr="000C1D59">
        <w:rPr>
          <w:rFonts w:eastAsia="MS Mincho" w:hint="eastAsia"/>
          <w:sz w:val="18"/>
          <w:lang w:val="en-US" w:eastAsia="ja-JP"/>
        </w:rPr>
        <w:t>for NR study are</w:t>
      </w:r>
      <w:r w:rsidRPr="000C1D59">
        <w:rPr>
          <w:sz w:val="18"/>
          <w:lang w:val="en-US"/>
        </w:rPr>
        <w:t xml:space="preserve"> </w:t>
      </w:r>
      <w:r w:rsidRPr="000C1D59">
        <w:rPr>
          <w:rFonts w:eastAsia="MS Mincho" w:hint="eastAsia"/>
          <w:sz w:val="18"/>
          <w:lang w:val="en-US" w:eastAsia="ja-JP"/>
        </w:rPr>
        <w:t>12, 16</w:t>
      </w:r>
    </w:p>
    <w:p w:rsidR="000C1D59" w:rsidRPr="000C1D59" w:rsidRDefault="000C1D59" w:rsidP="000C1D59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C1D59">
        <w:rPr>
          <w:rFonts w:eastAsia="MS Mincho" w:hint="eastAsia"/>
          <w:sz w:val="18"/>
          <w:lang w:val="en-US" w:eastAsia="ja-JP"/>
        </w:rPr>
        <w:t xml:space="preserve">Additional PRB </w:t>
      </w:r>
      <w:r w:rsidRPr="000C1D59">
        <w:rPr>
          <w:rFonts w:eastAsia="MS Mincho"/>
          <w:sz w:val="18"/>
          <w:lang w:val="en-US" w:eastAsia="ja-JP"/>
        </w:rPr>
        <w:t>definition</w:t>
      </w:r>
      <w:r w:rsidRPr="000C1D59">
        <w:rPr>
          <w:rFonts w:eastAsia="MS Mincho" w:hint="eastAsia"/>
          <w:sz w:val="18"/>
          <w:lang w:val="en-US" w:eastAsia="ja-JP"/>
        </w:rPr>
        <w:t xml:space="preserve"> with the different number of subcarriers is not precluded</w:t>
      </w:r>
    </w:p>
    <w:p w:rsidR="000C1D59" w:rsidRPr="000C1D59" w:rsidRDefault="000C1D59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8"/>
          <w:lang w:val="en-US" w:eastAsia="ja-JP"/>
        </w:rPr>
      </w:pPr>
    </w:p>
    <w:p w:rsidR="000C1D59" w:rsidRPr="000C1D59" w:rsidRDefault="000C1D59" w:rsidP="000C1D59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:rsidR="000C1D59" w:rsidRDefault="000C1D59" w:rsidP="000C1D59">
      <w:pPr>
        <w:pStyle w:val="ListParagraph"/>
        <w:numPr>
          <w:ilvl w:val="0"/>
          <w:numId w:val="20"/>
        </w:numPr>
        <w:rPr>
          <w:rFonts w:eastAsia="MS Mincho"/>
          <w:sz w:val="18"/>
          <w:szCs w:val="20"/>
          <w:lang w:val="en-US" w:eastAsia="ja-JP"/>
        </w:rPr>
      </w:pPr>
      <w:r w:rsidRPr="000C1D59">
        <w:rPr>
          <w:rFonts w:eastAsia="MS Mincho"/>
          <w:sz w:val="18"/>
          <w:szCs w:val="20"/>
          <w:lang w:val="en-US" w:eastAsia="ja-JP"/>
        </w:rPr>
        <w:t>The number of subcarriers per PRB for NR study are 12, 16</w:t>
      </w:r>
    </w:p>
    <w:p w:rsidR="007E5AC2" w:rsidRDefault="007E5AC2" w:rsidP="007E5AC2">
      <w:pPr>
        <w:rPr>
          <w:rFonts w:eastAsia="MS Mincho"/>
          <w:sz w:val="18"/>
          <w:lang w:val="en-US" w:eastAsia="ja-JP"/>
        </w:rPr>
      </w:pPr>
    </w:p>
    <w:p w:rsidR="007E5AC2" w:rsidRDefault="007E5AC2" w:rsidP="00342AD2">
      <w:pPr>
        <w:spacing w:after="0"/>
        <w:ind w:firstLine="284"/>
        <w:rPr>
          <w:rFonts w:eastAsia="MS Mincho"/>
          <w:b/>
          <w:u w:val="single"/>
          <w:lang w:val="en-US" w:eastAsia="ja-JP"/>
        </w:rPr>
      </w:pPr>
      <w:r w:rsidRPr="007E5AC2">
        <w:rPr>
          <w:rFonts w:eastAsia="MS Mincho" w:hint="eastAsia"/>
          <w:b/>
          <w:sz w:val="18"/>
          <w:u w:val="single"/>
          <w:lang w:val="en-US" w:eastAsia="ja-JP"/>
        </w:rPr>
        <w:t>Conclusions:</w:t>
      </w:r>
    </w:p>
    <w:p w:rsidR="007E5AC2" w:rsidRPr="007E5AC2" w:rsidRDefault="007E5AC2" w:rsidP="00342AD2">
      <w:pPr>
        <w:numPr>
          <w:ilvl w:val="0"/>
          <w:numId w:val="22"/>
        </w:numPr>
        <w:overflowPunct/>
        <w:autoSpaceDE/>
        <w:autoSpaceDN/>
        <w:adjustRightInd/>
        <w:spacing w:after="0"/>
        <w:ind w:left="709" w:hanging="283"/>
        <w:textAlignment w:val="auto"/>
        <w:rPr>
          <w:rFonts w:eastAsia="MS Mincho"/>
          <w:sz w:val="18"/>
          <w:lang w:val="en-US" w:eastAsia="ja-JP"/>
        </w:rPr>
      </w:pPr>
      <w:r w:rsidRPr="007E5AC2">
        <w:rPr>
          <w:rFonts w:eastAsia="MS Mincho" w:hint="eastAsia"/>
          <w:sz w:val="18"/>
          <w:lang w:val="en-US" w:eastAsia="ja-JP"/>
        </w:rPr>
        <w:t>RAN1 will down select the number of subcarriers per PRB in the next meeting</w:t>
      </w:r>
    </w:p>
    <w:p w:rsidR="007E5AC2" w:rsidRPr="007E5AC2" w:rsidRDefault="007E5AC2" w:rsidP="007E5AC2">
      <w:pPr>
        <w:rPr>
          <w:rFonts w:eastAsia="MS Mincho"/>
          <w:sz w:val="18"/>
          <w:lang w:val="en-US" w:eastAsia="ja-JP"/>
        </w:rPr>
      </w:pPr>
    </w:p>
    <w:p w:rsidR="0078539D" w:rsidRDefault="007E5AC2" w:rsidP="00E13EE4">
      <w:pPr>
        <w:spacing w:after="120"/>
        <w:jc w:val="both"/>
      </w:pPr>
      <w:r>
        <w:rPr>
          <w:bCs/>
        </w:rPr>
        <w:t>We provide our view on the number of</w:t>
      </w:r>
      <w:r w:rsidR="00342AD2">
        <w:rPr>
          <w:bCs/>
        </w:rPr>
        <w:t xml:space="preserve"> subcarriers per PRB in this contribution.</w:t>
      </w:r>
      <w:r>
        <w:rPr>
          <w:bCs/>
        </w:rPr>
        <w:t xml:space="preserve"> </w:t>
      </w:r>
    </w:p>
    <w:p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A20653">
        <w:t>Discussion</w:t>
      </w:r>
    </w:p>
    <w:p w:rsidR="005638C1" w:rsidRDefault="005638C1" w:rsidP="005638C1">
      <w:r>
        <w:t>With scalable numerology</w:t>
      </w:r>
      <w:r w:rsidR="00BC26CC">
        <w:t>,</w:t>
      </w:r>
      <w:r>
        <w:t xml:space="preserve"> time domain parameters such as symbol length and CP length are scaled down (compared to LTE) by parameter N, whereas subcarrier spacing are scaled up by parameter N. Figure 1 illustrates PRB space with scalable numerology. One PRB corresponds to </w:t>
      </w:r>
      <w:r w:rsidRPr="005638C1">
        <w:rPr>
          <w:i/>
        </w:rPr>
        <w:t>y</w:t>
      </w:r>
      <w:r>
        <w:t xml:space="preserve"> symbols in time and </w:t>
      </w:r>
      <w:r w:rsidRPr="005638C1">
        <w:rPr>
          <w:i/>
        </w:rPr>
        <w:t>z</w:t>
      </w:r>
      <w:r>
        <w:t xml:space="preserve"> subcarriers in frequency. In the current example, y=7 and z=12. Based on the current terminology agreed in RAN1 #86, time interval </w:t>
      </w:r>
      <w:r w:rsidRPr="005638C1">
        <w:rPr>
          <w:i/>
        </w:rPr>
        <w:t>y</w:t>
      </w:r>
      <w:r>
        <w:t xml:space="preserve"> can be called as a slot. It can be noted that:</w:t>
      </w:r>
    </w:p>
    <w:p w:rsidR="005638C1" w:rsidRDefault="005638C1" w:rsidP="005638C1">
      <w:r>
        <w:t>•</w:t>
      </w:r>
      <w:r>
        <w:tab/>
        <w:t>The PRB size, y*z is common for all numerologies (84 resource elements in the current example)</w:t>
      </w:r>
    </w:p>
    <w:p w:rsidR="005638C1" w:rsidRDefault="005638C1" w:rsidP="005638C1">
      <w:r>
        <w:t>•</w:t>
      </w:r>
      <w:r>
        <w:tab/>
        <w:t xml:space="preserve">The duration and bandwidth of </w:t>
      </w:r>
      <w:r w:rsidR="00BC26CC">
        <w:t xml:space="preserve">one PRB, or </w:t>
      </w:r>
      <w:r>
        <w:t>one resource unit</w:t>
      </w:r>
      <w:r w:rsidR="00BC26CC">
        <w:t>,</w:t>
      </w:r>
      <w:r>
        <w:t xml:space="preserve"> varies according to selected numerology.</w:t>
      </w:r>
    </w:p>
    <w:p w:rsidR="005638C1" w:rsidRDefault="009A1AAC" w:rsidP="005638C1">
      <w:pPr>
        <w:keepNext/>
        <w:ind w:left="1988"/>
      </w:pPr>
      <w:r w:rsidRPr="009A1AAC">
        <w:rPr>
          <w:noProof/>
          <w:lang w:val="en-US"/>
        </w:rPr>
        <w:lastRenderedPageBreak/>
        <w:drawing>
          <wp:inline distT="0" distB="0" distL="0" distR="0">
            <wp:extent cx="2367342" cy="2478793"/>
            <wp:effectExtent l="0" t="0" r="0" b="0"/>
            <wp:docPr id="2711" name="Picture 2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382" cy="2495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8C1" w:rsidRPr="009A1AAC" w:rsidRDefault="005638C1" w:rsidP="009A1AAC">
      <w:pPr>
        <w:pStyle w:val="Caption"/>
        <w:spacing w:after="240"/>
        <w:jc w:val="center"/>
        <w:rPr>
          <w:lang w:val="en-US"/>
        </w:rPr>
      </w:pPr>
      <w:r>
        <w:t xml:space="preserve">Figure </w:t>
      </w:r>
      <w:r w:rsidR="007222E2">
        <w:fldChar w:fldCharType="begin"/>
      </w:r>
      <w:r w:rsidR="007222E2">
        <w:instrText xml:space="preserve"> SEQ Figure \* ARABIC </w:instrText>
      </w:r>
      <w:r w:rsidR="007222E2">
        <w:fldChar w:fldCharType="separate"/>
      </w:r>
      <w:r>
        <w:rPr>
          <w:noProof/>
        </w:rPr>
        <w:t>1</w:t>
      </w:r>
      <w:r w:rsidR="007222E2">
        <w:rPr>
          <w:noProof/>
        </w:rPr>
        <w:fldChar w:fldCharType="end"/>
      </w:r>
      <w:r>
        <w:t xml:space="preserve"> </w:t>
      </w:r>
      <w:r w:rsidR="009A1AAC" w:rsidRPr="009A1AAC">
        <w:rPr>
          <w:lang w:val="en-US"/>
        </w:rPr>
        <w:t>PRB</w:t>
      </w:r>
      <w:r>
        <w:t xml:space="preserve"> space </w:t>
      </w:r>
      <w:r w:rsidR="009A1AAC" w:rsidRPr="009A1AAC">
        <w:rPr>
          <w:lang w:val="en-US"/>
        </w:rPr>
        <w:t>with</w:t>
      </w:r>
      <w:r>
        <w:t xml:space="preserve"> scalable numerology</w:t>
      </w:r>
      <w:r w:rsidR="009A1AAC">
        <w:rPr>
          <w:lang w:val="en-US"/>
        </w:rPr>
        <w:t>, 12 subcarriers per PRB.</w:t>
      </w:r>
    </w:p>
    <w:p w:rsidR="009A1AAC" w:rsidRDefault="005638C1" w:rsidP="005638C1">
      <w:r>
        <w:t xml:space="preserve">From resource allocation point of view it is beneficial to aim at scalable numerology, where dimensions of the one </w:t>
      </w:r>
      <w:r w:rsidR="00562BAB">
        <w:t>PRB</w:t>
      </w:r>
      <w:r>
        <w:t xml:space="preserve"> (in terms of number of OFDM symbols </w:t>
      </w:r>
      <w:r w:rsidR="009A1AAC" w:rsidRPr="009A1AAC">
        <w:rPr>
          <w:i/>
        </w:rPr>
        <w:t>y</w:t>
      </w:r>
      <w:r>
        <w:t xml:space="preserve"> and the number of subcarriers </w:t>
      </w:r>
      <w:r w:rsidR="009A1AAC" w:rsidRPr="009A1AAC">
        <w:rPr>
          <w:i/>
        </w:rPr>
        <w:t>z</w:t>
      </w:r>
      <w:r>
        <w:t>) remain unchanged regardless of the selected numerology. For example, it allows usage of the common design for different control/RS structures as well as common resource assignment design independently from the selected numerology option.</w:t>
      </w:r>
    </w:p>
    <w:p w:rsidR="005638C1" w:rsidRDefault="009A1AAC" w:rsidP="009A1AAC">
      <w:pPr>
        <w:spacing w:after="0"/>
        <w:rPr>
          <w:lang w:val="en-US"/>
        </w:rPr>
      </w:pPr>
      <w:r>
        <w:t>We think that it is</w:t>
      </w:r>
      <w:r w:rsidR="005638C1">
        <w:t xml:space="preserve"> beneficial to maximize the commonality </w:t>
      </w:r>
      <w:r w:rsidR="00BC26CC">
        <w:t xml:space="preserve">and compatibility </w:t>
      </w:r>
      <w:r w:rsidR="005638C1">
        <w:t>to LTE</w:t>
      </w:r>
      <w:r w:rsidR="00BC26CC">
        <w:t>.</w:t>
      </w:r>
      <w:r>
        <w:t xml:space="preserve"> </w:t>
      </w:r>
      <w:r w:rsidR="005638C1">
        <w:t>T</w:t>
      </w:r>
      <w:r w:rsidR="006369A9">
        <w:t>his can be made with a</w:t>
      </w:r>
      <w:r w:rsidR="005638C1">
        <w:t xml:space="preserve"> PRB definition where </w:t>
      </w:r>
      <w:r w:rsidRPr="009A1AAC">
        <w:t xml:space="preserve">the number of subcarriers per PRB </w:t>
      </w:r>
      <w:r w:rsidR="006369A9">
        <w:t xml:space="preserve">is </w:t>
      </w:r>
      <w:r w:rsidR="005638C1">
        <w:t>12 subcarriers.</w:t>
      </w:r>
      <w:r w:rsidR="00BC26CC">
        <w:t xml:space="preserve"> </w:t>
      </w:r>
      <w:r w:rsidR="00EE35CC">
        <w:t>With this definition, t</w:t>
      </w:r>
      <w:r w:rsidR="00BC26CC">
        <w:t>he bandwidth of a PRB in NR w</w:t>
      </w:r>
      <w:r w:rsidR="00EE35CC">
        <w:t>ill</w:t>
      </w:r>
      <w:r w:rsidR="00BC26CC">
        <w:t xml:space="preserve"> be the same as that in LTE</w:t>
      </w:r>
      <w:r w:rsidR="00EE35CC" w:rsidRPr="00EE35CC">
        <w:t xml:space="preserve"> </w:t>
      </w:r>
      <w:r w:rsidR="00EE35CC">
        <w:t>when using 15 kHz subcarrier spacing, or an integer number of PRBs in LTE when larger subcarrier spacing is used in NR.</w:t>
      </w:r>
      <w:r>
        <w:t xml:space="preserve"> </w:t>
      </w:r>
      <w:r w:rsidR="00562BAB">
        <w:t>This approach</w:t>
      </w:r>
      <w:r>
        <w:t xml:space="preserve"> will</w:t>
      </w:r>
      <w:r w:rsidR="006369A9">
        <w:t xml:space="preserve"> maximize the </w:t>
      </w:r>
      <w:r w:rsidR="006369A9" w:rsidRPr="009A1AAC">
        <w:rPr>
          <w:lang w:val="en-US"/>
        </w:rPr>
        <w:t>coexistence between NR and LTE</w:t>
      </w:r>
      <w:r w:rsidR="006369A9">
        <w:rPr>
          <w:lang w:val="en-US"/>
        </w:rPr>
        <w:t>. For example, it provides opportunities for reasonable interference management between NR and LTE</w:t>
      </w:r>
      <w:r w:rsidR="00562BAB">
        <w:rPr>
          <w:lang w:val="en-US"/>
        </w:rPr>
        <w:t xml:space="preserve"> (with PRB </w:t>
      </w:r>
      <w:r w:rsidR="00EE35CC">
        <w:rPr>
          <w:lang w:val="en-US"/>
        </w:rPr>
        <w:t xml:space="preserve">or multi-PRB </w:t>
      </w:r>
      <w:r w:rsidR="00562BAB">
        <w:rPr>
          <w:lang w:val="en-US"/>
        </w:rPr>
        <w:t>resolution)</w:t>
      </w:r>
      <w:r w:rsidR="006369A9">
        <w:rPr>
          <w:lang w:val="en-US"/>
        </w:rPr>
        <w:t xml:space="preserve">. This approach can minimize </w:t>
      </w:r>
      <w:r w:rsidR="00562BAB">
        <w:rPr>
          <w:lang w:val="en-US"/>
        </w:rPr>
        <w:t xml:space="preserve">also </w:t>
      </w:r>
      <w:r w:rsidR="006369A9">
        <w:rPr>
          <w:lang w:val="en-US"/>
        </w:rPr>
        <w:t>the implementation complexity in the cases when both LTE and NR are supported.</w:t>
      </w:r>
    </w:p>
    <w:p w:rsidR="006369A9" w:rsidRDefault="006369A9" w:rsidP="009A1AAC">
      <w:pPr>
        <w:spacing w:after="0"/>
        <w:rPr>
          <w:lang w:val="en-US"/>
        </w:rPr>
      </w:pPr>
    </w:p>
    <w:p w:rsidR="006369A9" w:rsidRDefault="006369A9" w:rsidP="009A1AAC">
      <w:pPr>
        <w:spacing w:after="0"/>
        <w:rPr>
          <w:lang w:val="en-US"/>
        </w:rPr>
      </w:pPr>
      <w:r>
        <w:rPr>
          <w:lang w:val="en-US"/>
        </w:rPr>
        <w:t xml:space="preserve">When compared to the option with 16 subcarriers per PRB, it can be noted that 12 subcarriers per PRB provides </w:t>
      </w:r>
      <w:r w:rsidR="00562BAB">
        <w:rPr>
          <w:lang w:val="en-US"/>
        </w:rPr>
        <w:t>also better f</w:t>
      </w:r>
      <w:r w:rsidR="00562BAB" w:rsidRPr="00562BAB">
        <w:rPr>
          <w:lang w:val="en-US"/>
        </w:rPr>
        <w:t xml:space="preserve">requency domain resolution. This </w:t>
      </w:r>
      <w:r w:rsidR="00562BAB">
        <w:rPr>
          <w:lang w:val="en-US"/>
        </w:rPr>
        <w:t>can be</w:t>
      </w:r>
      <w:r w:rsidR="00562BAB" w:rsidRPr="00562BAB">
        <w:rPr>
          <w:lang w:val="en-US"/>
        </w:rPr>
        <w:t xml:space="preserve"> benef</w:t>
      </w:r>
      <w:r w:rsidR="00562BAB">
        <w:rPr>
          <w:lang w:val="en-US"/>
        </w:rPr>
        <w:t>icial e.g. when increasing the spectrum</w:t>
      </w:r>
      <w:r w:rsidR="00562BAB" w:rsidRPr="00562BAB">
        <w:rPr>
          <w:lang w:val="en-US"/>
        </w:rPr>
        <w:t xml:space="preserve"> usage efficiency </w:t>
      </w:r>
      <w:r w:rsidR="00562BAB">
        <w:rPr>
          <w:lang w:val="en-US"/>
        </w:rPr>
        <w:t xml:space="preserve">(90% in LTE) according to the agreement made in RAN1 #86 or when multiplexing narrowband IoT with </w:t>
      </w:r>
      <w:r w:rsidR="00EE35CC">
        <w:rPr>
          <w:lang w:val="en-US"/>
        </w:rPr>
        <w:t>NR</w:t>
      </w:r>
      <w:r w:rsidR="00562BAB">
        <w:rPr>
          <w:lang w:val="en-US"/>
        </w:rPr>
        <w:t>.</w:t>
      </w:r>
    </w:p>
    <w:p w:rsidR="00D838D3" w:rsidRDefault="00D838D3" w:rsidP="009A1AAC">
      <w:pPr>
        <w:spacing w:after="0"/>
        <w:rPr>
          <w:lang w:val="en-US"/>
        </w:rPr>
      </w:pPr>
    </w:p>
    <w:p w:rsidR="00D838D3" w:rsidRDefault="00D838D3" w:rsidP="009A1AAC">
      <w:pPr>
        <w:spacing w:after="0"/>
        <w:rPr>
          <w:lang w:val="en-US"/>
        </w:rPr>
      </w:pPr>
      <w:r>
        <w:rPr>
          <w:lang w:val="en-US"/>
        </w:rPr>
        <w:t>In addition, there does not seem to be any obvious advantage of having 16 subcarriers per PRB compared to 12.</w:t>
      </w:r>
    </w:p>
    <w:p w:rsidR="00562BAB" w:rsidRDefault="00562BAB" w:rsidP="009A1AAC">
      <w:pPr>
        <w:spacing w:after="0"/>
        <w:rPr>
          <w:lang w:val="en-US"/>
        </w:rPr>
      </w:pPr>
    </w:p>
    <w:p w:rsidR="00562BAB" w:rsidRDefault="00562BAB" w:rsidP="009A1AAC">
      <w:pPr>
        <w:spacing w:after="0"/>
        <w:rPr>
          <w:lang w:val="en-US"/>
        </w:rPr>
      </w:pPr>
      <w:r>
        <w:rPr>
          <w:lang w:val="en-US"/>
        </w:rPr>
        <w:t>Based on the discussion above, we make the following proposal:</w:t>
      </w:r>
    </w:p>
    <w:p w:rsidR="006369A9" w:rsidRDefault="006369A9" w:rsidP="009A1AAC">
      <w:pPr>
        <w:spacing w:after="0"/>
        <w:rPr>
          <w:lang w:val="en-US"/>
        </w:rPr>
      </w:pPr>
    </w:p>
    <w:p w:rsidR="00367367" w:rsidRDefault="00342AD2" w:rsidP="009036BC">
      <w:pPr>
        <w:spacing w:after="0"/>
        <w:rPr>
          <w:i/>
        </w:rPr>
      </w:pPr>
      <w:r>
        <w:rPr>
          <w:b/>
          <w:i/>
        </w:rPr>
        <w:t>Proposal</w:t>
      </w:r>
      <w:r w:rsidR="00117332" w:rsidRPr="00367367">
        <w:rPr>
          <w:b/>
          <w:i/>
        </w:rPr>
        <w:t xml:space="preserve"> #1</w:t>
      </w:r>
      <w:r w:rsidR="00117332">
        <w:t xml:space="preserve">: </w:t>
      </w:r>
      <w:r>
        <w:rPr>
          <w:i/>
        </w:rPr>
        <w:t>The number of subcarriers per PRB for NR is 12</w:t>
      </w:r>
      <w:r w:rsidR="00EE35CC">
        <w:rPr>
          <w:i/>
        </w:rPr>
        <w:t>.</w:t>
      </w:r>
    </w:p>
    <w:p w:rsidR="00072FF5" w:rsidRPr="00EB7307" w:rsidRDefault="00072FF5" w:rsidP="00D060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lang w:val="en-US"/>
        </w:rPr>
      </w:pPr>
    </w:p>
    <w:p w:rsidR="0034111C" w:rsidRPr="00A51522" w:rsidRDefault="00342AD2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:rsidR="00731B79" w:rsidRDefault="003D3FBA" w:rsidP="00731B79">
      <w:pPr>
        <w:spacing w:after="120"/>
        <w:ind w:right="1038"/>
        <w:jc w:val="both"/>
      </w:pPr>
      <w:r w:rsidRPr="00A51522">
        <w:t xml:space="preserve">In this contribution we have discussed </w:t>
      </w:r>
      <w:r w:rsidR="00342AD2">
        <w:rPr>
          <w:bCs/>
        </w:rPr>
        <w:t>the number of subcarriers per PRB</w:t>
      </w:r>
      <w:r w:rsidR="00562BAB">
        <w:rPr>
          <w:bCs/>
        </w:rPr>
        <w:t xml:space="preserve"> in the NR</w:t>
      </w:r>
      <w:r w:rsidR="00342AD2">
        <w:rPr>
          <w:bCs/>
        </w:rPr>
        <w:t>. Based on the discussion, we make the following proposal:</w:t>
      </w:r>
    </w:p>
    <w:p w:rsidR="0007208A" w:rsidRDefault="0007208A" w:rsidP="0007208A">
      <w:pPr>
        <w:spacing w:after="0"/>
        <w:rPr>
          <w:b/>
          <w:i/>
        </w:rPr>
      </w:pPr>
    </w:p>
    <w:p w:rsidR="00342AD2" w:rsidRDefault="00342AD2" w:rsidP="00342AD2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>The number of subcarriers per PRB for NR is 12</w:t>
      </w:r>
      <w:r w:rsidR="00EE35CC">
        <w:rPr>
          <w:i/>
        </w:rPr>
        <w:t>.</w:t>
      </w:r>
    </w:p>
    <w:p w:rsidR="0007208A" w:rsidRDefault="0007208A" w:rsidP="0007208A">
      <w:pPr>
        <w:spacing w:after="0"/>
        <w:rPr>
          <w:b/>
          <w:i/>
        </w:rPr>
      </w:pPr>
    </w:p>
    <w:p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  <w:bookmarkStart w:id="0" w:name="_GoBack"/>
      <w:bookmarkEnd w:id="0"/>
    </w:p>
    <w:p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:rsidR="003D132A" w:rsidRPr="008449D3" w:rsidRDefault="00342AD2" w:rsidP="00272A42">
      <w:pPr>
        <w:numPr>
          <w:ilvl w:val="0"/>
          <w:numId w:val="1"/>
        </w:numPr>
        <w:rPr>
          <w:sz w:val="18"/>
        </w:rPr>
      </w:pPr>
      <w:r w:rsidRPr="008449D3">
        <w:rPr>
          <w:sz w:val="18"/>
        </w:rPr>
        <w:t>RAN1 Chairman’s Notes, 3GPP TSG RAN WG1 Meeting #86, 3G</w:t>
      </w:r>
      <w:r w:rsidR="00BC26CC" w:rsidRPr="008449D3">
        <w:rPr>
          <w:sz w:val="18"/>
        </w:rPr>
        <w:t>PP</w:t>
      </w:r>
      <w:r w:rsidRPr="008449D3">
        <w:rPr>
          <w:sz w:val="18"/>
        </w:rPr>
        <w:t>.</w:t>
      </w:r>
    </w:p>
    <w:p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207" w:rsidRDefault="00D44207">
      <w:r>
        <w:separator/>
      </w:r>
    </w:p>
  </w:endnote>
  <w:endnote w:type="continuationSeparator" w:id="0">
    <w:p w:rsidR="00D44207" w:rsidRDefault="00D4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207" w:rsidRDefault="00D44207">
      <w:r>
        <w:separator/>
      </w:r>
    </w:p>
  </w:footnote>
  <w:footnote w:type="continuationSeparator" w:id="0">
    <w:p w:rsidR="00D44207" w:rsidRDefault="00D44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9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9807C1"/>
    <w:multiLevelType w:val="hybridMultilevel"/>
    <w:tmpl w:val="405EB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375AB"/>
    <w:multiLevelType w:val="hybridMultilevel"/>
    <w:tmpl w:val="87D80220"/>
    <w:lvl w:ilvl="0" w:tplc="461629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1629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2"/>
  </w:num>
  <w:num w:numId="5">
    <w:abstractNumId w:val="20"/>
  </w:num>
  <w:num w:numId="6">
    <w:abstractNumId w:val="14"/>
  </w:num>
  <w:num w:numId="7">
    <w:abstractNumId w:val="2"/>
    <w:lvlOverride w:ilvl="0">
      <w:startOverride w:val="1"/>
    </w:lvlOverride>
  </w:num>
  <w:num w:numId="8">
    <w:abstractNumId w:val="3"/>
  </w:num>
  <w:num w:numId="9">
    <w:abstractNumId w:val="13"/>
  </w:num>
  <w:num w:numId="10">
    <w:abstractNumId w:val="9"/>
  </w:num>
  <w:num w:numId="11">
    <w:abstractNumId w:val="12"/>
  </w:num>
  <w:num w:numId="12">
    <w:abstractNumId w:val="1"/>
  </w:num>
  <w:num w:numId="13">
    <w:abstractNumId w:val="19"/>
  </w:num>
  <w:num w:numId="14">
    <w:abstractNumId w:val="10"/>
  </w:num>
  <w:num w:numId="15">
    <w:abstractNumId w:val="6"/>
  </w:num>
  <w:num w:numId="16">
    <w:abstractNumId w:val="7"/>
  </w:num>
  <w:num w:numId="17">
    <w:abstractNumId w:val="18"/>
  </w:num>
  <w:num w:numId="18">
    <w:abstractNumId w:val="16"/>
  </w:num>
  <w:num w:numId="19">
    <w:abstractNumId w:val="0"/>
  </w:num>
  <w:num w:numId="20">
    <w:abstractNumId w:val="4"/>
  </w:num>
  <w:num w:numId="21">
    <w:abstractNumId w:val="17"/>
  </w:num>
  <w:num w:numId="22">
    <w:abstractNumId w:val="21"/>
  </w:num>
  <w:num w:numId="23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B2813"/>
    <w:rsid w:val="000001C4"/>
    <w:rsid w:val="0000159F"/>
    <w:rsid w:val="00001C20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6F9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863"/>
    <w:rsid w:val="00473A14"/>
    <w:rsid w:val="00474CA8"/>
    <w:rsid w:val="00474E43"/>
    <w:rsid w:val="00481D90"/>
    <w:rsid w:val="00482CD4"/>
    <w:rsid w:val="00483261"/>
    <w:rsid w:val="0048378A"/>
    <w:rsid w:val="00485B23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2829"/>
    <w:rsid w:val="00513839"/>
    <w:rsid w:val="0051423C"/>
    <w:rsid w:val="00514C91"/>
    <w:rsid w:val="005153CE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20DE"/>
    <w:rsid w:val="00542249"/>
    <w:rsid w:val="005431F5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A6C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B53"/>
    <w:rsid w:val="00682F27"/>
    <w:rsid w:val="00690E2E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22E2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742D"/>
    <w:rsid w:val="008100AC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49D3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5DF3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5F8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2CFB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26CC"/>
    <w:rsid w:val="00BC32E7"/>
    <w:rsid w:val="00BC58B9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207"/>
    <w:rsid w:val="00D44932"/>
    <w:rsid w:val="00D46111"/>
    <w:rsid w:val="00D47C16"/>
    <w:rsid w:val="00D502AF"/>
    <w:rsid w:val="00D50764"/>
    <w:rsid w:val="00D50C12"/>
    <w:rsid w:val="00D51A77"/>
    <w:rsid w:val="00D53830"/>
    <w:rsid w:val="00D55889"/>
    <w:rsid w:val="00D56B5F"/>
    <w:rsid w:val="00D57AF0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7413"/>
    <w:rsid w:val="00D81F10"/>
    <w:rsid w:val="00D838D3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3E6D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5CC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0EA5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48327A-7F88-4504-AAD6-AB18DD863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/>
</file>

<file path=customXml/itemProps2.xml><?xml version="1.0" encoding="utf-8"?>
<ds:datastoreItem xmlns:ds="http://schemas.openxmlformats.org/officeDocument/2006/customXml" ds:itemID="{2CE66390-3D25-4CC2-8279-23A181FE6D0A}"/>
</file>

<file path=customXml/itemProps3.xml><?xml version="1.0" encoding="utf-8"?>
<ds:datastoreItem xmlns:ds="http://schemas.openxmlformats.org/officeDocument/2006/customXml" ds:itemID="{75AE46C1-5939-424B-9C3C-66BF1C4F6A82}"/>
</file>

<file path=customXml/itemProps4.xml><?xml version="1.0" encoding="utf-8"?>
<ds:datastoreItem xmlns:ds="http://schemas.openxmlformats.org/officeDocument/2006/customXml" ds:itemID="{98337877-0D06-4FE0-9F6E-0FCB1CF8BB9E}"/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126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12</cp:revision>
  <cp:lastPrinted>2016-06-20T11:35:00Z</cp:lastPrinted>
  <dcterms:created xsi:type="dcterms:W3CDTF">2016-09-20T05:22:00Z</dcterms:created>
  <dcterms:modified xsi:type="dcterms:W3CDTF">2016-09-30T09:44:00Z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AdHocReviewCycleID">
    <vt:i4>-1480379731</vt:i4>
  </property>
  <property fmtid="{D5CDD505-2E9C-101B-9397-08002B2CF9AE}" pid="9" name="_EmailSubject">
    <vt:lpwstr>RE: [RAN1#86bis]: Tdoc draft on the number of subcarriers per PRB</vt:lpwstr>
  </property>
  <property fmtid="{D5CDD505-2E9C-101B-9397-08002B2CF9AE}" pid="10" name="_AuthorEmail">
    <vt:lpwstr>sigen.ye@nokia.com</vt:lpwstr>
  </property>
  <property fmtid="{D5CDD505-2E9C-101B-9397-08002B2CF9AE}" pid="11" name="_AuthorEmailDisplayName">
    <vt:lpwstr>Ye, Sigen (Nokia - US)</vt:lpwstr>
  </property>
  <property fmtid="{D5CDD505-2E9C-101B-9397-08002B2CF9AE}" pid="12" name="_ReviewingToolsShownOnce">
    <vt:lpwstr/>
  </property>
</Properties>
</file>