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59EDA" w14:textId="3AC206CF" w:rsidR="00487DB0" w:rsidRPr="00372104" w:rsidRDefault="00487DB0" w:rsidP="009F60D3">
      <w:pPr>
        <w:tabs>
          <w:tab w:val="right" w:pos="9360"/>
        </w:tabs>
        <w:spacing w:after="0"/>
        <w:rPr>
          <w:rFonts w:ascii="Arial" w:hAnsi="Arial" w:cs="Arial"/>
          <w:b/>
          <w:sz w:val="24"/>
          <w:szCs w:val="24"/>
          <w:lang w:val="en-US"/>
        </w:rPr>
      </w:pPr>
      <w:bookmarkStart w:id="0" w:name="_GoBack"/>
      <w:bookmarkEnd w:id="0"/>
      <w:r>
        <w:rPr>
          <w:rFonts w:ascii="Arial" w:hAnsi="Arial" w:cs="Arial"/>
          <w:b/>
          <w:sz w:val="24"/>
          <w:szCs w:val="24"/>
          <w:lang w:val="en-US"/>
        </w:rPr>
        <w:t>3GPP TSG-RAN WG1 #86</w:t>
      </w:r>
      <w:r w:rsidR="008C4B4F">
        <w:rPr>
          <w:rFonts w:ascii="Arial" w:hAnsi="Arial" w:cs="Arial"/>
          <w:b/>
          <w:sz w:val="24"/>
          <w:szCs w:val="24"/>
          <w:lang w:val="en-US"/>
        </w:rPr>
        <w:t>bis</w:t>
      </w:r>
      <w:r w:rsidRPr="00372104">
        <w:rPr>
          <w:rFonts w:ascii="Arial" w:hAnsi="Arial" w:cs="Arial"/>
          <w:b/>
          <w:sz w:val="24"/>
          <w:szCs w:val="24"/>
          <w:lang w:val="en-US"/>
        </w:rPr>
        <w:t xml:space="preserve">                                                          </w:t>
      </w:r>
      <w:r w:rsidRPr="00372104">
        <w:rPr>
          <w:rFonts w:ascii="Arial" w:hAnsi="Arial" w:cs="Arial"/>
          <w:b/>
          <w:sz w:val="24"/>
          <w:szCs w:val="24"/>
          <w:lang w:val="en-US"/>
        </w:rPr>
        <w:tab/>
        <w:t xml:space="preserve">            </w:t>
      </w:r>
      <w:r w:rsidR="009078A2" w:rsidRPr="00372104">
        <w:rPr>
          <w:rFonts w:ascii="Arial" w:hAnsi="Arial" w:cs="Arial"/>
          <w:b/>
          <w:sz w:val="24"/>
          <w:szCs w:val="24"/>
          <w:lang w:val="en-US"/>
        </w:rPr>
        <w:t>R1-1</w:t>
      </w:r>
      <w:r w:rsidR="009078A2">
        <w:rPr>
          <w:rFonts w:ascii="Arial" w:hAnsi="Arial" w:cs="Arial"/>
          <w:b/>
          <w:sz w:val="24"/>
          <w:szCs w:val="24"/>
          <w:lang w:val="en-US"/>
        </w:rPr>
        <w:t>608710</w:t>
      </w:r>
    </w:p>
    <w:p w14:paraId="5E0BCD36" w14:textId="1998F78B" w:rsidR="00487DB0" w:rsidRPr="00D77ACE" w:rsidRDefault="008C4B4F" w:rsidP="009F60D3">
      <w:pPr>
        <w:tabs>
          <w:tab w:val="right" w:pos="10000"/>
        </w:tabs>
        <w:spacing w:after="0"/>
        <w:rPr>
          <w:rFonts w:ascii="Arial" w:hAnsi="Arial" w:cs="Arial"/>
          <w:b/>
          <w:sz w:val="24"/>
          <w:szCs w:val="24"/>
          <w:lang w:val="en-US"/>
        </w:rPr>
      </w:pPr>
      <w:r>
        <w:rPr>
          <w:rFonts w:ascii="Arial" w:hAnsi="Arial" w:cs="Arial"/>
          <w:b/>
          <w:sz w:val="24"/>
          <w:szCs w:val="24"/>
          <w:lang w:val="en-US"/>
        </w:rPr>
        <w:t>10</w:t>
      </w:r>
      <w:r w:rsidRPr="008C4B4F">
        <w:rPr>
          <w:rFonts w:ascii="Arial" w:hAnsi="Arial" w:cs="Arial"/>
          <w:b/>
          <w:sz w:val="24"/>
          <w:szCs w:val="24"/>
          <w:vertAlign w:val="superscript"/>
          <w:lang w:val="en-US"/>
        </w:rPr>
        <w:t>th</w:t>
      </w:r>
      <w:r>
        <w:rPr>
          <w:rFonts w:ascii="Arial" w:hAnsi="Arial" w:cs="Arial"/>
          <w:b/>
          <w:sz w:val="24"/>
          <w:szCs w:val="24"/>
          <w:lang w:val="en-US"/>
        </w:rPr>
        <w:t xml:space="preserve"> </w:t>
      </w:r>
      <w:r w:rsidR="00487DB0">
        <w:rPr>
          <w:rFonts w:ascii="Arial" w:hAnsi="Arial" w:cs="Arial"/>
          <w:b/>
          <w:sz w:val="24"/>
          <w:szCs w:val="24"/>
          <w:lang w:val="en-US"/>
        </w:rPr>
        <w:t>-</w:t>
      </w:r>
      <w:r>
        <w:rPr>
          <w:rFonts w:ascii="Arial" w:hAnsi="Arial" w:cs="Arial"/>
          <w:b/>
          <w:sz w:val="24"/>
          <w:szCs w:val="24"/>
          <w:lang w:val="en-US"/>
        </w:rPr>
        <w:t>14</w:t>
      </w:r>
      <w:r w:rsidR="00487DB0" w:rsidRPr="002202B4">
        <w:rPr>
          <w:rFonts w:ascii="Arial" w:hAnsi="Arial" w:cs="Arial"/>
          <w:b/>
          <w:sz w:val="24"/>
          <w:szCs w:val="24"/>
          <w:vertAlign w:val="superscript"/>
          <w:lang w:val="en-US"/>
        </w:rPr>
        <w:t>th</w:t>
      </w:r>
      <w:r w:rsidR="00487DB0">
        <w:rPr>
          <w:rFonts w:ascii="Arial" w:hAnsi="Arial" w:cs="Arial"/>
          <w:b/>
          <w:sz w:val="24"/>
          <w:szCs w:val="24"/>
          <w:lang w:val="en-US"/>
        </w:rPr>
        <w:t xml:space="preserve"> </w:t>
      </w:r>
      <w:r>
        <w:rPr>
          <w:rFonts w:ascii="Arial" w:hAnsi="Arial" w:cs="Arial"/>
          <w:b/>
          <w:sz w:val="24"/>
          <w:szCs w:val="24"/>
          <w:lang w:val="en-US"/>
        </w:rPr>
        <w:t>October</w:t>
      </w:r>
      <w:r w:rsidR="00487DB0" w:rsidRPr="00D77ACE">
        <w:rPr>
          <w:rFonts w:ascii="Arial" w:hAnsi="Arial" w:cs="Arial"/>
          <w:b/>
          <w:sz w:val="24"/>
          <w:szCs w:val="24"/>
          <w:lang w:val="en-US"/>
        </w:rPr>
        <w:t xml:space="preserve"> 201</w:t>
      </w:r>
      <w:r w:rsidR="00487DB0">
        <w:rPr>
          <w:rFonts w:ascii="Arial" w:hAnsi="Arial" w:cs="Arial"/>
          <w:b/>
          <w:sz w:val="24"/>
          <w:szCs w:val="24"/>
          <w:lang w:val="en-US"/>
        </w:rPr>
        <w:t>6</w:t>
      </w:r>
    </w:p>
    <w:p w14:paraId="05CC7D6B" w14:textId="59B02EA7" w:rsidR="00487DB0" w:rsidRDefault="008C4B4F" w:rsidP="009F60D3">
      <w:pPr>
        <w:spacing w:after="0"/>
        <w:rPr>
          <w:rFonts w:ascii="Arial" w:hAnsi="Arial" w:cs="Arial"/>
          <w:b/>
          <w:sz w:val="24"/>
          <w:szCs w:val="24"/>
          <w:lang w:val="en-US"/>
        </w:rPr>
      </w:pPr>
      <w:r>
        <w:rPr>
          <w:rFonts w:ascii="Arial" w:hAnsi="Arial" w:cs="Arial"/>
          <w:b/>
          <w:sz w:val="24"/>
          <w:szCs w:val="24"/>
          <w:lang w:val="en-US"/>
        </w:rPr>
        <w:t>Lisbon, Portugal</w:t>
      </w:r>
    </w:p>
    <w:p w14:paraId="10F41B76" w14:textId="77777777" w:rsidR="00487DB0" w:rsidRDefault="00487DB0" w:rsidP="009F60D3">
      <w:pPr>
        <w:tabs>
          <w:tab w:val="right" w:pos="10000"/>
        </w:tabs>
        <w:spacing w:after="0"/>
        <w:rPr>
          <w:rFonts w:ascii="Arial" w:hAnsi="Arial" w:cs="Arial"/>
          <w:b/>
          <w:sz w:val="24"/>
          <w:szCs w:val="24"/>
          <w:lang w:val="en-US"/>
        </w:rPr>
      </w:pPr>
    </w:p>
    <w:p w14:paraId="7FCE2A12" w14:textId="695F8579" w:rsidR="00487DB0" w:rsidRPr="00A17529" w:rsidRDefault="00487DB0" w:rsidP="009F60D3">
      <w:pPr>
        <w:tabs>
          <w:tab w:val="left" w:pos="1985"/>
        </w:tabs>
        <w:jc w:val="both"/>
        <w:rPr>
          <w:rFonts w:ascii="Arial" w:hAnsi="Arial"/>
          <w:sz w:val="24"/>
          <w:szCs w:val="24"/>
          <w:lang w:val="en-US"/>
        </w:rPr>
      </w:pPr>
      <w:r w:rsidRPr="00A17529">
        <w:rPr>
          <w:rFonts w:ascii="Arial" w:hAnsi="Arial"/>
          <w:b/>
          <w:sz w:val="24"/>
          <w:szCs w:val="24"/>
          <w:lang w:val="en-US"/>
        </w:rPr>
        <w:t>Agenda item:</w:t>
      </w:r>
      <w:r w:rsidRPr="00A17529">
        <w:rPr>
          <w:rFonts w:ascii="Arial" w:hAnsi="Arial"/>
          <w:sz w:val="24"/>
          <w:szCs w:val="24"/>
          <w:lang w:val="en-US"/>
        </w:rPr>
        <w:tab/>
      </w:r>
      <w:bookmarkStart w:id="1" w:name="Source"/>
      <w:bookmarkEnd w:id="1"/>
      <w:r w:rsidR="00B8428B" w:rsidRPr="00A17529">
        <w:rPr>
          <w:rFonts w:ascii="Arial" w:hAnsi="Arial"/>
          <w:sz w:val="24"/>
          <w:szCs w:val="24"/>
          <w:lang w:val="en-US"/>
        </w:rPr>
        <w:tab/>
      </w:r>
      <w:r w:rsidR="00C46EC8">
        <w:rPr>
          <w:rFonts w:ascii="Arial" w:hAnsi="Arial"/>
          <w:sz w:val="24"/>
          <w:szCs w:val="24"/>
          <w:lang w:val="en-US"/>
        </w:rPr>
        <w:t>8.1.2.2</w:t>
      </w:r>
      <w:r w:rsidR="00B8428B" w:rsidRPr="00A17529">
        <w:rPr>
          <w:rFonts w:ascii="Arial" w:hAnsi="Arial"/>
          <w:sz w:val="24"/>
          <w:szCs w:val="24"/>
          <w:lang w:val="en-US"/>
        </w:rPr>
        <w:t xml:space="preserve"> </w:t>
      </w:r>
    </w:p>
    <w:p w14:paraId="2330FB30" w14:textId="77777777" w:rsidR="00487DB0" w:rsidRPr="00A17529" w:rsidRDefault="00487DB0" w:rsidP="009F60D3">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92123A6" w14:textId="109066A6" w:rsidR="00487DB0" w:rsidRPr="00A17529" w:rsidRDefault="00487DB0" w:rsidP="009F60D3">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Pr="00A17529">
        <w:rPr>
          <w:rFonts w:ascii="Arial" w:hAnsi="Arial"/>
          <w:sz w:val="24"/>
          <w:szCs w:val="24"/>
          <w:lang w:val="en-US"/>
        </w:rPr>
        <w:tab/>
      </w:r>
      <w:r w:rsidR="00A37835" w:rsidRPr="00A17529">
        <w:rPr>
          <w:rFonts w:ascii="Arial" w:hAnsi="Arial"/>
          <w:sz w:val="24"/>
          <w:szCs w:val="24"/>
          <w:lang w:val="en-US"/>
        </w:rPr>
        <w:t xml:space="preserve">Frame Structure for </w:t>
      </w:r>
      <w:r w:rsidR="008C4B4F" w:rsidRPr="00A17529">
        <w:rPr>
          <w:rFonts w:ascii="Arial" w:hAnsi="Arial"/>
          <w:sz w:val="24"/>
          <w:szCs w:val="24"/>
          <w:lang w:val="en-US"/>
        </w:rPr>
        <w:t>Ultra-</w:t>
      </w:r>
      <w:r w:rsidR="0053483A" w:rsidRPr="00A17529">
        <w:rPr>
          <w:rFonts w:ascii="Arial" w:hAnsi="Arial"/>
          <w:sz w:val="24"/>
          <w:szCs w:val="24"/>
          <w:lang w:val="en-US"/>
        </w:rPr>
        <w:t xml:space="preserve">Low Latency </w:t>
      </w:r>
      <w:r w:rsidR="004E7F98">
        <w:rPr>
          <w:rFonts w:ascii="Arial" w:hAnsi="Arial"/>
          <w:sz w:val="24"/>
          <w:szCs w:val="24"/>
          <w:lang w:val="en-US"/>
        </w:rPr>
        <w:t>Scheduled</w:t>
      </w:r>
      <w:r w:rsidR="002D0EB3">
        <w:rPr>
          <w:rFonts w:ascii="Arial" w:hAnsi="Arial"/>
          <w:sz w:val="24"/>
          <w:szCs w:val="24"/>
          <w:lang w:val="en-US"/>
        </w:rPr>
        <w:t>-</w:t>
      </w:r>
      <w:r w:rsidR="004E7F98">
        <w:rPr>
          <w:rFonts w:ascii="Arial" w:hAnsi="Arial"/>
          <w:sz w:val="24"/>
          <w:szCs w:val="24"/>
          <w:lang w:val="en-US"/>
        </w:rPr>
        <w:t xml:space="preserve">based </w:t>
      </w:r>
      <w:r w:rsidR="00A37835" w:rsidRPr="00A17529">
        <w:rPr>
          <w:rFonts w:ascii="Arial" w:hAnsi="Arial"/>
          <w:sz w:val="24"/>
          <w:szCs w:val="24"/>
          <w:lang w:val="en-US"/>
        </w:rPr>
        <w:t>UL Access</w:t>
      </w:r>
    </w:p>
    <w:p w14:paraId="77616E85" w14:textId="77777777" w:rsidR="00487DB0" w:rsidRPr="00A17529" w:rsidRDefault="00487DB0" w:rsidP="009F60D3">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Discussion/Decision </w:t>
      </w:r>
    </w:p>
    <w:p w14:paraId="6FD9CEA3" w14:textId="77777777" w:rsidR="00487DB0" w:rsidRDefault="00487DB0" w:rsidP="00927709">
      <w:pPr>
        <w:pStyle w:val="Heading1"/>
        <w:numPr>
          <w:ilvl w:val="0"/>
          <w:numId w:val="6"/>
        </w:numPr>
      </w:pPr>
      <w:r>
        <w:t>Introduction</w:t>
      </w:r>
    </w:p>
    <w:p w14:paraId="4DE69616" w14:textId="6A750004" w:rsidR="00542D15" w:rsidRDefault="00542D15" w:rsidP="007159E8">
      <w:pPr>
        <w:jc w:val="both"/>
        <w:rPr>
          <w:lang w:eastAsia="ko-KR"/>
        </w:rPr>
      </w:pPr>
      <w:r>
        <w:rPr>
          <w:lang w:eastAsia="ko-KR"/>
        </w:rPr>
        <w:t xml:space="preserve">In the previous RAN1 #86 meeting RAN1 discussed </w:t>
      </w:r>
      <w:r w:rsidR="00645C26">
        <w:rPr>
          <w:lang w:eastAsia="ko-KR"/>
        </w:rPr>
        <w:t>various resource sharing/assignment schemes and t</w:t>
      </w:r>
      <w:r>
        <w:rPr>
          <w:lang w:eastAsia="ko-KR"/>
        </w:rPr>
        <w:t xml:space="preserve">he following was agreed </w:t>
      </w:r>
      <w:r w:rsidR="00645C26">
        <w:rPr>
          <w:lang w:eastAsia="ko-KR"/>
        </w:rPr>
        <w:t>to support URLLC in NR</w:t>
      </w:r>
      <w:r>
        <w:rPr>
          <w:lang w:eastAsia="ko-KR"/>
        </w:rPr>
        <w:t>:</w:t>
      </w:r>
      <w:r w:rsidR="008D289F">
        <w:rPr>
          <w:lang w:eastAsia="ko-KR"/>
        </w:rPr>
        <w:t xml:space="preserve">  </w:t>
      </w:r>
    </w:p>
    <w:p w14:paraId="555AB316" w14:textId="01AEF6E4" w:rsidR="00645C26" w:rsidRPr="00645C26" w:rsidRDefault="00645C26" w:rsidP="00645C26">
      <w:pPr>
        <w:rPr>
          <w:rFonts w:eastAsia="MS Mincho"/>
          <w:b/>
          <w:i/>
          <w:u w:val="single"/>
          <w:lang w:val="en-US" w:eastAsia="ja-JP"/>
        </w:rPr>
      </w:pPr>
      <w:r w:rsidRPr="00486056">
        <w:rPr>
          <w:rFonts w:eastAsia="MS Mincho"/>
          <w:b/>
          <w:i/>
          <w:u w:val="single"/>
          <w:lang w:val="en-US" w:eastAsia="ja-JP"/>
        </w:rPr>
        <w:t>Agreement:</w:t>
      </w:r>
    </w:p>
    <w:p w14:paraId="5E3FBA95" w14:textId="77777777" w:rsidR="00645C26" w:rsidRPr="00645C26" w:rsidRDefault="00542D15" w:rsidP="00645C26">
      <w:pPr>
        <w:numPr>
          <w:ilvl w:val="0"/>
          <w:numId w:val="10"/>
        </w:numPr>
        <w:overflowPunct/>
        <w:autoSpaceDE/>
        <w:autoSpaceDN/>
        <w:adjustRightInd/>
        <w:spacing w:after="0"/>
        <w:textAlignment w:val="auto"/>
        <w:rPr>
          <w:rFonts w:eastAsia="MS Mincho"/>
          <w:i/>
          <w:lang w:val="en-US" w:eastAsia="ja-JP"/>
        </w:rPr>
      </w:pPr>
      <w:r>
        <w:rPr>
          <w:lang w:eastAsia="ko-KR"/>
        </w:rPr>
        <w:t xml:space="preserve"> </w:t>
      </w:r>
      <w:r w:rsidR="00645C26" w:rsidRPr="00645C26">
        <w:rPr>
          <w:rFonts w:eastAsia="MS Mincho"/>
          <w:i/>
          <w:lang w:val="en-US" w:eastAsia="ja-JP"/>
        </w:rPr>
        <w:t>At least the following potential options should be considered</w:t>
      </w:r>
    </w:p>
    <w:p w14:paraId="4DE5E0B6" w14:textId="77777777" w:rsidR="00645C26" w:rsidRPr="00645C26" w:rsidRDefault="00645C26" w:rsidP="00645C26">
      <w:pPr>
        <w:numPr>
          <w:ilvl w:val="1"/>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At least for shorter transmission UL, semi-static resource sharing between URLLC and eMBB</w:t>
      </w:r>
    </w:p>
    <w:p w14:paraId="06EA8641" w14:textId="77777777" w:rsidR="00645C26" w:rsidRPr="00645C26" w:rsidRDefault="00645C26" w:rsidP="00645C26">
      <w:pPr>
        <w:numPr>
          <w:ilvl w:val="2"/>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FDM and/or TDM manner</w:t>
      </w:r>
    </w:p>
    <w:p w14:paraId="6E2D20CF" w14:textId="77777777" w:rsidR="00645C26" w:rsidRPr="00645C26" w:rsidRDefault="00645C26" w:rsidP="00645C26">
      <w:pPr>
        <w:numPr>
          <w:ilvl w:val="3"/>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UL grant-free transmission for URLLC</w:t>
      </w:r>
    </w:p>
    <w:p w14:paraId="5450A40D" w14:textId="77777777" w:rsidR="00645C26" w:rsidRPr="00645C26" w:rsidRDefault="00645C26" w:rsidP="00645C26">
      <w:pPr>
        <w:numPr>
          <w:ilvl w:val="3"/>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Other schemes are not precluded</w:t>
      </w:r>
    </w:p>
    <w:p w14:paraId="34B2747E" w14:textId="77777777" w:rsidR="00645C26" w:rsidRPr="00645C26" w:rsidRDefault="00645C26" w:rsidP="00645C26">
      <w:pPr>
        <w:numPr>
          <w:ilvl w:val="1"/>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Dynamic resource sharing between URLLC and eMBB</w:t>
      </w:r>
    </w:p>
    <w:p w14:paraId="3D2BE396" w14:textId="77777777" w:rsidR="00645C26" w:rsidRPr="00645C26" w:rsidRDefault="00645C26" w:rsidP="00645C26">
      <w:pPr>
        <w:numPr>
          <w:ilvl w:val="2"/>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For DL, mechanisms to schedule a transmission where the resources of it can overlap with resources of ongoing/scheduled longer transmission at least from network perspective</w:t>
      </w:r>
    </w:p>
    <w:p w14:paraId="57C6B4DA" w14:textId="77777777" w:rsidR="00645C26" w:rsidRPr="00645C26" w:rsidRDefault="00645C26" w:rsidP="00645C26">
      <w:pPr>
        <w:numPr>
          <w:ilvl w:val="3"/>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FFS: A similar or same mechanism applicability to UL</w:t>
      </w:r>
    </w:p>
    <w:p w14:paraId="7D14F458" w14:textId="77777777" w:rsidR="00645C26" w:rsidRPr="00645C26" w:rsidRDefault="00645C26" w:rsidP="00645C26">
      <w:pPr>
        <w:numPr>
          <w:ilvl w:val="3"/>
          <w:numId w:val="10"/>
        </w:numPr>
        <w:overflowPunct/>
        <w:autoSpaceDE/>
        <w:autoSpaceDN/>
        <w:adjustRightInd/>
        <w:spacing w:after="0"/>
        <w:textAlignment w:val="auto"/>
        <w:rPr>
          <w:rFonts w:eastAsia="MS Mincho"/>
          <w:i/>
          <w:lang w:val="en-US" w:eastAsia="ja-JP"/>
        </w:rPr>
      </w:pPr>
      <w:r w:rsidRPr="00645C26">
        <w:rPr>
          <w:rFonts w:eastAsia="MS Mincho" w:hint="eastAsia"/>
          <w:i/>
          <w:lang w:val="en-US" w:eastAsia="ja-JP"/>
        </w:rPr>
        <w:t>P</w:t>
      </w:r>
      <w:r w:rsidRPr="00645C26">
        <w:rPr>
          <w:rFonts w:eastAsia="MS Mincho"/>
          <w:i/>
          <w:lang w:val="en-US" w:eastAsia="ja-JP"/>
        </w:rPr>
        <w:t>reemption or superposition</w:t>
      </w:r>
    </w:p>
    <w:p w14:paraId="27EEDC6A" w14:textId="77777777" w:rsidR="00645C26" w:rsidRPr="00645C26" w:rsidRDefault="00645C26" w:rsidP="00645C26">
      <w:pPr>
        <w:numPr>
          <w:ilvl w:val="3"/>
          <w:numId w:val="10"/>
        </w:numPr>
        <w:overflowPunct/>
        <w:autoSpaceDE/>
        <w:autoSpaceDN/>
        <w:adjustRightInd/>
        <w:spacing w:after="0"/>
        <w:textAlignment w:val="auto"/>
        <w:rPr>
          <w:rFonts w:eastAsia="MS Mincho"/>
          <w:i/>
          <w:lang w:val="en-US" w:eastAsia="ja-JP"/>
        </w:rPr>
      </w:pPr>
      <w:r w:rsidRPr="00645C26">
        <w:rPr>
          <w:rFonts w:eastAsia="MS Mincho" w:hint="eastAsia"/>
          <w:i/>
          <w:lang w:val="en-US" w:eastAsia="ja-JP"/>
        </w:rPr>
        <w:t>Other schemes are not precluded</w:t>
      </w:r>
      <w:r w:rsidRPr="00645C26">
        <w:rPr>
          <w:rFonts w:eastAsia="MS Mincho"/>
          <w:i/>
          <w:lang w:val="en-US" w:eastAsia="ja-JP"/>
        </w:rPr>
        <w:t xml:space="preserve"> </w:t>
      </w:r>
    </w:p>
    <w:p w14:paraId="118A9F82" w14:textId="77777777" w:rsidR="00645C26" w:rsidRPr="00645C26" w:rsidRDefault="00645C26" w:rsidP="00645C26">
      <w:pPr>
        <w:numPr>
          <w:ilvl w:val="2"/>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Scheduling based approaches (e.g., by adapting transmission duration or by using different subbands) to allow multiplexing of different durations of transmission</w:t>
      </w:r>
    </w:p>
    <w:p w14:paraId="0E15FF45" w14:textId="77777777" w:rsidR="00645C26" w:rsidRPr="00645C26" w:rsidRDefault="00645C26" w:rsidP="00645C26">
      <w:pPr>
        <w:numPr>
          <w:ilvl w:val="2"/>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UL grant-free transmission for URLLC</w:t>
      </w:r>
    </w:p>
    <w:p w14:paraId="7CEEA0A7" w14:textId="77777777" w:rsidR="00645C26" w:rsidRPr="00645C26" w:rsidRDefault="00645C26" w:rsidP="00645C26">
      <w:pPr>
        <w:numPr>
          <w:ilvl w:val="2"/>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Other schemes are not precluded</w:t>
      </w:r>
    </w:p>
    <w:p w14:paraId="69961569" w14:textId="77777777" w:rsidR="00645C26" w:rsidRPr="00645C26" w:rsidRDefault="00645C26" w:rsidP="00645C26">
      <w:pPr>
        <w:numPr>
          <w:ilvl w:val="1"/>
          <w:numId w:val="10"/>
        </w:numPr>
        <w:overflowPunct/>
        <w:autoSpaceDE/>
        <w:autoSpaceDN/>
        <w:adjustRightInd/>
        <w:spacing w:after="0"/>
        <w:textAlignment w:val="auto"/>
        <w:rPr>
          <w:rFonts w:eastAsia="MS Mincho"/>
          <w:i/>
          <w:lang w:val="en-US" w:eastAsia="ja-JP"/>
        </w:rPr>
      </w:pPr>
      <w:r w:rsidRPr="00645C26">
        <w:rPr>
          <w:rFonts w:eastAsia="MS Mincho"/>
          <w:i/>
          <w:lang w:val="en-US" w:eastAsia="ja-JP"/>
        </w:rPr>
        <w:t>Other mechanisms are not precluded</w:t>
      </w:r>
    </w:p>
    <w:p w14:paraId="5C82B321" w14:textId="77777777" w:rsidR="00645C26" w:rsidRDefault="00645C26" w:rsidP="007159E8">
      <w:pPr>
        <w:jc w:val="both"/>
        <w:rPr>
          <w:lang w:eastAsia="ko-KR"/>
        </w:rPr>
      </w:pPr>
    </w:p>
    <w:p w14:paraId="681F5508" w14:textId="755EB82D" w:rsidR="00453B5E" w:rsidRDefault="00645C26" w:rsidP="007159E8">
      <w:pPr>
        <w:jc w:val="both"/>
        <w:rPr>
          <w:lang w:eastAsia="ko-KR"/>
        </w:rPr>
      </w:pPr>
      <w:r>
        <w:rPr>
          <w:lang w:eastAsia="ko-KR"/>
        </w:rPr>
        <w:t>As indicated by the above agreement</w:t>
      </w:r>
      <w:r w:rsidR="00251C62">
        <w:rPr>
          <w:lang w:eastAsia="ko-KR"/>
        </w:rPr>
        <w:t xml:space="preserve"> RAN1 is considering both grant-free and scheduled UL transmissions</w:t>
      </w:r>
      <w:r w:rsidR="00502708">
        <w:rPr>
          <w:lang w:eastAsia="ko-KR"/>
        </w:rPr>
        <w:t xml:space="preserve"> </w:t>
      </w:r>
      <w:r>
        <w:rPr>
          <w:lang w:eastAsia="ko-KR"/>
        </w:rPr>
        <w:t>to support URLLC services</w:t>
      </w:r>
      <w:r w:rsidR="00251C62">
        <w:rPr>
          <w:lang w:eastAsia="ko-KR"/>
        </w:rPr>
        <w:t>.</w:t>
      </w:r>
      <w:r>
        <w:rPr>
          <w:lang w:eastAsia="ko-KR"/>
        </w:rPr>
        <w:t xml:space="preserve"> Several companies have discussed the trade-off between latency and resource utilization when grant-free (pre-defined) or scheduled-based</w:t>
      </w:r>
      <w:r w:rsidR="002063F7">
        <w:rPr>
          <w:lang w:eastAsia="ko-KR"/>
        </w:rPr>
        <w:t xml:space="preserve"> access are</w:t>
      </w:r>
      <w:r>
        <w:rPr>
          <w:lang w:eastAsia="ko-KR"/>
        </w:rPr>
        <w:t xml:space="preserve"> considered</w:t>
      </w:r>
      <w:r w:rsidR="002063F7">
        <w:rPr>
          <w:lang w:eastAsia="ko-KR"/>
        </w:rPr>
        <w:t xml:space="preserve"> [1]</w:t>
      </w:r>
      <w:r w:rsidR="002D0EB3">
        <w:rPr>
          <w:lang w:eastAsia="ko-KR"/>
        </w:rPr>
        <w:t>,</w:t>
      </w:r>
      <w:r w:rsidR="002063F7">
        <w:rPr>
          <w:lang w:eastAsia="ko-KR"/>
        </w:rPr>
        <w:t xml:space="preserve">[2]. Both reliability and very low latency are important aspects of URLLC; however, both of these requirements sometimes are in conflict with each other as </w:t>
      </w:r>
      <w:r w:rsidR="00C103A1">
        <w:rPr>
          <w:lang w:eastAsia="ko-KR"/>
        </w:rPr>
        <w:t>discussed</w:t>
      </w:r>
      <w:r w:rsidR="002063F7">
        <w:rPr>
          <w:lang w:eastAsia="ko-KR"/>
        </w:rPr>
        <w:t xml:space="preserve"> in </w:t>
      </w:r>
      <w:r w:rsidR="00DC0009">
        <w:rPr>
          <w:lang w:eastAsia="ko-KR"/>
        </w:rPr>
        <w:t>[3].</w:t>
      </w:r>
      <w:r w:rsidR="002063F7">
        <w:rPr>
          <w:lang w:eastAsia="ko-KR"/>
        </w:rPr>
        <w:t xml:space="preserve"> </w:t>
      </w:r>
    </w:p>
    <w:p w14:paraId="150E00B4" w14:textId="3E61E12D" w:rsidR="00453B5E" w:rsidRDefault="00453B5E" w:rsidP="007159E8">
      <w:pPr>
        <w:jc w:val="both"/>
        <w:rPr>
          <w:lang w:eastAsia="ko-KR"/>
        </w:rPr>
      </w:pPr>
      <w:r>
        <w:rPr>
          <w:lang w:eastAsia="ko-KR"/>
        </w:rPr>
        <w:t>In addition to the above agreement, RAN1 also agreed to support dynamic TDD scheme as indicated in the following agreement:</w:t>
      </w:r>
    </w:p>
    <w:p w14:paraId="04BFDE28" w14:textId="77777777" w:rsidR="00453B5E" w:rsidRPr="008E2AE1" w:rsidRDefault="00453B5E" w:rsidP="00453B5E">
      <w:pPr>
        <w:rPr>
          <w:rFonts w:eastAsia="MS Mincho"/>
          <w:b/>
          <w:i/>
          <w:u w:val="single"/>
          <w:lang w:val="en-US" w:eastAsia="ja-JP"/>
        </w:rPr>
      </w:pPr>
      <w:r w:rsidRPr="00486056">
        <w:rPr>
          <w:rFonts w:eastAsia="MS Mincho"/>
          <w:b/>
          <w:i/>
          <w:u w:val="single"/>
          <w:lang w:val="en-US" w:eastAsia="ja-JP"/>
        </w:rPr>
        <w:t>Agreement:</w:t>
      </w:r>
    </w:p>
    <w:p w14:paraId="4FBA5EFA" w14:textId="77777777" w:rsidR="00453B5E" w:rsidRPr="00411265" w:rsidRDefault="00453B5E" w:rsidP="00453B5E">
      <w:pPr>
        <w:numPr>
          <w:ilvl w:val="0"/>
          <w:numId w:val="7"/>
        </w:numPr>
        <w:overflowPunct/>
        <w:autoSpaceDE/>
        <w:autoSpaceDN/>
        <w:adjustRightInd/>
        <w:spacing w:after="0"/>
        <w:textAlignment w:val="auto"/>
        <w:rPr>
          <w:rFonts w:eastAsia="MS Mincho"/>
          <w:i/>
          <w:lang w:val="en-US" w:eastAsia="ja-JP"/>
        </w:rPr>
      </w:pPr>
      <w:r w:rsidRPr="00411265">
        <w:rPr>
          <w:rFonts w:eastAsia="MS Mincho"/>
          <w:i/>
          <w:lang w:val="en-US" w:eastAsia="ja-JP"/>
        </w:rPr>
        <w:t>A slot can contain all downlink, all uplink, or {at least one downlink part and at least one uplink part}</w:t>
      </w:r>
    </w:p>
    <w:p w14:paraId="3BDA6A5F" w14:textId="77777777" w:rsidR="00453B5E" w:rsidRPr="00411265" w:rsidRDefault="00453B5E" w:rsidP="00453B5E">
      <w:pPr>
        <w:numPr>
          <w:ilvl w:val="1"/>
          <w:numId w:val="7"/>
        </w:numPr>
        <w:overflowPunct/>
        <w:autoSpaceDE/>
        <w:autoSpaceDN/>
        <w:adjustRightInd/>
        <w:spacing w:after="0"/>
        <w:textAlignment w:val="auto"/>
        <w:rPr>
          <w:rFonts w:eastAsia="MS Mincho"/>
          <w:i/>
          <w:lang w:val="en-US" w:eastAsia="ja-JP"/>
        </w:rPr>
      </w:pPr>
      <w:r w:rsidRPr="00411265">
        <w:rPr>
          <w:rFonts w:eastAsia="MS Mincho"/>
          <w:i/>
          <w:lang w:val="en-US" w:eastAsia="ja-JP"/>
        </w:rPr>
        <w:t xml:space="preserve">FFS regarding the number of switching points, multiplexing of different use cases </w:t>
      </w:r>
      <w:r w:rsidRPr="00411265">
        <w:rPr>
          <w:rFonts w:eastAsia="MS Mincho" w:hint="eastAsia"/>
          <w:i/>
          <w:lang w:val="en-US" w:eastAsia="ja-JP"/>
        </w:rPr>
        <w:t xml:space="preserve">(e.g., multiplexing eMBB and URLLC use cases) </w:t>
      </w:r>
      <w:r w:rsidRPr="00411265">
        <w:rPr>
          <w:rFonts w:eastAsia="MS Mincho"/>
          <w:i/>
          <w:lang w:val="en-US" w:eastAsia="ja-JP"/>
        </w:rPr>
        <w:t>and/or numerologies</w:t>
      </w:r>
      <w:r w:rsidRPr="00411265">
        <w:rPr>
          <w:rFonts w:eastAsia="MS Mincho" w:hint="eastAsia"/>
          <w:i/>
          <w:lang w:val="en-US" w:eastAsia="ja-JP"/>
        </w:rPr>
        <w:t xml:space="preserve"> in the time domain</w:t>
      </w:r>
    </w:p>
    <w:p w14:paraId="553DC957" w14:textId="77777777" w:rsidR="00453B5E" w:rsidRDefault="00453B5E" w:rsidP="007159E8">
      <w:pPr>
        <w:jc w:val="both"/>
        <w:rPr>
          <w:lang w:eastAsia="ko-KR"/>
        </w:rPr>
      </w:pPr>
    </w:p>
    <w:p w14:paraId="11D939D4" w14:textId="1968E4D4" w:rsidR="00487DB0" w:rsidRPr="00927709" w:rsidRDefault="00251C62" w:rsidP="007159E8">
      <w:pPr>
        <w:jc w:val="both"/>
        <w:rPr>
          <w:lang w:eastAsia="ko-KR"/>
        </w:rPr>
      </w:pPr>
      <w:r>
        <w:rPr>
          <w:lang w:eastAsia="ko-KR"/>
        </w:rPr>
        <w:t>This contribution add</w:t>
      </w:r>
      <w:r w:rsidR="00E800CB">
        <w:rPr>
          <w:lang w:eastAsia="ko-KR"/>
        </w:rPr>
        <w:t>resses a method for enabling UE-</w:t>
      </w:r>
      <w:r>
        <w:rPr>
          <w:lang w:eastAsia="ko-KR"/>
        </w:rPr>
        <w:t xml:space="preserve">initiated scheduled UL transmissions with minimal delay that is suitable for delay-sensitive </w:t>
      </w:r>
      <w:r w:rsidR="00830E0D">
        <w:rPr>
          <w:lang w:eastAsia="ko-KR"/>
        </w:rPr>
        <w:t>services such as the URLLC</w:t>
      </w:r>
      <w:r>
        <w:rPr>
          <w:lang w:eastAsia="ko-KR"/>
        </w:rPr>
        <w:t xml:space="preserve">. </w:t>
      </w:r>
    </w:p>
    <w:p w14:paraId="558C422C" w14:textId="77777777" w:rsidR="00487DB0" w:rsidRDefault="00487DB0" w:rsidP="007159E8">
      <w:pPr>
        <w:jc w:val="both"/>
      </w:pPr>
      <w:r>
        <w:t>The contribution is organized as follows:</w:t>
      </w:r>
    </w:p>
    <w:p w14:paraId="00D368C1" w14:textId="00F15CF9" w:rsidR="00487DB0" w:rsidRDefault="00487DB0" w:rsidP="007159E8">
      <w:pPr>
        <w:numPr>
          <w:ilvl w:val="0"/>
          <w:numId w:val="1"/>
        </w:numPr>
        <w:jc w:val="both"/>
      </w:pPr>
      <w:r>
        <w:t>Section</w:t>
      </w:r>
      <w:r w:rsidR="00A7174C">
        <w:t xml:space="preserve"> </w:t>
      </w:r>
      <w:r>
        <w:t xml:space="preserve">2 discusses </w:t>
      </w:r>
      <w:r w:rsidR="00545E0F">
        <w:t>the dynamic eMBB/URLLC multiplexing in dynamic TDD deployments.</w:t>
      </w:r>
    </w:p>
    <w:p w14:paraId="496674A0" w14:textId="7B7FD68B" w:rsidR="00487DB0" w:rsidRDefault="00545E0F" w:rsidP="007159E8">
      <w:pPr>
        <w:numPr>
          <w:ilvl w:val="0"/>
          <w:numId w:val="1"/>
        </w:numPr>
        <w:jc w:val="both"/>
      </w:pPr>
      <w:r>
        <w:t xml:space="preserve">Section 3 describes how the </w:t>
      </w:r>
      <w:r w:rsidRPr="00545E0F">
        <w:rPr>
          <w:i/>
        </w:rPr>
        <w:t>zero-wait-time</w:t>
      </w:r>
      <w:r>
        <w:rPr>
          <w:i/>
        </w:rPr>
        <w:t xml:space="preserve"> </w:t>
      </w:r>
      <w:r w:rsidRPr="00545E0F">
        <w:t>underlay scheduling request signal</w:t>
      </w:r>
      <w:r>
        <w:t xml:space="preserve"> reduces latency for uplink transmissions in dynamic TDD deployments.</w:t>
      </w:r>
    </w:p>
    <w:p w14:paraId="715867EF" w14:textId="1A516A03" w:rsidR="00F609E9" w:rsidRDefault="00545E0F" w:rsidP="00F609E9">
      <w:pPr>
        <w:numPr>
          <w:ilvl w:val="0"/>
          <w:numId w:val="1"/>
        </w:numPr>
        <w:jc w:val="both"/>
      </w:pPr>
      <w:r>
        <w:lastRenderedPageBreak/>
        <w:t>Section 4 proposes a frame structure to support short-duration transmissions that can be used for the underlay scheduling request signal transmissions.</w:t>
      </w:r>
    </w:p>
    <w:p w14:paraId="67982D57" w14:textId="44CB6759" w:rsidR="00F609E9" w:rsidRDefault="00545E0F" w:rsidP="00F609E9">
      <w:pPr>
        <w:numPr>
          <w:ilvl w:val="0"/>
          <w:numId w:val="1"/>
        </w:numPr>
        <w:jc w:val="both"/>
      </w:pPr>
      <w:r>
        <w:t>Secti</w:t>
      </w:r>
      <w:r w:rsidR="004F4F1B">
        <w:t>on 5 discusses the single numerology case</w:t>
      </w:r>
      <w:r>
        <w:t xml:space="preserve"> for the underlay scheduling request signal.</w:t>
      </w:r>
    </w:p>
    <w:p w14:paraId="7A950706" w14:textId="38BB79CE" w:rsidR="00487DB0" w:rsidRDefault="00487DB0" w:rsidP="007159E8">
      <w:pPr>
        <w:numPr>
          <w:ilvl w:val="0"/>
          <w:numId w:val="1"/>
        </w:numPr>
        <w:jc w:val="both"/>
      </w:pPr>
      <w:r>
        <w:t xml:space="preserve">Section </w:t>
      </w:r>
      <w:r w:rsidR="00D14C55">
        <w:t>6</w:t>
      </w:r>
      <w:r>
        <w:t xml:space="preserve"> presents conclusion and summary</w:t>
      </w:r>
    </w:p>
    <w:p w14:paraId="423B61DF" w14:textId="092A4106" w:rsidR="00487DB0" w:rsidRDefault="00487DB0" w:rsidP="009F60D3">
      <w:pPr>
        <w:pStyle w:val="Heading1"/>
      </w:pPr>
      <w:r>
        <w:t>2</w:t>
      </w:r>
      <w:r>
        <w:tab/>
      </w:r>
      <w:r w:rsidR="00453B5E">
        <w:t>Dynamic eMBB/URLLC multiplexing in dynamic TDD deployments</w:t>
      </w:r>
    </w:p>
    <w:p w14:paraId="5550A115" w14:textId="59E4E190" w:rsidR="002721C9" w:rsidRDefault="0044656D" w:rsidP="00AF227E">
      <w:pPr>
        <w:jc w:val="both"/>
      </w:pPr>
      <w:r>
        <w:t>I</w:t>
      </w:r>
      <w:r w:rsidR="00263403">
        <w:t>n dynamic TDD</w:t>
      </w:r>
      <w:r w:rsidR="006D1B83">
        <w:t xml:space="preserve"> deployments</w:t>
      </w:r>
      <w:r w:rsidR="002970A9">
        <w:t>,</w:t>
      </w:r>
      <w:r w:rsidR="00C103A1">
        <w:t xml:space="preserve"> </w:t>
      </w:r>
      <w:r w:rsidR="00263403">
        <w:t xml:space="preserve">the </w:t>
      </w:r>
      <w:r w:rsidR="00AF66D9">
        <w:t xml:space="preserve">opportunity to transmit a </w:t>
      </w:r>
      <w:r w:rsidR="00C103A1">
        <w:t>scheduling request (</w:t>
      </w:r>
      <w:r w:rsidR="00AF66D9">
        <w:t>SR</w:t>
      </w:r>
      <w:r w:rsidR="00C103A1">
        <w:t>)</w:t>
      </w:r>
      <w:r w:rsidR="002D195B">
        <w:t xml:space="preserve"> within the required time</w:t>
      </w:r>
      <w:r w:rsidR="00515A10">
        <w:t xml:space="preserve"> is much more </w:t>
      </w:r>
      <w:r w:rsidR="00423FCC">
        <w:t>difficult</w:t>
      </w:r>
      <w:r w:rsidR="00AF66D9">
        <w:t xml:space="preserve"> </w:t>
      </w:r>
      <w:r w:rsidR="00446F79">
        <w:t xml:space="preserve">when </w:t>
      </w:r>
      <w:r w:rsidR="00C103A1">
        <w:t xml:space="preserve">delay-tolerant </w:t>
      </w:r>
      <w:r w:rsidR="00BF1FA0">
        <w:t xml:space="preserve">eMBB type transmissions </w:t>
      </w:r>
      <w:r w:rsidR="00AF66D9">
        <w:t xml:space="preserve">use an aggregation of multiple subframes to reduce the </w:t>
      </w:r>
      <w:r w:rsidR="00446F79">
        <w:t>control-signalling</w:t>
      </w:r>
      <w:r w:rsidR="00AF66D9">
        <w:t xml:space="preserve"> overhead</w:t>
      </w:r>
      <w:r w:rsidR="00423FCC">
        <w:t xml:space="preserve"> [</w:t>
      </w:r>
      <w:r w:rsidR="00446F79">
        <w:t>6</w:t>
      </w:r>
      <w:r w:rsidR="00423FCC">
        <w:t>]</w:t>
      </w:r>
      <w:r w:rsidR="00AF66D9">
        <w:t xml:space="preserve">. </w:t>
      </w:r>
      <w:r w:rsidR="000539CE">
        <w:t>Assuming no resources available for UCI du</w:t>
      </w:r>
      <w:r w:rsidR="00713E4E">
        <w:t xml:space="preserve">ring the multi-subframes the </w:t>
      </w:r>
      <w:r w:rsidR="006E60DA">
        <w:t>U</w:t>
      </w:r>
      <w:r w:rsidR="000539CE">
        <w:t>E</w:t>
      </w:r>
      <w:r w:rsidR="00713E4E">
        <w:t>s have</w:t>
      </w:r>
      <w:r w:rsidR="000539CE">
        <w:t xml:space="preserve"> to wait a long </w:t>
      </w:r>
      <w:r w:rsidR="00713E4E">
        <w:t xml:space="preserve">time </w:t>
      </w:r>
      <w:r w:rsidR="000539CE">
        <w:t xml:space="preserve">period </w:t>
      </w:r>
      <w:r w:rsidR="00713E4E">
        <w:t xml:space="preserve">for an opportunity to transmit the </w:t>
      </w:r>
      <w:r w:rsidR="00446F79">
        <w:t>SR</w:t>
      </w:r>
      <w:r w:rsidR="000539CE">
        <w:t>. This is a problem especially for the URLLC services</w:t>
      </w:r>
      <w:r w:rsidR="00BF1FA0">
        <w:t xml:space="preserve"> since they are required to meet </w:t>
      </w:r>
      <w:r w:rsidR="00C103A1">
        <w:t xml:space="preserve">stringent latency requirement [4].  </w:t>
      </w:r>
      <w:r w:rsidR="00333D1E">
        <w:t>Additionally, i</w:t>
      </w:r>
      <w:r w:rsidR="00CB0859">
        <w:t xml:space="preserve">n [5] the </w:t>
      </w:r>
      <w:r w:rsidR="00333D1E">
        <w:t xml:space="preserve">URLLC packets arrival rate </w:t>
      </w:r>
      <w:r w:rsidR="00CB0859">
        <w:t xml:space="preserve">analysis and simulation results have shown the reserved bandwidth increases drastically to meet the capacity requirements for </w:t>
      </w:r>
      <w:r w:rsidR="00333D1E">
        <w:t xml:space="preserve">the </w:t>
      </w:r>
      <w:r w:rsidR="00CB0859">
        <w:t xml:space="preserve">URLLC transmissions. </w:t>
      </w:r>
    </w:p>
    <w:p w14:paraId="46A4F409" w14:textId="678E51CC" w:rsidR="00BF1FA0" w:rsidRDefault="002721C9" w:rsidP="00412589">
      <w:pPr>
        <w:jc w:val="both"/>
      </w:pPr>
      <w:r>
        <w:t xml:space="preserve">As several </w:t>
      </w:r>
      <w:r w:rsidR="00C103A1">
        <w:t xml:space="preserve">papers have noted </w:t>
      </w:r>
      <w:r w:rsidR="00423FCC">
        <w:t>(for example, [</w:t>
      </w:r>
      <w:r w:rsidR="00446F79">
        <w:t>5</w:t>
      </w:r>
      <w:r w:rsidR="00EB7479">
        <w:t>])</w:t>
      </w:r>
      <w:r w:rsidR="002D0EB3">
        <w:t>,</w:t>
      </w:r>
      <w:r w:rsidR="00EB7479">
        <w:t xml:space="preserve"> due to the burst</w:t>
      </w:r>
      <w:r w:rsidR="00A344D3">
        <w:t>y</w:t>
      </w:r>
      <w:r w:rsidR="00AF66D9">
        <w:t xml:space="preserve"> and delay-sensitive nature of URLLC traffic, it is highly efficient to multiplex eMBB and URLLC services dynamically. </w:t>
      </w:r>
      <w:r w:rsidR="00487FF1">
        <w:t>Dyna</w:t>
      </w:r>
      <w:r w:rsidR="00446F79">
        <w:t xml:space="preserve">mic eMBB/URLLC multiplexing </w:t>
      </w:r>
      <w:r w:rsidR="00487FF1">
        <w:t xml:space="preserve">in </w:t>
      </w:r>
      <w:r w:rsidR="00446F79">
        <w:t xml:space="preserve">dynamic </w:t>
      </w:r>
      <w:r w:rsidR="00487FF1">
        <w:t xml:space="preserve">TDD deployments </w:t>
      </w:r>
      <w:r w:rsidR="00412589">
        <w:t xml:space="preserve">is a very challenging situation </w:t>
      </w:r>
      <w:r w:rsidR="002949A6">
        <w:t xml:space="preserve">especially for the UL </w:t>
      </w:r>
      <w:r w:rsidR="003F0204">
        <w:t xml:space="preserve">case </w:t>
      </w:r>
      <w:r w:rsidR="00713E4E">
        <w:t>where the</w:t>
      </w:r>
      <w:r w:rsidR="008700D1">
        <w:t xml:space="preserve"> dynamic scheduling</w:t>
      </w:r>
      <w:r w:rsidR="00713E4E">
        <w:t xml:space="preserve"> </w:t>
      </w:r>
      <w:r w:rsidR="00CB653D">
        <w:t>r</w:t>
      </w:r>
      <w:r w:rsidR="008700D1">
        <w:t xml:space="preserve">equires SR transmission prior to UL data transmission. </w:t>
      </w:r>
      <w:r>
        <w:t>As discussed in [1]</w:t>
      </w:r>
      <w:r w:rsidR="002D0EB3">
        <w:t xml:space="preserve"> and</w:t>
      </w:r>
      <w:r w:rsidR="00073E58">
        <w:t xml:space="preserve"> </w:t>
      </w:r>
      <w:r w:rsidR="00412589">
        <w:t>[2]</w:t>
      </w:r>
      <w:r w:rsidR="002D0EB3">
        <w:t>,</w:t>
      </w:r>
      <w:r w:rsidR="00412589">
        <w:t xml:space="preserve"> one approach is to predefine periodic resources for the delay-sensitive URLLC transmissions</w:t>
      </w:r>
      <w:r w:rsidR="00BF1FA0">
        <w:t>; however, it is well</w:t>
      </w:r>
      <w:r w:rsidR="000539CE">
        <w:t xml:space="preserve"> known </w:t>
      </w:r>
      <w:r>
        <w:t>th</w:t>
      </w:r>
      <w:r w:rsidR="00AF22A8">
        <w:t>e</w:t>
      </w:r>
      <w:r w:rsidR="00713E4E">
        <w:t xml:space="preserve"> predefined resources method has </w:t>
      </w:r>
      <w:r w:rsidR="002D0EB3">
        <w:t xml:space="preserve">low </w:t>
      </w:r>
      <w:r w:rsidR="00412589">
        <w:t>re</w:t>
      </w:r>
      <w:r w:rsidR="00AF22A8">
        <w:t>source-utilization</w:t>
      </w:r>
      <w:r w:rsidR="00713E4E">
        <w:t xml:space="preserve"> efficiency and poor traffic adaptability</w:t>
      </w:r>
      <w:r w:rsidR="00AF22A8">
        <w:t xml:space="preserve"> </w:t>
      </w:r>
      <w:r w:rsidR="003F0204">
        <w:t xml:space="preserve">for the </w:t>
      </w:r>
      <w:r w:rsidR="00636E2A">
        <w:t>low</w:t>
      </w:r>
      <w:r w:rsidR="002D0EB3">
        <w:t>-</w:t>
      </w:r>
      <w:r w:rsidR="00636E2A">
        <w:t>to</w:t>
      </w:r>
      <w:r w:rsidR="002D0EB3">
        <w:t>-</w:t>
      </w:r>
      <w:r w:rsidR="00636E2A">
        <w:t>mid packet</w:t>
      </w:r>
      <w:r w:rsidR="002D0EB3">
        <w:t xml:space="preserve"> </w:t>
      </w:r>
      <w:r w:rsidR="00636E2A">
        <w:t>arrival</w:t>
      </w:r>
      <w:r w:rsidR="002D0EB3">
        <w:t xml:space="preserve"> </w:t>
      </w:r>
      <w:r w:rsidR="00636E2A">
        <w:t>rates and/or very high-reliability transmissions.</w:t>
      </w:r>
    </w:p>
    <w:p w14:paraId="174F6A2C" w14:textId="55B4E0F9" w:rsidR="00412589" w:rsidRPr="00411265" w:rsidRDefault="00BF1FA0" w:rsidP="00412589">
      <w:pPr>
        <w:jc w:val="both"/>
      </w:pPr>
      <w:r>
        <w:t xml:space="preserve">On the other hand, </w:t>
      </w:r>
      <w:r w:rsidR="00412589">
        <w:t xml:space="preserve">the </w:t>
      </w:r>
      <w:r w:rsidR="00446F79">
        <w:t>sch</w:t>
      </w:r>
      <w:r w:rsidR="00713E4E">
        <w:t xml:space="preserve">eduling based UL access has </w:t>
      </w:r>
      <w:r w:rsidR="002721C9">
        <w:t xml:space="preserve">greater </w:t>
      </w:r>
      <w:r w:rsidR="00446F79">
        <w:t>reliability</w:t>
      </w:r>
      <w:r w:rsidR="00713E4E">
        <w:t>, traffic adaptability</w:t>
      </w:r>
      <w:r w:rsidR="00446F79">
        <w:t xml:space="preserve"> and </w:t>
      </w:r>
      <w:r w:rsidR="00412589">
        <w:t>resource</w:t>
      </w:r>
      <w:r w:rsidR="00713E4E">
        <w:t xml:space="preserve">-utilization efficiency since it allows </w:t>
      </w:r>
      <w:r w:rsidR="00412589">
        <w:t>tightly controlled channel-aware resource and robust MCS selection</w:t>
      </w:r>
      <w:r w:rsidR="00C72FF8">
        <w:t>-</w:t>
      </w:r>
      <w:r w:rsidR="00412589">
        <w:t>based transmissio</w:t>
      </w:r>
      <w:r w:rsidR="00713E4E">
        <w:t>ns. However, all the above benefits come</w:t>
      </w:r>
      <w:r w:rsidR="00412589">
        <w:t xml:space="preserve"> at the cost of latency if the traditional scheduling procedure is used for the transmissions. </w:t>
      </w:r>
      <w:r w:rsidR="00D5193B">
        <w:t xml:space="preserve">We discussed this issue </w:t>
      </w:r>
      <w:r w:rsidR="004E7F98">
        <w:t xml:space="preserve">in </w:t>
      </w:r>
      <w:r w:rsidR="00AF227E">
        <w:t xml:space="preserve">[7] by showing the wait-time for an opportunity to transmit the SR is the most dominant </w:t>
      </w:r>
      <w:r w:rsidR="00352147">
        <w:t xml:space="preserve">latency component </w:t>
      </w:r>
      <w:r w:rsidR="00AF227E">
        <w:t xml:space="preserve">occurring in the LTE Rel-8 </w:t>
      </w:r>
      <w:r w:rsidR="00352147">
        <w:t xml:space="preserve">UL </w:t>
      </w:r>
      <w:r w:rsidR="00AF227E">
        <w:t xml:space="preserve">scheduling method. </w:t>
      </w:r>
    </w:p>
    <w:p w14:paraId="3A9B17E9" w14:textId="6C30394D" w:rsidR="00A24D07" w:rsidRDefault="00487DB0" w:rsidP="009F60D3">
      <w:pPr>
        <w:jc w:val="both"/>
        <w:rPr>
          <w:b/>
          <w:i/>
        </w:rPr>
      </w:pPr>
      <w:r w:rsidRPr="00C54B73">
        <w:rPr>
          <w:b/>
          <w:i/>
        </w:rPr>
        <w:t>Observation</w:t>
      </w:r>
      <w:r>
        <w:rPr>
          <w:b/>
          <w:i/>
        </w:rPr>
        <w:t xml:space="preserve">: </w:t>
      </w:r>
      <w:r w:rsidR="0051181D">
        <w:rPr>
          <w:b/>
          <w:i/>
        </w:rPr>
        <w:t>To enable a schedule-based UL access with d</w:t>
      </w:r>
      <w:r w:rsidR="00412589">
        <w:rPr>
          <w:b/>
          <w:i/>
        </w:rPr>
        <w:t xml:space="preserve">ynamic eMBB/URLCC multiplexing </w:t>
      </w:r>
      <w:r w:rsidR="0051181D">
        <w:rPr>
          <w:b/>
          <w:i/>
        </w:rPr>
        <w:t>in dynamic TDD deployments requires an ultra-fast scheduling-request signal.</w:t>
      </w:r>
    </w:p>
    <w:p w14:paraId="1CB36E7C" w14:textId="5B821324" w:rsidR="00487DB0" w:rsidRPr="000B16D5" w:rsidRDefault="00487DB0" w:rsidP="000B16D5">
      <w:pPr>
        <w:pStyle w:val="Heading1"/>
      </w:pPr>
      <w:r>
        <w:t>3</w:t>
      </w:r>
      <w:r>
        <w:tab/>
      </w:r>
      <w:r w:rsidR="00A7571E" w:rsidRPr="00AF227E">
        <w:rPr>
          <w:i/>
        </w:rPr>
        <w:t>Zero-wait-time</w:t>
      </w:r>
      <w:r w:rsidR="00A7571E">
        <w:t xml:space="preserve"> </w:t>
      </w:r>
      <w:r w:rsidR="0051181D">
        <w:t xml:space="preserve">Underlay </w:t>
      </w:r>
      <w:r w:rsidR="00A7571E">
        <w:t>Scheduling Request</w:t>
      </w:r>
      <w:r w:rsidR="0051181D">
        <w:t xml:space="preserve"> Signal</w:t>
      </w:r>
    </w:p>
    <w:p w14:paraId="2AA25048" w14:textId="2444E88A" w:rsidR="00487DB0" w:rsidRDefault="00FF4464" w:rsidP="00D06C48">
      <w:pPr>
        <w:jc w:val="both"/>
      </w:pPr>
      <w:r>
        <w:t xml:space="preserve">To </w:t>
      </w:r>
      <w:r w:rsidR="003E475A">
        <w:t>handle</w:t>
      </w:r>
      <w:r>
        <w:t xml:space="preserve"> the</w:t>
      </w:r>
      <w:r w:rsidR="003E475A">
        <w:t xml:space="preserve"> </w:t>
      </w:r>
      <w:r>
        <w:t>trade-off between</w:t>
      </w:r>
      <w:r w:rsidR="0000571B">
        <w:t xml:space="preserve"> </w:t>
      </w:r>
      <w:r>
        <w:t>latency and resource utilization efficiency</w:t>
      </w:r>
      <w:r w:rsidR="003E475A">
        <w:t xml:space="preserve"> for UL access</w:t>
      </w:r>
      <w:r w:rsidR="00C72FF8">
        <w:t>,</w:t>
      </w:r>
      <w:r w:rsidR="003E475A">
        <w:t xml:space="preserve"> </w:t>
      </w:r>
      <w:r w:rsidR="00AF227E">
        <w:t>in [7</w:t>
      </w:r>
      <w:r w:rsidR="002721C9">
        <w:t xml:space="preserve">] </w:t>
      </w:r>
      <w:r w:rsidR="003E475A">
        <w:t xml:space="preserve">we </w:t>
      </w:r>
      <w:r w:rsidR="00423FCC">
        <w:t>introduced</w:t>
      </w:r>
      <w:r w:rsidR="00716592">
        <w:t xml:space="preserve"> the</w:t>
      </w:r>
      <w:r>
        <w:t xml:space="preserve"> </w:t>
      </w:r>
      <w:r w:rsidR="00C72FF8">
        <w:t>U</w:t>
      </w:r>
      <w:r w:rsidR="00716592">
        <w:t>nderlay</w:t>
      </w:r>
      <w:r w:rsidR="002721C9">
        <w:t xml:space="preserve"> </w:t>
      </w:r>
      <w:r w:rsidR="00C72FF8">
        <w:t>Scheduling Request (</w:t>
      </w:r>
      <w:r w:rsidR="002721C9">
        <w:t>SR</w:t>
      </w:r>
      <w:r w:rsidR="00C72FF8">
        <w:t>)</w:t>
      </w:r>
      <w:r w:rsidR="002721C9">
        <w:t xml:space="preserve"> signal</w:t>
      </w:r>
      <w:r w:rsidR="003E475A">
        <w:t xml:space="preserve"> that reduces latency and </w:t>
      </w:r>
      <w:r w:rsidR="00C72FF8">
        <w:t>simultaneously</w:t>
      </w:r>
      <w:r w:rsidR="00250620">
        <w:t xml:space="preserve"> </w:t>
      </w:r>
      <w:r w:rsidR="003E475A">
        <w:t>provides increased resource utilization efficiency</w:t>
      </w:r>
      <w:r w:rsidR="001045B7">
        <w:t xml:space="preserve"> and reliability of the UL transmission</w:t>
      </w:r>
      <w:r w:rsidR="003E475A">
        <w:t xml:space="preserve">. </w:t>
      </w:r>
      <w:r w:rsidR="003E475A" w:rsidRPr="0036383F">
        <w:t xml:space="preserve">In order to avoid collisions and to exchange </w:t>
      </w:r>
      <w:r w:rsidR="0051181D">
        <w:t xml:space="preserve">the SR </w:t>
      </w:r>
      <w:r w:rsidR="003E475A" w:rsidRPr="0036383F">
        <w:t>control information to concur on the channel usage for the UL transmissions, a multiple access spread spectrum-based underlay control channel is transmitted by the UEs during the DL and UL data transmissions using the entire channel bandwidth</w:t>
      </w:r>
      <w:r w:rsidR="00C46EC8">
        <w:t xml:space="preserve">. </w:t>
      </w:r>
      <w:r w:rsidR="004E5B7F" w:rsidRPr="00A31898">
        <w:t>In order</w:t>
      </w:r>
      <w:r w:rsidR="00487DB0" w:rsidRPr="00A31898">
        <w:t xml:space="preserve"> to remain invisible to the corresponding receivers, a spread spectrum technique is applied to the signal to keep its transmit power comparable to or below the </w:t>
      </w:r>
      <w:r w:rsidR="00F2541D" w:rsidRPr="00A31898">
        <w:t xml:space="preserve">thermal </w:t>
      </w:r>
      <w:r w:rsidR="00487DB0" w:rsidRPr="00A31898">
        <w:t>noise level</w:t>
      </w:r>
      <w:r w:rsidR="00E77BBC" w:rsidRPr="00A31898">
        <w:t>.</w:t>
      </w:r>
    </w:p>
    <w:p w14:paraId="4933573F" w14:textId="7EB05F96" w:rsidR="00D61B8E" w:rsidRDefault="001656A1" w:rsidP="00A62F1D">
      <w:pPr>
        <w:jc w:val="both"/>
      </w:pPr>
      <w:r w:rsidRPr="0036383F">
        <w:t xml:space="preserve">Figure </w:t>
      </w:r>
      <w:r w:rsidR="00716592">
        <w:t>1</w:t>
      </w:r>
      <w:r w:rsidR="00B842D6">
        <w:t xml:space="preserve"> shows the scenario when there is no opportunity to transmit the UCI during the multi-subframes DL transmission. This is a pe</w:t>
      </w:r>
      <w:r w:rsidR="00716592">
        <w:t>rfect situation for</w:t>
      </w:r>
      <w:r w:rsidR="00B842D6">
        <w:t xml:space="preserve"> the interested UEs</w:t>
      </w:r>
      <w:r w:rsidR="00C147A9" w:rsidRPr="0036383F">
        <w:t xml:space="preserve"> </w:t>
      </w:r>
      <w:r w:rsidR="00716592">
        <w:t>to transmit their respective underlay SR signals</w:t>
      </w:r>
      <w:r w:rsidR="00716592" w:rsidRPr="0036383F">
        <w:t xml:space="preserve"> </w:t>
      </w:r>
      <w:r w:rsidR="00E834DD">
        <w:t>requesting for URLLC UL</w:t>
      </w:r>
      <w:r w:rsidR="00716592">
        <w:t xml:space="preserve"> resources. </w:t>
      </w:r>
      <w:r w:rsidR="00716592" w:rsidRPr="0036383F">
        <w:t xml:space="preserve">The serving eNB </w:t>
      </w:r>
      <w:r w:rsidR="00716592">
        <w:t xml:space="preserve">receives and </w:t>
      </w:r>
      <w:r w:rsidR="00716592" w:rsidRPr="0036383F">
        <w:t>decodes the SR and uses the information to schedule the UEs.</w:t>
      </w:r>
      <w:r w:rsidR="00716592">
        <w:t xml:space="preserve"> The </w:t>
      </w:r>
      <w:r w:rsidR="00EF17D1">
        <w:t xml:space="preserve">low overhead </w:t>
      </w:r>
      <w:r w:rsidR="00716592">
        <w:t xml:space="preserve">SR </w:t>
      </w:r>
      <w:r w:rsidR="00EF17D1">
        <w:t>signal</w:t>
      </w:r>
      <w:r w:rsidR="00EF17D1" w:rsidRPr="0036383F">
        <w:t xml:space="preserve"> contains</w:t>
      </w:r>
      <w:r w:rsidR="00EF17D1">
        <w:t xml:space="preserve"> </w:t>
      </w:r>
      <w:r w:rsidR="00274D66" w:rsidRPr="0036383F">
        <w:t>control</w:t>
      </w:r>
      <w:r w:rsidR="00450CC7" w:rsidRPr="0036383F">
        <w:t xml:space="preserve"> information</w:t>
      </w:r>
      <w:r w:rsidR="008E7F54" w:rsidRPr="0036383F">
        <w:t xml:space="preserve"> such as buffer</w:t>
      </w:r>
      <w:r w:rsidR="00C229AD" w:rsidRPr="0036383F">
        <w:t xml:space="preserve"> </w:t>
      </w:r>
      <w:r w:rsidR="008E7F54" w:rsidRPr="0036383F">
        <w:t xml:space="preserve">status, priority, </w:t>
      </w:r>
      <w:r w:rsidR="00AC5B23" w:rsidRPr="0036383F">
        <w:t>power-headroom</w:t>
      </w:r>
      <w:r w:rsidR="00425BFE" w:rsidRPr="0036383F">
        <w:t>, etc.</w:t>
      </w:r>
      <w:r w:rsidR="00C229AD" w:rsidRPr="0036383F">
        <w:t>,</w:t>
      </w:r>
      <w:r w:rsidR="00425BFE" w:rsidRPr="0036383F">
        <w:t xml:space="preserve"> related to</w:t>
      </w:r>
      <w:r w:rsidR="008E7F54" w:rsidRPr="0036383F">
        <w:t xml:space="preserve"> the data packets </w:t>
      </w:r>
      <w:r w:rsidR="00274D66" w:rsidRPr="0036383F">
        <w:t xml:space="preserve">to be transmitted by the UEs. </w:t>
      </w:r>
      <w:r w:rsidR="002E2A44">
        <w:t>Based on the number of SR</w:t>
      </w:r>
      <w:r w:rsidR="00487DB0">
        <w:t xml:space="preserve"> signals </w:t>
      </w:r>
      <w:r w:rsidR="002E2A44">
        <w:t>being</w:t>
      </w:r>
      <w:r w:rsidR="00487DB0">
        <w:t xml:space="preserve"> transmitted</w:t>
      </w:r>
      <w:r w:rsidR="00D53B5A">
        <w:t>,</w:t>
      </w:r>
      <w:r w:rsidR="00487DB0">
        <w:t xml:space="preserve"> the eNB</w:t>
      </w:r>
      <w:r w:rsidR="008E7F54">
        <w:t xml:space="preserve"> has the flexibility to adapt</w:t>
      </w:r>
      <w:r w:rsidR="00D5193B">
        <w:t xml:space="preserve"> and allocate resource</w:t>
      </w:r>
      <w:r w:rsidR="00E834DD">
        <w:t>s</w:t>
      </w:r>
      <w:r w:rsidR="00D5193B">
        <w:t xml:space="preserve"> for those UEs by multiplexing them with the existing </w:t>
      </w:r>
      <w:r w:rsidR="00487DB0">
        <w:t>delay-tolerant scheduled UL transmissions</w:t>
      </w:r>
      <w:r w:rsidR="00D5193B">
        <w:t xml:space="preserve"> (for example, multiplexing eMBB and URLLC UL data)</w:t>
      </w:r>
      <w:r w:rsidR="0037169B" w:rsidRPr="00780BA2">
        <w:t>.</w:t>
      </w:r>
      <w:r w:rsidR="009B2B20">
        <w:t xml:space="preserve"> </w:t>
      </w:r>
      <w:r w:rsidR="00E834DD">
        <w:t>A</w:t>
      </w:r>
      <w:r w:rsidR="00EB7479">
        <w:t>s mentioned earlier, a dynamic resource allocation scheme has to provide a capability to access resources on-demand in order to meet t</w:t>
      </w:r>
      <w:r w:rsidR="00E834DD">
        <w:t>he latency requirements. The underlay SR signal</w:t>
      </w:r>
      <w:r w:rsidR="00EB7479">
        <w:t xml:space="preserve"> offers just that capability in the most efficient manner by not requiring any dedicated resources and providing always-on availability for contention-based SR transmissions, </w:t>
      </w:r>
      <w:r w:rsidR="00EB7479" w:rsidRPr="00F93E60">
        <w:t>no spectrum fragme</w:t>
      </w:r>
      <w:r w:rsidR="00EB7479">
        <w:t xml:space="preserve">ntation as in the case of </w:t>
      </w:r>
      <w:r w:rsidR="00EB7479" w:rsidRPr="00F93E60">
        <w:t>PUCCH</w:t>
      </w:r>
      <w:r w:rsidR="00EB7479">
        <w:t>/PUSCH in LTE and</w:t>
      </w:r>
      <w:r w:rsidR="00EB7479" w:rsidRPr="00F93E60">
        <w:t xml:space="preserve"> </w:t>
      </w:r>
      <w:r w:rsidR="00EB7479">
        <w:t>allowing the UEs to access UL resources with very low latency and signalling overhead.</w:t>
      </w:r>
      <w:r w:rsidR="00CB1706">
        <w:t xml:space="preserve"> </w:t>
      </w:r>
    </w:p>
    <w:p w14:paraId="6BA46DC1" w14:textId="76ACEE8E" w:rsidR="00140926" w:rsidRDefault="00140926" w:rsidP="00140926">
      <w:pPr>
        <w:jc w:val="both"/>
      </w:pPr>
      <w:r>
        <w:t xml:space="preserve">As discussed in [7] during the UE-initiated transmissions one of the dominant factor is the SR-related latency. We also showed the above signal allow the UEs to transmit SRs immediately such that in response the eNB can transmit the corresponding UL grants in the very next available DCI transmission. </w:t>
      </w:r>
      <w:r w:rsidRPr="00780BA2">
        <w:t xml:space="preserve">This scheme reduces the </w:t>
      </w:r>
      <w:r>
        <w:t xml:space="preserve">average </w:t>
      </w:r>
      <w:r w:rsidRPr="00780BA2">
        <w:t>waiting time to almost zero for the UE to transmit its SR</w:t>
      </w:r>
      <w:r>
        <w:t xml:space="preserve"> and it also eliminates</w:t>
      </w:r>
      <w:r w:rsidRPr="00780BA2">
        <w:t xml:space="preserve"> the delay</w:t>
      </w:r>
      <w:r>
        <w:t xml:space="preserve"> </w:t>
      </w:r>
      <w:r w:rsidRPr="00780BA2">
        <w:t>uncertainty</w:t>
      </w:r>
      <w:r>
        <w:t xml:space="preserve"> since the unknown wait-time for SR transmission component is removed</w:t>
      </w:r>
      <w:r w:rsidRPr="00780BA2">
        <w:t>.</w:t>
      </w:r>
      <w:r>
        <w:t xml:space="preserve"> Hence, we name this scheme  the </w:t>
      </w:r>
      <w:r w:rsidRPr="00AE77F1">
        <w:rPr>
          <w:i/>
        </w:rPr>
        <w:t>zero-wait-time</w:t>
      </w:r>
      <w:r>
        <w:t xml:space="preserve"> SR method. </w:t>
      </w:r>
    </w:p>
    <w:p w14:paraId="657243EB" w14:textId="77777777" w:rsidR="00140926" w:rsidRDefault="00140926" w:rsidP="00A62F1D">
      <w:pPr>
        <w:jc w:val="both"/>
      </w:pPr>
    </w:p>
    <w:p w14:paraId="2C7D21FF" w14:textId="332F6DBC" w:rsidR="00D61B8E" w:rsidRDefault="00217749" w:rsidP="00D61B8E">
      <w:pPr>
        <w:jc w:val="center"/>
        <w:rPr>
          <w:b/>
        </w:rPr>
      </w:pPr>
      <w:r w:rsidRPr="00C46EC8">
        <w:rPr>
          <w:b/>
          <w:noProof/>
          <w:lang w:val="en-US"/>
        </w:rPr>
        <w:drawing>
          <wp:inline distT="0" distB="0" distL="0" distR="0" wp14:anchorId="6314546D" wp14:editId="412EC9EE">
            <wp:extent cx="4711700" cy="185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1700" cy="1854200"/>
                    </a:xfrm>
                    <a:prstGeom prst="rect">
                      <a:avLst/>
                    </a:prstGeom>
                    <a:noFill/>
                    <a:ln>
                      <a:noFill/>
                    </a:ln>
                  </pic:spPr>
                </pic:pic>
              </a:graphicData>
            </a:graphic>
          </wp:inline>
        </w:drawing>
      </w:r>
      <w:r w:rsidR="00D61B8E" w:rsidRPr="00D61B8E">
        <w:rPr>
          <w:b/>
        </w:rPr>
        <w:t xml:space="preserve"> </w:t>
      </w:r>
    </w:p>
    <w:p w14:paraId="5EA25594" w14:textId="78F3A5A5" w:rsidR="00BC1F0F" w:rsidRPr="00865080" w:rsidRDefault="00716592" w:rsidP="00865080">
      <w:pPr>
        <w:jc w:val="center"/>
        <w:rPr>
          <w:b/>
        </w:rPr>
      </w:pPr>
      <w:r>
        <w:rPr>
          <w:b/>
        </w:rPr>
        <w:t>Figure 1</w:t>
      </w:r>
      <w:r w:rsidR="00584066">
        <w:rPr>
          <w:b/>
        </w:rPr>
        <w:t xml:space="preserve">: Scheduling requests transmitted during the multi-subframes downlink transmissions </w:t>
      </w:r>
      <w:r w:rsidR="00D61B8E" w:rsidRPr="00183330">
        <w:rPr>
          <w:highlight w:val="yellow"/>
        </w:rPr>
        <w:t xml:space="preserve"> </w:t>
      </w:r>
    </w:p>
    <w:p w14:paraId="14BA0A2D" w14:textId="796097A5" w:rsidR="00BC1F0F" w:rsidRDefault="00270EA7" w:rsidP="00A62F1D">
      <w:pPr>
        <w:jc w:val="both"/>
      </w:pPr>
      <w:r>
        <w:t xml:space="preserve">The </w:t>
      </w:r>
      <w:r w:rsidR="00AF280E">
        <w:t xml:space="preserve">3GPP Feasibility Study on New Services and Market Technology Enablers </w:t>
      </w:r>
      <w:r w:rsidR="004640ED">
        <w:t>technical report [8] describes</w:t>
      </w:r>
      <w:r>
        <w:t xml:space="preserve"> several scenarios related to URLLC and as an example of one of the typical</w:t>
      </w:r>
      <w:r w:rsidR="00BC1F0F">
        <w:t xml:space="preserve"> scenario</w:t>
      </w:r>
      <w:r>
        <w:t xml:space="preserve">s </w:t>
      </w:r>
      <w:r w:rsidR="00BC1F0F">
        <w:t xml:space="preserve">related to </w:t>
      </w:r>
      <w:r>
        <w:t xml:space="preserve">the </w:t>
      </w:r>
      <w:r w:rsidR="00BC1F0F">
        <w:t xml:space="preserve">industrial process automation communication </w:t>
      </w:r>
      <w:r>
        <w:t xml:space="preserve">that </w:t>
      </w:r>
      <w:r w:rsidR="00BC1F0F">
        <w:t>occur</w:t>
      </w:r>
      <w:r>
        <w:t>s</w:t>
      </w:r>
      <w:r w:rsidR="00BC1F0F">
        <w:t xml:space="preserve"> between </w:t>
      </w:r>
      <w:r>
        <w:t xml:space="preserve">the </w:t>
      </w:r>
      <w:r w:rsidR="00865080">
        <w:t xml:space="preserve">process </w:t>
      </w:r>
      <w:r w:rsidR="00BC1F0F">
        <w:t>controller and the sensor/actuators via the plant network and the wireless</w:t>
      </w:r>
      <w:r>
        <w:t xml:space="preserve"> mesh network</w:t>
      </w:r>
      <w:r w:rsidR="00296E32">
        <w:t xml:space="preserve"> has been mentioned</w:t>
      </w:r>
      <w:r w:rsidR="00BC1F0F">
        <w:t xml:space="preserve">. </w:t>
      </w:r>
      <w:r w:rsidR="00865080">
        <w:t>To support low-</w:t>
      </w:r>
      <w:r w:rsidR="000C680B">
        <w:t>latency</w:t>
      </w:r>
      <w:r w:rsidR="00865080">
        <w:t xml:space="preserve"> and high reliability communication </w:t>
      </w:r>
      <w:r w:rsidR="00BC1F0F">
        <w:t>the subframe durations are much shorter with wider bandwidth (e.g., 0.125 ms and 60kHz subcarrier</w:t>
      </w:r>
      <w:r w:rsidR="00AF280E">
        <w:t xml:space="preserve"> </w:t>
      </w:r>
      <w:r w:rsidR="004640ED">
        <w:t xml:space="preserve">spacing). </w:t>
      </w:r>
      <w:r w:rsidR="00BC1F0F">
        <w:t xml:space="preserve">It is possible the above wireless mesh may also support access for handheld devices for supervisory control or process monitoring purposes. </w:t>
      </w:r>
      <w:r>
        <w:t>Handheld devices</w:t>
      </w:r>
      <w:r w:rsidR="00217749">
        <w:t xml:space="preserve"> handle this situation by</w:t>
      </w:r>
      <w:r>
        <w:t xml:space="preserve"> transmitting </w:t>
      </w:r>
      <w:r w:rsidR="00217749">
        <w:t xml:space="preserve">the </w:t>
      </w:r>
      <w:r>
        <w:t>underlay SR signals not requiring any dedicated random resources to access the network that would have interrupted the on-going URLLC communications</w:t>
      </w:r>
      <w:r w:rsidR="004640ED">
        <w:t xml:space="preserve"> (Figure 2)</w:t>
      </w:r>
      <w:r>
        <w:t>.</w:t>
      </w:r>
      <w:r w:rsidR="00BC1F0F">
        <w:t xml:space="preserve"> </w:t>
      </w:r>
    </w:p>
    <w:p w14:paraId="40251A0B" w14:textId="7DBAFD40" w:rsidR="00BC1F0F" w:rsidRDefault="00217749" w:rsidP="00270EA7">
      <w:pPr>
        <w:jc w:val="center"/>
      </w:pPr>
      <w:r w:rsidRPr="00217749">
        <w:rPr>
          <w:noProof/>
          <w:lang w:val="en-US"/>
        </w:rPr>
        <w:drawing>
          <wp:inline distT="0" distB="0" distL="0" distR="0" wp14:anchorId="6D41C259" wp14:editId="5CE2A403">
            <wp:extent cx="4635500" cy="2006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5500" cy="2006600"/>
                    </a:xfrm>
                    <a:prstGeom prst="rect">
                      <a:avLst/>
                    </a:prstGeom>
                    <a:noFill/>
                    <a:ln>
                      <a:noFill/>
                    </a:ln>
                  </pic:spPr>
                </pic:pic>
              </a:graphicData>
            </a:graphic>
          </wp:inline>
        </w:drawing>
      </w:r>
    </w:p>
    <w:p w14:paraId="39D028AC" w14:textId="1C1BFE33" w:rsidR="00270EA7" w:rsidRPr="00270EA7" w:rsidRDefault="00270EA7" w:rsidP="00270EA7">
      <w:pPr>
        <w:jc w:val="center"/>
        <w:rPr>
          <w:b/>
        </w:rPr>
      </w:pPr>
      <w:r w:rsidRPr="00270EA7">
        <w:rPr>
          <w:b/>
        </w:rPr>
        <w:t xml:space="preserve">Figure 2: </w:t>
      </w:r>
      <w:r w:rsidR="00865080">
        <w:rPr>
          <w:b/>
        </w:rPr>
        <w:t>Scheduling requests transmissions by the handheld device during the on-going communication between process controllers and the sensor/actuator devices</w:t>
      </w:r>
    </w:p>
    <w:p w14:paraId="6A64EC96" w14:textId="77777777" w:rsidR="00BC1F0F" w:rsidRDefault="00BC1F0F" w:rsidP="00A62F1D">
      <w:pPr>
        <w:jc w:val="both"/>
      </w:pPr>
    </w:p>
    <w:p w14:paraId="7289F409" w14:textId="0C66297C" w:rsidR="008A7191" w:rsidRDefault="008A7191" w:rsidP="007159E8">
      <w:pPr>
        <w:jc w:val="both"/>
      </w:pPr>
      <w:r w:rsidRPr="0036383F">
        <w:t>The UE initiated data transmi</w:t>
      </w:r>
      <w:r w:rsidR="007A7114" w:rsidRPr="0036383F">
        <w:t xml:space="preserve">ssions using </w:t>
      </w:r>
      <w:r w:rsidR="00E834DD">
        <w:t>underlay SR signals are</w:t>
      </w:r>
      <w:r w:rsidR="007A7114" w:rsidRPr="0036383F">
        <w:t xml:space="preserve"> ideal for U</w:t>
      </w:r>
      <w:r w:rsidRPr="0036383F">
        <w:t xml:space="preserve">RLLC type data transmissions requiring low latency and flexibility in data formats. </w:t>
      </w:r>
      <w:r w:rsidR="00E834DD">
        <w:t>Additionally, the underlay SR signals</w:t>
      </w:r>
      <w:r w:rsidR="00C377A6" w:rsidRPr="0036383F">
        <w:t xml:space="preserve"> should be viewed as an improvement of the existing LTE</w:t>
      </w:r>
      <w:r w:rsidRPr="0036383F">
        <w:t xml:space="preserve"> Rel-8 type scheduling schemes</w:t>
      </w:r>
      <w:r w:rsidR="00E834DD">
        <w:t>; therefore, the same</w:t>
      </w:r>
      <w:r w:rsidR="00210B82" w:rsidRPr="0036383F">
        <w:t xml:space="preserve"> is </w:t>
      </w:r>
      <w:r w:rsidR="00C377A6" w:rsidRPr="0036383F">
        <w:t>applicable to the delay-tolerant scheduled UE initiated data transmissions as well.</w:t>
      </w:r>
      <w:r w:rsidRPr="0036383F">
        <w:t xml:space="preserve"> </w:t>
      </w:r>
    </w:p>
    <w:p w14:paraId="21C8A1D8" w14:textId="77777777" w:rsidR="00545E0F" w:rsidRPr="00D75860" w:rsidRDefault="00545E0F" w:rsidP="00545E0F">
      <w:pPr>
        <w:jc w:val="both"/>
        <w:rPr>
          <w:b/>
          <w:i/>
        </w:rPr>
      </w:pPr>
      <w:r w:rsidRPr="006E68EE">
        <w:rPr>
          <w:b/>
          <w:i/>
        </w:rPr>
        <w:t xml:space="preserve">Observation: </w:t>
      </w:r>
      <w:r>
        <w:rPr>
          <w:b/>
          <w:i/>
        </w:rPr>
        <w:t>Zero-wait-time scheduling request transmitted as an underlay signal</w:t>
      </w:r>
      <w:r w:rsidRPr="00AE77F1">
        <w:rPr>
          <w:b/>
          <w:i/>
        </w:rPr>
        <w:t xml:space="preserve"> </w:t>
      </w:r>
      <w:r w:rsidRPr="0036383F">
        <w:rPr>
          <w:b/>
          <w:i/>
        </w:rPr>
        <w:t xml:space="preserve">reduces the average </w:t>
      </w:r>
      <w:r>
        <w:rPr>
          <w:b/>
          <w:i/>
        </w:rPr>
        <w:t xml:space="preserve">wait time to almost zero, </w:t>
      </w:r>
      <w:r w:rsidRPr="0036383F">
        <w:rPr>
          <w:b/>
          <w:i/>
        </w:rPr>
        <w:t>eliminates the d</w:t>
      </w:r>
      <w:r>
        <w:rPr>
          <w:b/>
          <w:i/>
        </w:rPr>
        <w:t xml:space="preserve">elay uncertainty and provides </w:t>
      </w:r>
      <w:r w:rsidRPr="006E68EE">
        <w:rPr>
          <w:b/>
          <w:i/>
        </w:rPr>
        <w:t>scheduling flexibility to the eNB to</w:t>
      </w:r>
      <w:r>
        <w:rPr>
          <w:b/>
          <w:i/>
        </w:rPr>
        <w:t xml:space="preserve"> ada</w:t>
      </w:r>
      <w:r w:rsidRPr="006E68EE">
        <w:rPr>
          <w:b/>
          <w:i/>
        </w:rPr>
        <w:t>pt and dynamically al</w:t>
      </w:r>
      <w:r>
        <w:rPr>
          <w:b/>
          <w:i/>
        </w:rPr>
        <w:t xml:space="preserve">locate resources for </w:t>
      </w:r>
      <w:r w:rsidRPr="006E68EE">
        <w:rPr>
          <w:b/>
          <w:i/>
        </w:rPr>
        <w:t>UL transmissions</w:t>
      </w:r>
      <w:r>
        <w:rPr>
          <w:b/>
          <w:i/>
        </w:rPr>
        <w:t xml:space="preserve"> meeting the most stringent URLLC latency requirements</w:t>
      </w:r>
      <w:r w:rsidRPr="006E68EE">
        <w:rPr>
          <w:b/>
          <w:i/>
        </w:rPr>
        <w:t>.</w:t>
      </w:r>
    </w:p>
    <w:p w14:paraId="6FC2DDEC" w14:textId="77777777" w:rsidR="00545E0F" w:rsidRPr="00464563" w:rsidRDefault="00545E0F" w:rsidP="007159E8">
      <w:pPr>
        <w:jc w:val="both"/>
        <w:rPr>
          <w:b/>
        </w:rPr>
      </w:pPr>
    </w:p>
    <w:p w14:paraId="3ABCBFD4" w14:textId="65727B0F" w:rsidR="00341FE5" w:rsidRDefault="00CD192F" w:rsidP="00341FE5">
      <w:pPr>
        <w:pStyle w:val="Heading1"/>
      </w:pPr>
      <w:r>
        <w:t>4</w:t>
      </w:r>
      <w:r>
        <w:tab/>
        <w:t xml:space="preserve">Frame Structure for the Underlay </w:t>
      </w:r>
      <w:r w:rsidR="00341FE5">
        <w:t>Scheduling Request</w:t>
      </w:r>
      <w:r w:rsidR="009F5339">
        <w:t xml:space="preserve"> Signal</w:t>
      </w:r>
      <w:r w:rsidR="00341FE5">
        <w:t xml:space="preserve"> Transmissions</w:t>
      </w:r>
    </w:p>
    <w:p w14:paraId="612C3C7E" w14:textId="74C1CE00" w:rsidR="00341FE5" w:rsidRDefault="00341FE5" w:rsidP="00AF227E">
      <w:pPr>
        <w:jc w:val="both"/>
      </w:pPr>
      <w:r>
        <w:t>LTE Rel-8 supported transmissions starting at the subframe boundaries for the d</w:t>
      </w:r>
      <w:r w:rsidR="00AF22A8">
        <w:t>uration of the whole subframe. In order to</w:t>
      </w:r>
      <w:r>
        <w:t xml:space="preserve"> support low-latency the transmissions need to be short and they should be allowed </w:t>
      </w:r>
      <w:r w:rsidR="00352147">
        <w:t xml:space="preserve">to begin transmissions </w:t>
      </w:r>
      <w:r>
        <w:t>not only at the subframe boundary but also within a subframe at “any” OFDM symbol</w:t>
      </w:r>
      <w:r w:rsidR="002949A6">
        <w:t xml:space="preserve"> [6</w:t>
      </w:r>
      <w:r>
        <w:t xml:space="preserve">]. </w:t>
      </w:r>
    </w:p>
    <w:p w14:paraId="5EF30ACC" w14:textId="21DD7AC9" w:rsidR="00D550B8" w:rsidRDefault="001333A5" w:rsidP="00AF227E">
      <w:pPr>
        <w:jc w:val="center"/>
      </w:pPr>
      <w:r w:rsidRPr="001333A5">
        <w:rPr>
          <w:noProof/>
          <w:lang w:val="en-US"/>
        </w:rPr>
        <w:lastRenderedPageBreak/>
        <w:drawing>
          <wp:inline distT="0" distB="0" distL="0" distR="0" wp14:anchorId="086F4FC5" wp14:editId="1C1D0F37">
            <wp:extent cx="3429000" cy="977900"/>
            <wp:effectExtent l="0" t="0" r="0" b="1270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9000" cy="977900"/>
                    </a:xfrm>
                    <a:prstGeom prst="rect">
                      <a:avLst/>
                    </a:prstGeom>
                    <a:noFill/>
                    <a:ln>
                      <a:noFill/>
                    </a:ln>
                  </pic:spPr>
                </pic:pic>
              </a:graphicData>
            </a:graphic>
          </wp:inline>
        </w:drawing>
      </w:r>
    </w:p>
    <w:p w14:paraId="59FB3538" w14:textId="4BB7C168" w:rsidR="00D550B8" w:rsidRPr="00A16BB0" w:rsidRDefault="00E95602" w:rsidP="00D550B8">
      <w:pPr>
        <w:jc w:val="center"/>
        <w:rPr>
          <w:b/>
        </w:rPr>
      </w:pPr>
      <w:r>
        <w:rPr>
          <w:b/>
        </w:rPr>
        <w:t>Figure 3</w:t>
      </w:r>
      <w:r w:rsidR="00352147">
        <w:rPr>
          <w:b/>
        </w:rPr>
        <w:t>: Regions within</w:t>
      </w:r>
      <w:r w:rsidR="00001746">
        <w:rPr>
          <w:b/>
        </w:rPr>
        <w:t xml:space="preserve"> the</w:t>
      </w:r>
      <w:r w:rsidR="00D550B8">
        <w:rPr>
          <w:b/>
        </w:rPr>
        <w:t xml:space="preserve"> subframes </w:t>
      </w:r>
      <w:r w:rsidR="007D3767">
        <w:rPr>
          <w:b/>
        </w:rPr>
        <w:t>for the underlay SR signal transmissions</w:t>
      </w:r>
      <w:r w:rsidR="00D550B8" w:rsidRPr="00183330">
        <w:rPr>
          <w:highlight w:val="yellow"/>
        </w:rPr>
        <w:t xml:space="preserve"> </w:t>
      </w:r>
    </w:p>
    <w:p w14:paraId="13D977AD" w14:textId="0FA920E2" w:rsidR="00C26F47" w:rsidRDefault="00352147" w:rsidP="00AF227E">
      <w:pPr>
        <w:jc w:val="both"/>
      </w:pPr>
      <w:r>
        <w:t>The same</w:t>
      </w:r>
      <w:r w:rsidR="009F5339">
        <w:t xml:space="preserve"> structure</w:t>
      </w:r>
      <w:r w:rsidR="00AD3970">
        <w:t xml:space="preserve"> can</w:t>
      </w:r>
      <w:r w:rsidR="009F5339">
        <w:t xml:space="preserve"> be applied to th</w:t>
      </w:r>
      <w:r w:rsidR="00341FE5">
        <w:t>e underlay scheduling request signal transmission</w:t>
      </w:r>
      <w:r w:rsidR="00E834DD">
        <w:t xml:space="preserve">s. </w:t>
      </w:r>
      <w:r w:rsidR="003846BB">
        <w:t>Figure 3 shows the regions within a subframe when t</w:t>
      </w:r>
      <w:r w:rsidR="00E834DD">
        <w:t>he underlay SR signal</w:t>
      </w:r>
      <w:r w:rsidR="003846BB">
        <w:t xml:space="preserve"> can be transmitted. The underlay SR signals</w:t>
      </w:r>
      <w:r w:rsidR="009F5F57">
        <w:t xml:space="preserve"> needs to be only</w:t>
      </w:r>
      <w:r w:rsidR="009F5339">
        <w:t xml:space="preserve"> </w:t>
      </w:r>
      <w:r w:rsidR="00874C8A">
        <w:t xml:space="preserve">a </w:t>
      </w:r>
      <w:r w:rsidR="00341FE5">
        <w:t>few symbols</w:t>
      </w:r>
      <w:r w:rsidR="009F5339">
        <w:t xml:space="preserve"> long</w:t>
      </w:r>
      <w:r w:rsidR="006E60DA">
        <w:t xml:space="preserve"> (for example, </w:t>
      </w:r>
      <w:r w:rsidR="006E60DA" w:rsidRPr="00C46EC8">
        <w:rPr>
          <w:i/>
        </w:rPr>
        <w:t xml:space="preserve">n </w:t>
      </w:r>
      <w:r w:rsidR="00341FE5">
        <w:t>symbols) beginning at “any” OFDM symbol within the subframe</w:t>
      </w:r>
      <w:r w:rsidR="00C26F47">
        <w:t xml:space="preserve"> </w:t>
      </w:r>
      <w:r w:rsidR="009F5F57">
        <w:t>with the following exceptions:</w:t>
      </w:r>
    </w:p>
    <w:p w14:paraId="22EB9B73" w14:textId="4841DFA3" w:rsidR="00C26F47" w:rsidRDefault="00AD3970" w:rsidP="00AF227E">
      <w:pPr>
        <w:pStyle w:val="ListParagraph"/>
        <w:numPr>
          <w:ilvl w:val="0"/>
          <w:numId w:val="12"/>
        </w:numPr>
        <w:jc w:val="both"/>
      </w:pPr>
      <w:r>
        <w:t>T</w:t>
      </w:r>
      <w:r w:rsidR="00341FE5">
        <w:t xml:space="preserve">o protect the </w:t>
      </w:r>
      <w:r w:rsidR="004B68AA">
        <w:t xml:space="preserve">DCI and UCI </w:t>
      </w:r>
      <w:r w:rsidR="00341FE5">
        <w:t>signals</w:t>
      </w:r>
      <w:r w:rsidR="00874C8A">
        <w:t>,</w:t>
      </w:r>
      <w:r w:rsidR="004B68AA">
        <w:t xml:space="preserve"> the </w:t>
      </w:r>
      <w:r w:rsidR="00E834DD">
        <w:t>transmission</w:t>
      </w:r>
      <w:r w:rsidR="00E834DD" w:rsidRPr="00E834DD">
        <w:t xml:space="preserve"> </w:t>
      </w:r>
      <w:r w:rsidR="00E834DD">
        <w:t xml:space="preserve">underlay SR signal </w:t>
      </w:r>
      <w:r>
        <w:t xml:space="preserve">is </w:t>
      </w:r>
      <w:r w:rsidR="004B68AA">
        <w:t>limited to</w:t>
      </w:r>
      <w:r>
        <w:t xml:space="preserve"> a region</w:t>
      </w:r>
      <w:r w:rsidR="004B68AA">
        <w:t xml:space="preserve"> </w:t>
      </w:r>
      <w:r>
        <w:t>allocated to</w:t>
      </w:r>
      <w:r w:rsidR="00352147">
        <w:t xml:space="preserve"> the </w:t>
      </w:r>
      <w:r w:rsidR="00F560E6">
        <w:t xml:space="preserve">DL and </w:t>
      </w:r>
      <w:r w:rsidR="009F5339">
        <w:t xml:space="preserve">UL </w:t>
      </w:r>
      <w:r w:rsidR="004B68AA">
        <w:t>da</w:t>
      </w:r>
      <w:r w:rsidR="003846BB">
        <w:t>ta transmissions</w:t>
      </w:r>
      <w:r w:rsidR="00C26F47">
        <w:t>.</w:t>
      </w:r>
    </w:p>
    <w:p w14:paraId="338FC104" w14:textId="1C6004E9" w:rsidR="00341FE5" w:rsidRDefault="00C26F47" w:rsidP="00AF227E">
      <w:pPr>
        <w:pStyle w:val="ListParagraph"/>
        <w:numPr>
          <w:ilvl w:val="0"/>
          <w:numId w:val="12"/>
        </w:numPr>
        <w:jc w:val="both"/>
      </w:pPr>
      <w:r>
        <w:t>T</w:t>
      </w:r>
      <w:r w:rsidR="00E834DD">
        <w:t>he underlay SR signal</w:t>
      </w:r>
      <w:r w:rsidR="004B68AA">
        <w:t xml:space="preserve"> is not transmitted during the gap periods to allow smooth DL/UL switching operation. </w:t>
      </w:r>
      <w:r w:rsidR="00341FE5">
        <w:t xml:space="preserve"> </w:t>
      </w:r>
    </w:p>
    <w:p w14:paraId="7282612B" w14:textId="2D53291F" w:rsidR="009F5F57" w:rsidRDefault="009F5F57" w:rsidP="00AF227E">
      <w:pPr>
        <w:jc w:val="both"/>
        <w:rPr>
          <w:b/>
          <w:i/>
        </w:rPr>
      </w:pPr>
      <w:r w:rsidRPr="00AF227E">
        <w:rPr>
          <w:b/>
          <w:i/>
        </w:rPr>
        <w:t xml:space="preserve">Proposal: </w:t>
      </w:r>
      <w:r>
        <w:rPr>
          <w:b/>
          <w:i/>
        </w:rPr>
        <w:t xml:space="preserve">NR should support shorter </w:t>
      </w:r>
      <w:r w:rsidR="00346EC4">
        <w:rPr>
          <w:b/>
          <w:i/>
        </w:rPr>
        <w:t xml:space="preserve">SR </w:t>
      </w:r>
      <w:r w:rsidR="00073E58">
        <w:rPr>
          <w:b/>
          <w:i/>
        </w:rPr>
        <w:t xml:space="preserve">transmissions lasting n </w:t>
      </w:r>
      <w:r>
        <w:rPr>
          <w:b/>
          <w:i/>
        </w:rPr>
        <w:t>symbols</w:t>
      </w:r>
      <w:r w:rsidR="001333A5">
        <w:rPr>
          <w:b/>
          <w:i/>
        </w:rPr>
        <w:t xml:space="preserve"> located at those regions indicated in Figure 3</w:t>
      </w:r>
      <w:r w:rsidR="00874C8A">
        <w:rPr>
          <w:b/>
          <w:i/>
        </w:rPr>
        <w:t>,</w:t>
      </w:r>
      <w:r>
        <w:rPr>
          <w:b/>
          <w:i/>
        </w:rPr>
        <w:t xml:space="preserve"> where </w:t>
      </w:r>
      <w:r w:rsidR="00D14C55">
        <w:rPr>
          <w:b/>
          <w:i/>
        </w:rPr>
        <w:t xml:space="preserve">0 &lt; </w:t>
      </w:r>
      <w:r>
        <w:rPr>
          <w:b/>
          <w:i/>
        </w:rPr>
        <w:t xml:space="preserve">n &lt; </w:t>
      </w:r>
      <w:r w:rsidR="00D14C55">
        <w:rPr>
          <w:b/>
          <w:i/>
        </w:rPr>
        <w:t>(</w:t>
      </w:r>
      <w:r>
        <w:rPr>
          <w:b/>
          <w:i/>
        </w:rPr>
        <w:t>N</w:t>
      </w:r>
      <w:r w:rsidR="00D14C55">
        <w:rPr>
          <w:b/>
          <w:i/>
        </w:rPr>
        <w:t xml:space="preserve"> – N</w:t>
      </w:r>
      <w:r w:rsidR="00D14C55" w:rsidRPr="00D14C55">
        <w:rPr>
          <w:b/>
          <w:i/>
          <w:vertAlign w:val="subscript"/>
        </w:rPr>
        <w:t>DCI</w:t>
      </w:r>
      <w:r w:rsidR="00D14C55">
        <w:rPr>
          <w:b/>
          <w:i/>
        </w:rPr>
        <w:t xml:space="preserve"> – N</w:t>
      </w:r>
      <w:r w:rsidR="00D14C55" w:rsidRPr="00D14C55">
        <w:rPr>
          <w:b/>
          <w:i/>
          <w:vertAlign w:val="subscript"/>
        </w:rPr>
        <w:t>UCI</w:t>
      </w:r>
      <w:r w:rsidR="00D14C55">
        <w:rPr>
          <w:b/>
          <w:i/>
          <w:vertAlign w:val="subscript"/>
        </w:rPr>
        <w:t xml:space="preserve"> </w:t>
      </w:r>
      <w:r w:rsidR="00D14C55">
        <w:rPr>
          <w:b/>
          <w:i/>
        </w:rPr>
        <w:t>- N</w:t>
      </w:r>
      <w:r w:rsidR="00D14C55" w:rsidRPr="00D14C55">
        <w:rPr>
          <w:b/>
          <w:i/>
          <w:vertAlign w:val="subscript"/>
        </w:rPr>
        <w:t>GP</w:t>
      </w:r>
      <w:r w:rsidR="00D14C55">
        <w:rPr>
          <w:b/>
          <w:i/>
        </w:rPr>
        <w:t xml:space="preserve">) </w:t>
      </w:r>
      <w:r w:rsidR="00874C8A">
        <w:rPr>
          <w:b/>
          <w:i/>
        </w:rPr>
        <w:t xml:space="preserve">and </w:t>
      </w:r>
      <w:r w:rsidR="00D14C55">
        <w:rPr>
          <w:b/>
          <w:i/>
        </w:rPr>
        <w:t>N, N</w:t>
      </w:r>
      <w:r w:rsidR="00D14C55" w:rsidRPr="00D14C55">
        <w:rPr>
          <w:b/>
          <w:i/>
          <w:vertAlign w:val="subscript"/>
        </w:rPr>
        <w:t>DCI</w:t>
      </w:r>
      <w:r w:rsidR="00D14C55">
        <w:rPr>
          <w:b/>
          <w:i/>
        </w:rPr>
        <w:t>, N</w:t>
      </w:r>
      <w:r w:rsidR="00D14C55" w:rsidRPr="00D14C55">
        <w:rPr>
          <w:b/>
          <w:i/>
          <w:vertAlign w:val="subscript"/>
        </w:rPr>
        <w:t>UCI</w:t>
      </w:r>
      <w:r w:rsidR="00D14C55">
        <w:rPr>
          <w:b/>
          <w:i/>
        </w:rPr>
        <w:t>, and N</w:t>
      </w:r>
      <w:r w:rsidR="00D14C55" w:rsidRPr="00D14C55">
        <w:rPr>
          <w:b/>
          <w:i/>
          <w:vertAlign w:val="subscript"/>
        </w:rPr>
        <w:t>GP</w:t>
      </w:r>
      <w:r w:rsidR="00D14C55">
        <w:rPr>
          <w:b/>
          <w:i/>
        </w:rPr>
        <w:t xml:space="preserve"> are </w:t>
      </w:r>
      <w:r>
        <w:rPr>
          <w:b/>
          <w:i/>
        </w:rPr>
        <w:t>the max</w:t>
      </w:r>
      <w:r w:rsidR="00874C8A">
        <w:rPr>
          <w:b/>
          <w:i/>
        </w:rPr>
        <w:t>imum</w:t>
      </w:r>
      <w:r>
        <w:rPr>
          <w:b/>
          <w:i/>
        </w:rPr>
        <w:t xml:space="preserve"> number of symbols</w:t>
      </w:r>
      <w:r w:rsidR="00D14C55">
        <w:rPr>
          <w:b/>
          <w:i/>
        </w:rPr>
        <w:t>, number of DCI symbols, number of UCI symbols and the switching-gap duration</w:t>
      </w:r>
      <w:r>
        <w:rPr>
          <w:b/>
          <w:i/>
        </w:rPr>
        <w:t xml:space="preserve"> in a subframe</w:t>
      </w:r>
      <w:r w:rsidR="00D14C55">
        <w:rPr>
          <w:b/>
          <w:i/>
        </w:rPr>
        <w:t>, respectively</w:t>
      </w:r>
      <w:r>
        <w:rPr>
          <w:b/>
          <w:i/>
        </w:rPr>
        <w:t xml:space="preserve">. </w:t>
      </w:r>
    </w:p>
    <w:p w14:paraId="797D7A56" w14:textId="4321EF6E" w:rsidR="00203AB5" w:rsidRDefault="00C97285" w:rsidP="00203AB5">
      <w:pPr>
        <w:pStyle w:val="Heading1"/>
      </w:pPr>
      <w:r>
        <w:t>5</w:t>
      </w:r>
      <w:r>
        <w:tab/>
      </w:r>
      <w:r w:rsidR="0002563B">
        <w:t>Underlay Scheduling Request</w:t>
      </w:r>
      <w:r w:rsidR="002C044D">
        <w:t xml:space="preserve"> for </w:t>
      </w:r>
      <w:r w:rsidR="00754A5E">
        <w:t xml:space="preserve">the </w:t>
      </w:r>
      <w:r w:rsidR="00203AB5">
        <w:t xml:space="preserve">Single </w:t>
      </w:r>
      <w:r w:rsidR="004F4F1B">
        <w:t>Numerology</w:t>
      </w:r>
    </w:p>
    <w:p w14:paraId="5CC408C1" w14:textId="07EB2941" w:rsidR="007D3767" w:rsidRDefault="00203AB5" w:rsidP="00AF227E">
      <w:pPr>
        <w:jc w:val="both"/>
      </w:pPr>
      <w:r>
        <w:t xml:space="preserve">Multiplexing different numerologies with the same NR carrier bandwidth </w:t>
      </w:r>
      <w:r w:rsidR="00E95602">
        <w:t xml:space="preserve">was agreed in the </w:t>
      </w:r>
      <w:r w:rsidR="003C57C5">
        <w:t>RAN1</w:t>
      </w:r>
      <w:r w:rsidR="00E95602">
        <w:t xml:space="preserve">#85 meeting. </w:t>
      </w:r>
      <w:r w:rsidR="00F930C7">
        <w:t xml:space="preserve">In </w:t>
      </w:r>
      <w:r w:rsidR="00E95602">
        <w:t>Figure 4</w:t>
      </w:r>
      <w:r w:rsidR="00F930C7">
        <w:t xml:space="preserve"> two design examples </w:t>
      </w:r>
      <w:r w:rsidR="0002563B">
        <w:t xml:space="preserve">for the underlay signals </w:t>
      </w:r>
      <w:r w:rsidR="00F930C7">
        <w:t>are pre</w:t>
      </w:r>
      <w:r w:rsidR="0002563B">
        <w:t xml:space="preserve">sented with the following aspects to minimize the interference to the primary data signals: </w:t>
      </w:r>
      <w:r w:rsidR="00C46EC8">
        <w:t xml:space="preserve">(i) </w:t>
      </w:r>
      <w:r w:rsidR="0002563B">
        <w:t xml:space="preserve">SR signals should be as low power as possible and </w:t>
      </w:r>
      <w:r w:rsidR="00C46EC8">
        <w:t>(</w:t>
      </w:r>
      <w:r w:rsidR="0002563B">
        <w:t>ii) the duration of each SR packet should be as short as possible. We adopt a</w:t>
      </w:r>
      <w:r w:rsidR="00C46EC8">
        <w:t>n</w:t>
      </w:r>
      <w:r w:rsidR="0002563B">
        <w:t xml:space="preserve"> </w:t>
      </w:r>
      <w:r w:rsidR="00C46EC8">
        <w:t xml:space="preserve">OFDM-based </w:t>
      </w:r>
      <w:r w:rsidR="0002563B">
        <w:t>multi</w:t>
      </w:r>
      <w:r w:rsidR="00073E58">
        <w:t xml:space="preserve">carrier-spread spectrum </w:t>
      </w:r>
      <w:r w:rsidR="0002563B">
        <w:t xml:space="preserve">waveform </w:t>
      </w:r>
      <w:r w:rsidR="00073E58">
        <w:t xml:space="preserve">similar to the design described in </w:t>
      </w:r>
      <w:r w:rsidR="0002563B">
        <w:t xml:space="preserve">[7]. </w:t>
      </w:r>
      <w:r w:rsidR="00073E58">
        <w:t xml:space="preserve">As shown in the Figure 4, in both </w:t>
      </w:r>
      <w:r w:rsidR="00441A89">
        <w:t xml:space="preserve">the </w:t>
      </w:r>
      <w:r w:rsidR="00073E58">
        <w:t>cases the underlay SR signal is spread over the entire bandwidth</w:t>
      </w:r>
      <w:r w:rsidR="00441A89">
        <w:t xml:space="preserve"> and</w:t>
      </w:r>
      <w:r w:rsidR="003C57C5">
        <w:t xml:space="preserve"> the underlay SR signal has the sam</w:t>
      </w:r>
      <w:r w:rsidR="002C0058">
        <w:t>e numerology as the data channel</w:t>
      </w:r>
      <w:r w:rsidR="00521635">
        <w:t xml:space="preserve"> to achieve a high processing gain a high number of subcarriers for the spread SR signal are needed</w:t>
      </w:r>
      <w:r w:rsidR="00754A5E">
        <w:t>.</w:t>
      </w:r>
      <w:r w:rsidR="003C57C5">
        <w:t xml:space="preserve"> </w:t>
      </w:r>
    </w:p>
    <w:p w14:paraId="1C958116" w14:textId="77777777" w:rsidR="00441A89" w:rsidRDefault="00441A89" w:rsidP="007D3767">
      <w:pPr>
        <w:jc w:val="center"/>
      </w:pPr>
      <w:r w:rsidRPr="00441A89">
        <w:rPr>
          <w:noProof/>
          <w:lang w:val="en-US"/>
        </w:rPr>
        <w:drawing>
          <wp:inline distT="0" distB="0" distL="0" distR="0" wp14:anchorId="0F78F139" wp14:editId="5EDFE439">
            <wp:extent cx="4978400" cy="2171700"/>
            <wp:effectExtent l="0" t="0" r="0" b="1270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8400" cy="2171700"/>
                    </a:xfrm>
                    <a:prstGeom prst="rect">
                      <a:avLst/>
                    </a:prstGeom>
                    <a:noFill/>
                    <a:ln>
                      <a:noFill/>
                    </a:ln>
                  </pic:spPr>
                </pic:pic>
              </a:graphicData>
            </a:graphic>
          </wp:inline>
        </w:drawing>
      </w:r>
    </w:p>
    <w:p w14:paraId="70E20BD3" w14:textId="1A9612DC" w:rsidR="007D3767" w:rsidRPr="00A16BB0" w:rsidRDefault="00E95602" w:rsidP="007D3767">
      <w:pPr>
        <w:jc w:val="center"/>
        <w:rPr>
          <w:b/>
        </w:rPr>
      </w:pPr>
      <w:r>
        <w:rPr>
          <w:b/>
        </w:rPr>
        <w:t>Figure 4: Single</w:t>
      </w:r>
      <w:r w:rsidR="00441A89">
        <w:rPr>
          <w:b/>
        </w:rPr>
        <w:t xml:space="preserve"> numerology</w:t>
      </w:r>
      <w:r w:rsidR="007D3767">
        <w:rPr>
          <w:b/>
        </w:rPr>
        <w:t xml:space="preserve"> for the underlay SR signal transmission</w:t>
      </w:r>
      <w:r w:rsidR="007D3767" w:rsidRPr="00183330">
        <w:rPr>
          <w:highlight w:val="yellow"/>
        </w:rPr>
        <w:t xml:space="preserve"> </w:t>
      </w:r>
    </w:p>
    <w:p w14:paraId="079C79FD" w14:textId="403D63AC" w:rsidR="00203AB5" w:rsidRPr="000426CB" w:rsidRDefault="000426CB" w:rsidP="00AF227E">
      <w:pPr>
        <w:jc w:val="both"/>
        <w:rPr>
          <w:b/>
          <w:i/>
        </w:rPr>
      </w:pPr>
      <w:r>
        <w:rPr>
          <w:b/>
          <w:i/>
        </w:rPr>
        <w:t>Observation</w:t>
      </w:r>
      <w:r w:rsidRPr="00AF227E">
        <w:rPr>
          <w:b/>
          <w:i/>
        </w:rPr>
        <w:t xml:space="preserve">: </w:t>
      </w:r>
      <w:r>
        <w:rPr>
          <w:b/>
          <w:i/>
        </w:rPr>
        <w:t xml:space="preserve">Underlay SR signals transmissions </w:t>
      </w:r>
      <w:r w:rsidR="00441A89">
        <w:rPr>
          <w:b/>
          <w:i/>
        </w:rPr>
        <w:t>have the same numerology as the data channel</w:t>
      </w:r>
      <w:r w:rsidR="00D14C55">
        <w:rPr>
          <w:b/>
          <w:i/>
        </w:rPr>
        <w:t>.</w:t>
      </w:r>
      <w:r>
        <w:rPr>
          <w:b/>
          <w:i/>
        </w:rPr>
        <w:t xml:space="preserve"> </w:t>
      </w:r>
    </w:p>
    <w:p w14:paraId="0B11EE47" w14:textId="77777777" w:rsidR="004452F2" w:rsidRPr="00DE1C43" w:rsidRDefault="004452F2" w:rsidP="005B380C"/>
    <w:p w14:paraId="7CDF582E" w14:textId="59C5A10A" w:rsidR="00B72B23" w:rsidRPr="00545E0F" w:rsidRDefault="00203AB5" w:rsidP="00545E0F">
      <w:pPr>
        <w:pStyle w:val="Heading1"/>
      </w:pPr>
      <w:r>
        <w:t>6</w:t>
      </w:r>
      <w:r w:rsidR="009A0734">
        <w:tab/>
        <w:t>Conclusion</w:t>
      </w:r>
    </w:p>
    <w:p w14:paraId="2423B0F5" w14:textId="77777777" w:rsidR="00487DB0" w:rsidRDefault="00487DB0" w:rsidP="00EC570D">
      <w:r>
        <w:t>In this contribution we made the following observations and proposals:</w:t>
      </w:r>
    </w:p>
    <w:p w14:paraId="27551A64" w14:textId="77777777" w:rsidR="00545E0F" w:rsidRDefault="00545E0F" w:rsidP="00545E0F">
      <w:pPr>
        <w:jc w:val="both"/>
        <w:rPr>
          <w:b/>
          <w:i/>
        </w:rPr>
      </w:pPr>
      <w:r w:rsidRPr="00C54B73">
        <w:rPr>
          <w:b/>
          <w:i/>
        </w:rPr>
        <w:t>Observation</w:t>
      </w:r>
      <w:r>
        <w:rPr>
          <w:b/>
          <w:i/>
        </w:rPr>
        <w:t>: To enable a schedule-based UL access with dynamic eMBB/URLCC multiplexing in dynamic TDD deployments requires an ultra-fast scheduling-request signal.</w:t>
      </w:r>
    </w:p>
    <w:p w14:paraId="3150B2CC" w14:textId="77777777" w:rsidR="00545E0F" w:rsidRDefault="00545E0F" w:rsidP="00545E0F">
      <w:pPr>
        <w:jc w:val="both"/>
        <w:rPr>
          <w:b/>
          <w:i/>
        </w:rPr>
      </w:pPr>
      <w:r w:rsidRPr="006E68EE">
        <w:rPr>
          <w:b/>
          <w:i/>
        </w:rPr>
        <w:lastRenderedPageBreak/>
        <w:t xml:space="preserve">Observation: </w:t>
      </w:r>
      <w:r>
        <w:rPr>
          <w:b/>
          <w:i/>
        </w:rPr>
        <w:t>Zero-wait-time scheduling request transmitted as an underlay signal</w:t>
      </w:r>
      <w:r w:rsidRPr="00AE77F1">
        <w:rPr>
          <w:b/>
          <w:i/>
        </w:rPr>
        <w:t xml:space="preserve"> </w:t>
      </w:r>
      <w:r w:rsidRPr="0036383F">
        <w:rPr>
          <w:b/>
          <w:i/>
        </w:rPr>
        <w:t xml:space="preserve">reduces the average </w:t>
      </w:r>
      <w:r>
        <w:rPr>
          <w:b/>
          <w:i/>
        </w:rPr>
        <w:t xml:space="preserve">wait time to almost zero, </w:t>
      </w:r>
      <w:r w:rsidRPr="0036383F">
        <w:rPr>
          <w:b/>
          <w:i/>
        </w:rPr>
        <w:t>eliminates the d</w:t>
      </w:r>
      <w:r>
        <w:rPr>
          <w:b/>
          <w:i/>
        </w:rPr>
        <w:t xml:space="preserve">elay uncertainty and provides </w:t>
      </w:r>
      <w:r w:rsidRPr="006E68EE">
        <w:rPr>
          <w:b/>
          <w:i/>
        </w:rPr>
        <w:t>scheduling flexibility to the eNB to</w:t>
      </w:r>
      <w:r>
        <w:rPr>
          <w:b/>
          <w:i/>
        </w:rPr>
        <w:t xml:space="preserve"> ada</w:t>
      </w:r>
      <w:r w:rsidRPr="006E68EE">
        <w:rPr>
          <w:b/>
          <w:i/>
        </w:rPr>
        <w:t>pt and dynamically al</w:t>
      </w:r>
      <w:r>
        <w:rPr>
          <w:b/>
          <w:i/>
        </w:rPr>
        <w:t xml:space="preserve">locate resources for </w:t>
      </w:r>
      <w:r w:rsidRPr="006E68EE">
        <w:rPr>
          <w:b/>
          <w:i/>
        </w:rPr>
        <w:t>UL transmissions</w:t>
      </w:r>
      <w:r>
        <w:rPr>
          <w:b/>
          <w:i/>
        </w:rPr>
        <w:t xml:space="preserve"> meeting the most stringent URLLC latency requirements</w:t>
      </w:r>
      <w:r w:rsidRPr="006E68EE">
        <w:rPr>
          <w:b/>
          <w:i/>
        </w:rPr>
        <w:t>.</w:t>
      </w:r>
    </w:p>
    <w:p w14:paraId="775F0D30" w14:textId="1A5F026D" w:rsidR="00441A89" w:rsidRDefault="00441A89" w:rsidP="00545E0F">
      <w:pPr>
        <w:jc w:val="both"/>
        <w:rPr>
          <w:b/>
          <w:i/>
        </w:rPr>
      </w:pPr>
      <w:r>
        <w:rPr>
          <w:b/>
          <w:i/>
        </w:rPr>
        <w:t>Observation</w:t>
      </w:r>
      <w:r w:rsidRPr="00AF227E">
        <w:rPr>
          <w:b/>
          <w:i/>
        </w:rPr>
        <w:t xml:space="preserve">: </w:t>
      </w:r>
      <w:r>
        <w:rPr>
          <w:b/>
          <w:i/>
        </w:rPr>
        <w:t xml:space="preserve">Underlay SR signals transmissions have the same numerology as the data channel. </w:t>
      </w:r>
    </w:p>
    <w:p w14:paraId="012110AF" w14:textId="77777777" w:rsidR="00545E0F" w:rsidRDefault="00545E0F" w:rsidP="00545E0F">
      <w:pPr>
        <w:jc w:val="both"/>
        <w:rPr>
          <w:b/>
          <w:i/>
        </w:rPr>
      </w:pPr>
      <w:r w:rsidRPr="00AF227E">
        <w:rPr>
          <w:b/>
          <w:i/>
        </w:rPr>
        <w:t xml:space="preserve">Proposal: </w:t>
      </w:r>
      <w:r>
        <w:rPr>
          <w:b/>
          <w:i/>
        </w:rPr>
        <w:t>NR should support shorter SR transmissions lasting n symbols located at those regions indicated in Figure 3, where 0 &lt; n &lt; (N – N</w:t>
      </w:r>
      <w:r w:rsidRPr="00D14C55">
        <w:rPr>
          <w:b/>
          <w:i/>
          <w:vertAlign w:val="subscript"/>
        </w:rPr>
        <w:t>DCI</w:t>
      </w:r>
      <w:r>
        <w:rPr>
          <w:b/>
          <w:i/>
        </w:rPr>
        <w:t xml:space="preserve"> – N</w:t>
      </w:r>
      <w:r w:rsidRPr="00D14C55">
        <w:rPr>
          <w:b/>
          <w:i/>
          <w:vertAlign w:val="subscript"/>
        </w:rPr>
        <w:t>UCI</w:t>
      </w:r>
      <w:r>
        <w:rPr>
          <w:b/>
          <w:i/>
          <w:vertAlign w:val="subscript"/>
        </w:rPr>
        <w:t xml:space="preserve"> </w:t>
      </w:r>
      <w:r>
        <w:rPr>
          <w:b/>
          <w:i/>
        </w:rPr>
        <w:t>- N</w:t>
      </w:r>
      <w:r w:rsidRPr="00D14C55">
        <w:rPr>
          <w:b/>
          <w:i/>
          <w:vertAlign w:val="subscript"/>
        </w:rPr>
        <w:t>GP</w:t>
      </w:r>
      <w:r>
        <w:rPr>
          <w:b/>
          <w:i/>
        </w:rPr>
        <w:t>) and N, N</w:t>
      </w:r>
      <w:r w:rsidRPr="00D14C55">
        <w:rPr>
          <w:b/>
          <w:i/>
          <w:vertAlign w:val="subscript"/>
        </w:rPr>
        <w:t>DCI</w:t>
      </w:r>
      <w:r>
        <w:rPr>
          <w:b/>
          <w:i/>
        </w:rPr>
        <w:t>, N</w:t>
      </w:r>
      <w:r w:rsidRPr="00D14C55">
        <w:rPr>
          <w:b/>
          <w:i/>
          <w:vertAlign w:val="subscript"/>
        </w:rPr>
        <w:t>UCI</w:t>
      </w:r>
      <w:r>
        <w:rPr>
          <w:b/>
          <w:i/>
        </w:rPr>
        <w:t>, and N</w:t>
      </w:r>
      <w:r w:rsidRPr="00D14C55">
        <w:rPr>
          <w:b/>
          <w:i/>
          <w:vertAlign w:val="subscript"/>
        </w:rPr>
        <w:t>GP</w:t>
      </w:r>
      <w:r>
        <w:rPr>
          <w:b/>
          <w:i/>
        </w:rPr>
        <w:t xml:space="preserve"> are the maximum number of symbols, number of DCI symbols, number of UCI symbols and the switching-gap duration in a subframe, respectively. </w:t>
      </w:r>
    </w:p>
    <w:p w14:paraId="71FD8E9D" w14:textId="77777777" w:rsidR="00545E0F" w:rsidRDefault="00545E0F" w:rsidP="00EC570D"/>
    <w:p w14:paraId="788B140D" w14:textId="77777777" w:rsidR="00487DB0" w:rsidRPr="00986956" w:rsidRDefault="00487DB0" w:rsidP="007159E8">
      <w:pPr>
        <w:pStyle w:val="Heading1"/>
        <w:jc w:val="both"/>
        <w:rPr>
          <w:lang w:val="en-US"/>
        </w:rPr>
      </w:pPr>
      <w:r w:rsidRPr="00986956">
        <w:rPr>
          <w:lang w:val="en-US"/>
        </w:rPr>
        <w:t>References</w:t>
      </w:r>
    </w:p>
    <w:p w14:paraId="2A0CA971" w14:textId="57291DC9" w:rsidR="002063F7" w:rsidRDefault="002063F7" w:rsidP="007159E8">
      <w:pPr>
        <w:numPr>
          <w:ilvl w:val="0"/>
          <w:numId w:val="2"/>
        </w:numPr>
        <w:spacing w:after="0"/>
        <w:jc w:val="both"/>
      </w:pPr>
      <w:r>
        <w:t>R1-166759, “</w:t>
      </w:r>
      <w:r w:rsidR="004105CA">
        <w:t>Discussion on URLLC support in N</w:t>
      </w:r>
      <w:r w:rsidR="00423FCC">
        <w:t xml:space="preserve">R”, Samsung, RAN1#86, </w:t>
      </w:r>
      <w:r>
        <w:t>August 2016.</w:t>
      </w:r>
    </w:p>
    <w:p w14:paraId="3690AC41" w14:textId="59C31E4E" w:rsidR="002063F7" w:rsidRDefault="002063F7" w:rsidP="007159E8">
      <w:pPr>
        <w:numPr>
          <w:ilvl w:val="0"/>
          <w:numId w:val="2"/>
        </w:numPr>
        <w:spacing w:after="0"/>
        <w:jc w:val="both"/>
      </w:pPr>
      <w:r>
        <w:t>R1-166882, “Overall discussion on URLLC”, LG Electronics, RAN1#86, August 2016.</w:t>
      </w:r>
    </w:p>
    <w:p w14:paraId="1F0C63FB" w14:textId="23064360" w:rsidR="00DC0009" w:rsidRDefault="004105CA" w:rsidP="00DC0009">
      <w:pPr>
        <w:numPr>
          <w:ilvl w:val="0"/>
          <w:numId w:val="2"/>
        </w:numPr>
        <w:spacing w:after="0"/>
        <w:jc w:val="both"/>
      </w:pPr>
      <w:r>
        <w:t>R1-167062, “O</w:t>
      </w:r>
      <w:r w:rsidR="00DC0009">
        <w:t>n URLLC characteristics”, Ericsson, RAN1#86, August 2016.</w:t>
      </w:r>
    </w:p>
    <w:p w14:paraId="70EF54DC" w14:textId="1B56578E" w:rsidR="00541A09" w:rsidRDefault="00541A09" w:rsidP="007159E8">
      <w:pPr>
        <w:numPr>
          <w:ilvl w:val="0"/>
          <w:numId w:val="2"/>
        </w:numPr>
        <w:spacing w:after="0"/>
        <w:jc w:val="both"/>
      </w:pPr>
      <w:r>
        <w:t>TR 38.913</w:t>
      </w:r>
      <w:r w:rsidR="007D601E">
        <w:t xml:space="preserve"> v0.3.0</w:t>
      </w:r>
      <w:r>
        <w:t>, “Study on Scenarios and Requirements for Next Generation Access Technologies”</w:t>
      </w:r>
      <w:r w:rsidR="00D81DB7">
        <w:t>.</w:t>
      </w:r>
    </w:p>
    <w:p w14:paraId="320B07DD" w14:textId="6C1B989E" w:rsidR="00446F79" w:rsidRDefault="00446F79" w:rsidP="00AF227E">
      <w:pPr>
        <w:numPr>
          <w:ilvl w:val="0"/>
          <w:numId w:val="2"/>
        </w:numPr>
        <w:spacing w:after="0"/>
        <w:jc w:val="both"/>
      </w:pPr>
      <w:r>
        <w:t>R1-166395, “URLLC system capacity and URLLC/eMBB multiplexing efficiency analysis”, Qualcomm, RAN1#86, August 2016.</w:t>
      </w:r>
    </w:p>
    <w:p w14:paraId="30BFA246" w14:textId="2BCE873C" w:rsidR="00AC3B69" w:rsidRDefault="00423FCC" w:rsidP="00AC3B69">
      <w:pPr>
        <w:numPr>
          <w:ilvl w:val="0"/>
          <w:numId w:val="2"/>
        </w:numPr>
        <w:spacing w:after="0"/>
        <w:jc w:val="both"/>
      </w:pPr>
      <w:r>
        <w:t>R1-167047, “On smallest schedulable unit”, Ericsson, RAN1#86, August 2016.</w:t>
      </w:r>
    </w:p>
    <w:p w14:paraId="034D790C" w14:textId="5F688D65" w:rsidR="00423FCC" w:rsidRDefault="00423FCC" w:rsidP="00AC3B69">
      <w:pPr>
        <w:numPr>
          <w:ilvl w:val="0"/>
          <w:numId w:val="2"/>
        </w:numPr>
        <w:spacing w:after="0"/>
        <w:jc w:val="both"/>
      </w:pPr>
      <w:r>
        <w:t>R1-166493, “Ultra-low latency Scheduling based UL access”, INL, RAN1#86, August 2016.</w:t>
      </w:r>
    </w:p>
    <w:p w14:paraId="7522F5D7" w14:textId="0068C695" w:rsidR="00270EA7" w:rsidRDefault="00270EA7" w:rsidP="00AC3B69">
      <w:pPr>
        <w:numPr>
          <w:ilvl w:val="0"/>
          <w:numId w:val="2"/>
        </w:numPr>
        <w:spacing w:after="0"/>
        <w:jc w:val="both"/>
      </w:pPr>
      <w:r>
        <w:t>TR 22.862, “Feasibility Study on New Services and Markets Technology enablers – Critical Communications,” v14.0.0, June 2016.</w:t>
      </w:r>
    </w:p>
    <w:p w14:paraId="43665CB4" w14:textId="387F8A46" w:rsidR="008D446E" w:rsidRDefault="008D446E" w:rsidP="00AC3B69">
      <w:pPr>
        <w:numPr>
          <w:ilvl w:val="0"/>
          <w:numId w:val="2"/>
        </w:numPr>
        <w:spacing w:after="0"/>
        <w:jc w:val="both"/>
      </w:pPr>
      <w:r>
        <w:t>R1-168371, “WF on URLLC evaluation parameter and LLS method,” Huawei, et. al., RAN1#86, August 2016.</w:t>
      </w:r>
    </w:p>
    <w:p w14:paraId="5131C478" w14:textId="6E17056E" w:rsidR="00886A92" w:rsidRPr="00561B5D" w:rsidRDefault="00886A92" w:rsidP="004535D9">
      <w:pPr>
        <w:spacing w:after="0"/>
        <w:ind w:left="567"/>
        <w:jc w:val="both"/>
        <w:rPr>
          <w:bCs/>
          <w:shd w:val="clear" w:color="auto" w:fill="FFFFFF"/>
        </w:rPr>
      </w:pPr>
    </w:p>
    <w:sectPr w:rsidR="00886A92" w:rsidRPr="00561B5D" w:rsidSect="007159E8">
      <w:pgSz w:w="12240" w:h="15840"/>
      <w:pgMar w:top="720" w:right="1440" w:bottom="72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49981" w14:textId="77777777" w:rsidR="007328A5" w:rsidRDefault="007328A5" w:rsidP="006D1E74">
      <w:pPr>
        <w:spacing w:after="0"/>
      </w:pPr>
      <w:r>
        <w:separator/>
      </w:r>
    </w:p>
  </w:endnote>
  <w:endnote w:type="continuationSeparator" w:id="0">
    <w:p w14:paraId="630B5DDA" w14:textId="77777777" w:rsidR="007328A5" w:rsidRDefault="007328A5" w:rsidP="006D1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Yu Gothic UI"/>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4D"/>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1F99" w14:textId="77777777" w:rsidR="007328A5" w:rsidRDefault="007328A5" w:rsidP="006D1E74">
      <w:pPr>
        <w:spacing w:after="0"/>
      </w:pPr>
      <w:r>
        <w:separator/>
      </w:r>
    </w:p>
  </w:footnote>
  <w:footnote w:type="continuationSeparator" w:id="0">
    <w:p w14:paraId="582ECE8C" w14:textId="77777777" w:rsidR="007328A5" w:rsidRDefault="007328A5" w:rsidP="006D1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95CF8"/>
    <w:multiLevelType w:val="hybridMultilevel"/>
    <w:tmpl w:val="A2A28AF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1315B"/>
    <w:multiLevelType w:val="hybridMultilevel"/>
    <w:tmpl w:val="BC22DA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727B30"/>
    <w:multiLevelType w:val="hybridMultilevel"/>
    <w:tmpl w:val="8A72A58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325E6C5F"/>
    <w:multiLevelType w:val="hybridMultilevel"/>
    <w:tmpl w:val="E684ED0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D2E1ED9"/>
    <w:multiLevelType w:val="hybridMultilevel"/>
    <w:tmpl w:val="E8FCCA7E"/>
    <w:lvl w:ilvl="0" w:tplc="CEAC55F4">
      <w:start w:val="1"/>
      <w:numFmt w:val="decimal"/>
      <w:lvlText w:val="%1"/>
      <w:lvlJc w:val="left"/>
      <w:pPr>
        <w:tabs>
          <w:tab w:val="num" w:pos="1140"/>
        </w:tabs>
        <w:ind w:left="1140" w:hanging="114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5A7A404F"/>
    <w:multiLevelType w:val="hybridMultilevel"/>
    <w:tmpl w:val="983CC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AD372F"/>
    <w:multiLevelType w:val="hybridMultilevel"/>
    <w:tmpl w:val="D834C2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35239"/>
    <w:multiLevelType w:val="hybridMultilevel"/>
    <w:tmpl w:val="45B6C89E"/>
    <w:lvl w:ilvl="0" w:tplc="0409000F">
      <w:start w:val="1"/>
      <w:numFmt w:val="decimal"/>
      <w:lvlText w:val="%1."/>
      <w:lvlJc w:val="left"/>
      <w:pPr>
        <w:ind w:left="825" w:hanging="360"/>
      </w:pPr>
      <w:rPr>
        <w:rFont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9"/>
  </w:num>
  <w:num w:numId="4">
    <w:abstractNumId w:val="7"/>
  </w:num>
  <w:num w:numId="5">
    <w:abstractNumId w:val="4"/>
  </w:num>
  <w:num w:numId="6">
    <w:abstractNumId w:val="8"/>
  </w:num>
  <w:num w:numId="7">
    <w:abstractNumId w:val="1"/>
  </w:num>
  <w:num w:numId="8">
    <w:abstractNumId w:val="10"/>
  </w:num>
  <w:num w:numId="9">
    <w:abstractNumId w:val="6"/>
  </w:num>
  <w:num w:numId="10">
    <w:abstractNumId w:val="13"/>
  </w:num>
  <w:num w:numId="11">
    <w:abstractNumId w:val="5"/>
  </w:num>
  <w:num w:numId="12">
    <w:abstractNumId w:val="11"/>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0D3"/>
    <w:rsid w:val="00001746"/>
    <w:rsid w:val="0000571B"/>
    <w:rsid w:val="00014886"/>
    <w:rsid w:val="00017082"/>
    <w:rsid w:val="0002563B"/>
    <w:rsid w:val="000274FA"/>
    <w:rsid w:val="00031050"/>
    <w:rsid w:val="000426CB"/>
    <w:rsid w:val="00043E89"/>
    <w:rsid w:val="000539CE"/>
    <w:rsid w:val="00055FE1"/>
    <w:rsid w:val="00060A7A"/>
    <w:rsid w:val="00073E58"/>
    <w:rsid w:val="000858C0"/>
    <w:rsid w:val="00097886"/>
    <w:rsid w:val="000A1908"/>
    <w:rsid w:val="000A3BF1"/>
    <w:rsid w:val="000A6BC5"/>
    <w:rsid w:val="000B16D5"/>
    <w:rsid w:val="000B4241"/>
    <w:rsid w:val="000B5E46"/>
    <w:rsid w:val="000B5FF2"/>
    <w:rsid w:val="000B785D"/>
    <w:rsid w:val="000C14D7"/>
    <w:rsid w:val="000C680B"/>
    <w:rsid w:val="000C6A4A"/>
    <w:rsid w:val="000D0FED"/>
    <w:rsid w:val="000D47AC"/>
    <w:rsid w:val="000E1DAF"/>
    <w:rsid w:val="000E4A8A"/>
    <w:rsid w:val="000E5A04"/>
    <w:rsid w:val="000F5E5A"/>
    <w:rsid w:val="001026FC"/>
    <w:rsid w:val="001045B7"/>
    <w:rsid w:val="00110910"/>
    <w:rsid w:val="00114B2A"/>
    <w:rsid w:val="001234EB"/>
    <w:rsid w:val="00126208"/>
    <w:rsid w:val="001333A5"/>
    <w:rsid w:val="00136093"/>
    <w:rsid w:val="00136B0F"/>
    <w:rsid w:val="00140926"/>
    <w:rsid w:val="00143C8B"/>
    <w:rsid w:val="00145163"/>
    <w:rsid w:val="001472DC"/>
    <w:rsid w:val="0014760D"/>
    <w:rsid w:val="00147BC3"/>
    <w:rsid w:val="00150736"/>
    <w:rsid w:val="00150A9D"/>
    <w:rsid w:val="00151214"/>
    <w:rsid w:val="0015262D"/>
    <w:rsid w:val="0015771B"/>
    <w:rsid w:val="0016225F"/>
    <w:rsid w:val="00164217"/>
    <w:rsid w:val="001656A1"/>
    <w:rsid w:val="00166081"/>
    <w:rsid w:val="00170036"/>
    <w:rsid w:val="00176022"/>
    <w:rsid w:val="00183330"/>
    <w:rsid w:val="00186EDB"/>
    <w:rsid w:val="001A1426"/>
    <w:rsid w:val="001A5D7D"/>
    <w:rsid w:val="001A67D4"/>
    <w:rsid w:val="001A79B8"/>
    <w:rsid w:val="001B11E4"/>
    <w:rsid w:val="001B1D96"/>
    <w:rsid w:val="001B6BFF"/>
    <w:rsid w:val="001B7B62"/>
    <w:rsid w:val="001D293E"/>
    <w:rsid w:val="001D367C"/>
    <w:rsid w:val="001D6521"/>
    <w:rsid w:val="001E0936"/>
    <w:rsid w:val="001E20B8"/>
    <w:rsid w:val="001E4730"/>
    <w:rsid w:val="001F1D28"/>
    <w:rsid w:val="001F2305"/>
    <w:rsid w:val="00202520"/>
    <w:rsid w:val="002025F7"/>
    <w:rsid w:val="00202867"/>
    <w:rsid w:val="00203AB5"/>
    <w:rsid w:val="002063F7"/>
    <w:rsid w:val="00206A69"/>
    <w:rsid w:val="00210B82"/>
    <w:rsid w:val="002123D9"/>
    <w:rsid w:val="00217749"/>
    <w:rsid w:val="002202B4"/>
    <w:rsid w:val="002232B2"/>
    <w:rsid w:val="00226B3A"/>
    <w:rsid w:val="00226C67"/>
    <w:rsid w:val="00232623"/>
    <w:rsid w:val="002425E5"/>
    <w:rsid w:val="002426FF"/>
    <w:rsid w:val="00243F86"/>
    <w:rsid w:val="00250620"/>
    <w:rsid w:val="00251C62"/>
    <w:rsid w:val="00261243"/>
    <w:rsid w:val="00263403"/>
    <w:rsid w:val="0026570B"/>
    <w:rsid w:val="00270EA7"/>
    <w:rsid w:val="002721C9"/>
    <w:rsid w:val="00274D66"/>
    <w:rsid w:val="0027552E"/>
    <w:rsid w:val="00276BEB"/>
    <w:rsid w:val="002945C1"/>
    <w:rsid w:val="002949A6"/>
    <w:rsid w:val="00294CB1"/>
    <w:rsid w:val="00296E32"/>
    <w:rsid w:val="002970A9"/>
    <w:rsid w:val="002A0ACF"/>
    <w:rsid w:val="002A0CCF"/>
    <w:rsid w:val="002A5812"/>
    <w:rsid w:val="002B1DE6"/>
    <w:rsid w:val="002B3A55"/>
    <w:rsid w:val="002B3BB1"/>
    <w:rsid w:val="002B3F0A"/>
    <w:rsid w:val="002B6C9A"/>
    <w:rsid w:val="002C0058"/>
    <w:rsid w:val="002C0107"/>
    <w:rsid w:val="002C044D"/>
    <w:rsid w:val="002C0CB4"/>
    <w:rsid w:val="002C131A"/>
    <w:rsid w:val="002C1660"/>
    <w:rsid w:val="002D0EB3"/>
    <w:rsid w:val="002D1228"/>
    <w:rsid w:val="002D195B"/>
    <w:rsid w:val="002D3563"/>
    <w:rsid w:val="002E2A44"/>
    <w:rsid w:val="002E2A8E"/>
    <w:rsid w:val="002F23CD"/>
    <w:rsid w:val="00303D01"/>
    <w:rsid w:val="0030480E"/>
    <w:rsid w:val="003109F3"/>
    <w:rsid w:val="00317B4E"/>
    <w:rsid w:val="00321622"/>
    <w:rsid w:val="003221F1"/>
    <w:rsid w:val="003229E3"/>
    <w:rsid w:val="00333D1E"/>
    <w:rsid w:val="00333ECB"/>
    <w:rsid w:val="00341FE5"/>
    <w:rsid w:val="00345C03"/>
    <w:rsid w:val="00345F17"/>
    <w:rsid w:val="00346EC4"/>
    <w:rsid w:val="00352147"/>
    <w:rsid w:val="003548E3"/>
    <w:rsid w:val="0036383F"/>
    <w:rsid w:val="00370277"/>
    <w:rsid w:val="0037169B"/>
    <w:rsid w:val="00371D99"/>
    <w:rsid w:val="00372104"/>
    <w:rsid w:val="0037264C"/>
    <w:rsid w:val="00375B2C"/>
    <w:rsid w:val="0038061B"/>
    <w:rsid w:val="0038186C"/>
    <w:rsid w:val="00382DD4"/>
    <w:rsid w:val="003846BB"/>
    <w:rsid w:val="003855E5"/>
    <w:rsid w:val="003A0E64"/>
    <w:rsid w:val="003A3A28"/>
    <w:rsid w:val="003A4B46"/>
    <w:rsid w:val="003A626D"/>
    <w:rsid w:val="003A66CA"/>
    <w:rsid w:val="003A69DF"/>
    <w:rsid w:val="003A7C78"/>
    <w:rsid w:val="003B5D42"/>
    <w:rsid w:val="003B5DF8"/>
    <w:rsid w:val="003B5FBB"/>
    <w:rsid w:val="003B7724"/>
    <w:rsid w:val="003C57C5"/>
    <w:rsid w:val="003C5B27"/>
    <w:rsid w:val="003D1D42"/>
    <w:rsid w:val="003D2589"/>
    <w:rsid w:val="003D5CD7"/>
    <w:rsid w:val="003D7764"/>
    <w:rsid w:val="003E475A"/>
    <w:rsid w:val="003E6289"/>
    <w:rsid w:val="003F0204"/>
    <w:rsid w:val="003F2CA6"/>
    <w:rsid w:val="003F44E5"/>
    <w:rsid w:val="003F59D6"/>
    <w:rsid w:val="0040019A"/>
    <w:rsid w:val="004105CA"/>
    <w:rsid w:val="0041224A"/>
    <w:rsid w:val="00412589"/>
    <w:rsid w:val="004156C1"/>
    <w:rsid w:val="00417051"/>
    <w:rsid w:val="00417F17"/>
    <w:rsid w:val="00423FCC"/>
    <w:rsid w:val="00425BFE"/>
    <w:rsid w:val="0043165C"/>
    <w:rsid w:val="004319C3"/>
    <w:rsid w:val="0044059B"/>
    <w:rsid w:val="00441A89"/>
    <w:rsid w:val="004430E9"/>
    <w:rsid w:val="004452F2"/>
    <w:rsid w:val="0044554C"/>
    <w:rsid w:val="0044636D"/>
    <w:rsid w:val="0044656D"/>
    <w:rsid w:val="00446F79"/>
    <w:rsid w:val="00447A76"/>
    <w:rsid w:val="00450309"/>
    <w:rsid w:val="00450B89"/>
    <w:rsid w:val="00450CC7"/>
    <w:rsid w:val="00450E5A"/>
    <w:rsid w:val="004535D9"/>
    <w:rsid w:val="00453B5E"/>
    <w:rsid w:val="004640ED"/>
    <w:rsid w:val="00464563"/>
    <w:rsid w:val="00471EED"/>
    <w:rsid w:val="0047324E"/>
    <w:rsid w:val="00482AE5"/>
    <w:rsid w:val="00485065"/>
    <w:rsid w:val="004857EE"/>
    <w:rsid w:val="00486056"/>
    <w:rsid w:val="00487DB0"/>
    <w:rsid w:val="00487FF1"/>
    <w:rsid w:val="004A53B4"/>
    <w:rsid w:val="004B68AA"/>
    <w:rsid w:val="004C241C"/>
    <w:rsid w:val="004C3697"/>
    <w:rsid w:val="004C3ABD"/>
    <w:rsid w:val="004C3D48"/>
    <w:rsid w:val="004D500A"/>
    <w:rsid w:val="004E5B7F"/>
    <w:rsid w:val="004E7F98"/>
    <w:rsid w:val="004F253A"/>
    <w:rsid w:val="004F3802"/>
    <w:rsid w:val="004F4F1B"/>
    <w:rsid w:val="004F7E50"/>
    <w:rsid w:val="00502708"/>
    <w:rsid w:val="0051181D"/>
    <w:rsid w:val="00515A10"/>
    <w:rsid w:val="00517882"/>
    <w:rsid w:val="00517951"/>
    <w:rsid w:val="00521635"/>
    <w:rsid w:val="00525498"/>
    <w:rsid w:val="0053483A"/>
    <w:rsid w:val="00535740"/>
    <w:rsid w:val="00541A09"/>
    <w:rsid w:val="00542D15"/>
    <w:rsid w:val="00545E0F"/>
    <w:rsid w:val="0054649D"/>
    <w:rsid w:val="0055396B"/>
    <w:rsid w:val="00554D91"/>
    <w:rsid w:val="0056079F"/>
    <w:rsid w:val="00561B5D"/>
    <w:rsid w:val="0057210D"/>
    <w:rsid w:val="00572646"/>
    <w:rsid w:val="00577F10"/>
    <w:rsid w:val="005818FA"/>
    <w:rsid w:val="00584066"/>
    <w:rsid w:val="00584F4A"/>
    <w:rsid w:val="00592699"/>
    <w:rsid w:val="00592F71"/>
    <w:rsid w:val="00595501"/>
    <w:rsid w:val="00595510"/>
    <w:rsid w:val="00596742"/>
    <w:rsid w:val="00596E56"/>
    <w:rsid w:val="005A042B"/>
    <w:rsid w:val="005B23C1"/>
    <w:rsid w:val="005B380C"/>
    <w:rsid w:val="005B6E1C"/>
    <w:rsid w:val="005C295D"/>
    <w:rsid w:val="005D028C"/>
    <w:rsid w:val="005D0F9B"/>
    <w:rsid w:val="005D30A4"/>
    <w:rsid w:val="005D4250"/>
    <w:rsid w:val="005D4C2B"/>
    <w:rsid w:val="005F4EA5"/>
    <w:rsid w:val="005F6938"/>
    <w:rsid w:val="006058F8"/>
    <w:rsid w:val="006076D6"/>
    <w:rsid w:val="0060783E"/>
    <w:rsid w:val="00616CA7"/>
    <w:rsid w:val="00617252"/>
    <w:rsid w:val="00632DB5"/>
    <w:rsid w:val="0063665E"/>
    <w:rsid w:val="00636D7F"/>
    <w:rsid w:val="00636E2A"/>
    <w:rsid w:val="00645C26"/>
    <w:rsid w:val="00652370"/>
    <w:rsid w:val="0065326D"/>
    <w:rsid w:val="006629E9"/>
    <w:rsid w:val="00671ACB"/>
    <w:rsid w:val="00672FEE"/>
    <w:rsid w:val="00676F04"/>
    <w:rsid w:val="0068483D"/>
    <w:rsid w:val="00690B08"/>
    <w:rsid w:val="00691B35"/>
    <w:rsid w:val="00692110"/>
    <w:rsid w:val="00697A6C"/>
    <w:rsid w:val="006A01B0"/>
    <w:rsid w:val="006A0599"/>
    <w:rsid w:val="006A74D6"/>
    <w:rsid w:val="006B3357"/>
    <w:rsid w:val="006B72CF"/>
    <w:rsid w:val="006C45CA"/>
    <w:rsid w:val="006D1B83"/>
    <w:rsid w:val="006D1E74"/>
    <w:rsid w:val="006E2BD5"/>
    <w:rsid w:val="006E5F91"/>
    <w:rsid w:val="006E60DA"/>
    <w:rsid w:val="006E677C"/>
    <w:rsid w:val="006E68EE"/>
    <w:rsid w:val="006F2140"/>
    <w:rsid w:val="006F405D"/>
    <w:rsid w:val="006F6451"/>
    <w:rsid w:val="00705C8E"/>
    <w:rsid w:val="00706DA0"/>
    <w:rsid w:val="0071142C"/>
    <w:rsid w:val="0071277E"/>
    <w:rsid w:val="00713E4E"/>
    <w:rsid w:val="007159E8"/>
    <w:rsid w:val="00716592"/>
    <w:rsid w:val="007166BB"/>
    <w:rsid w:val="00717317"/>
    <w:rsid w:val="00717EA6"/>
    <w:rsid w:val="00726781"/>
    <w:rsid w:val="007328A5"/>
    <w:rsid w:val="007347C2"/>
    <w:rsid w:val="00735415"/>
    <w:rsid w:val="00736E81"/>
    <w:rsid w:val="007371E8"/>
    <w:rsid w:val="00742932"/>
    <w:rsid w:val="007433E4"/>
    <w:rsid w:val="00754A5E"/>
    <w:rsid w:val="00757684"/>
    <w:rsid w:val="00762AE7"/>
    <w:rsid w:val="0076486A"/>
    <w:rsid w:val="0076767A"/>
    <w:rsid w:val="007801E6"/>
    <w:rsid w:val="00780BA2"/>
    <w:rsid w:val="00787D1D"/>
    <w:rsid w:val="00790D61"/>
    <w:rsid w:val="00794E23"/>
    <w:rsid w:val="007979F0"/>
    <w:rsid w:val="007A1862"/>
    <w:rsid w:val="007A67BC"/>
    <w:rsid w:val="007A7114"/>
    <w:rsid w:val="007B0E85"/>
    <w:rsid w:val="007B3599"/>
    <w:rsid w:val="007B7CB8"/>
    <w:rsid w:val="007C0E59"/>
    <w:rsid w:val="007C193F"/>
    <w:rsid w:val="007C28E9"/>
    <w:rsid w:val="007C2FE9"/>
    <w:rsid w:val="007D25CF"/>
    <w:rsid w:val="007D3767"/>
    <w:rsid w:val="007D3D7B"/>
    <w:rsid w:val="007D538F"/>
    <w:rsid w:val="007D5AF2"/>
    <w:rsid w:val="007D601E"/>
    <w:rsid w:val="007D646D"/>
    <w:rsid w:val="007E2163"/>
    <w:rsid w:val="007E43DB"/>
    <w:rsid w:val="00800D77"/>
    <w:rsid w:val="00806A6F"/>
    <w:rsid w:val="00811F47"/>
    <w:rsid w:val="008129B0"/>
    <w:rsid w:val="0081621A"/>
    <w:rsid w:val="008214B4"/>
    <w:rsid w:val="008225F5"/>
    <w:rsid w:val="008242C3"/>
    <w:rsid w:val="008303A1"/>
    <w:rsid w:val="00830E0D"/>
    <w:rsid w:val="00830F86"/>
    <w:rsid w:val="008317FD"/>
    <w:rsid w:val="00837C4C"/>
    <w:rsid w:val="00845B3D"/>
    <w:rsid w:val="0084650F"/>
    <w:rsid w:val="00847A76"/>
    <w:rsid w:val="00857963"/>
    <w:rsid w:val="008603D9"/>
    <w:rsid w:val="00861780"/>
    <w:rsid w:val="00861EF3"/>
    <w:rsid w:val="008634FE"/>
    <w:rsid w:val="00863A30"/>
    <w:rsid w:val="00865080"/>
    <w:rsid w:val="00867C27"/>
    <w:rsid w:val="008700D1"/>
    <w:rsid w:val="00870626"/>
    <w:rsid w:val="00874C8A"/>
    <w:rsid w:val="00874DF7"/>
    <w:rsid w:val="00876DA8"/>
    <w:rsid w:val="00877209"/>
    <w:rsid w:val="00877862"/>
    <w:rsid w:val="00886A92"/>
    <w:rsid w:val="0089275C"/>
    <w:rsid w:val="00893275"/>
    <w:rsid w:val="00894FCF"/>
    <w:rsid w:val="008A4212"/>
    <w:rsid w:val="008A5B94"/>
    <w:rsid w:val="008A7191"/>
    <w:rsid w:val="008B1638"/>
    <w:rsid w:val="008B1B10"/>
    <w:rsid w:val="008B1CA0"/>
    <w:rsid w:val="008B4AAE"/>
    <w:rsid w:val="008B71E8"/>
    <w:rsid w:val="008B7B60"/>
    <w:rsid w:val="008C2A8F"/>
    <w:rsid w:val="008C3BD7"/>
    <w:rsid w:val="008C4B4F"/>
    <w:rsid w:val="008C6B92"/>
    <w:rsid w:val="008C6DB8"/>
    <w:rsid w:val="008C75BF"/>
    <w:rsid w:val="008D289F"/>
    <w:rsid w:val="008D446E"/>
    <w:rsid w:val="008D45C4"/>
    <w:rsid w:val="008D49AD"/>
    <w:rsid w:val="008D4B6C"/>
    <w:rsid w:val="008E2422"/>
    <w:rsid w:val="008E29C1"/>
    <w:rsid w:val="008E2AE1"/>
    <w:rsid w:val="008E5FC8"/>
    <w:rsid w:val="008E6A53"/>
    <w:rsid w:val="008E7F54"/>
    <w:rsid w:val="008F1A77"/>
    <w:rsid w:val="008F1F1D"/>
    <w:rsid w:val="008F35D5"/>
    <w:rsid w:val="008F5D9D"/>
    <w:rsid w:val="008F71CD"/>
    <w:rsid w:val="00901046"/>
    <w:rsid w:val="00903A07"/>
    <w:rsid w:val="00905E70"/>
    <w:rsid w:val="009063ED"/>
    <w:rsid w:val="009078A2"/>
    <w:rsid w:val="0091285D"/>
    <w:rsid w:val="009136E8"/>
    <w:rsid w:val="00913BFA"/>
    <w:rsid w:val="00916899"/>
    <w:rsid w:val="00920ACE"/>
    <w:rsid w:val="0092292B"/>
    <w:rsid w:val="009250EF"/>
    <w:rsid w:val="00927240"/>
    <w:rsid w:val="00927709"/>
    <w:rsid w:val="00931353"/>
    <w:rsid w:val="009434C0"/>
    <w:rsid w:val="0094488B"/>
    <w:rsid w:val="00944921"/>
    <w:rsid w:val="00946D1E"/>
    <w:rsid w:val="00947322"/>
    <w:rsid w:val="009475F4"/>
    <w:rsid w:val="00952375"/>
    <w:rsid w:val="00952582"/>
    <w:rsid w:val="00957A1E"/>
    <w:rsid w:val="00960647"/>
    <w:rsid w:val="009754A4"/>
    <w:rsid w:val="00983238"/>
    <w:rsid w:val="00986256"/>
    <w:rsid w:val="00986315"/>
    <w:rsid w:val="00986956"/>
    <w:rsid w:val="009A0734"/>
    <w:rsid w:val="009A6E8C"/>
    <w:rsid w:val="009B11D4"/>
    <w:rsid w:val="009B136E"/>
    <w:rsid w:val="009B2B20"/>
    <w:rsid w:val="009B2DEC"/>
    <w:rsid w:val="009B3C1A"/>
    <w:rsid w:val="009B7120"/>
    <w:rsid w:val="009C04EB"/>
    <w:rsid w:val="009C2CB2"/>
    <w:rsid w:val="009C3218"/>
    <w:rsid w:val="009C3395"/>
    <w:rsid w:val="009C478E"/>
    <w:rsid w:val="009E10A7"/>
    <w:rsid w:val="009E1286"/>
    <w:rsid w:val="009E79F5"/>
    <w:rsid w:val="009F11E8"/>
    <w:rsid w:val="009F5339"/>
    <w:rsid w:val="009F5F57"/>
    <w:rsid w:val="009F60D3"/>
    <w:rsid w:val="00A00419"/>
    <w:rsid w:val="00A07673"/>
    <w:rsid w:val="00A16BB0"/>
    <w:rsid w:val="00A17529"/>
    <w:rsid w:val="00A21114"/>
    <w:rsid w:val="00A24D07"/>
    <w:rsid w:val="00A30896"/>
    <w:rsid w:val="00A31898"/>
    <w:rsid w:val="00A31B42"/>
    <w:rsid w:val="00A344D3"/>
    <w:rsid w:val="00A34F17"/>
    <w:rsid w:val="00A3547B"/>
    <w:rsid w:val="00A367A7"/>
    <w:rsid w:val="00A37835"/>
    <w:rsid w:val="00A520E7"/>
    <w:rsid w:val="00A5527C"/>
    <w:rsid w:val="00A57A01"/>
    <w:rsid w:val="00A62F1D"/>
    <w:rsid w:val="00A64791"/>
    <w:rsid w:val="00A65A35"/>
    <w:rsid w:val="00A67CF6"/>
    <w:rsid w:val="00A7174C"/>
    <w:rsid w:val="00A72988"/>
    <w:rsid w:val="00A7571E"/>
    <w:rsid w:val="00A82470"/>
    <w:rsid w:val="00A833DB"/>
    <w:rsid w:val="00A8365A"/>
    <w:rsid w:val="00A90752"/>
    <w:rsid w:val="00A935E2"/>
    <w:rsid w:val="00AB0309"/>
    <w:rsid w:val="00AB25FC"/>
    <w:rsid w:val="00AB5128"/>
    <w:rsid w:val="00AC2721"/>
    <w:rsid w:val="00AC3B69"/>
    <w:rsid w:val="00AC3F60"/>
    <w:rsid w:val="00AC5B23"/>
    <w:rsid w:val="00AD1FB8"/>
    <w:rsid w:val="00AD3959"/>
    <w:rsid w:val="00AD3970"/>
    <w:rsid w:val="00AD7841"/>
    <w:rsid w:val="00AE1DA8"/>
    <w:rsid w:val="00AE3242"/>
    <w:rsid w:val="00AE77F1"/>
    <w:rsid w:val="00AF13FE"/>
    <w:rsid w:val="00AF1E05"/>
    <w:rsid w:val="00AF227E"/>
    <w:rsid w:val="00AF22A8"/>
    <w:rsid w:val="00AF280E"/>
    <w:rsid w:val="00AF66D9"/>
    <w:rsid w:val="00B011B7"/>
    <w:rsid w:val="00B01554"/>
    <w:rsid w:val="00B076E3"/>
    <w:rsid w:val="00B13E8F"/>
    <w:rsid w:val="00B24454"/>
    <w:rsid w:val="00B26C70"/>
    <w:rsid w:val="00B40143"/>
    <w:rsid w:val="00B41B88"/>
    <w:rsid w:val="00B43E6A"/>
    <w:rsid w:val="00B5261E"/>
    <w:rsid w:val="00B5476B"/>
    <w:rsid w:val="00B60D72"/>
    <w:rsid w:val="00B65CB0"/>
    <w:rsid w:val="00B72B23"/>
    <w:rsid w:val="00B759C4"/>
    <w:rsid w:val="00B8077B"/>
    <w:rsid w:val="00B822C7"/>
    <w:rsid w:val="00B8428B"/>
    <w:rsid w:val="00B842D6"/>
    <w:rsid w:val="00B86F25"/>
    <w:rsid w:val="00B87CA0"/>
    <w:rsid w:val="00B92B73"/>
    <w:rsid w:val="00B93443"/>
    <w:rsid w:val="00B967C2"/>
    <w:rsid w:val="00BA1336"/>
    <w:rsid w:val="00BB3978"/>
    <w:rsid w:val="00BC1F0F"/>
    <w:rsid w:val="00BC5D5D"/>
    <w:rsid w:val="00BC5D9B"/>
    <w:rsid w:val="00BC5E97"/>
    <w:rsid w:val="00BC76AD"/>
    <w:rsid w:val="00BD0300"/>
    <w:rsid w:val="00BD3DAB"/>
    <w:rsid w:val="00BD3E6F"/>
    <w:rsid w:val="00BD6297"/>
    <w:rsid w:val="00BD6361"/>
    <w:rsid w:val="00BD70EE"/>
    <w:rsid w:val="00BE1781"/>
    <w:rsid w:val="00BE3EE5"/>
    <w:rsid w:val="00BF1FA0"/>
    <w:rsid w:val="00C00CB5"/>
    <w:rsid w:val="00C04679"/>
    <w:rsid w:val="00C04D08"/>
    <w:rsid w:val="00C103A1"/>
    <w:rsid w:val="00C10AA8"/>
    <w:rsid w:val="00C126B3"/>
    <w:rsid w:val="00C147A9"/>
    <w:rsid w:val="00C156E9"/>
    <w:rsid w:val="00C177F4"/>
    <w:rsid w:val="00C229AD"/>
    <w:rsid w:val="00C24451"/>
    <w:rsid w:val="00C24E1D"/>
    <w:rsid w:val="00C24FC6"/>
    <w:rsid w:val="00C26F47"/>
    <w:rsid w:val="00C32062"/>
    <w:rsid w:val="00C341F9"/>
    <w:rsid w:val="00C37068"/>
    <w:rsid w:val="00C377A6"/>
    <w:rsid w:val="00C4520A"/>
    <w:rsid w:val="00C452EF"/>
    <w:rsid w:val="00C46A4A"/>
    <w:rsid w:val="00C46EC8"/>
    <w:rsid w:val="00C5233E"/>
    <w:rsid w:val="00C528B0"/>
    <w:rsid w:val="00C54B73"/>
    <w:rsid w:val="00C55BB9"/>
    <w:rsid w:val="00C577FB"/>
    <w:rsid w:val="00C63290"/>
    <w:rsid w:val="00C64631"/>
    <w:rsid w:val="00C72FF8"/>
    <w:rsid w:val="00C7774F"/>
    <w:rsid w:val="00C7777D"/>
    <w:rsid w:val="00C801E6"/>
    <w:rsid w:val="00C8032A"/>
    <w:rsid w:val="00C8142C"/>
    <w:rsid w:val="00C83B8B"/>
    <w:rsid w:val="00C90B6C"/>
    <w:rsid w:val="00C91193"/>
    <w:rsid w:val="00C93501"/>
    <w:rsid w:val="00C941A3"/>
    <w:rsid w:val="00C97285"/>
    <w:rsid w:val="00CA1BC3"/>
    <w:rsid w:val="00CA21D0"/>
    <w:rsid w:val="00CB0859"/>
    <w:rsid w:val="00CB1706"/>
    <w:rsid w:val="00CB4DDD"/>
    <w:rsid w:val="00CB6514"/>
    <w:rsid w:val="00CB653D"/>
    <w:rsid w:val="00CB7072"/>
    <w:rsid w:val="00CC0194"/>
    <w:rsid w:val="00CC2343"/>
    <w:rsid w:val="00CD192F"/>
    <w:rsid w:val="00CD2BBE"/>
    <w:rsid w:val="00CD3360"/>
    <w:rsid w:val="00CE2245"/>
    <w:rsid w:val="00CF0CE2"/>
    <w:rsid w:val="00CF4EF8"/>
    <w:rsid w:val="00CF7BE4"/>
    <w:rsid w:val="00D01EF0"/>
    <w:rsid w:val="00D06C48"/>
    <w:rsid w:val="00D070B1"/>
    <w:rsid w:val="00D14C55"/>
    <w:rsid w:val="00D16EE3"/>
    <w:rsid w:val="00D2068F"/>
    <w:rsid w:val="00D225B3"/>
    <w:rsid w:val="00D22E34"/>
    <w:rsid w:val="00D23629"/>
    <w:rsid w:val="00D24A9F"/>
    <w:rsid w:val="00D26530"/>
    <w:rsid w:val="00D30A3F"/>
    <w:rsid w:val="00D3113D"/>
    <w:rsid w:val="00D42792"/>
    <w:rsid w:val="00D45AD1"/>
    <w:rsid w:val="00D5193B"/>
    <w:rsid w:val="00D51EB9"/>
    <w:rsid w:val="00D53B5A"/>
    <w:rsid w:val="00D550B8"/>
    <w:rsid w:val="00D55CC8"/>
    <w:rsid w:val="00D56619"/>
    <w:rsid w:val="00D5668A"/>
    <w:rsid w:val="00D570AD"/>
    <w:rsid w:val="00D61397"/>
    <w:rsid w:val="00D61A18"/>
    <w:rsid w:val="00D61B8E"/>
    <w:rsid w:val="00D65142"/>
    <w:rsid w:val="00D662EA"/>
    <w:rsid w:val="00D7114E"/>
    <w:rsid w:val="00D72E01"/>
    <w:rsid w:val="00D75860"/>
    <w:rsid w:val="00D75CB2"/>
    <w:rsid w:val="00D7630B"/>
    <w:rsid w:val="00D772E8"/>
    <w:rsid w:val="00D77ACE"/>
    <w:rsid w:val="00D81DB7"/>
    <w:rsid w:val="00D9055D"/>
    <w:rsid w:val="00D9204B"/>
    <w:rsid w:val="00DA034F"/>
    <w:rsid w:val="00DA6C0E"/>
    <w:rsid w:val="00DB3330"/>
    <w:rsid w:val="00DB4EB5"/>
    <w:rsid w:val="00DB6895"/>
    <w:rsid w:val="00DB76FC"/>
    <w:rsid w:val="00DC0009"/>
    <w:rsid w:val="00DC0BF2"/>
    <w:rsid w:val="00DC10A8"/>
    <w:rsid w:val="00DC1D65"/>
    <w:rsid w:val="00DE1C43"/>
    <w:rsid w:val="00DF25B7"/>
    <w:rsid w:val="00DF2D1C"/>
    <w:rsid w:val="00DF35B8"/>
    <w:rsid w:val="00DF3E9D"/>
    <w:rsid w:val="00DF7AFE"/>
    <w:rsid w:val="00E05ADD"/>
    <w:rsid w:val="00E05FEE"/>
    <w:rsid w:val="00E07309"/>
    <w:rsid w:val="00E127EF"/>
    <w:rsid w:val="00E13257"/>
    <w:rsid w:val="00E21680"/>
    <w:rsid w:val="00E23106"/>
    <w:rsid w:val="00E307B3"/>
    <w:rsid w:val="00E30D32"/>
    <w:rsid w:val="00E3615B"/>
    <w:rsid w:val="00E404C5"/>
    <w:rsid w:val="00E42835"/>
    <w:rsid w:val="00E44FD8"/>
    <w:rsid w:val="00E47700"/>
    <w:rsid w:val="00E51A88"/>
    <w:rsid w:val="00E53C7A"/>
    <w:rsid w:val="00E57D99"/>
    <w:rsid w:val="00E639AE"/>
    <w:rsid w:val="00E667D2"/>
    <w:rsid w:val="00E752AA"/>
    <w:rsid w:val="00E778B3"/>
    <w:rsid w:val="00E77BBC"/>
    <w:rsid w:val="00E800CB"/>
    <w:rsid w:val="00E82413"/>
    <w:rsid w:val="00E834DD"/>
    <w:rsid w:val="00E84ED8"/>
    <w:rsid w:val="00E91D0F"/>
    <w:rsid w:val="00E93262"/>
    <w:rsid w:val="00E95602"/>
    <w:rsid w:val="00E95A23"/>
    <w:rsid w:val="00E96AB7"/>
    <w:rsid w:val="00EA05E8"/>
    <w:rsid w:val="00EA2BB3"/>
    <w:rsid w:val="00EA4DA8"/>
    <w:rsid w:val="00EB3D41"/>
    <w:rsid w:val="00EB7479"/>
    <w:rsid w:val="00EC570D"/>
    <w:rsid w:val="00ED0BBC"/>
    <w:rsid w:val="00EE05D7"/>
    <w:rsid w:val="00EE1094"/>
    <w:rsid w:val="00EF17D1"/>
    <w:rsid w:val="00F02130"/>
    <w:rsid w:val="00F04A8F"/>
    <w:rsid w:val="00F17A6D"/>
    <w:rsid w:val="00F235BD"/>
    <w:rsid w:val="00F2454A"/>
    <w:rsid w:val="00F2541D"/>
    <w:rsid w:val="00F25903"/>
    <w:rsid w:val="00F263B2"/>
    <w:rsid w:val="00F268E1"/>
    <w:rsid w:val="00F31D9B"/>
    <w:rsid w:val="00F33311"/>
    <w:rsid w:val="00F35784"/>
    <w:rsid w:val="00F42CE2"/>
    <w:rsid w:val="00F50595"/>
    <w:rsid w:val="00F53ED2"/>
    <w:rsid w:val="00F55D71"/>
    <w:rsid w:val="00F55DCA"/>
    <w:rsid w:val="00F560E6"/>
    <w:rsid w:val="00F609E9"/>
    <w:rsid w:val="00F73733"/>
    <w:rsid w:val="00F737D0"/>
    <w:rsid w:val="00F76494"/>
    <w:rsid w:val="00F767E9"/>
    <w:rsid w:val="00F822F8"/>
    <w:rsid w:val="00F8330F"/>
    <w:rsid w:val="00F87EFF"/>
    <w:rsid w:val="00F90BBB"/>
    <w:rsid w:val="00F930C7"/>
    <w:rsid w:val="00F95715"/>
    <w:rsid w:val="00FA2648"/>
    <w:rsid w:val="00FA63AA"/>
    <w:rsid w:val="00FA6643"/>
    <w:rsid w:val="00FB0104"/>
    <w:rsid w:val="00FB021E"/>
    <w:rsid w:val="00FB2A3F"/>
    <w:rsid w:val="00FC27C9"/>
    <w:rsid w:val="00FC3F72"/>
    <w:rsid w:val="00FD1C42"/>
    <w:rsid w:val="00FF1412"/>
    <w:rsid w:val="00FF4464"/>
    <w:rsid w:val="00FF4555"/>
    <w:rsid w:val="00FF5C36"/>
    <w:rsid w:val="00FF6C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690EB"/>
  <w15:docId w15:val="{A525A408-2303-45CE-AD5E-14E809F86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 w:hAnsi="Cambria" w:cs="Times New Roman"/>
        <w:sz w:val="22"/>
        <w:szCs w:val="22"/>
        <w:lang w:val="en-US" w:eastAsia="en-US"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F60D3"/>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1"/>
    <w:uiPriority w:val="99"/>
    <w:qFormat/>
    <w:rsid w:val="009F60D3"/>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9F60D3"/>
    <w:rPr>
      <w:rFonts w:ascii="Calibri" w:eastAsia="MS ????" w:hAnsi="Calibri" w:cs="Times New Roman"/>
      <w:b/>
      <w:bCs/>
      <w:color w:val="345A8A"/>
      <w:sz w:val="32"/>
      <w:szCs w:val="32"/>
      <w:lang w:val="en-GB"/>
    </w:rPr>
  </w:style>
  <w:style w:type="character" w:customStyle="1" w:styleId="Heading1Char1">
    <w:name w:val="Heading 1 Char1"/>
    <w:link w:val="Heading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ListParagraph">
    <w:name w:val="List Paragraph"/>
    <w:basedOn w:val="Normal"/>
    <w:uiPriority w:val="99"/>
    <w:qFormat/>
    <w:rsid w:val="00B822C7"/>
    <w:pPr>
      <w:ind w:left="720"/>
      <w:contextualSpacing/>
    </w:pPr>
  </w:style>
  <w:style w:type="paragraph" w:styleId="BalloonText">
    <w:name w:val="Balloon Text"/>
    <w:basedOn w:val="Normal"/>
    <w:link w:val="BalloonTextChar"/>
    <w:uiPriority w:val="99"/>
    <w:semiHidden/>
    <w:rsid w:val="00830F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6D6"/>
    <w:rPr>
      <w:rFonts w:ascii="Times New Roman" w:hAnsi="Times New Roman" w:cs="Times New Roman"/>
      <w:sz w:val="2"/>
      <w:lang w:val="en-GB"/>
    </w:rPr>
  </w:style>
  <w:style w:type="character" w:styleId="CommentReference">
    <w:name w:val="annotation reference"/>
    <w:basedOn w:val="DefaultParagraphFont"/>
    <w:uiPriority w:val="99"/>
    <w:semiHidden/>
    <w:rsid w:val="00830F86"/>
    <w:rPr>
      <w:rFonts w:cs="Times New Roman"/>
      <w:sz w:val="16"/>
      <w:szCs w:val="16"/>
    </w:rPr>
  </w:style>
  <w:style w:type="paragraph" w:styleId="CommentText">
    <w:name w:val="annotation text"/>
    <w:basedOn w:val="Normal"/>
    <w:link w:val="CommentTextChar"/>
    <w:uiPriority w:val="99"/>
    <w:semiHidden/>
    <w:rsid w:val="00830F86"/>
  </w:style>
  <w:style w:type="character" w:customStyle="1" w:styleId="CommentTextChar">
    <w:name w:val="Comment Text Char"/>
    <w:basedOn w:val="DefaultParagraphFont"/>
    <w:link w:val="CommentText"/>
    <w:uiPriority w:val="99"/>
    <w:semiHidden/>
    <w:locked/>
    <w:rsid w:val="006076D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830F86"/>
    <w:rPr>
      <w:b/>
      <w:bCs/>
    </w:rPr>
  </w:style>
  <w:style w:type="character" w:customStyle="1" w:styleId="CommentSubjectChar">
    <w:name w:val="Comment Subject Char"/>
    <w:basedOn w:val="CommentTextChar"/>
    <w:link w:val="CommentSubject"/>
    <w:uiPriority w:val="99"/>
    <w:semiHidden/>
    <w:locked/>
    <w:rsid w:val="006076D6"/>
    <w:rPr>
      <w:rFonts w:ascii="Times New Roman" w:hAnsi="Times New Roman" w:cs="Times New Roman"/>
      <w:b/>
      <w:bCs/>
      <w:sz w:val="20"/>
      <w:szCs w:val="20"/>
      <w:lang w:val="en-GB"/>
    </w:rPr>
  </w:style>
  <w:style w:type="table" w:styleId="TableGrid">
    <w:name w:val="Table Grid"/>
    <w:basedOn w:val="TableNormal"/>
    <w:locked/>
    <w:rsid w:val="00425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425BF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425BF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basedOn w:val="Normal"/>
    <w:link w:val="FootnoteTextChar"/>
    <w:uiPriority w:val="99"/>
    <w:unhideWhenUsed/>
    <w:rsid w:val="006D1E74"/>
    <w:pPr>
      <w:spacing w:after="0"/>
    </w:pPr>
    <w:rPr>
      <w:sz w:val="24"/>
      <w:szCs w:val="24"/>
    </w:rPr>
  </w:style>
  <w:style w:type="character" w:customStyle="1" w:styleId="FootnoteTextChar">
    <w:name w:val="Footnote Text Char"/>
    <w:basedOn w:val="DefaultParagraphFont"/>
    <w:link w:val="FootnoteText"/>
    <w:uiPriority w:val="99"/>
    <w:rsid w:val="006D1E74"/>
    <w:rPr>
      <w:rFonts w:ascii="Times New Roman" w:hAnsi="Times New Roman"/>
      <w:sz w:val="24"/>
      <w:szCs w:val="24"/>
      <w:lang w:val="en-GB"/>
    </w:rPr>
  </w:style>
  <w:style w:type="character" w:styleId="FootnoteReference">
    <w:name w:val="footnote reference"/>
    <w:basedOn w:val="DefaultParagraphFont"/>
    <w:uiPriority w:val="99"/>
    <w:unhideWhenUsed/>
    <w:rsid w:val="006D1E74"/>
    <w:rPr>
      <w:vertAlign w:val="superscript"/>
    </w:rPr>
  </w:style>
  <w:style w:type="paragraph" w:styleId="Revision">
    <w:name w:val="Revision"/>
    <w:hidden/>
    <w:uiPriority w:val="99"/>
    <w:semiHidden/>
    <w:rsid w:val="002970A9"/>
    <w:rPr>
      <w:rFonts w:ascii="Times New Roman" w:hAnsi="Times New Roman"/>
      <w:sz w:val="20"/>
      <w:szCs w:val="20"/>
      <w:lang w:val="en-GB"/>
    </w:rPr>
  </w:style>
  <w:style w:type="character" w:styleId="PlaceholderText">
    <w:name w:val="Placeholder Text"/>
    <w:basedOn w:val="DefaultParagraphFont"/>
    <w:uiPriority w:val="99"/>
    <w:semiHidden/>
    <w:rsid w:val="00447A76"/>
    <w:rPr>
      <w:color w:val="808080"/>
    </w:rPr>
  </w:style>
  <w:style w:type="paragraph" w:styleId="NormalWeb">
    <w:name w:val="Normal (Web)"/>
    <w:basedOn w:val="Normal"/>
    <w:uiPriority w:val="99"/>
    <w:semiHidden/>
    <w:unhideWhenUsed/>
    <w:rsid w:val="00927240"/>
    <w:pPr>
      <w:overflowPunct/>
      <w:autoSpaceDE/>
      <w:autoSpaceDN/>
      <w:adjustRightInd/>
      <w:spacing w:before="100" w:beforeAutospacing="1" w:after="100" w:afterAutospacing="1"/>
      <w:textAlignment w:val="auto"/>
    </w:pPr>
    <w:rPr>
      <w:rFonts w:ascii="Times" w:eastAsiaTheme="minorEastAsia"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6EDA-5145-4DCC-A0A0-C496B442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2085</Words>
  <Characters>11886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UCC Proposal</vt:lpstr>
    </vt:vector>
  </TitlesOfParts>
  <Manager/>
  <Company>Idaho National Lab</Company>
  <LinksUpToDate>false</LinksUpToDate>
  <CharactersWithSpaces>13944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UCC Proposal</dc:title>
  <dc:subject/>
  <dc:creator>Ramon Khalona</dc:creator>
  <cp:keywords/>
  <dc:description/>
  <cp:lastModifiedBy>Ramon Khalona</cp:lastModifiedBy>
  <cp:revision>2</cp:revision>
  <cp:lastPrinted>2016-07-21T17:07:00Z</cp:lastPrinted>
  <dcterms:created xsi:type="dcterms:W3CDTF">2016-09-30T13:36:00Z</dcterms:created>
  <dcterms:modified xsi:type="dcterms:W3CDTF">2016-09-30T13:36:00Z</dcterms:modified>
  <cp:category/>
</cp:coreProperties>
</file>