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F8D9F9" w14:textId="7B9501D3" w:rsidR="00214A6E" w:rsidRPr="00EE76A9" w:rsidRDefault="00214A6E" w:rsidP="00214A6E">
      <w:pPr>
        <w:pStyle w:val="Header"/>
        <w:tabs>
          <w:tab w:val="right" w:pos="9639"/>
        </w:tabs>
        <w:rPr>
          <w:bCs/>
          <w:i/>
          <w:noProof w:val="0"/>
          <w:sz w:val="32"/>
          <w:lang w:val="en-GB" w:eastAsia="zh-CN"/>
        </w:rPr>
      </w:pPr>
      <w:bookmarkStart w:id="0" w:name="OLE_LINK5"/>
      <w:bookmarkStart w:id="1" w:name="OLE_LINK6"/>
      <w:r w:rsidRPr="008C1FE3">
        <w:rPr>
          <w:bCs/>
          <w:noProof w:val="0"/>
          <w:sz w:val="24"/>
          <w:lang w:val="en-GB"/>
        </w:rPr>
        <w:t>3GPP T</w:t>
      </w:r>
      <w:bookmarkStart w:id="2" w:name="_Ref452454252"/>
      <w:bookmarkEnd w:id="2"/>
      <w:r w:rsidRPr="008C1FE3">
        <w:rPr>
          <w:bCs/>
          <w:noProof w:val="0"/>
          <w:sz w:val="24"/>
          <w:lang w:val="en-GB"/>
        </w:rPr>
        <w:t xml:space="preserve">SG-RAN </w:t>
      </w:r>
      <w:r w:rsidRPr="008C1FE3">
        <w:rPr>
          <w:noProof w:val="0"/>
          <w:sz w:val="24"/>
          <w:lang w:val="en-GB"/>
        </w:rPr>
        <w:t>WG1#8</w:t>
      </w:r>
      <w:r>
        <w:rPr>
          <w:noProof w:val="0"/>
          <w:sz w:val="24"/>
          <w:lang w:val="en-GB"/>
        </w:rPr>
        <w:t>6</w:t>
      </w:r>
      <w:r w:rsidRPr="008C1FE3">
        <w:rPr>
          <w:bCs/>
          <w:noProof w:val="0"/>
          <w:sz w:val="24"/>
          <w:lang w:val="en-GB"/>
        </w:rPr>
        <w:tab/>
      </w:r>
      <w:r w:rsidRPr="00B00273">
        <w:rPr>
          <w:rFonts w:hint="eastAsia"/>
          <w:bCs/>
          <w:noProof w:val="0"/>
          <w:sz w:val="24"/>
          <w:lang w:val="en-GB" w:eastAsia="ja-JP"/>
        </w:rPr>
        <w:t>R</w:t>
      </w:r>
      <w:r w:rsidRPr="00B00273">
        <w:rPr>
          <w:bCs/>
          <w:noProof w:val="0"/>
          <w:sz w:val="24"/>
          <w:lang w:val="en-GB" w:eastAsia="ja-JP"/>
        </w:rPr>
        <w:t>1</w:t>
      </w:r>
      <w:r w:rsidRPr="00B00273">
        <w:rPr>
          <w:rFonts w:hint="eastAsia"/>
          <w:bCs/>
          <w:noProof w:val="0"/>
          <w:sz w:val="24"/>
          <w:lang w:val="en-GB" w:eastAsia="ja-JP"/>
        </w:rPr>
        <w:t>-</w:t>
      </w:r>
      <w:r w:rsidRPr="00B00273">
        <w:rPr>
          <w:bCs/>
          <w:noProof w:val="0"/>
          <w:sz w:val="24"/>
          <w:lang w:val="en-GB" w:eastAsia="zh-CN"/>
        </w:rPr>
        <w:t>16</w:t>
      </w:r>
      <w:r w:rsidR="00B00273" w:rsidRPr="00B00273">
        <w:rPr>
          <w:bCs/>
          <w:noProof w:val="0"/>
          <w:sz w:val="24"/>
          <w:lang w:val="en-GB" w:eastAsia="zh-CN"/>
        </w:rPr>
        <w:t>7266</w:t>
      </w:r>
    </w:p>
    <w:p w14:paraId="3CCEFB7A" w14:textId="362FF015" w:rsidR="00214A6E" w:rsidRPr="00461210" w:rsidRDefault="00214A6E" w:rsidP="00214A6E">
      <w:pPr>
        <w:pStyle w:val="Header"/>
        <w:tabs>
          <w:tab w:val="right" w:pos="9639"/>
        </w:tabs>
        <w:rPr>
          <w:bCs/>
          <w:noProof w:val="0"/>
          <w:sz w:val="24"/>
          <w:lang w:val="en-GB"/>
        </w:rPr>
      </w:pPr>
      <w:r>
        <w:rPr>
          <w:noProof w:val="0"/>
          <w:sz w:val="24"/>
          <w:lang w:val="en-GB"/>
        </w:rPr>
        <w:t>Gothe</w:t>
      </w:r>
      <w:r w:rsidR="00160F4A">
        <w:rPr>
          <w:noProof w:val="0"/>
          <w:sz w:val="24"/>
          <w:lang w:val="en-GB"/>
        </w:rPr>
        <w:t>n</w:t>
      </w:r>
      <w:bookmarkStart w:id="3" w:name="_GoBack"/>
      <w:bookmarkEnd w:id="3"/>
      <w:r>
        <w:rPr>
          <w:noProof w:val="0"/>
          <w:sz w:val="24"/>
          <w:lang w:val="en-GB"/>
        </w:rPr>
        <w:t>burg, Sweden, August</w:t>
      </w:r>
      <w:r>
        <w:rPr>
          <w:bCs/>
          <w:sz w:val="24"/>
          <w:lang w:eastAsia="zh-CN"/>
        </w:rPr>
        <w:t xml:space="preserve"> 22-26, </w:t>
      </w:r>
      <w:r w:rsidRPr="00235B77">
        <w:rPr>
          <w:bCs/>
          <w:sz w:val="24"/>
          <w:lang w:eastAsia="zh-CN"/>
        </w:rPr>
        <w:t>201</w:t>
      </w:r>
      <w:r>
        <w:rPr>
          <w:bCs/>
          <w:sz w:val="24"/>
          <w:lang w:eastAsia="zh-CN"/>
        </w:rPr>
        <w:t>6</w:t>
      </w:r>
    </w:p>
    <w:bookmarkEnd w:id="0"/>
    <w:bookmarkEnd w:id="1"/>
    <w:p w14:paraId="6B924A57" w14:textId="77777777" w:rsidR="00214A6E" w:rsidRPr="0016316A" w:rsidRDefault="00214A6E" w:rsidP="00214A6E">
      <w:pPr>
        <w:pStyle w:val="Header"/>
        <w:rPr>
          <w:bCs/>
          <w:noProof w:val="0"/>
          <w:sz w:val="24"/>
          <w:lang w:val="en-GB" w:eastAsia="ja-JP"/>
        </w:rPr>
      </w:pPr>
    </w:p>
    <w:p w14:paraId="663ACF55" w14:textId="3CAD6E15" w:rsidR="00214A6E" w:rsidRPr="001E5981" w:rsidRDefault="00214A6E" w:rsidP="00214A6E">
      <w:pPr>
        <w:pStyle w:val="CRCoverPage"/>
        <w:rPr>
          <w:rFonts w:cs="Arial"/>
          <w:b/>
          <w:bCs/>
          <w:sz w:val="24"/>
          <w:lang w:val="en-US" w:eastAsia="ja-JP"/>
        </w:rPr>
      </w:pPr>
      <w:r w:rsidRPr="0016316A">
        <w:rPr>
          <w:rFonts w:cs="Arial"/>
          <w:b/>
          <w:bCs/>
          <w:sz w:val="24"/>
        </w:rPr>
        <w:t>Agenda item:</w:t>
      </w:r>
      <w:r w:rsidRPr="0016316A">
        <w:rPr>
          <w:rFonts w:cs="Arial"/>
          <w:b/>
          <w:bCs/>
          <w:sz w:val="24"/>
        </w:rPr>
        <w:tab/>
      </w:r>
      <w:r w:rsidRPr="0016316A">
        <w:rPr>
          <w:rFonts w:cs="Arial"/>
          <w:b/>
          <w:bCs/>
          <w:sz w:val="24"/>
        </w:rPr>
        <w:tab/>
      </w:r>
      <w:r w:rsidR="00B00273">
        <w:rPr>
          <w:rFonts w:cs="Arial"/>
          <w:b/>
          <w:bCs/>
          <w:sz w:val="24"/>
        </w:rPr>
        <w:t>8.1.3.2</w:t>
      </w:r>
    </w:p>
    <w:p w14:paraId="5E77AFC8" w14:textId="44CCCE16" w:rsidR="00E128F2" w:rsidRPr="001E5981" w:rsidRDefault="0034111C" w:rsidP="00E128F2">
      <w:pPr>
        <w:tabs>
          <w:tab w:val="left" w:pos="1985"/>
        </w:tabs>
        <w:spacing w:after="120"/>
        <w:ind w:left="1985" w:hanging="1985"/>
        <w:rPr>
          <w:rFonts w:ascii="Arial" w:hAnsi="Arial" w:cs="Arial"/>
          <w:b/>
          <w:bCs/>
          <w:sz w:val="24"/>
          <w:lang w:val="en-US"/>
        </w:rPr>
      </w:pPr>
      <w:r w:rsidRPr="0016316A">
        <w:rPr>
          <w:rFonts w:ascii="Arial" w:hAnsi="Arial" w:cs="Arial"/>
          <w:b/>
          <w:bCs/>
          <w:sz w:val="24"/>
        </w:rPr>
        <w:t>Source:</w:t>
      </w:r>
      <w:r w:rsidRPr="0016316A">
        <w:rPr>
          <w:rFonts w:ascii="Arial" w:hAnsi="Arial" w:cs="Arial"/>
          <w:b/>
          <w:bCs/>
          <w:sz w:val="24"/>
        </w:rPr>
        <w:tab/>
      </w:r>
      <w:r w:rsidR="001F6A16" w:rsidRPr="00013455">
        <w:rPr>
          <w:rFonts w:ascii="Arial" w:hAnsi="Arial" w:cs="Arial"/>
          <w:b/>
          <w:bCs/>
          <w:sz w:val="24"/>
        </w:rPr>
        <w:t>Nokia, Alcatel-Lucent Shanghai Bell</w:t>
      </w:r>
    </w:p>
    <w:p w14:paraId="309F76CE" w14:textId="21440BD6" w:rsidR="0034111C" w:rsidRPr="0016316A" w:rsidRDefault="0034111C">
      <w:pPr>
        <w:ind w:left="1985" w:hanging="1985"/>
        <w:rPr>
          <w:rFonts w:ascii="Arial" w:hAnsi="Arial" w:cs="Arial"/>
          <w:b/>
          <w:bCs/>
          <w:sz w:val="24"/>
        </w:rPr>
      </w:pPr>
      <w:r w:rsidRPr="0016316A">
        <w:rPr>
          <w:rFonts w:ascii="Arial" w:hAnsi="Arial" w:cs="Arial"/>
          <w:b/>
          <w:bCs/>
          <w:sz w:val="24"/>
        </w:rPr>
        <w:t>Title:</w:t>
      </w:r>
      <w:r w:rsidRPr="0016316A">
        <w:rPr>
          <w:rFonts w:ascii="Arial" w:hAnsi="Arial" w:cs="Arial"/>
          <w:b/>
          <w:bCs/>
          <w:sz w:val="24"/>
        </w:rPr>
        <w:tab/>
      </w:r>
      <w:r w:rsidR="00BC1860" w:rsidRPr="00BC1860">
        <w:rPr>
          <w:rFonts w:ascii="Arial" w:hAnsi="Arial" w:cs="Arial"/>
          <w:b/>
          <w:bCs/>
          <w:sz w:val="24"/>
        </w:rPr>
        <w:t>On the unlicensed band operation in NR</w:t>
      </w:r>
    </w:p>
    <w:p w14:paraId="709D8CEF" w14:textId="77777777" w:rsidR="0034111C" w:rsidRPr="0016316A" w:rsidRDefault="0034111C">
      <w:pPr>
        <w:rPr>
          <w:rFonts w:ascii="Arial" w:hAnsi="Arial" w:cs="Arial"/>
          <w:b/>
          <w:bCs/>
          <w:sz w:val="24"/>
        </w:rPr>
      </w:pPr>
      <w:r w:rsidRPr="0016316A">
        <w:rPr>
          <w:rFonts w:ascii="Arial" w:hAnsi="Arial" w:cs="Arial"/>
          <w:b/>
          <w:bCs/>
          <w:sz w:val="24"/>
        </w:rPr>
        <w:t>Document for:</w:t>
      </w:r>
      <w:r w:rsidRPr="0016316A">
        <w:rPr>
          <w:rFonts w:ascii="Arial" w:hAnsi="Arial" w:cs="Arial"/>
          <w:b/>
          <w:bCs/>
          <w:sz w:val="24"/>
        </w:rPr>
        <w:tab/>
      </w:r>
      <w:r w:rsidRPr="0016316A">
        <w:rPr>
          <w:rFonts w:ascii="Arial" w:hAnsi="Arial" w:cs="Arial"/>
          <w:b/>
          <w:bCs/>
          <w:sz w:val="24"/>
        </w:rPr>
        <w:tab/>
        <w:t>Discussion and Decision</w:t>
      </w:r>
    </w:p>
    <w:p w14:paraId="67348D54" w14:textId="77777777" w:rsidR="0034111C" w:rsidRPr="0016316A" w:rsidRDefault="0034111C">
      <w:pPr>
        <w:pStyle w:val="Heading1"/>
      </w:pPr>
      <w:r w:rsidRPr="0016316A">
        <w:t>1</w:t>
      </w:r>
      <w:r w:rsidRPr="0016316A">
        <w:tab/>
      </w:r>
      <w:r w:rsidR="00EE7FA7" w:rsidRPr="0016316A">
        <w:t>Introduction</w:t>
      </w:r>
    </w:p>
    <w:p w14:paraId="661ECDEB" w14:textId="0D49BEA7" w:rsidR="00BC1AD9" w:rsidRPr="00C75F2F" w:rsidRDefault="002256D9" w:rsidP="00FE141A">
      <w:pPr>
        <w:spacing w:after="120"/>
        <w:jc w:val="both"/>
        <w:rPr>
          <w:bCs/>
          <w:lang w:val="en-US"/>
        </w:rPr>
      </w:pPr>
      <w:r w:rsidRPr="0016316A">
        <w:rPr>
          <w:bCs/>
        </w:rPr>
        <w:t xml:space="preserve">An objective of </w:t>
      </w:r>
      <w:r w:rsidR="00D060FF">
        <w:rPr>
          <w:bCs/>
        </w:rPr>
        <w:t>the 5G study item</w:t>
      </w:r>
      <w:r w:rsidR="002E563B">
        <w:rPr>
          <w:bCs/>
        </w:rPr>
        <w:t xml:space="preserve"> [1]</w:t>
      </w:r>
      <w:r w:rsidR="00D060FF">
        <w:rPr>
          <w:bCs/>
        </w:rPr>
        <w:t xml:space="preserve"> i</w:t>
      </w:r>
      <w:r w:rsidR="009A0C18">
        <w:rPr>
          <w:bCs/>
        </w:rPr>
        <w:t>s</w:t>
      </w:r>
      <w:r w:rsidR="00D060FF">
        <w:rPr>
          <w:bCs/>
        </w:rPr>
        <w:t xml:space="preserve"> to identify and develop technology components needed for new radio (NR) systems being able to use any spectrum band ranging at least up to 100 GHz. </w:t>
      </w:r>
      <w:r w:rsidR="002E563B">
        <w:rPr>
          <w:bCs/>
        </w:rPr>
        <w:t>The goal is to achieve a single technical framework addressing all usage scenarios, requirements and deployment scenarios defined in TR38.913 [2]. The new RAT shall be inherently forward compatible to allow specification in two</w:t>
      </w:r>
      <w:r w:rsidR="00C75F2F">
        <w:rPr>
          <w:bCs/>
        </w:rPr>
        <w:t xml:space="preserve"> separate</w:t>
      </w:r>
      <w:r w:rsidR="002E563B">
        <w:rPr>
          <w:bCs/>
        </w:rPr>
        <w:t xml:space="preserve"> phases (Phase I and Phase II)</w:t>
      </w:r>
      <w:r w:rsidR="00C75F2F">
        <w:rPr>
          <w:bCs/>
        </w:rPr>
        <w:t>.</w:t>
      </w:r>
      <w:r w:rsidR="00BC1AD9">
        <w:rPr>
          <w:bCs/>
        </w:rPr>
        <w:t xml:space="preserve"> </w:t>
      </w:r>
    </w:p>
    <w:p w14:paraId="46CE9A9F" w14:textId="6123C77C" w:rsidR="00F52B81" w:rsidRDefault="00FE141A" w:rsidP="00F52B81">
      <w:pPr>
        <w:rPr>
          <w:bCs/>
        </w:rPr>
      </w:pPr>
      <w:r>
        <w:rPr>
          <w:bCs/>
        </w:rPr>
        <w:t>It was agreed in the previous RAN WG1 meeting (TSGR1 84b</w:t>
      </w:r>
      <w:r w:rsidR="009A0C18">
        <w:rPr>
          <w:bCs/>
        </w:rPr>
        <w:t>is</w:t>
      </w:r>
      <w:r>
        <w:rPr>
          <w:bCs/>
        </w:rPr>
        <w:t xml:space="preserve">), that New Radio study frame structure(s) need to support </w:t>
      </w:r>
      <w:r w:rsidR="00BC1860">
        <w:rPr>
          <w:bCs/>
        </w:rPr>
        <w:t xml:space="preserve">at least </w:t>
      </w:r>
      <w:r w:rsidR="00BC1860" w:rsidRPr="00BC1AD9">
        <w:rPr>
          <w:bCs/>
        </w:rPr>
        <w:t>licensed assisted operation in unlicensed bands</w:t>
      </w:r>
      <w:r w:rsidR="00BC1860">
        <w:rPr>
          <w:rFonts w:eastAsia="MS Mincho"/>
          <w:lang w:val="en-US" w:eastAsia="ja-JP"/>
        </w:rPr>
        <w:t xml:space="preserve"> </w:t>
      </w:r>
      <w:r>
        <w:rPr>
          <w:rFonts w:eastAsia="MS Mincho"/>
          <w:lang w:val="en-US" w:eastAsia="ja-JP"/>
        </w:rPr>
        <w:t>(among other features).</w:t>
      </w:r>
      <w:r w:rsidR="00F52B81">
        <w:rPr>
          <w:rFonts w:eastAsia="MS Mincho"/>
          <w:lang w:val="en-US" w:eastAsia="ja-JP"/>
        </w:rPr>
        <w:t xml:space="preserve"> </w:t>
      </w:r>
      <w:r w:rsidR="00C85277">
        <w:rPr>
          <w:bCs/>
        </w:rPr>
        <w:t xml:space="preserve">In this contribution we </w:t>
      </w:r>
      <w:r w:rsidR="008F428E">
        <w:rPr>
          <w:bCs/>
        </w:rPr>
        <w:t>discuss scenarios</w:t>
      </w:r>
      <w:r w:rsidR="00F52B81">
        <w:rPr>
          <w:bCs/>
        </w:rPr>
        <w:t>, requirements and technical solutions</w:t>
      </w:r>
      <w:r w:rsidR="00117C44">
        <w:rPr>
          <w:bCs/>
        </w:rPr>
        <w:t xml:space="preserve"> for</w:t>
      </w:r>
      <w:r w:rsidR="00E927C9">
        <w:rPr>
          <w:bCs/>
        </w:rPr>
        <w:t xml:space="preserve"> </w:t>
      </w:r>
      <w:r w:rsidR="00BC1860">
        <w:rPr>
          <w:bCs/>
        </w:rPr>
        <w:t xml:space="preserve">unlicensed band </w:t>
      </w:r>
      <w:r w:rsidR="00417581">
        <w:rPr>
          <w:bCs/>
        </w:rPr>
        <w:t>operation</w:t>
      </w:r>
      <w:r w:rsidR="00F52B81">
        <w:rPr>
          <w:lang w:eastAsia="ko-KR"/>
        </w:rPr>
        <w:t xml:space="preserve"> in NR.</w:t>
      </w:r>
    </w:p>
    <w:p w14:paraId="7F0E8EF7" w14:textId="77777777" w:rsidR="00971592" w:rsidRPr="00971592" w:rsidRDefault="00971592" w:rsidP="00971592">
      <w:pPr>
        <w:spacing w:after="0"/>
        <w:ind w:right="1038"/>
        <w:jc w:val="both"/>
        <w:rPr>
          <w:bCs/>
          <w:sz w:val="8"/>
        </w:rPr>
      </w:pPr>
    </w:p>
    <w:p w14:paraId="6C8F8553" w14:textId="5140A707" w:rsidR="00734A05" w:rsidRDefault="009C650E" w:rsidP="00734A05">
      <w:pPr>
        <w:pStyle w:val="Heading1"/>
      </w:pPr>
      <w:r w:rsidRPr="0016316A">
        <w:rPr>
          <w:color w:val="000000"/>
        </w:rPr>
        <w:t>2</w:t>
      </w:r>
      <w:r w:rsidR="00734A05" w:rsidRPr="0016316A">
        <w:rPr>
          <w:color w:val="000000"/>
        </w:rPr>
        <w:tab/>
      </w:r>
      <w:r w:rsidR="009B6BB7">
        <w:t>Scenarios for unlicensed band operation in NR</w:t>
      </w:r>
    </w:p>
    <w:p w14:paraId="64D3CF46" w14:textId="1EAAD62A" w:rsidR="004D1A46" w:rsidRDefault="00690525" w:rsidP="00E27040">
      <w:pPr>
        <w:spacing w:after="0"/>
        <w:jc w:val="both"/>
      </w:pPr>
      <w:r>
        <w:rPr>
          <w:rFonts w:cs="Arial"/>
          <w:szCs w:val="22"/>
        </w:rPr>
        <w:t>In the following, we conside</w:t>
      </w:r>
      <w:r w:rsidR="009B6BB7">
        <w:rPr>
          <w:rFonts w:cs="Arial"/>
          <w:szCs w:val="22"/>
        </w:rPr>
        <w:t>r possible deployment scenarios and</w:t>
      </w:r>
      <w:r>
        <w:rPr>
          <w:rFonts w:cs="Arial"/>
          <w:szCs w:val="22"/>
        </w:rPr>
        <w:t xml:space="preserve"> regulatory rules for </w:t>
      </w:r>
      <w:r>
        <w:t xml:space="preserve">unlicensed band operation in NR. </w:t>
      </w:r>
    </w:p>
    <w:p w14:paraId="295F5F5B" w14:textId="77777777" w:rsidR="00690525" w:rsidRDefault="00690525" w:rsidP="0067442E">
      <w:pPr>
        <w:spacing w:after="0"/>
        <w:jc w:val="both"/>
        <w:rPr>
          <w:lang w:eastAsia="zh-CN"/>
        </w:rPr>
      </w:pPr>
    </w:p>
    <w:p w14:paraId="522B16E7" w14:textId="0CD5FA04" w:rsidR="004D1A46" w:rsidRDefault="004D1A46" w:rsidP="004D1A46">
      <w:pPr>
        <w:pStyle w:val="Heading2"/>
      </w:pPr>
      <w:r>
        <w:rPr>
          <w:lang w:eastAsia="zh-CN"/>
        </w:rPr>
        <w:t>2</w:t>
      </w:r>
      <w:r>
        <w:t>.</w:t>
      </w:r>
      <w:r w:rsidR="00690525">
        <w:rPr>
          <w:lang w:eastAsia="zh-CN"/>
        </w:rPr>
        <w:t>1</w:t>
      </w:r>
      <w:r w:rsidRPr="00834630">
        <w:tab/>
      </w:r>
      <w:r>
        <w:t xml:space="preserve">Deployment scenarios </w:t>
      </w:r>
    </w:p>
    <w:p w14:paraId="1A2607B0" w14:textId="2D478225" w:rsidR="00591CA0" w:rsidRDefault="00591CA0" w:rsidP="00591CA0">
      <w:pPr>
        <w:jc w:val="both"/>
        <w:rPr>
          <w:rFonts w:eastAsia="Malgun Gothic"/>
          <w:bCs/>
          <w:lang w:val="en-US" w:eastAsia="ko-KR"/>
        </w:rPr>
      </w:pPr>
      <w:r>
        <w:rPr>
          <w:rFonts w:cs="Arial"/>
          <w:szCs w:val="22"/>
        </w:rPr>
        <w:t>It is stated in [1] that</w:t>
      </w:r>
      <w:r w:rsidR="00BB5611">
        <w:rPr>
          <w:rFonts w:cs="Arial"/>
          <w:szCs w:val="22"/>
        </w:rPr>
        <w:t xml:space="preserve"> NR studies should include at least</w:t>
      </w:r>
      <w:r>
        <w:rPr>
          <w:rFonts w:cs="Arial"/>
          <w:szCs w:val="22"/>
        </w:rPr>
        <w:t xml:space="preserve"> </w:t>
      </w:r>
      <w:r w:rsidR="00BB5611">
        <w:rPr>
          <w:rFonts w:cs="Arial"/>
          <w:szCs w:val="22"/>
        </w:rPr>
        <w:t>operation</w:t>
      </w:r>
      <w:r w:rsidRPr="00591CA0">
        <w:rPr>
          <w:rFonts w:eastAsia="Malgun Gothic"/>
          <w:bCs/>
          <w:lang w:val="en-US" w:eastAsia="ko-KR"/>
        </w:rPr>
        <w:t xml:space="preserve"> in licensed bands (paired and unpaired), and licensed assisted operations in unlicensed bands</w:t>
      </w:r>
      <w:r>
        <w:rPr>
          <w:rFonts w:eastAsia="Malgun Gothic"/>
          <w:bCs/>
          <w:lang w:val="en-US" w:eastAsia="ko-KR"/>
        </w:rPr>
        <w:t xml:space="preserve">. </w:t>
      </w:r>
      <w:r w:rsidRPr="00591CA0">
        <w:rPr>
          <w:rFonts w:eastAsia="Malgun Gothic"/>
          <w:bCs/>
          <w:lang w:val="en-US" w:eastAsia="ko-KR"/>
        </w:rPr>
        <w:t>Standalone opera</w:t>
      </w:r>
      <w:r>
        <w:rPr>
          <w:rFonts w:eastAsia="Malgun Gothic"/>
          <w:bCs/>
          <w:lang w:val="en-US" w:eastAsia="ko-KR"/>
        </w:rPr>
        <w:t>tion in unlicensed bands</w:t>
      </w:r>
      <w:r w:rsidR="00A701AF">
        <w:rPr>
          <w:rFonts w:eastAsia="Malgun Gothic"/>
          <w:bCs/>
          <w:lang w:val="en-US" w:eastAsia="ko-KR"/>
        </w:rPr>
        <w:t xml:space="preserve"> not relying on any assistance via licensed carriers</w:t>
      </w:r>
      <w:r>
        <w:rPr>
          <w:rFonts w:eastAsia="Malgun Gothic"/>
          <w:bCs/>
          <w:lang w:val="en-US" w:eastAsia="ko-KR"/>
        </w:rPr>
        <w:t xml:space="preserve"> is FFS. </w:t>
      </w:r>
    </w:p>
    <w:p w14:paraId="59245321" w14:textId="21996AFF" w:rsidR="00591CA0" w:rsidRDefault="00591CA0" w:rsidP="00896C44">
      <w:pPr>
        <w:spacing w:after="0"/>
        <w:jc w:val="both"/>
        <w:rPr>
          <w:rFonts w:eastAsia="Malgun Gothic"/>
          <w:bCs/>
          <w:lang w:val="en-US" w:eastAsia="ko-KR"/>
        </w:rPr>
      </w:pPr>
      <w:r>
        <w:rPr>
          <w:rFonts w:eastAsia="Malgun Gothic"/>
          <w:bCs/>
          <w:lang w:val="en-US" w:eastAsia="ko-KR"/>
        </w:rPr>
        <w:t xml:space="preserve">NR provides an opportunity to </w:t>
      </w:r>
      <w:r w:rsidR="00896C44">
        <w:rPr>
          <w:rFonts w:eastAsia="Malgun Gothic"/>
          <w:bCs/>
          <w:lang w:val="en-US" w:eastAsia="ko-KR"/>
        </w:rPr>
        <w:t xml:space="preserve">develop a forward compatible design </w:t>
      </w:r>
      <w:r w:rsidR="00A701AF">
        <w:rPr>
          <w:rFonts w:eastAsia="Malgun Gothic"/>
          <w:bCs/>
          <w:lang w:val="en-US" w:eastAsia="ko-KR"/>
        </w:rPr>
        <w:t xml:space="preserve">that would </w:t>
      </w:r>
      <w:r w:rsidR="00896C44">
        <w:rPr>
          <w:rFonts w:eastAsia="Malgun Gothic"/>
          <w:bCs/>
          <w:lang w:val="en-US" w:eastAsia="ko-KR"/>
        </w:rPr>
        <w:t xml:space="preserve">allow </w:t>
      </w:r>
      <w:r w:rsidR="00A701AF">
        <w:rPr>
          <w:rFonts w:eastAsia="Malgun Gothic"/>
          <w:bCs/>
          <w:lang w:val="en-US" w:eastAsia="ko-KR"/>
        </w:rPr>
        <w:t xml:space="preserve">for </w:t>
      </w:r>
      <w:r w:rsidR="00896C44">
        <w:rPr>
          <w:rFonts w:eastAsia="Malgun Gothic"/>
          <w:bCs/>
          <w:lang w:val="en-US" w:eastAsia="ko-KR"/>
        </w:rPr>
        <w:t>introduc</w:t>
      </w:r>
      <w:r w:rsidR="00A701AF">
        <w:rPr>
          <w:rFonts w:eastAsia="Malgun Gothic"/>
          <w:bCs/>
          <w:lang w:val="en-US" w:eastAsia="ko-KR"/>
        </w:rPr>
        <w:t>ing</w:t>
      </w:r>
      <w:r w:rsidR="00896C44">
        <w:rPr>
          <w:rFonts w:eastAsia="Malgun Gothic"/>
          <w:bCs/>
          <w:lang w:val="en-US" w:eastAsia="ko-KR"/>
        </w:rPr>
        <w:t xml:space="preserve"> standalone and/or dual connectivity functionalities</w:t>
      </w:r>
      <w:r w:rsidR="00A701AF">
        <w:rPr>
          <w:rFonts w:eastAsia="Malgun Gothic"/>
          <w:bCs/>
          <w:lang w:val="en-US" w:eastAsia="ko-KR"/>
        </w:rPr>
        <w:t xml:space="preserve"> for unlicensed band operations</w:t>
      </w:r>
      <w:r w:rsidR="00896C44">
        <w:rPr>
          <w:rFonts w:eastAsia="Malgun Gothic"/>
          <w:bCs/>
          <w:lang w:val="en-US" w:eastAsia="ko-KR"/>
        </w:rPr>
        <w:t xml:space="preserve"> at any point of time. </w:t>
      </w:r>
      <w:r w:rsidR="00BB5611">
        <w:rPr>
          <w:lang w:eastAsia="ko-KR"/>
        </w:rPr>
        <w:t>In order to minimize the legacy burden in the future, key technical solutions</w:t>
      </w:r>
      <w:r w:rsidR="00A701AF">
        <w:rPr>
          <w:lang w:eastAsia="ko-KR"/>
        </w:rPr>
        <w:t>, all</w:t>
      </w:r>
      <w:r w:rsidR="00BB5611">
        <w:rPr>
          <w:lang w:eastAsia="ko-KR"/>
        </w:rPr>
        <w:t xml:space="preserve"> anticipated scenarios should be addressed already in the first NR release (Phase 1). </w:t>
      </w:r>
      <w:r w:rsidR="00896C44">
        <w:rPr>
          <w:rFonts w:eastAsia="Malgun Gothic"/>
          <w:bCs/>
          <w:lang w:val="en-US" w:eastAsia="ko-KR"/>
        </w:rPr>
        <w:t>For th</w:t>
      </w:r>
      <w:r w:rsidR="00A701AF">
        <w:rPr>
          <w:rFonts w:eastAsia="Malgun Gothic"/>
          <w:bCs/>
          <w:lang w:val="en-US" w:eastAsia="ko-KR"/>
        </w:rPr>
        <w:t>e sake of forward compatibility</w:t>
      </w:r>
      <w:r w:rsidR="00896C44">
        <w:rPr>
          <w:rFonts w:eastAsia="Malgun Gothic"/>
          <w:bCs/>
          <w:lang w:val="en-US" w:eastAsia="ko-KR"/>
        </w:rPr>
        <w:t>, NR studies should include also the following functionalities</w:t>
      </w:r>
      <w:r w:rsidR="00A701AF">
        <w:rPr>
          <w:rFonts w:eastAsia="Malgun Gothic"/>
          <w:bCs/>
          <w:lang w:val="en-US" w:eastAsia="ko-KR"/>
        </w:rPr>
        <w:t xml:space="preserve"> needed for standalone and/or dual connectivity operation</w:t>
      </w:r>
      <w:r w:rsidR="00896C44">
        <w:rPr>
          <w:rFonts w:eastAsia="Malgun Gothic"/>
          <w:bCs/>
          <w:lang w:val="en-US" w:eastAsia="ko-KR"/>
        </w:rPr>
        <w:t>:</w:t>
      </w:r>
    </w:p>
    <w:p w14:paraId="7A8D7A49" w14:textId="1F4CE9B6" w:rsidR="00896C44" w:rsidRPr="00896C44" w:rsidRDefault="00896C44" w:rsidP="00F36555">
      <w:pPr>
        <w:pStyle w:val="ListParagraph"/>
        <w:numPr>
          <w:ilvl w:val="0"/>
          <w:numId w:val="7"/>
        </w:numPr>
        <w:jc w:val="both"/>
        <w:rPr>
          <w:rFonts w:eastAsia="Malgun Gothic"/>
          <w:bCs/>
          <w:lang w:val="en-US" w:eastAsia="ko-KR"/>
        </w:rPr>
      </w:pPr>
      <w:r>
        <w:rPr>
          <w:rFonts w:eastAsia="Malgun Gothic"/>
          <w:bCs/>
          <w:sz w:val="20"/>
          <w:lang w:val="en-US" w:eastAsia="ko-KR"/>
        </w:rPr>
        <w:t>PBCH</w:t>
      </w:r>
    </w:p>
    <w:p w14:paraId="3017E22F" w14:textId="64AEAD47" w:rsidR="00896C44" w:rsidRPr="00896C44" w:rsidRDefault="00896C44" w:rsidP="00F36555">
      <w:pPr>
        <w:pStyle w:val="ListParagraph"/>
        <w:numPr>
          <w:ilvl w:val="0"/>
          <w:numId w:val="7"/>
        </w:numPr>
        <w:jc w:val="both"/>
        <w:rPr>
          <w:rFonts w:eastAsia="Malgun Gothic"/>
          <w:bCs/>
          <w:lang w:val="en-US" w:eastAsia="ko-KR"/>
        </w:rPr>
      </w:pPr>
      <w:r>
        <w:rPr>
          <w:rFonts w:eastAsia="Malgun Gothic"/>
          <w:bCs/>
          <w:sz w:val="20"/>
          <w:lang w:val="en-US" w:eastAsia="ko-KR"/>
        </w:rPr>
        <w:t>PRACH</w:t>
      </w:r>
    </w:p>
    <w:p w14:paraId="17327C50" w14:textId="2AD86427" w:rsidR="00896C44" w:rsidRPr="00896C44" w:rsidRDefault="00896C44" w:rsidP="00F36555">
      <w:pPr>
        <w:pStyle w:val="ListParagraph"/>
        <w:numPr>
          <w:ilvl w:val="0"/>
          <w:numId w:val="7"/>
        </w:numPr>
        <w:jc w:val="both"/>
        <w:rPr>
          <w:rFonts w:eastAsia="Malgun Gothic"/>
          <w:bCs/>
          <w:lang w:val="en-US" w:eastAsia="ko-KR"/>
        </w:rPr>
      </w:pPr>
      <w:r>
        <w:rPr>
          <w:rFonts w:eastAsia="Malgun Gothic"/>
          <w:bCs/>
          <w:sz w:val="20"/>
          <w:lang w:val="en-US" w:eastAsia="ko-KR"/>
        </w:rPr>
        <w:t>Physical uplink control channel</w:t>
      </w:r>
      <w:r w:rsidR="0089450C">
        <w:rPr>
          <w:rFonts w:eastAsia="Malgun Gothic"/>
          <w:bCs/>
          <w:sz w:val="20"/>
          <w:lang w:val="en-US" w:eastAsia="ko-KR"/>
        </w:rPr>
        <w:t>.</w:t>
      </w:r>
    </w:p>
    <w:p w14:paraId="06D7D51E" w14:textId="77777777" w:rsidR="00896C44" w:rsidRDefault="00896C44" w:rsidP="0067442E">
      <w:pPr>
        <w:spacing w:after="0"/>
        <w:jc w:val="both"/>
        <w:rPr>
          <w:rFonts w:eastAsia="Malgun Gothic"/>
          <w:bCs/>
          <w:lang w:val="en-US" w:eastAsia="ko-KR"/>
        </w:rPr>
      </w:pPr>
    </w:p>
    <w:p w14:paraId="6D4019BE" w14:textId="15AA8DE8" w:rsidR="004D1A46" w:rsidRPr="00600001" w:rsidRDefault="009A0C18" w:rsidP="0038685E">
      <w:pPr>
        <w:jc w:val="both"/>
        <w:rPr>
          <w:rFonts w:cs="Arial"/>
          <w:szCs w:val="22"/>
        </w:rPr>
      </w:pPr>
      <w:r>
        <w:rPr>
          <w:rFonts w:eastAsia="Malgun Gothic"/>
          <w:bCs/>
          <w:lang w:val="en-US" w:eastAsia="ko-KR"/>
        </w:rPr>
        <w:t xml:space="preserve">In addition to unlicensed bands at 5GHz, </w:t>
      </w:r>
      <w:r w:rsidR="00896C44">
        <w:rPr>
          <w:rFonts w:eastAsia="Malgun Gothic"/>
          <w:bCs/>
          <w:lang w:val="en-US" w:eastAsia="ko-KR"/>
        </w:rPr>
        <w:t xml:space="preserve">NR should provide support also for operation </w:t>
      </w:r>
      <w:r w:rsidR="0089450C">
        <w:rPr>
          <w:rFonts w:eastAsia="Malgun Gothic"/>
          <w:bCs/>
          <w:lang w:val="en-US" w:eastAsia="ko-KR"/>
        </w:rPr>
        <w:t>lower than 5 GHz</w:t>
      </w:r>
      <w:r w:rsidR="00896C44">
        <w:rPr>
          <w:rFonts w:eastAsia="Malgun Gothic"/>
          <w:bCs/>
          <w:lang w:val="en-US" w:eastAsia="ko-KR"/>
        </w:rPr>
        <w:t xml:space="preserve"> band. </w:t>
      </w:r>
      <w:r w:rsidR="00A21B86">
        <w:rPr>
          <w:rFonts w:eastAsia="Malgun Gothic"/>
          <w:bCs/>
          <w:lang w:val="en-US" w:eastAsia="ko-KR"/>
        </w:rPr>
        <w:t>Based on that, there is a need to consider also larger cell sizes (compared to 5GHz operation) and various coexistence scenarios including also shared spectrum usage between operators.</w:t>
      </w:r>
    </w:p>
    <w:p w14:paraId="52696BFA" w14:textId="57B8DDCF" w:rsidR="004D1A46" w:rsidRDefault="004D1A46" w:rsidP="004D1A46">
      <w:pPr>
        <w:rPr>
          <w:rFonts w:eastAsia="MS Mincho"/>
          <w:b/>
          <w:i/>
          <w:lang w:val="en-US" w:eastAsia="ja-JP"/>
        </w:rPr>
      </w:pPr>
      <w:r w:rsidRPr="00583FD8">
        <w:rPr>
          <w:rFonts w:eastAsia="MS Mincho"/>
          <w:b/>
          <w:i/>
          <w:lang w:val="en-US" w:eastAsia="ja-JP"/>
        </w:rPr>
        <w:t>Proposal #</w:t>
      </w:r>
      <w:r w:rsidR="00117C44" w:rsidRPr="00583FD8">
        <w:rPr>
          <w:rFonts w:eastAsia="MS Mincho"/>
          <w:b/>
          <w:i/>
          <w:lang w:val="en-US" w:eastAsia="ja-JP"/>
        </w:rPr>
        <w:t>1</w:t>
      </w:r>
      <w:r w:rsidRPr="00583FD8">
        <w:rPr>
          <w:rFonts w:eastAsia="MS Mincho"/>
          <w:b/>
          <w:i/>
          <w:lang w:val="en-US" w:eastAsia="ja-JP"/>
        </w:rPr>
        <w:t xml:space="preserve">: </w:t>
      </w:r>
      <w:r w:rsidR="00690525" w:rsidRPr="00583FD8">
        <w:rPr>
          <w:rFonts w:eastAsia="MS Mincho"/>
          <w:b/>
          <w:i/>
          <w:lang w:val="en-US" w:eastAsia="ja-JP"/>
        </w:rPr>
        <w:t>Consider</w:t>
      </w:r>
      <w:r w:rsidRPr="00583FD8">
        <w:rPr>
          <w:rFonts w:eastAsia="MS Mincho"/>
          <w:b/>
          <w:i/>
          <w:lang w:val="en-US" w:eastAsia="ja-JP"/>
        </w:rPr>
        <w:t xml:space="preserve"> all deployment scenarios foreseen for unlicensed band operation</w:t>
      </w:r>
      <w:r w:rsidR="00117C44" w:rsidRPr="00583FD8">
        <w:rPr>
          <w:rFonts w:eastAsia="MS Mincho"/>
          <w:b/>
          <w:i/>
          <w:lang w:val="en-US" w:eastAsia="ja-JP"/>
        </w:rPr>
        <w:t xml:space="preserve"> in NR</w:t>
      </w:r>
    </w:p>
    <w:p w14:paraId="31603056" w14:textId="77777777" w:rsidR="004D1A46" w:rsidRDefault="004D1A46" w:rsidP="004D1A46">
      <w:pPr>
        <w:rPr>
          <w:lang w:eastAsia="zh-CN"/>
        </w:rPr>
      </w:pPr>
    </w:p>
    <w:p w14:paraId="185366E5" w14:textId="22ACC159" w:rsidR="00600001" w:rsidRDefault="00600001" w:rsidP="00600001">
      <w:pPr>
        <w:pStyle w:val="Heading2"/>
      </w:pPr>
      <w:r>
        <w:rPr>
          <w:lang w:eastAsia="zh-CN"/>
        </w:rPr>
        <w:t>2</w:t>
      </w:r>
      <w:r>
        <w:t>.</w:t>
      </w:r>
      <w:r w:rsidR="00690525">
        <w:rPr>
          <w:lang w:eastAsia="zh-CN"/>
        </w:rPr>
        <w:t>2</w:t>
      </w:r>
      <w:r w:rsidRPr="00834630">
        <w:tab/>
      </w:r>
      <w:r w:rsidR="00417581">
        <w:t>Regulatory situation</w:t>
      </w:r>
    </w:p>
    <w:p w14:paraId="2DA5A9AC" w14:textId="5DEEACBC" w:rsidR="00096C43" w:rsidRDefault="00690525" w:rsidP="00690525">
      <w:pPr>
        <w:overflowPunct/>
        <w:spacing w:after="0"/>
        <w:textAlignment w:val="auto"/>
        <w:rPr>
          <w:szCs w:val="22"/>
          <w:lang w:val="en-US"/>
        </w:rPr>
      </w:pPr>
      <w:r w:rsidRPr="00811C0E">
        <w:rPr>
          <w:szCs w:val="22"/>
          <w:lang w:val="en-US"/>
        </w:rPr>
        <w:t xml:space="preserve">The use of unlicensed spectrum usually </w:t>
      </w:r>
      <w:r w:rsidR="009A0C18">
        <w:rPr>
          <w:szCs w:val="22"/>
          <w:lang w:val="en-US"/>
        </w:rPr>
        <w:t>involves</w:t>
      </w:r>
      <w:r w:rsidR="009A0C18" w:rsidRPr="00811C0E">
        <w:rPr>
          <w:szCs w:val="22"/>
          <w:lang w:val="en-US"/>
        </w:rPr>
        <w:t xml:space="preserve"> </w:t>
      </w:r>
      <w:r w:rsidRPr="00811C0E">
        <w:rPr>
          <w:szCs w:val="22"/>
          <w:lang w:val="en-US"/>
        </w:rPr>
        <w:t xml:space="preserve">some regulatory requirements, such as being able to detect if a radar system is using the band or being able to co-exist with other users </w:t>
      </w:r>
      <w:r w:rsidR="009A0C18">
        <w:rPr>
          <w:szCs w:val="22"/>
          <w:lang w:val="en-US"/>
        </w:rPr>
        <w:t>and radio access technologies</w:t>
      </w:r>
      <w:r w:rsidRPr="00811C0E">
        <w:rPr>
          <w:szCs w:val="22"/>
          <w:lang w:val="en-US"/>
        </w:rPr>
        <w:t xml:space="preserve">. </w:t>
      </w:r>
      <w:r w:rsidR="009A0C18">
        <w:rPr>
          <w:szCs w:val="22"/>
          <w:lang w:val="en-US"/>
        </w:rPr>
        <w:t xml:space="preserve">To meet these requirements, procedures such </w:t>
      </w:r>
      <w:r w:rsidRPr="00811C0E">
        <w:rPr>
          <w:szCs w:val="22"/>
          <w:lang w:val="en-US"/>
        </w:rPr>
        <w:t xml:space="preserve">as </w:t>
      </w:r>
      <w:r w:rsidR="00903B4F">
        <w:rPr>
          <w:szCs w:val="22"/>
          <w:lang w:val="en-US"/>
        </w:rPr>
        <w:t xml:space="preserve">Dynamic Frequency Selection, </w:t>
      </w:r>
      <w:r w:rsidRPr="00811C0E">
        <w:rPr>
          <w:szCs w:val="22"/>
          <w:lang w:val="en-US"/>
        </w:rPr>
        <w:t>Clear Channel Assessment (CCA) or Listen-Before-Talk</w:t>
      </w:r>
      <w:r w:rsidR="00811C0E" w:rsidRPr="00811C0E">
        <w:rPr>
          <w:szCs w:val="22"/>
          <w:lang w:val="en-US"/>
        </w:rPr>
        <w:t xml:space="preserve"> </w:t>
      </w:r>
      <w:r w:rsidRPr="00811C0E">
        <w:rPr>
          <w:szCs w:val="22"/>
          <w:lang w:val="en-US"/>
        </w:rPr>
        <w:t>(LBT)</w:t>
      </w:r>
      <w:r w:rsidR="009A0C18">
        <w:rPr>
          <w:szCs w:val="22"/>
          <w:lang w:val="en-US"/>
        </w:rPr>
        <w:t xml:space="preserve"> are needed</w:t>
      </w:r>
      <w:r w:rsidRPr="00811C0E">
        <w:rPr>
          <w:szCs w:val="22"/>
          <w:lang w:val="en-US"/>
        </w:rPr>
        <w:t xml:space="preserve"> and </w:t>
      </w:r>
      <w:r w:rsidR="009A0C18">
        <w:rPr>
          <w:szCs w:val="22"/>
          <w:lang w:val="en-US"/>
        </w:rPr>
        <w:t xml:space="preserve">consequently </w:t>
      </w:r>
      <w:r w:rsidRPr="00811C0E">
        <w:rPr>
          <w:szCs w:val="22"/>
          <w:lang w:val="en-US"/>
        </w:rPr>
        <w:t>it is not always possible to transmit immediately if</w:t>
      </w:r>
      <w:r w:rsidR="00811C0E" w:rsidRPr="00811C0E">
        <w:rPr>
          <w:szCs w:val="22"/>
          <w:lang w:val="en-US"/>
        </w:rPr>
        <w:t xml:space="preserve"> </w:t>
      </w:r>
      <w:r w:rsidRPr="00811C0E">
        <w:rPr>
          <w:szCs w:val="22"/>
          <w:lang w:val="en-US"/>
        </w:rPr>
        <w:t>the</w:t>
      </w:r>
      <w:r w:rsidR="00A55FC9">
        <w:rPr>
          <w:szCs w:val="22"/>
          <w:lang w:val="en-US"/>
        </w:rPr>
        <w:t xml:space="preserve"> intended channel is occupied.</w:t>
      </w:r>
      <w:r w:rsidR="00096C43">
        <w:rPr>
          <w:szCs w:val="22"/>
          <w:lang w:val="en-US"/>
        </w:rPr>
        <w:t xml:space="preserve"> The maximum channel occupancy time</w:t>
      </w:r>
      <w:r w:rsidR="009A0C18">
        <w:rPr>
          <w:szCs w:val="22"/>
          <w:lang w:val="en-US"/>
        </w:rPr>
        <w:t xml:space="preserve"> (i.e. duration of a continuous transmission burst)</w:t>
      </w:r>
      <w:r w:rsidR="00096C43">
        <w:rPr>
          <w:szCs w:val="22"/>
          <w:lang w:val="en-US"/>
        </w:rPr>
        <w:t xml:space="preserve"> is also regulated.</w:t>
      </w:r>
    </w:p>
    <w:p w14:paraId="6CCF9451" w14:textId="77777777" w:rsidR="00096C43" w:rsidRDefault="00096C43" w:rsidP="00690525">
      <w:pPr>
        <w:overflowPunct/>
        <w:spacing w:after="0"/>
        <w:textAlignment w:val="auto"/>
        <w:rPr>
          <w:szCs w:val="22"/>
          <w:lang w:val="en-US"/>
        </w:rPr>
      </w:pPr>
    </w:p>
    <w:p w14:paraId="0EECFF62" w14:textId="47DD262F" w:rsidR="00096C43" w:rsidRDefault="00096C43" w:rsidP="00096C43">
      <w:pPr>
        <w:spacing w:after="0"/>
        <w:jc w:val="both"/>
        <w:rPr>
          <w:szCs w:val="22"/>
          <w:lang w:val="en-US"/>
        </w:rPr>
      </w:pPr>
      <w:r>
        <w:rPr>
          <w:szCs w:val="22"/>
          <w:lang w:val="en-US"/>
        </w:rPr>
        <w:lastRenderedPageBreak/>
        <w:t>D</w:t>
      </w:r>
      <w:r w:rsidRPr="00096C43">
        <w:rPr>
          <w:szCs w:val="22"/>
          <w:lang w:val="en-US"/>
        </w:rPr>
        <w:t>ifferent regulatory rules aim at fair and equal spectrum usage for different devices</w:t>
      </w:r>
      <w:r w:rsidR="009A0C18">
        <w:rPr>
          <w:szCs w:val="22"/>
          <w:lang w:val="en-US"/>
        </w:rPr>
        <w:t xml:space="preserve"> and radio access technologies</w:t>
      </w:r>
      <w:r w:rsidRPr="00096C43">
        <w:rPr>
          <w:szCs w:val="22"/>
          <w:lang w:val="en-US"/>
        </w:rPr>
        <w:t>. In order to ensure smooth operation under LBT</w:t>
      </w:r>
      <w:r w:rsidR="009A0C18">
        <w:rPr>
          <w:szCs w:val="22"/>
          <w:lang w:val="en-US"/>
        </w:rPr>
        <w:t xml:space="preserve"> requirements</w:t>
      </w:r>
      <w:r w:rsidRPr="00096C43">
        <w:rPr>
          <w:szCs w:val="22"/>
          <w:lang w:val="en-US"/>
        </w:rPr>
        <w:t>, all signal(s) must be easily detecta</w:t>
      </w:r>
      <w:r>
        <w:rPr>
          <w:szCs w:val="22"/>
          <w:lang w:val="en-US"/>
        </w:rPr>
        <w:t>ble by the neighboring nodes.</w:t>
      </w:r>
      <w:r w:rsidR="00BB5611">
        <w:rPr>
          <w:szCs w:val="22"/>
          <w:lang w:val="en-US"/>
        </w:rPr>
        <w:t xml:space="preserve"> There are two set of rules related to detectability:</w:t>
      </w:r>
    </w:p>
    <w:p w14:paraId="2795B5DC" w14:textId="77777777" w:rsidR="00583FD8" w:rsidRDefault="00096C43" w:rsidP="00583FD8">
      <w:pPr>
        <w:pStyle w:val="ListParagraph"/>
        <w:numPr>
          <w:ilvl w:val="0"/>
          <w:numId w:val="10"/>
        </w:numPr>
        <w:ind w:left="709" w:hanging="425"/>
        <w:jc w:val="both"/>
        <w:rPr>
          <w:sz w:val="20"/>
          <w:szCs w:val="20"/>
          <w:lang w:val="en-US"/>
        </w:rPr>
      </w:pPr>
      <w:r w:rsidRPr="00583FD8">
        <w:rPr>
          <w:sz w:val="20"/>
          <w:szCs w:val="20"/>
          <w:lang w:val="en-US"/>
        </w:rPr>
        <w:t>Limitations related to occupied channel bandwidth: According to ETSI regulation</w:t>
      </w:r>
      <w:r w:rsidR="00903B4F" w:rsidRPr="00583FD8">
        <w:rPr>
          <w:sz w:val="20"/>
          <w:szCs w:val="20"/>
          <w:lang w:val="en-US"/>
        </w:rPr>
        <w:t xml:space="preserve"> at 5 GHz band</w:t>
      </w:r>
      <w:r w:rsidRPr="00583FD8">
        <w:rPr>
          <w:sz w:val="20"/>
          <w:szCs w:val="20"/>
          <w:lang w:val="en-US"/>
        </w:rPr>
        <w:t>, the Occupied Channel Bandwidth, defined to be the bandwidth containing 99% of the power of the signal, shall be between 80% and 100% of the declared Nominal Channel Bandwidth.</w:t>
      </w:r>
    </w:p>
    <w:p w14:paraId="508E4612" w14:textId="356E76BD" w:rsidR="00096C43" w:rsidRDefault="00096C43" w:rsidP="00583FD8">
      <w:pPr>
        <w:pStyle w:val="ListParagraph"/>
        <w:numPr>
          <w:ilvl w:val="0"/>
          <w:numId w:val="10"/>
        </w:numPr>
        <w:ind w:left="709" w:hanging="425"/>
        <w:jc w:val="both"/>
        <w:rPr>
          <w:sz w:val="20"/>
          <w:szCs w:val="20"/>
          <w:lang w:val="en-US"/>
        </w:rPr>
      </w:pPr>
      <w:r w:rsidRPr="00583FD8">
        <w:rPr>
          <w:sz w:val="20"/>
          <w:szCs w:val="20"/>
          <w:lang w:val="en-US"/>
        </w:rPr>
        <w:t>Limitations related to maximum power spectral density (PSD)</w:t>
      </w:r>
      <w:r w:rsidR="009B6BB7" w:rsidRPr="00583FD8">
        <w:rPr>
          <w:sz w:val="20"/>
          <w:szCs w:val="20"/>
          <w:lang w:val="en-US"/>
        </w:rPr>
        <w:t>:</w:t>
      </w:r>
      <w:r w:rsidRPr="00583FD8">
        <w:rPr>
          <w:sz w:val="20"/>
          <w:szCs w:val="20"/>
          <w:lang w:val="en-US"/>
        </w:rPr>
        <w:t xml:space="preserve"> For most cases the requirement is stated with a resolution bandwidth of 1 MHz. For example, the ETSI 301 893 specs requires 10 dBm/MHz for 5150-5350 MHz. Similar limitations are involved also in USA (governed by FCC). </w:t>
      </w:r>
    </w:p>
    <w:p w14:paraId="273D601E" w14:textId="77777777" w:rsidR="00583FD8" w:rsidRPr="00583FD8" w:rsidRDefault="00583FD8" w:rsidP="00583FD8">
      <w:pPr>
        <w:pStyle w:val="ListParagraph"/>
        <w:ind w:left="993"/>
        <w:jc w:val="both"/>
        <w:rPr>
          <w:sz w:val="20"/>
          <w:szCs w:val="20"/>
          <w:lang w:val="en-US"/>
        </w:rPr>
      </w:pPr>
    </w:p>
    <w:p w14:paraId="66B9ED66" w14:textId="4AC13A43" w:rsidR="00A029CA" w:rsidRDefault="00811C0E" w:rsidP="00A029CA">
      <w:pPr>
        <w:overflowPunct/>
        <w:spacing w:after="0"/>
        <w:textAlignment w:val="auto"/>
        <w:rPr>
          <w:szCs w:val="22"/>
          <w:lang w:val="en-US"/>
        </w:rPr>
      </w:pPr>
      <w:r>
        <w:rPr>
          <w:szCs w:val="22"/>
          <w:lang w:val="en-US"/>
        </w:rPr>
        <w:t>Candidate frequency bands for</w:t>
      </w:r>
      <w:r w:rsidR="00C16611">
        <w:rPr>
          <w:szCs w:val="22"/>
          <w:lang w:val="en-US"/>
        </w:rPr>
        <w:t xml:space="preserve"> NR unlicensed band operation include 5GHz and 60 GHz</w:t>
      </w:r>
      <w:r>
        <w:rPr>
          <w:szCs w:val="22"/>
          <w:lang w:val="en-US"/>
        </w:rPr>
        <w:t>.</w:t>
      </w:r>
      <w:r w:rsidR="00D118E0">
        <w:rPr>
          <w:szCs w:val="22"/>
          <w:lang w:val="en-US"/>
        </w:rPr>
        <w:t xml:space="preserve"> </w:t>
      </w:r>
      <w:r w:rsidR="00D118E0" w:rsidRPr="00D118E0">
        <w:rPr>
          <w:szCs w:val="22"/>
          <w:lang w:val="en-US"/>
        </w:rPr>
        <w:t>Most markets offer a large amount of spectrum</w:t>
      </w:r>
      <w:r w:rsidR="00C16611">
        <w:rPr>
          <w:szCs w:val="22"/>
          <w:lang w:val="en-US"/>
        </w:rPr>
        <w:t xml:space="preserve"> </w:t>
      </w:r>
      <w:r w:rsidR="00D118E0" w:rsidRPr="00D118E0">
        <w:rPr>
          <w:szCs w:val="22"/>
          <w:lang w:val="en-US"/>
        </w:rPr>
        <w:t>in the 5 GHz band, for example in Europe there is 455 MHz of spectrum</w:t>
      </w:r>
      <w:r w:rsidR="00D118E0">
        <w:rPr>
          <w:szCs w:val="22"/>
          <w:lang w:val="en-US"/>
        </w:rPr>
        <w:t xml:space="preserve"> </w:t>
      </w:r>
      <w:r w:rsidR="00D118E0" w:rsidRPr="00D118E0">
        <w:rPr>
          <w:szCs w:val="22"/>
          <w:lang w:val="en-US"/>
        </w:rPr>
        <w:t>available in the band, as shown in Figure 1</w:t>
      </w:r>
      <w:r w:rsidR="00D118E0">
        <w:rPr>
          <w:szCs w:val="22"/>
          <w:lang w:val="en-US"/>
        </w:rPr>
        <w:t>a</w:t>
      </w:r>
      <w:r w:rsidR="00D118E0" w:rsidRPr="00D118E0">
        <w:rPr>
          <w:szCs w:val="22"/>
          <w:lang w:val="en-US"/>
        </w:rPr>
        <w:t>. There are also allocations</w:t>
      </w:r>
      <w:r w:rsidR="00D118E0">
        <w:rPr>
          <w:szCs w:val="22"/>
          <w:lang w:val="en-US"/>
        </w:rPr>
        <w:t xml:space="preserve"> </w:t>
      </w:r>
      <w:r w:rsidR="00D118E0" w:rsidRPr="00D118E0">
        <w:rPr>
          <w:szCs w:val="22"/>
          <w:lang w:val="en-US"/>
        </w:rPr>
        <w:t xml:space="preserve">available in the 5 GHz band in countries such as </w:t>
      </w:r>
      <w:r w:rsidR="00015AF7">
        <w:rPr>
          <w:szCs w:val="22"/>
          <w:lang w:val="en-US"/>
        </w:rPr>
        <w:t xml:space="preserve">US, </w:t>
      </w:r>
      <w:r w:rsidR="00D118E0" w:rsidRPr="00D118E0">
        <w:rPr>
          <w:szCs w:val="22"/>
          <w:lang w:val="en-US"/>
        </w:rPr>
        <w:t>Korea and Japan.</w:t>
      </w:r>
      <w:r>
        <w:rPr>
          <w:szCs w:val="22"/>
          <w:lang w:val="en-US"/>
        </w:rPr>
        <w:t xml:space="preserve"> </w:t>
      </w:r>
      <w:r w:rsidR="00A029CA" w:rsidRPr="00811C0E">
        <w:rPr>
          <w:szCs w:val="22"/>
          <w:lang w:val="en-US"/>
        </w:rPr>
        <w:t>Typically</w:t>
      </w:r>
      <w:r w:rsidR="00A029CA">
        <w:rPr>
          <w:szCs w:val="22"/>
          <w:lang w:val="en-US"/>
        </w:rPr>
        <w:t xml:space="preserve"> in </w:t>
      </w:r>
      <w:r w:rsidR="00015AF7">
        <w:rPr>
          <w:szCs w:val="22"/>
          <w:lang w:val="en-US"/>
        </w:rPr>
        <w:t xml:space="preserve">the </w:t>
      </w:r>
      <w:r w:rsidR="00A029CA">
        <w:rPr>
          <w:szCs w:val="22"/>
          <w:lang w:val="en-US"/>
        </w:rPr>
        <w:t>5</w:t>
      </w:r>
      <w:r w:rsidR="00015AF7">
        <w:rPr>
          <w:szCs w:val="22"/>
          <w:lang w:val="en-US"/>
        </w:rPr>
        <w:t xml:space="preserve"> </w:t>
      </w:r>
      <w:r w:rsidR="00A029CA">
        <w:rPr>
          <w:szCs w:val="22"/>
          <w:lang w:val="en-US"/>
        </w:rPr>
        <w:t>G</w:t>
      </w:r>
      <w:r w:rsidR="00A55FC9">
        <w:rPr>
          <w:szCs w:val="22"/>
          <w:lang w:val="en-US"/>
        </w:rPr>
        <w:t>H</w:t>
      </w:r>
      <w:r w:rsidR="00A029CA">
        <w:rPr>
          <w:szCs w:val="22"/>
          <w:lang w:val="en-US"/>
        </w:rPr>
        <w:t>z</w:t>
      </w:r>
      <w:r w:rsidR="00015AF7">
        <w:rPr>
          <w:szCs w:val="22"/>
          <w:lang w:val="en-US"/>
        </w:rPr>
        <w:t xml:space="preserve"> band</w:t>
      </w:r>
      <w:r w:rsidR="00A029CA" w:rsidRPr="00811C0E">
        <w:rPr>
          <w:szCs w:val="22"/>
          <w:lang w:val="en-US"/>
        </w:rPr>
        <w:t>, the lower portion</w:t>
      </w:r>
      <w:r w:rsidR="00950DFA">
        <w:rPr>
          <w:szCs w:val="22"/>
          <w:lang w:val="en-US"/>
        </w:rPr>
        <w:t xml:space="preserve"> of the band</w:t>
      </w:r>
      <w:r w:rsidR="00A029CA" w:rsidRPr="00811C0E">
        <w:rPr>
          <w:szCs w:val="22"/>
          <w:lang w:val="en-US"/>
        </w:rPr>
        <w:t xml:space="preserve"> is often restricted to indoor use, with a </w:t>
      </w:r>
      <w:r w:rsidR="00950DFA">
        <w:rPr>
          <w:szCs w:val="22"/>
          <w:lang w:val="en-US"/>
        </w:rPr>
        <w:t xml:space="preserve">maximum </w:t>
      </w:r>
      <w:r w:rsidR="00A029CA" w:rsidRPr="00811C0E">
        <w:rPr>
          <w:szCs w:val="22"/>
          <w:lang w:val="en-US"/>
        </w:rPr>
        <w:t xml:space="preserve">transmit power of 200 mW or less, while the upper part of the spectrum allows higher transmission power, typically 1 W. </w:t>
      </w:r>
    </w:p>
    <w:p w14:paraId="41D04459" w14:textId="77777777" w:rsidR="00A029CA" w:rsidRDefault="00A029CA" w:rsidP="00D118E0">
      <w:pPr>
        <w:overflowPunct/>
        <w:spacing w:after="0"/>
        <w:textAlignment w:val="auto"/>
        <w:rPr>
          <w:szCs w:val="22"/>
          <w:lang w:val="en-US"/>
        </w:rPr>
      </w:pPr>
    </w:p>
    <w:p w14:paraId="5CAA7F09" w14:textId="34FD5273" w:rsidR="00811C0E" w:rsidRDefault="00A55FC9" w:rsidP="00D118E0">
      <w:pPr>
        <w:overflowPunct/>
        <w:spacing w:after="0"/>
        <w:textAlignment w:val="auto"/>
        <w:rPr>
          <w:szCs w:val="22"/>
          <w:lang w:val="en-US"/>
        </w:rPr>
      </w:pPr>
      <w:r>
        <w:rPr>
          <w:szCs w:val="22"/>
          <w:lang w:val="en-US"/>
        </w:rPr>
        <w:t xml:space="preserve">As shown in Figure 1b, </w:t>
      </w:r>
      <w:r w:rsidR="00D118E0">
        <w:rPr>
          <w:szCs w:val="22"/>
          <w:lang w:val="en-US"/>
        </w:rPr>
        <w:t>60 GHz band offers</w:t>
      </w:r>
      <w:r w:rsidR="00A029CA">
        <w:rPr>
          <w:szCs w:val="22"/>
          <w:lang w:val="en-US"/>
        </w:rPr>
        <w:t xml:space="preserve"> a large amount of contiguous spectrum, e.g. 7 GHz in US, Japan and Korea</w:t>
      </w:r>
      <w:r>
        <w:rPr>
          <w:szCs w:val="22"/>
          <w:lang w:val="en-US"/>
        </w:rPr>
        <w:t xml:space="preserve"> and as much as 9 GHz in Europe. </w:t>
      </w:r>
      <w:r w:rsidR="00096C43">
        <w:rPr>
          <w:szCs w:val="22"/>
          <w:lang w:val="en-US"/>
        </w:rPr>
        <w:t xml:space="preserve">Maximum EIRP varies typically between 40 and 47 dBm. </w:t>
      </w:r>
      <w:r>
        <w:rPr>
          <w:szCs w:val="22"/>
          <w:lang w:val="en-US"/>
        </w:rPr>
        <w:t>European rules define not only the peak EIRP but also maximum spectral power density (dBm/MHz).</w:t>
      </w:r>
    </w:p>
    <w:p w14:paraId="1D59D232" w14:textId="77777777" w:rsidR="00811C0E" w:rsidRDefault="00811C0E" w:rsidP="00811C0E">
      <w:pPr>
        <w:overflowPunct/>
        <w:spacing w:after="0"/>
        <w:textAlignment w:val="auto"/>
        <w:rPr>
          <w:szCs w:val="22"/>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40"/>
        <w:gridCol w:w="4389"/>
      </w:tblGrid>
      <w:tr w:rsidR="00D118E0" w14:paraId="63A2C3BA" w14:textId="77777777" w:rsidTr="00D118E0">
        <w:tc>
          <w:tcPr>
            <w:tcW w:w="5240" w:type="dxa"/>
          </w:tcPr>
          <w:p w14:paraId="4519A7E0" w14:textId="77777777" w:rsidR="00583FD8" w:rsidRDefault="00583FD8" w:rsidP="00811C0E">
            <w:pPr>
              <w:overflowPunct/>
              <w:spacing w:after="0"/>
              <w:textAlignment w:val="auto"/>
              <w:rPr>
                <w:szCs w:val="22"/>
                <w:lang w:val="en-US"/>
              </w:rPr>
            </w:pPr>
          </w:p>
          <w:p w14:paraId="044A0D14" w14:textId="77777777" w:rsidR="00583FD8" w:rsidRDefault="00583FD8" w:rsidP="00811C0E">
            <w:pPr>
              <w:overflowPunct/>
              <w:spacing w:after="0"/>
              <w:textAlignment w:val="auto"/>
              <w:rPr>
                <w:szCs w:val="22"/>
                <w:lang w:val="en-US"/>
              </w:rPr>
            </w:pPr>
          </w:p>
          <w:p w14:paraId="3E567BB2" w14:textId="223579ED" w:rsidR="00811C0E" w:rsidRDefault="00811C0E" w:rsidP="00811C0E">
            <w:pPr>
              <w:overflowPunct/>
              <w:spacing w:after="0"/>
              <w:textAlignment w:val="auto"/>
              <w:rPr>
                <w:szCs w:val="22"/>
                <w:lang w:val="en-US"/>
              </w:rPr>
            </w:pPr>
            <w:r>
              <w:rPr>
                <w:noProof/>
                <w:lang w:val="en-US"/>
              </w:rPr>
              <w:drawing>
                <wp:inline distT="0" distB="0" distL="0" distR="0" wp14:anchorId="789347B2" wp14:editId="2DD70278">
                  <wp:extent cx="2960433" cy="1195967"/>
                  <wp:effectExtent l="0" t="0" r="0" b="444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984286" cy="1205603"/>
                          </a:xfrm>
                          <a:prstGeom prst="rect">
                            <a:avLst/>
                          </a:prstGeom>
                        </pic:spPr>
                      </pic:pic>
                    </a:graphicData>
                  </a:graphic>
                </wp:inline>
              </w:drawing>
            </w:r>
          </w:p>
        </w:tc>
        <w:tc>
          <w:tcPr>
            <w:tcW w:w="4389" w:type="dxa"/>
          </w:tcPr>
          <w:p w14:paraId="16D4252C" w14:textId="16C9CC51" w:rsidR="00811C0E" w:rsidRDefault="00A029CA" w:rsidP="00392C01">
            <w:pPr>
              <w:overflowPunct/>
              <w:spacing w:after="0"/>
              <w:jc w:val="center"/>
              <w:textAlignment w:val="auto"/>
              <w:rPr>
                <w:szCs w:val="22"/>
                <w:lang w:val="en-US"/>
              </w:rPr>
            </w:pPr>
            <w:r w:rsidRPr="00A029CA">
              <w:rPr>
                <w:noProof/>
                <w:szCs w:val="22"/>
                <w:lang w:val="en-US"/>
              </w:rPr>
              <w:drawing>
                <wp:inline distT="0" distB="0" distL="0" distR="0" wp14:anchorId="29C30FE5" wp14:editId="03E6B77B">
                  <wp:extent cx="2232000" cy="1805836"/>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232000" cy="1805836"/>
                          </a:xfrm>
                          <a:prstGeom prst="rect">
                            <a:avLst/>
                          </a:prstGeom>
                          <a:noFill/>
                          <a:ln>
                            <a:noFill/>
                          </a:ln>
                        </pic:spPr>
                      </pic:pic>
                    </a:graphicData>
                  </a:graphic>
                </wp:inline>
              </w:drawing>
            </w:r>
          </w:p>
        </w:tc>
      </w:tr>
      <w:tr w:rsidR="00D118E0" w14:paraId="08C37DBA" w14:textId="77777777" w:rsidTr="00D118E0">
        <w:tc>
          <w:tcPr>
            <w:tcW w:w="5240" w:type="dxa"/>
          </w:tcPr>
          <w:p w14:paraId="763B9FFE" w14:textId="07606D7E" w:rsidR="00D118E0" w:rsidRPr="00D118E0" w:rsidRDefault="00D118E0" w:rsidP="00D118E0">
            <w:pPr>
              <w:jc w:val="center"/>
              <w:rPr>
                <w:szCs w:val="22"/>
                <w:lang w:val="en-US"/>
              </w:rPr>
            </w:pPr>
            <w:r w:rsidRPr="00D118E0">
              <w:rPr>
                <w:szCs w:val="22"/>
                <w:lang w:val="en-US"/>
              </w:rPr>
              <w:t>a) 5 GHz band</w:t>
            </w:r>
          </w:p>
        </w:tc>
        <w:tc>
          <w:tcPr>
            <w:tcW w:w="4389" w:type="dxa"/>
          </w:tcPr>
          <w:p w14:paraId="6875C2EA" w14:textId="41598EA7" w:rsidR="00D118E0" w:rsidRPr="00D118E0" w:rsidRDefault="00D118E0" w:rsidP="00A55FC9">
            <w:pPr>
              <w:keepNext/>
              <w:jc w:val="center"/>
              <w:rPr>
                <w:szCs w:val="22"/>
                <w:lang w:val="en-US"/>
              </w:rPr>
            </w:pPr>
            <w:r w:rsidRPr="00D118E0">
              <w:rPr>
                <w:szCs w:val="22"/>
                <w:lang w:val="en-US"/>
              </w:rPr>
              <w:t>b) 60 GHz band</w:t>
            </w:r>
          </w:p>
        </w:tc>
      </w:tr>
    </w:tbl>
    <w:p w14:paraId="19E17726" w14:textId="656410BC" w:rsidR="00811C0E" w:rsidRPr="00A55FC9" w:rsidRDefault="00A55FC9" w:rsidP="00A55FC9">
      <w:pPr>
        <w:pStyle w:val="Caption"/>
        <w:jc w:val="center"/>
        <w:rPr>
          <w:szCs w:val="22"/>
          <w:lang w:val="en-US"/>
        </w:rPr>
      </w:pPr>
      <w:r>
        <w:t xml:space="preserve">Figure </w:t>
      </w:r>
      <w:r w:rsidR="00F44F42">
        <w:fldChar w:fldCharType="begin"/>
      </w:r>
      <w:r w:rsidR="00F44F42">
        <w:instrText xml:space="preserve"> SEQ Figure \* ARABIC </w:instrText>
      </w:r>
      <w:r w:rsidR="00F44F42">
        <w:fldChar w:fldCharType="separate"/>
      </w:r>
      <w:r>
        <w:rPr>
          <w:noProof/>
        </w:rPr>
        <w:t>1</w:t>
      </w:r>
      <w:r w:rsidR="00F44F42">
        <w:rPr>
          <w:noProof/>
        </w:rPr>
        <w:fldChar w:fldCharType="end"/>
      </w:r>
      <w:r w:rsidRPr="00A55FC9">
        <w:rPr>
          <w:lang w:val="en-US"/>
        </w:rPr>
        <w:t xml:space="preserve">. </w:t>
      </w:r>
      <w:r>
        <w:rPr>
          <w:lang w:val="en-US"/>
        </w:rPr>
        <w:t>Summary of spectrum situation in key markets.</w:t>
      </w:r>
    </w:p>
    <w:p w14:paraId="6CC8E6E0" w14:textId="77777777" w:rsidR="00811C0E" w:rsidRDefault="00811C0E" w:rsidP="00690525">
      <w:pPr>
        <w:jc w:val="both"/>
        <w:rPr>
          <w:rFonts w:ascii="NokiaPureText-Light" w:hAnsi="NokiaPureText-Light" w:cs="NokiaPureText-Light"/>
          <w:sz w:val="22"/>
          <w:szCs w:val="22"/>
          <w:lang w:val="en-US"/>
        </w:rPr>
      </w:pPr>
    </w:p>
    <w:p w14:paraId="2DFB29C9" w14:textId="7A76F557" w:rsidR="00811C0E" w:rsidRDefault="00811C0E" w:rsidP="00811C0E">
      <w:pPr>
        <w:rPr>
          <w:lang w:eastAsia="zh-CN"/>
        </w:rPr>
      </w:pPr>
      <w:r w:rsidRPr="00583FD8">
        <w:rPr>
          <w:rFonts w:eastAsia="MS Mincho"/>
          <w:b/>
          <w:i/>
          <w:lang w:val="en-US" w:eastAsia="ja-JP"/>
        </w:rPr>
        <w:t>Proposal #</w:t>
      </w:r>
      <w:r w:rsidR="00117C44" w:rsidRPr="00583FD8">
        <w:rPr>
          <w:rFonts w:eastAsia="MS Mincho"/>
          <w:b/>
          <w:i/>
          <w:lang w:val="en-US" w:eastAsia="ja-JP"/>
        </w:rPr>
        <w:t>2</w:t>
      </w:r>
      <w:r w:rsidRPr="00583FD8">
        <w:rPr>
          <w:rFonts w:eastAsia="MS Mincho"/>
          <w:b/>
          <w:i/>
          <w:lang w:val="en-US" w:eastAsia="ja-JP"/>
        </w:rPr>
        <w:t xml:space="preserve">: Consider both 5GHz and 60GHz </w:t>
      </w:r>
      <w:r w:rsidR="00950DFA" w:rsidRPr="00583FD8">
        <w:rPr>
          <w:rFonts w:eastAsia="MS Mincho"/>
          <w:b/>
          <w:i/>
          <w:lang w:val="en-US" w:eastAsia="ja-JP"/>
        </w:rPr>
        <w:t xml:space="preserve">bands </w:t>
      </w:r>
      <w:r w:rsidRPr="00583FD8">
        <w:rPr>
          <w:rFonts w:eastAsia="MS Mincho"/>
          <w:b/>
          <w:i/>
          <w:lang w:val="en-US" w:eastAsia="ja-JP"/>
        </w:rPr>
        <w:t xml:space="preserve">as potential scenarios </w:t>
      </w:r>
      <w:r w:rsidR="000421D7" w:rsidRPr="00583FD8">
        <w:rPr>
          <w:rFonts w:eastAsia="MS Mincho"/>
          <w:b/>
          <w:i/>
          <w:lang w:val="en-US" w:eastAsia="ja-JP"/>
        </w:rPr>
        <w:t xml:space="preserve">for unlicensed band operation </w:t>
      </w:r>
      <w:r w:rsidR="00117C44" w:rsidRPr="00583FD8">
        <w:rPr>
          <w:rFonts w:eastAsia="MS Mincho"/>
          <w:b/>
          <w:i/>
          <w:lang w:val="en-US" w:eastAsia="ja-JP"/>
        </w:rPr>
        <w:t>in</w:t>
      </w:r>
      <w:r w:rsidRPr="00583FD8">
        <w:rPr>
          <w:rFonts w:eastAsia="MS Mincho"/>
          <w:b/>
          <w:i/>
          <w:lang w:val="en-US" w:eastAsia="ja-JP"/>
        </w:rPr>
        <w:t xml:space="preserve"> NR</w:t>
      </w:r>
      <w:r>
        <w:rPr>
          <w:rFonts w:eastAsia="MS Mincho"/>
          <w:b/>
          <w:i/>
          <w:lang w:val="en-US" w:eastAsia="ja-JP"/>
        </w:rPr>
        <w:t xml:space="preserve"> </w:t>
      </w:r>
    </w:p>
    <w:p w14:paraId="15E5EDB2" w14:textId="77777777" w:rsidR="00600001" w:rsidRDefault="00600001" w:rsidP="004D1A46">
      <w:pPr>
        <w:rPr>
          <w:lang w:eastAsia="zh-CN"/>
        </w:rPr>
      </w:pPr>
    </w:p>
    <w:p w14:paraId="38A51CFA" w14:textId="07E51228" w:rsidR="00690525" w:rsidRDefault="00690525" w:rsidP="00690525">
      <w:pPr>
        <w:pStyle w:val="Heading2"/>
      </w:pPr>
      <w:r>
        <w:rPr>
          <w:lang w:eastAsia="zh-CN"/>
        </w:rPr>
        <w:t>2</w:t>
      </w:r>
      <w:r>
        <w:t>.</w:t>
      </w:r>
      <w:r>
        <w:rPr>
          <w:lang w:eastAsia="zh-CN"/>
        </w:rPr>
        <w:t>3</w:t>
      </w:r>
      <w:r w:rsidRPr="00834630">
        <w:tab/>
      </w:r>
      <w:r w:rsidR="002F2510">
        <w:t xml:space="preserve">Learnings from </w:t>
      </w:r>
      <w:r>
        <w:t xml:space="preserve">LTE LAA </w:t>
      </w:r>
    </w:p>
    <w:p w14:paraId="315578B0" w14:textId="77777777" w:rsidR="00690525" w:rsidRDefault="00690525" w:rsidP="00690525">
      <w:pPr>
        <w:jc w:val="both"/>
        <w:rPr>
          <w:rFonts w:cs="Arial"/>
          <w:szCs w:val="22"/>
        </w:rPr>
      </w:pPr>
      <w:r>
        <w:rPr>
          <w:rFonts w:cs="Arial"/>
          <w:szCs w:val="22"/>
        </w:rPr>
        <w:t>Rel-13 LTE</w:t>
      </w:r>
      <w:r>
        <w:rPr>
          <w:rFonts w:cs="Arial"/>
          <w:szCs w:val="22"/>
          <w:lang w:val="en-US"/>
        </w:rPr>
        <w:t xml:space="preserve"> LAA (Licensed Assisted </w:t>
      </w:r>
      <w:r w:rsidRPr="008578C5">
        <w:rPr>
          <w:rFonts w:cs="Arial"/>
          <w:szCs w:val="22"/>
        </w:rPr>
        <w:t xml:space="preserve">Access) provides licensed-assisted access to unlicensed spectrum while coexisting with other technologies and fulfilling the regulatory requirements. In Rel-13 LAA, unlicensed spectrum is </w:t>
      </w:r>
      <w:r>
        <w:rPr>
          <w:rFonts w:cs="Arial"/>
          <w:szCs w:val="22"/>
        </w:rPr>
        <w:t>utilized</w:t>
      </w:r>
      <w:r w:rsidRPr="008578C5">
        <w:rPr>
          <w:rFonts w:cs="Arial"/>
          <w:szCs w:val="22"/>
        </w:rPr>
        <w:t xml:space="preserve"> to improve LTE DL throughput. In </w:t>
      </w:r>
      <w:r>
        <w:rPr>
          <w:rFonts w:cs="Arial"/>
          <w:szCs w:val="22"/>
        </w:rPr>
        <w:t xml:space="preserve">the Rel-13 </w:t>
      </w:r>
      <w:r w:rsidRPr="008578C5">
        <w:rPr>
          <w:rFonts w:cs="Arial"/>
          <w:szCs w:val="22"/>
        </w:rPr>
        <w:t xml:space="preserve">solution, </w:t>
      </w:r>
      <w:r>
        <w:rPr>
          <w:rFonts w:cs="Arial"/>
          <w:szCs w:val="22"/>
        </w:rPr>
        <w:t xml:space="preserve">one or more </w:t>
      </w:r>
      <w:r w:rsidRPr="008578C5">
        <w:rPr>
          <w:rFonts w:cs="Arial"/>
          <w:szCs w:val="22"/>
        </w:rPr>
        <w:t>LAA DL SCell</w:t>
      </w:r>
      <w:r>
        <w:rPr>
          <w:rFonts w:cs="Arial"/>
          <w:szCs w:val="22"/>
        </w:rPr>
        <w:t>(s)</w:t>
      </w:r>
      <w:r w:rsidRPr="008578C5">
        <w:rPr>
          <w:rFonts w:cs="Arial"/>
          <w:szCs w:val="22"/>
        </w:rPr>
        <w:t xml:space="preserve"> may be configured </w:t>
      </w:r>
      <w:r>
        <w:rPr>
          <w:rFonts w:cs="Arial"/>
          <w:szCs w:val="22"/>
        </w:rPr>
        <w:t>for</w:t>
      </w:r>
      <w:r w:rsidRPr="008578C5">
        <w:rPr>
          <w:rFonts w:cs="Arial"/>
          <w:szCs w:val="22"/>
        </w:rPr>
        <w:t xml:space="preserve"> a UE as part of DL CA configuration</w:t>
      </w:r>
      <w:r>
        <w:rPr>
          <w:rFonts w:cs="Arial"/>
          <w:szCs w:val="22"/>
        </w:rPr>
        <w:t>, while the PCell needs to be on licensed spectrum</w:t>
      </w:r>
      <w:r w:rsidRPr="008578C5">
        <w:rPr>
          <w:rFonts w:cs="Arial"/>
          <w:szCs w:val="22"/>
        </w:rPr>
        <w:t xml:space="preserve">. LTE LAA </w:t>
      </w:r>
      <w:r>
        <w:rPr>
          <w:rFonts w:cs="Arial"/>
          <w:szCs w:val="22"/>
        </w:rPr>
        <w:t>is evolving</w:t>
      </w:r>
      <w:r w:rsidRPr="008578C5">
        <w:rPr>
          <w:rFonts w:cs="Arial"/>
          <w:szCs w:val="22"/>
        </w:rPr>
        <w:t xml:space="preserve"> to support also LAA UL transmissions on unlicensed spectrum in LTE Rel-14. </w:t>
      </w:r>
    </w:p>
    <w:p w14:paraId="1DBAC751" w14:textId="2865A31B" w:rsidR="00177252" w:rsidRDefault="00690525" w:rsidP="00177252">
      <w:pPr>
        <w:jc w:val="both"/>
        <w:rPr>
          <w:rFonts w:cs="Arial"/>
          <w:szCs w:val="22"/>
        </w:rPr>
      </w:pPr>
      <w:r>
        <w:rPr>
          <w:rFonts w:cs="Arial"/>
          <w:szCs w:val="22"/>
        </w:rPr>
        <w:t xml:space="preserve">LTE LAA work has been focusing on 5GHz unlicensed spectrum. </w:t>
      </w:r>
      <w:r w:rsidR="00177252">
        <w:rPr>
          <w:rFonts w:cs="Arial"/>
          <w:szCs w:val="22"/>
        </w:rPr>
        <w:t xml:space="preserve">It </w:t>
      </w:r>
      <w:r w:rsidR="00BB5611">
        <w:rPr>
          <w:rFonts w:cs="Arial"/>
          <w:szCs w:val="22"/>
        </w:rPr>
        <w:t xml:space="preserve">supports </w:t>
      </w:r>
      <w:r w:rsidR="00177252">
        <w:rPr>
          <w:rFonts w:cs="Arial"/>
          <w:szCs w:val="22"/>
        </w:rPr>
        <w:t xml:space="preserve">basic coexistence solutions such as support for LBT and discontinuous transmission with limited maximum transmission duration. Generally speaking, there are lots of commonalities between LTE </w:t>
      </w:r>
      <w:r w:rsidR="009B6BB7">
        <w:rPr>
          <w:rFonts w:cs="Arial"/>
          <w:szCs w:val="22"/>
        </w:rPr>
        <w:t xml:space="preserve">LAA </w:t>
      </w:r>
      <w:r w:rsidR="00177252">
        <w:rPr>
          <w:rFonts w:cs="Arial"/>
          <w:szCs w:val="22"/>
        </w:rPr>
        <w:t xml:space="preserve">and NR scenarios. </w:t>
      </w:r>
      <w:r w:rsidR="00BB5611">
        <w:rPr>
          <w:rFonts w:cs="Arial"/>
          <w:szCs w:val="22"/>
        </w:rPr>
        <w:t xml:space="preserve">Hence </w:t>
      </w:r>
      <w:r w:rsidR="00177252">
        <w:rPr>
          <w:rFonts w:cs="Arial"/>
          <w:szCs w:val="22"/>
        </w:rPr>
        <w:t>NR should utilize functionalities</w:t>
      </w:r>
      <w:r w:rsidR="00BB5611">
        <w:rPr>
          <w:rFonts w:cs="Arial"/>
          <w:szCs w:val="22"/>
        </w:rPr>
        <w:t>, such as LBT</w:t>
      </w:r>
      <w:r w:rsidR="00177252">
        <w:rPr>
          <w:rFonts w:cs="Arial"/>
          <w:szCs w:val="22"/>
        </w:rPr>
        <w:t xml:space="preserve"> developed </w:t>
      </w:r>
      <w:r w:rsidR="00BB5611">
        <w:rPr>
          <w:rFonts w:cs="Arial"/>
          <w:szCs w:val="22"/>
        </w:rPr>
        <w:t>for</w:t>
      </w:r>
      <w:r w:rsidR="00177252">
        <w:rPr>
          <w:rFonts w:cs="Arial"/>
          <w:szCs w:val="22"/>
        </w:rPr>
        <w:t xml:space="preserve"> LTE LAA</w:t>
      </w:r>
      <w:r w:rsidR="0067442E">
        <w:rPr>
          <w:rFonts w:cs="Arial"/>
          <w:szCs w:val="22"/>
        </w:rPr>
        <w:t>,</w:t>
      </w:r>
      <w:r w:rsidR="00177252">
        <w:rPr>
          <w:rFonts w:cs="Arial"/>
          <w:szCs w:val="22"/>
        </w:rPr>
        <w:t xml:space="preserve"> as much as possible.  </w:t>
      </w:r>
    </w:p>
    <w:p w14:paraId="44C77FC8" w14:textId="4EBE913F" w:rsidR="00896C44" w:rsidRDefault="00690525" w:rsidP="00690525">
      <w:pPr>
        <w:rPr>
          <w:rFonts w:eastAsia="MS Mincho"/>
          <w:b/>
          <w:i/>
          <w:lang w:val="en-US" w:eastAsia="ja-JP"/>
        </w:rPr>
      </w:pPr>
      <w:r w:rsidRPr="00583FD8">
        <w:rPr>
          <w:rFonts w:eastAsia="MS Mincho"/>
          <w:b/>
          <w:i/>
          <w:lang w:val="en-US" w:eastAsia="ja-JP"/>
        </w:rPr>
        <w:t>Proposal #</w:t>
      </w:r>
      <w:r w:rsidR="00117C44" w:rsidRPr="00583FD8">
        <w:rPr>
          <w:rFonts w:eastAsia="MS Mincho"/>
          <w:b/>
          <w:i/>
          <w:lang w:val="en-US" w:eastAsia="ja-JP"/>
        </w:rPr>
        <w:t>3</w:t>
      </w:r>
      <w:r w:rsidRPr="00583FD8">
        <w:rPr>
          <w:rFonts w:eastAsia="MS Mincho"/>
          <w:b/>
          <w:i/>
          <w:lang w:val="en-US" w:eastAsia="ja-JP"/>
        </w:rPr>
        <w:t xml:space="preserve">: </w:t>
      </w:r>
      <w:r w:rsidR="00903B4F" w:rsidRPr="00583FD8">
        <w:rPr>
          <w:rFonts w:eastAsia="MS Mincho"/>
          <w:b/>
          <w:i/>
          <w:lang w:val="en-US" w:eastAsia="ja-JP"/>
        </w:rPr>
        <w:t>Consider</w:t>
      </w:r>
      <w:r w:rsidR="00117C44" w:rsidRPr="00583FD8">
        <w:rPr>
          <w:rFonts w:eastAsia="MS Mincho"/>
          <w:b/>
          <w:i/>
          <w:lang w:val="en-US" w:eastAsia="ja-JP"/>
        </w:rPr>
        <w:t xml:space="preserve"> </w:t>
      </w:r>
      <w:r w:rsidR="000421D7" w:rsidRPr="00583FD8">
        <w:rPr>
          <w:rFonts w:eastAsia="MS Mincho"/>
          <w:b/>
          <w:i/>
          <w:lang w:val="en-US" w:eastAsia="ja-JP"/>
        </w:rPr>
        <w:t xml:space="preserve">LTE LAA coexistence </w:t>
      </w:r>
      <w:r w:rsidRPr="00583FD8">
        <w:rPr>
          <w:rFonts w:eastAsia="MS Mincho"/>
          <w:b/>
          <w:i/>
          <w:lang w:val="en-US" w:eastAsia="ja-JP"/>
        </w:rPr>
        <w:t xml:space="preserve">solutions as </w:t>
      </w:r>
      <w:r w:rsidR="00E27040" w:rsidRPr="00583FD8">
        <w:rPr>
          <w:rFonts w:eastAsia="MS Mincho"/>
          <w:b/>
          <w:i/>
          <w:lang w:val="en-US" w:eastAsia="ja-JP"/>
        </w:rPr>
        <w:t xml:space="preserve">the </w:t>
      </w:r>
      <w:r w:rsidR="000421D7" w:rsidRPr="00583FD8">
        <w:rPr>
          <w:rFonts w:eastAsia="MS Mincho"/>
          <w:b/>
          <w:i/>
          <w:lang w:val="en-US" w:eastAsia="ja-JP"/>
        </w:rPr>
        <w:t>baseline</w:t>
      </w:r>
      <w:r w:rsidRPr="00583FD8">
        <w:rPr>
          <w:rFonts w:eastAsia="MS Mincho"/>
          <w:b/>
          <w:i/>
          <w:lang w:val="en-US" w:eastAsia="ja-JP"/>
        </w:rPr>
        <w:t xml:space="preserve"> for</w:t>
      </w:r>
      <w:r w:rsidR="000421D7" w:rsidRPr="00583FD8">
        <w:rPr>
          <w:rFonts w:eastAsia="MS Mincho"/>
          <w:b/>
          <w:i/>
          <w:lang w:val="en-US" w:eastAsia="ja-JP"/>
        </w:rPr>
        <w:t xml:space="preserve"> unlicensed band operation in</w:t>
      </w:r>
      <w:r w:rsidR="000421D7" w:rsidRPr="00583FD8">
        <w:t xml:space="preserve"> </w:t>
      </w:r>
      <w:r w:rsidRPr="00583FD8">
        <w:rPr>
          <w:rFonts w:eastAsia="MS Mincho"/>
          <w:b/>
          <w:i/>
          <w:lang w:val="en-US" w:eastAsia="ja-JP"/>
        </w:rPr>
        <w:t>NR</w:t>
      </w:r>
    </w:p>
    <w:p w14:paraId="12BB1828" w14:textId="347E0229" w:rsidR="00690525" w:rsidRDefault="00690525" w:rsidP="00690525">
      <w:r>
        <w:rPr>
          <w:rFonts w:eastAsia="MS Mincho"/>
          <w:b/>
          <w:i/>
          <w:lang w:val="en-US" w:eastAsia="ja-JP"/>
        </w:rPr>
        <w:t xml:space="preserve">  </w:t>
      </w:r>
    </w:p>
    <w:p w14:paraId="3013E477" w14:textId="213386BE" w:rsidR="004D1A46" w:rsidRDefault="004D1A46" w:rsidP="004D1A46">
      <w:pPr>
        <w:pStyle w:val="Heading1"/>
      </w:pPr>
      <w:r>
        <w:rPr>
          <w:color w:val="000000"/>
        </w:rPr>
        <w:lastRenderedPageBreak/>
        <w:t>3</w:t>
      </w:r>
      <w:r w:rsidRPr="0016316A">
        <w:rPr>
          <w:color w:val="000000"/>
        </w:rPr>
        <w:tab/>
      </w:r>
      <w:r>
        <w:t xml:space="preserve">Functionalities for </w:t>
      </w:r>
      <w:r w:rsidR="0067442E">
        <w:t>NR</w:t>
      </w:r>
      <w:r>
        <w:t xml:space="preserve"> unlicensed band solution</w:t>
      </w:r>
    </w:p>
    <w:p w14:paraId="5E4FD06D" w14:textId="21ABCC49" w:rsidR="007976E5" w:rsidRDefault="007976E5" w:rsidP="007976E5">
      <w:pPr>
        <w:jc w:val="both"/>
        <w:rPr>
          <w:bCs/>
          <w:lang w:val="en-US"/>
        </w:rPr>
      </w:pPr>
      <w:r>
        <w:rPr>
          <w:bCs/>
          <w:lang w:val="en-US"/>
        </w:rPr>
        <w:t xml:space="preserve">In this section we discuss technical solutions and especially frame structure impact of unlicensed band scenarios. </w:t>
      </w:r>
    </w:p>
    <w:p w14:paraId="10F249FF" w14:textId="64AD23A1" w:rsidR="004D1A46" w:rsidRDefault="004D1A46" w:rsidP="004D1A46">
      <w:pPr>
        <w:pStyle w:val="Heading2"/>
      </w:pPr>
      <w:r>
        <w:rPr>
          <w:lang w:eastAsia="zh-CN"/>
        </w:rPr>
        <w:t>3</w:t>
      </w:r>
      <w:r>
        <w:t>.</w:t>
      </w:r>
      <w:r>
        <w:rPr>
          <w:lang w:eastAsia="zh-CN"/>
        </w:rPr>
        <w:t>1</w:t>
      </w:r>
      <w:r w:rsidRPr="00834630">
        <w:tab/>
      </w:r>
      <w:r>
        <w:t>Scalable numerology</w:t>
      </w:r>
    </w:p>
    <w:p w14:paraId="7199879B" w14:textId="74E1CCA1" w:rsidR="004D1A46" w:rsidRDefault="00FB04FB" w:rsidP="00FB04FB">
      <w:pPr>
        <w:spacing w:after="0"/>
      </w:pPr>
      <w:r>
        <w:t xml:space="preserve">Generally speaking, NR unlicensed band scenario should be considered as one scenario of the scalable NR numerology/air interface. In other words, support for unlicensed band operation should be inbuilt in the NR system </w:t>
      </w:r>
      <w:r w:rsidR="00D4761A">
        <w:t>design</w:t>
      </w:r>
      <w:r>
        <w:t>. Compared to LTE LAA solutions, NR solution will benefit from scalable numerology</w:t>
      </w:r>
      <w:r w:rsidR="00D4761A">
        <w:t xml:space="preserve"> e.g. in terms of improved latency performance and </w:t>
      </w:r>
      <w:r w:rsidR="00A071C7">
        <w:t xml:space="preserve">more cost efficient solution to leverage </w:t>
      </w:r>
      <w:r w:rsidR="00950DFA">
        <w:t>in the large amount of</w:t>
      </w:r>
      <w:r w:rsidR="009B6BB7">
        <w:t xml:space="preserve"> </w:t>
      </w:r>
      <w:r w:rsidR="00A071C7">
        <w:t>unlicensed spectrum</w:t>
      </w:r>
      <w:r w:rsidR="00950DFA">
        <w:t xml:space="preserve"> available</w:t>
      </w:r>
      <w:r>
        <w:t xml:space="preserve">. </w:t>
      </w:r>
      <w:r w:rsidR="00D4761A">
        <w:t xml:space="preserve">Scalable numerology </w:t>
      </w:r>
      <w:r>
        <w:t>includes e.g.</w:t>
      </w:r>
    </w:p>
    <w:p w14:paraId="69EB8D25" w14:textId="5BDD5471" w:rsidR="00FB04FB" w:rsidRDefault="00FB04FB" w:rsidP="00F36555">
      <w:pPr>
        <w:pStyle w:val="ListParagraph"/>
        <w:numPr>
          <w:ilvl w:val="0"/>
          <w:numId w:val="5"/>
        </w:numPr>
        <w:rPr>
          <w:sz w:val="20"/>
          <w:lang w:val="en-US"/>
        </w:rPr>
      </w:pPr>
      <w:r>
        <w:rPr>
          <w:sz w:val="20"/>
          <w:lang w:val="en-US"/>
        </w:rPr>
        <w:t>Support for shortened symbol length (increased subcarrier spacing)</w:t>
      </w:r>
      <w:r w:rsidR="0089450C">
        <w:rPr>
          <w:sz w:val="20"/>
          <w:lang w:val="en-US"/>
        </w:rPr>
        <w:t>. Short symbol length may facilitate more efficient coexistence.</w:t>
      </w:r>
    </w:p>
    <w:p w14:paraId="64C91105" w14:textId="5C58248E" w:rsidR="00FB04FB" w:rsidRDefault="00FB04FB" w:rsidP="00F36555">
      <w:pPr>
        <w:pStyle w:val="ListParagraph"/>
        <w:numPr>
          <w:ilvl w:val="0"/>
          <w:numId w:val="5"/>
        </w:numPr>
        <w:rPr>
          <w:sz w:val="20"/>
          <w:lang w:val="en-US"/>
        </w:rPr>
      </w:pPr>
      <w:r>
        <w:rPr>
          <w:sz w:val="20"/>
          <w:lang w:val="en-US"/>
        </w:rPr>
        <w:t>Support for shortened subframe length</w:t>
      </w:r>
      <w:r w:rsidR="005F319C">
        <w:rPr>
          <w:sz w:val="20"/>
          <w:lang w:val="en-US"/>
        </w:rPr>
        <w:t>. Short subframe length may facilitate more efficient coexistence</w:t>
      </w:r>
      <w:r w:rsidR="00583FD8">
        <w:rPr>
          <w:sz w:val="20"/>
          <w:lang w:val="en-US"/>
        </w:rPr>
        <w:t xml:space="preserve"> with (without introduction of fractional subframes)</w:t>
      </w:r>
      <w:r w:rsidR="005F319C">
        <w:rPr>
          <w:sz w:val="20"/>
          <w:lang w:val="en-US"/>
        </w:rPr>
        <w:t>.</w:t>
      </w:r>
    </w:p>
    <w:p w14:paraId="2D18B42B" w14:textId="7511C886" w:rsidR="00FB04FB" w:rsidRDefault="00FB04FB" w:rsidP="00F36555">
      <w:pPr>
        <w:pStyle w:val="ListParagraph"/>
        <w:numPr>
          <w:ilvl w:val="0"/>
          <w:numId w:val="5"/>
        </w:numPr>
        <w:rPr>
          <w:sz w:val="20"/>
          <w:lang w:val="en-US"/>
        </w:rPr>
      </w:pPr>
      <w:r>
        <w:rPr>
          <w:sz w:val="20"/>
          <w:lang w:val="en-US"/>
        </w:rPr>
        <w:t xml:space="preserve">Support for wider carrier bandwidth. For example, at least 80 MHz bandwidth </w:t>
      </w:r>
      <w:r w:rsidR="009B6BB7">
        <w:rPr>
          <w:sz w:val="20"/>
          <w:lang w:val="en-US"/>
        </w:rPr>
        <w:t>may be</w:t>
      </w:r>
      <w:r>
        <w:rPr>
          <w:sz w:val="20"/>
          <w:lang w:val="en-US"/>
        </w:rPr>
        <w:t xml:space="preserve"> required when operating at 5 GHz. </w:t>
      </w:r>
    </w:p>
    <w:p w14:paraId="40E61FAA" w14:textId="2A1D917A" w:rsidR="00FB04FB" w:rsidRDefault="00FB04FB" w:rsidP="00F36555">
      <w:pPr>
        <w:pStyle w:val="ListParagraph"/>
        <w:numPr>
          <w:ilvl w:val="0"/>
          <w:numId w:val="5"/>
        </w:numPr>
        <w:rPr>
          <w:sz w:val="20"/>
          <w:lang w:val="en-US"/>
        </w:rPr>
      </w:pPr>
      <w:r>
        <w:rPr>
          <w:sz w:val="20"/>
          <w:lang w:val="en-US"/>
        </w:rPr>
        <w:t>Support for carrier aggregation</w:t>
      </w:r>
      <w:r w:rsidR="00364853">
        <w:rPr>
          <w:sz w:val="20"/>
          <w:lang w:val="en-US"/>
        </w:rPr>
        <w:t>.</w:t>
      </w:r>
      <w:r w:rsidR="005F319C">
        <w:rPr>
          <w:sz w:val="20"/>
          <w:lang w:val="en-US"/>
        </w:rPr>
        <w:t xml:space="preserve"> Unlicensed band operation benefits from flexible frequency or carrier usage.</w:t>
      </w:r>
    </w:p>
    <w:p w14:paraId="6A18E08D" w14:textId="77777777" w:rsidR="00364853" w:rsidRDefault="00364853" w:rsidP="00364853">
      <w:pPr>
        <w:spacing w:after="0"/>
        <w:rPr>
          <w:lang w:val="en-US"/>
        </w:rPr>
      </w:pPr>
    </w:p>
    <w:p w14:paraId="107C8AE4" w14:textId="6D967AFD" w:rsidR="00FB04FB" w:rsidRPr="00FB04FB" w:rsidRDefault="00FB04FB" w:rsidP="00FB04FB">
      <w:pPr>
        <w:rPr>
          <w:lang w:val="en-US"/>
        </w:rPr>
      </w:pPr>
      <w:r>
        <w:rPr>
          <w:lang w:val="en-US"/>
        </w:rPr>
        <w:t xml:space="preserve">When operating at 60 GHz, NR unlicensed band operation needs to support also RF beamforming. </w:t>
      </w:r>
    </w:p>
    <w:p w14:paraId="7300D730" w14:textId="03FA1412" w:rsidR="007976E5" w:rsidRPr="007976E5" w:rsidRDefault="007976E5" w:rsidP="007976E5">
      <w:pPr>
        <w:rPr>
          <w:b/>
          <w:i/>
          <w:lang w:val="en-US"/>
        </w:rPr>
      </w:pPr>
      <w:r w:rsidRPr="00583FD8">
        <w:rPr>
          <w:b/>
          <w:i/>
          <w:lang w:val="en-US"/>
        </w:rPr>
        <w:t>Proposal #</w:t>
      </w:r>
      <w:r w:rsidR="00D4761A" w:rsidRPr="00583FD8">
        <w:rPr>
          <w:b/>
          <w:i/>
          <w:lang w:val="en-US"/>
        </w:rPr>
        <w:t>4</w:t>
      </w:r>
      <w:r w:rsidRPr="00583FD8">
        <w:rPr>
          <w:b/>
          <w:i/>
          <w:lang w:val="en-US"/>
        </w:rPr>
        <w:t>: Unlicensed band operation needs to be considered as a scenario for scalable NR numerology</w:t>
      </w:r>
      <w:r w:rsidRPr="007976E5">
        <w:rPr>
          <w:b/>
          <w:i/>
          <w:lang w:val="en-US"/>
        </w:rPr>
        <w:t xml:space="preserve">   </w:t>
      </w:r>
    </w:p>
    <w:p w14:paraId="0D940A13" w14:textId="77777777" w:rsidR="004D1A46" w:rsidRDefault="004D1A46" w:rsidP="00FE141A"/>
    <w:p w14:paraId="2BEFF0D7" w14:textId="4C5601CD" w:rsidR="004D1A46" w:rsidRDefault="004D1A46" w:rsidP="004D1A46">
      <w:pPr>
        <w:pStyle w:val="Heading2"/>
      </w:pPr>
      <w:r>
        <w:rPr>
          <w:lang w:eastAsia="zh-CN"/>
        </w:rPr>
        <w:t>3</w:t>
      </w:r>
      <w:r>
        <w:t>.</w:t>
      </w:r>
      <w:r w:rsidR="00600001">
        <w:rPr>
          <w:lang w:eastAsia="zh-CN"/>
        </w:rPr>
        <w:t>2</w:t>
      </w:r>
      <w:r w:rsidRPr="00834630">
        <w:tab/>
      </w:r>
      <w:r>
        <w:t>Frame structure principles</w:t>
      </w:r>
    </w:p>
    <w:p w14:paraId="4EB07314" w14:textId="3C7F30B4" w:rsidR="003703A8" w:rsidRDefault="0089450C" w:rsidP="004D1A46">
      <w:pPr>
        <w:spacing w:after="120"/>
        <w:jc w:val="both"/>
      </w:pPr>
      <w:r>
        <w:t>In a</w:t>
      </w:r>
      <w:r w:rsidRPr="0089450C">
        <w:t xml:space="preserve"> licensed band (or latency critical) scenario, having switching points very frequently is well motivated</w:t>
      </w:r>
      <w:r>
        <w:t>. On the other hand w</w:t>
      </w:r>
      <w:r w:rsidR="00D4761A">
        <w:t>hen operating in unlicensed band scenario</w:t>
      </w:r>
      <w:r w:rsidR="004D1A46">
        <w:t xml:space="preserve">, </w:t>
      </w:r>
      <w:r>
        <w:t xml:space="preserve">because of the regulations, it may sometimes make sense to operate with less frequent switching points to match the regulatory requirements w.r.t. </w:t>
      </w:r>
      <w:r w:rsidR="003703A8">
        <w:t xml:space="preserve">Maximum Channel Occupancy Time (MCOT) </w:t>
      </w:r>
      <w:r>
        <w:t xml:space="preserve">at the cost of latency, of course. </w:t>
      </w:r>
      <w:r w:rsidR="003703A8">
        <w:t>V</w:t>
      </w:r>
      <w:r w:rsidR="00950DFA">
        <w:t xml:space="preserve">ery </w:t>
      </w:r>
      <w:r w:rsidR="004D1A46">
        <w:t>f</w:t>
      </w:r>
      <w:r w:rsidR="004D1A46" w:rsidRPr="00CA4F8B">
        <w:t>requent</w:t>
      </w:r>
      <w:r w:rsidR="00D4761A">
        <w:t xml:space="preserve"> </w:t>
      </w:r>
      <w:r w:rsidR="00950DFA">
        <w:t xml:space="preserve">switching of </w:t>
      </w:r>
      <w:r w:rsidR="00D4761A">
        <w:t xml:space="preserve">link </w:t>
      </w:r>
      <w:r w:rsidR="00364853">
        <w:t>direction</w:t>
      </w:r>
      <w:r w:rsidR="004D1A46" w:rsidRPr="00CA4F8B">
        <w:t xml:space="preserve"> would result in unnecessary overhead and also allow for other contending nodes a chance of occupying the channel.</w:t>
      </w:r>
      <w:r w:rsidR="004D1A46">
        <w:t xml:space="preserve"> </w:t>
      </w:r>
      <w:r w:rsidR="003703A8">
        <w:t>On the other hand, NR operation should support wide range of UL/DL ratios, including ones where there are several consecutive DL or UL subframes.</w:t>
      </w:r>
    </w:p>
    <w:p w14:paraId="609A70AC" w14:textId="623BAB44" w:rsidR="004D1A46" w:rsidRPr="0016316A" w:rsidRDefault="004D1A46" w:rsidP="004D1A46">
      <w:pPr>
        <w:spacing w:after="120"/>
        <w:jc w:val="both"/>
      </w:pPr>
      <w:r>
        <w:t>Hence, there is a need for fully flexible operation</w:t>
      </w:r>
      <w:r w:rsidR="00950DFA">
        <w:t xml:space="preserve"> in term of DL-UL</w:t>
      </w:r>
      <w:r w:rsidR="00DF19C2">
        <w:t xml:space="preserve"> and UL-DL</w:t>
      </w:r>
      <w:r w:rsidR="00950DFA">
        <w:t xml:space="preserve"> switching</w:t>
      </w:r>
      <w:r>
        <w:t>, which</w:t>
      </w:r>
      <w:r w:rsidRPr="0016316A">
        <w:t xml:space="preserve"> can be achieved </w:t>
      </w:r>
      <w:r>
        <w:t>by means of the three</w:t>
      </w:r>
      <w:r w:rsidR="00D4761A">
        <w:t xml:space="preserve"> basic subframe types: bi-directional subframe, DLs subframe and UL subframe (see details in [</w:t>
      </w:r>
      <w:r w:rsidR="00A01DCA">
        <w:t>3</w:t>
      </w:r>
      <w:r w:rsidR="00D4761A">
        <w:t>])</w:t>
      </w:r>
      <w:r w:rsidRPr="0016316A">
        <w:t xml:space="preserve">. </w:t>
      </w:r>
      <w:r>
        <w:t>The example</w:t>
      </w:r>
      <w:r w:rsidR="00364853">
        <w:t xml:space="preserve"> in Figure 2</w:t>
      </w:r>
      <w:r>
        <w:t xml:space="preserve"> shows a scenario for flexible DL/UL cycle consisting of DL Tx burst, a GP and an UL Tx burst. </w:t>
      </w:r>
    </w:p>
    <w:p w14:paraId="1FE15AF7" w14:textId="77777777" w:rsidR="004D1A46" w:rsidRDefault="004D1A46" w:rsidP="00F36555">
      <w:pPr>
        <w:numPr>
          <w:ilvl w:val="0"/>
          <w:numId w:val="2"/>
        </w:numPr>
        <w:spacing w:after="0"/>
        <w:jc w:val="both"/>
      </w:pPr>
      <w:r>
        <w:t>DL Tx burst consists of one or more n</w:t>
      </w:r>
      <w:r>
        <w:rPr>
          <w:rFonts w:hint="eastAsia"/>
          <w:lang w:eastAsia="zh-CN"/>
        </w:rPr>
        <w:t xml:space="preserve">ormal DL </w:t>
      </w:r>
      <w:r>
        <w:rPr>
          <w:lang w:eastAsia="zh-CN"/>
        </w:rPr>
        <w:t xml:space="preserve">only </w:t>
      </w:r>
      <w:r>
        <w:rPr>
          <w:rFonts w:hint="eastAsia"/>
          <w:lang w:eastAsia="zh-CN"/>
        </w:rPr>
        <w:t>subframe</w:t>
      </w:r>
      <w:r>
        <w:rPr>
          <w:lang w:eastAsia="zh-CN"/>
        </w:rPr>
        <w:t xml:space="preserve">s and DL portion of the bi-directional subframe (optional).  </w:t>
      </w:r>
    </w:p>
    <w:p w14:paraId="236B7F76" w14:textId="77777777" w:rsidR="004D1A46" w:rsidRDefault="004D1A46" w:rsidP="00F36555">
      <w:pPr>
        <w:numPr>
          <w:ilvl w:val="0"/>
          <w:numId w:val="2"/>
        </w:numPr>
        <w:spacing w:after="0"/>
        <w:jc w:val="both"/>
      </w:pPr>
      <w:r w:rsidRPr="0016316A">
        <w:t xml:space="preserve">UL </w:t>
      </w:r>
      <w:r>
        <w:t>Tx</w:t>
      </w:r>
      <w:r w:rsidRPr="0016316A">
        <w:t xml:space="preserve"> burst</w:t>
      </w:r>
      <w:r>
        <w:t xml:space="preserve"> consists of one or more UL subframes and UL portion of the bi-directional subframe (optional).</w:t>
      </w:r>
    </w:p>
    <w:p w14:paraId="6E05A183" w14:textId="77777777" w:rsidR="004D1A46" w:rsidRPr="0016316A" w:rsidRDefault="004D1A46" w:rsidP="004D1A46">
      <w:pPr>
        <w:spacing w:after="0"/>
        <w:ind w:left="1440"/>
        <w:jc w:val="both"/>
      </w:pPr>
    </w:p>
    <w:p w14:paraId="69122203" w14:textId="4E708DEE" w:rsidR="004D1A46" w:rsidRDefault="004D1A46" w:rsidP="004D1A46">
      <w:pPr>
        <w:jc w:val="both"/>
      </w:pPr>
      <w:r>
        <w:t>It should be noted that Fig</w:t>
      </w:r>
      <w:r w:rsidR="00364853">
        <w:t>ure 2 shows just an example of NR</w:t>
      </w:r>
      <w:r>
        <w:t xml:space="preserve"> unlicensed band operation. In other scenarios, a DL burst may also be followed e.g. by another DL burst, and correspondingly there may be multiple consecutive UL bursts as well, and the gap between the DL burst and the UL burst could also be longer (e.g. more than one subframe). </w:t>
      </w:r>
    </w:p>
    <w:p w14:paraId="77AFBE01" w14:textId="77777777" w:rsidR="004D1A46" w:rsidRPr="00A51522" w:rsidRDefault="004D1A46" w:rsidP="004D1A46">
      <w:pPr>
        <w:keepNext/>
        <w:jc w:val="center"/>
      </w:pPr>
      <w:r w:rsidRPr="000A1402">
        <w:t xml:space="preserve"> </w:t>
      </w:r>
      <w:r w:rsidRPr="004A71C3">
        <w:rPr>
          <w:noProof/>
          <w:lang w:val="en-US"/>
        </w:rPr>
        <w:drawing>
          <wp:inline distT="0" distB="0" distL="0" distR="0" wp14:anchorId="7DB54A6E" wp14:editId="2EF566EE">
            <wp:extent cx="3146042" cy="98293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154859" cy="985691"/>
                    </a:xfrm>
                    <a:prstGeom prst="rect">
                      <a:avLst/>
                    </a:prstGeom>
                    <a:noFill/>
                    <a:ln>
                      <a:noFill/>
                    </a:ln>
                  </pic:spPr>
                </pic:pic>
              </a:graphicData>
            </a:graphic>
          </wp:inline>
        </w:drawing>
      </w:r>
    </w:p>
    <w:p w14:paraId="2C19224D" w14:textId="643A6305" w:rsidR="004D1A46" w:rsidRPr="001E5981" w:rsidRDefault="004D1A46" w:rsidP="004D1A46">
      <w:pPr>
        <w:pStyle w:val="Caption"/>
        <w:jc w:val="center"/>
        <w:rPr>
          <w:lang w:val="en-US"/>
        </w:rPr>
      </w:pPr>
      <w:r w:rsidRPr="00A51522">
        <w:t xml:space="preserve">Figure </w:t>
      </w:r>
      <w:r w:rsidR="00F44F42">
        <w:fldChar w:fldCharType="begin"/>
      </w:r>
      <w:r w:rsidR="00F44F42">
        <w:instrText xml:space="preserve"> SEQ Figure \* ARABIC </w:instrText>
      </w:r>
      <w:r w:rsidR="00F44F42">
        <w:fldChar w:fldCharType="separate"/>
      </w:r>
      <w:r w:rsidR="00A55FC9">
        <w:rPr>
          <w:noProof/>
        </w:rPr>
        <w:t>2</w:t>
      </w:r>
      <w:r w:rsidR="00F44F42">
        <w:rPr>
          <w:noProof/>
        </w:rPr>
        <w:fldChar w:fldCharType="end"/>
      </w:r>
      <w:r w:rsidRPr="001E5981">
        <w:rPr>
          <w:lang w:val="en-US"/>
        </w:rPr>
        <w:t xml:space="preserve">. </w:t>
      </w:r>
      <w:r w:rsidR="0067442E">
        <w:rPr>
          <w:lang w:val="en-US"/>
        </w:rPr>
        <w:t>Flexible DL/UL cycle for NR</w:t>
      </w:r>
      <w:r>
        <w:rPr>
          <w:lang w:val="en-US"/>
        </w:rPr>
        <w:t xml:space="preserve"> unlicensed band scenario.</w:t>
      </w:r>
    </w:p>
    <w:p w14:paraId="5B45BA37" w14:textId="77777777" w:rsidR="004D1A46" w:rsidRDefault="004D1A46" w:rsidP="004D1A46">
      <w:pPr>
        <w:overflowPunct/>
        <w:autoSpaceDE/>
        <w:autoSpaceDN/>
        <w:adjustRightInd/>
        <w:spacing w:after="0"/>
        <w:textAlignment w:val="auto"/>
        <w:rPr>
          <w:rFonts w:eastAsia="MS Mincho"/>
          <w:lang w:val="en-US" w:eastAsia="ja-JP"/>
        </w:rPr>
      </w:pPr>
    </w:p>
    <w:p w14:paraId="1D05AC72" w14:textId="3D6F525A" w:rsidR="004D1A46" w:rsidRPr="00E96A29" w:rsidRDefault="004D1A46" w:rsidP="004D1A46">
      <w:pPr>
        <w:overflowPunct/>
        <w:autoSpaceDE/>
        <w:autoSpaceDN/>
        <w:adjustRightInd/>
        <w:spacing w:after="0"/>
        <w:textAlignment w:val="auto"/>
        <w:rPr>
          <w:rFonts w:eastAsia="MS Mincho"/>
          <w:b/>
          <w:i/>
          <w:lang w:eastAsia="ja-JP"/>
        </w:rPr>
      </w:pPr>
      <w:r w:rsidRPr="00583FD8">
        <w:rPr>
          <w:rFonts w:eastAsia="MS Mincho"/>
          <w:b/>
          <w:i/>
          <w:lang w:val="en-US" w:eastAsia="ja-JP"/>
        </w:rPr>
        <w:t>Observation #</w:t>
      </w:r>
      <w:r w:rsidR="00D4761A" w:rsidRPr="00583FD8">
        <w:rPr>
          <w:rFonts w:eastAsia="MS Mincho"/>
          <w:b/>
          <w:i/>
          <w:lang w:val="en-US" w:eastAsia="ja-JP"/>
        </w:rPr>
        <w:t>1</w:t>
      </w:r>
      <w:r w:rsidRPr="00583FD8">
        <w:rPr>
          <w:rFonts w:eastAsia="MS Mincho"/>
          <w:b/>
          <w:i/>
          <w:lang w:val="en-US" w:eastAsia="ja-JP"/>
        </w:rPr>
        <w:t xml:space="preserve"> Three basic subframe types</w:t>
      </w:r>
      <w:r w:rsidR="000421D7" w:rsidRPr="00583FD8">
        <w:rPr>
          <w:rFonts w:eastAsia="MS Mincho"/>
          <w:b/>
          <w:i/>
          <w:lang w:val="en-US" w:eastAsia="ja-JP"/>
        </w:rPr>
        <w:t xml:space="preserve"> (DL subframe, bi-directional subframe and UL subframe)</w:t>
      </w:r>
      <w:r w:rsidRPr="00583FD8">
        <w:rPr>
          <w:rFonts w:eastAsia="MS Mincho"/>
          <w:b/>
          <w:i/>
          <w:lang w:val="en-US" w:eastAsia="ja-JP"/>
        </w:rPr>
        <w:t xml:space="preserve"> can facilitate also </w:t>
      </w:r>
      <w:r w:rsidR="000421D7" w:rsidRPr="00583FD8">
        <w:rPr>
          <w:rFonts w:eastAsia="MS Mincho"/>
          <w:b/>
          <w:i/>
          <w:lang w:val="en-US" w:eastAsia="ja-JP"/>
        </w:rPr>
        <w:t>NR unlicensed band</w:t>
      </w:r>
      <w:r w:rsidRPr="00583FD8">
        <w:rPr>
          <w:rFonts w:eastAsia="MS Mincho"/>
          <w:b/>
          <w:i/>
          <w:lang w:val="en-US" w:eastAsia="ja-JP"/>
        </w:rPr>
        <w:t xml:space="preserve"> operation.</w:t>
      </w:r>
      <w:r w:rsidRPr="00E96A29">
        <w:rPr>
          <w:rFonts w:eastAsia="MS Mincho"/>
          <w:b/>
          <w:i/>
          <w:lang w:val="en-US" w:eastAsia="ja-JP"/>
        </w:rPr>
        <w:t xml:space="preserve"> </w:t>
      </w:r>
    </w:p>
    <w:p w14:paraId="035340F7" w14:textId="77777777" w:rsidR="004D1A46" w:rsidRDefault="004D1A46" w:rsidP="00FE141A"/>
    <w:p w14:paraId="0368D1D1" w14:textId="4DB212F8" w:rsidR="00600001" w:rsidRDefault="00600001" w:rsidP="00600001">
      <w:pPr>
        <w:pStyle w:val="Heading2"/>
      </w:pPr>
      <w:r>
        <w:rPr>
          <w:lang w:eastAsia="zh-CN"/>
        </w:rPr>
        <w:lastRenderedPageBreak/>
        <w:t>3</w:t>
      </w:r>
      <w:r>
        <w:t>.</w:t>
      </w:r>
      <w:r>
        <w:rPr>
          <w:lang w:eastAsia="zh-CN"/>
        </w:rPr>
        <w:t>3</w:t>
      </w:r>
      <w:r w:rsidRPr="00834630">
        <w:tab/>
      </w:r>
      <w:r w:rsidR="000421D7">
        <w:t>Coexistence</w:t>
      </w:r>
      <w:r w:rsidR="00701579">
        <w:t xml:space="preserve"> scenarios for </w:t>
      </w:r>
      <w:r w:rsidR="000421D7">
        <w:t xml:space="preserve">wideband operation </w:t>
      </w:r>
    </w:p>
    <w:p w14:paraId="2FAECC70" w14:textId="19C24A8C" w:rsidR="00F81F29" w:rsidRDefault="00F81F29" w:rsidP="00F81F29">
      <w:pPr>
        <w:pStyle w:val="Heading2"/>
        <w:spacing w:after="0"/>
        <w:ind w:left="0" w:firstLine="0"/>
        <w:rPr>
          <w:rFonts w:ascii="Times New Roman" w:hAnsi="Times New Roman"/>
          <w:sz w:val="20"/>
          <w:szCs w:val="24"/>
          <w:lang w:eastAsia="zh-CN"/>
        </w:rPr>
      </w:pPr>
      <w:r>
        <w:rPr>
          <w:rFonts w:ascii="Times New Roman" w:hAnsi="Times New Roman"/>
          <w:sz w:val="20"/>
          <w:szCs w:val="24"/>
          <w:lang w:eastAsia="zh-CN"/>
        </w:rPr>
        <w:t>Comprehensive coexistence studies have been carried out du</w:t>
      </w:r>
      <w:r w:rsidR="00701579">
        <w:rPr>
          <w:rFonts w:ascii="Times New Roman" w:hAnsi="Times New Roman"/>
          <w:sz w:val="20"/>
          <w:szCs w:val="24"/>
          <w:lang w:eastAsia="zh-CN"/>
        </w:rPr>
        <w:t xml:space="preserve">ring </w:t>
      </w:r>
      <w:r w:rsidR="00DF19C2">
        <w:rPr>
          <w:rFonts w:ascii="Times New Roman" w:hAnsi="Times New Roman"/>
          <w:sz w:val="20"/>
          <w:szCs w:val="24"/>
          <w:lang w:eastAsia="zh-CN"/>
        </w:rPr>
        <w:t xml:space="preserve">LTE LAA </w:t>
      </w:r>
      <w:r w:rsidR="00701579">
        <w:rPr>
          <w:rFonts w:ascii="Times New Roman" w:hAnsi="Times New Roman"/>
          <w:sz w:val="20"/>
          <w:szCs w:val="24"/>
          <w:lang w:eastAsia="zh-CN"/>
        </w:rPr>
        <w:t>Rel-13/14 studies. Based on the work,</w:t>
      </w:r>
      <w:r>
        <w:rPr>
          <w:rFonts w:ascii="Times New Roman" w:hAnsi="Times New Roman"/>
          <w:sz w:val="20"/>
          <w:szCs w:val="24"/>
          <w:lang w:eastAsia="zh-CN"/>
        </w:rPr>
        <w:t xml:space="preserve"> LBT procedures defined</w:t>
      </w:r>
      <w:r w:rsidR="00701579">
        <w:rPr>
          <w:rFonts w:ascii="Times New Roman" w:hAnsi="Times New Roman"/>
          <w:sz w:val="20"/>
          <w:szCs w:val="24"/>
          <w:lang w:eastAsia="zh-CN"/>
        </w:rPr>
        <w:t xml:space="preserve"> for LTE LAA </w:t>
      </w:r>
      <w:r>
        <w:rPr>
          <w:rFonts w:ascii="Times New Roman" w:hAnsi="Times New Roman"/>
          <w:sz w:val="20"/>
          <w:szCs w:val="24"/>
          <w:lang w:eastAsia="zh-CN"/>
        </w:rPr>
        <w:t>ensure fair co-existence with other radio systems such as Wi-Fi. It makes sense</w:t>
      </w:r>
      <w:r w:rsidRPr="00F81F29">
        <w:rPr>
          <w:rFonts w:ascii="Times New Roman" w:hAnsi="Times New Roman"/>
          <w:sz w:val="20"/>
          <w:szCs w:val="24"/>
          <w:lang w:eastAsia="zh-CN"/>
        </w:rPr>
        <w:t xml:space="preserve"> </w:t>
      </w:r>
      <w:r>
        <w:rPr>
          <w:rFonts w:ascii="Times New Roman" w:hAnsi="Times New Roman"/>
          <w:sz w:val="20"/>
          <w:szCs w:val="24"/>
          <w:lang w:eastAsia="zh-CN"/>
        </w:rPr>
        <w:t xml:space="preserve">to </w:t>
      </w:r>
      <w:r w:rsidRPr="00F81F29">
        <w:rPr>
          <w:rFonts w:ascii="Times New Roman" w:hAnsi="Times New Roman"/>
          <w:sz w:val="20"/>
          <w:szCs w:val="24"/>
          <w:lang w:eastAsia="zh-CN"/>
        </w:rPr>
        <w:t>utilize functionalities, such as LBT</w:t>
      </w:r>
      <w:r w:rsidR="00DF19C2">
        <w:rPr>
          <w:rFonts w:ascii="Times New Roman" w:hAnsi="Times New Roman"/>
          <w:sz w:val="20"/>
          <w:szCs w:val="24"/>
          <w:lang w:eastAsia="zh-CN"/>
        </w:rPr>
        <w:t xml:space="preserve"> procedures</w:t>
      </w:r>
      <w:r w:rsidRPr="00F81F29">
        <w:rPr>
          <w:rFonts w:ascii="Times New Roman" w:hAnsi="Times New Roman"/>
          <w:sz w:val="20"/>
          <w:szCs w:val="24"/>
          <w:lang w:eastAsia="zh-CN"/>
        </w:rPr>
        <w:t xml:space="preserve"> developed for LTE LAA</w:t>
      </w:r>
      <w:r w:rsidR="00701579">
        <w:rPr>
          <w:rFonts w:ascii="Times New Roman" w:hAnsi="Times New Roman"/>
          <w:sz w:val="20"/>
          <w:szCs w:val="24"/>
          <w:lang w:eastAsia="zh-CN"/>
        </w:rPr>
        <w:t>,</w:t>
      </w:r>
      <w:r w:rsidRPr="00F81F29">
        <w:rPr>
          <w:rFonts w:ascii="Times New Roman" w:hAnsi="Times New Roman"/>
          <w:sz w:val="20"/>
          <w:szCs w:val="24"/>
          <w:lang w:eastAsia="zh-CN"/>
        </w:rPr>
        <w:t xml:space="preserve"> as much as possible</w:t>
      </w:r>
      <w:r>
        <w:rPr>
          <w:rFonts w:ascii="Times New Roman" w:hAnsi="Times New Roman"/>
          <w:sz w:val="20"/>
          <w:szCs w:val="24"/>
          <w:lang w:eastAsia="zh-CN"/>
        </w:rPr>
        <w:t xml:space="preserve"> in </w:t>
      </w:r>
      <w:r w:rsidR="00701579">
        <w:rPr>
          <w:rFonts w:ascii="Times New Roman" w:hAnsi="Times New Roman"/>
          <w:sz w:val="20"/>
          <w:szCs w:val="24"/>
          <w:lang w:eastAsia="zh-CN"/>
        </w:rPr>
        <w:t xml:space="preserve">the </w:t>
      </w:r>
      <w:r>
        <w:rPr>
          <w:rFonts w:ascii="Times New Roman" w:hAnsi="Times New Roman"/>
          <w:sz w:val="20"/>
          <w:szCs w:val="24"/>
          <w:lang w:eastAsia="zh-CN"/>
        </w:rPr>
        <w:t xml:space="preserve">NR design.  </w:t>
      </w:r>
    </w:p>
    <w:p w14:paraId="3320B3A7" w14:textId="7B138842" w:rsidR="00F81F29" w:rsidRDefault="00F81F29" w:rsidP="00F81F29">
      <w:pPr>
        <w:pStyle w:val="Heading2"/>
        <w:spacing w:after="0"/>
        <w:ind w:left="0" w:firstLine="0"/>
        <w:rPr>
          <w:rFonts w:ascii="Times New Roman" w:hAnsi="Times New Roman"/>
          <w:sz w:val="20"/>
          <w:szCs w:val="24"/>
          <w:lang w:val="en-US" w:eastAsia="zh-CN"/>
        </w:rPr>
      </w:pPr>
      <w:r>
        <w:rPr>
          <w:rFonts w:ascii="Times New Roman" w:hAnsi="Times New Roman"/>
          <w:sz w:val="20"/>
          <w:szCs w:val="24"/>
          <w:lang w:val="en-US" w:eastAsia="zh-CN"/>
        </w:rPr>
        <w:t>In LTE LAA, carrier aggregation is used as a mechanism to increase the bandwidth beyond 20 MHz. In these scenarios, separate LBT is applied in each carrier. Wideband operation with carrier bandwidth larger than 20 MHz creates a new scenario for LBT.</w:t>
      </w:r>
      <w:r w:rsidR="0065272D">
        <w:rPr>
          <w:rFonts w:ascii="Times New Roman" w:hAnsi="Times New Roman"/>
          <w:sz w:val="20"/>
          <w:szCs w:val="24"/>
          <w:lang w:val="en-US" w:eastAsia="zh-CN"/>
        </w:rPr>
        <w:t xml:space="preserve"> Hence, </w:t>
      </w:r>
      <w:r w:rsidR="00A01DCA">
        <w:rPr>
          <w:rFonts w:ascii="Times New Roman" w:hAnsi="Times New Roman"/>
          <w:sz w:val="20"/>
          <w:szCs w:val="24"/>
          <w:lang w:val="en-US" w:eastAsia="zh-CN"/>
        </w:rPr>
        <w:t xml:space="preserve">there </w:t>
      </w:r>
      <w:r w:rsidR="0065272D">
        <w:rPr>
          <w:rFonts w:ascii="Times New Roman" w:hAnsi="Times New Roman"/>
          <w:sz w:val="20"/>
          <w:szCs w:val="24"/>
          <w:lang w:val="en-US" w:eastAsia="zh-CN"/>
        </w:rPr>
        <w:t>is a need to extend the existing LBT framework to cover also scenario with wideband carrier</w:t>
      </w:r>
      <w:r w:rsidR="000421D7">
        <w:rPr>
          <w:rFonts w:ascii="Times New Roman" w:hAnsi="Times New Roman"/>
          <w:sz w:val="20"/>
          <w:szCs w:val="24"/>
          <w:lang w:val="en-US" w:eastAsia="zh-CN"/>
        </w:rPr>
        <w:t>s</w:t>
      </w:r>
      <w:r w:rsidR="0065272D">
        <w:rPr>
          <w:rFonts w:ascii="Times New Roman" w:hAnsi="Times New Roman"/>
          <w:sz w:val="20"/>
          <w:szCs w:val="24"/>
          <w:lang w:val="en-US" w:eastAsia="zh-CN"/>
        </w:rPr>
        <w:t>.</w:t>
      </w:r>
    </w:p>
    <w:p w14:paraId="2F7C8F62" w14:textId="3CCBB075" w:rsidR="0065272D" w:rsidRPr="00583FD8" w:rsidRDefault="0065272D" w:rsidP="0065272D">
      <w:pPr>
        <w:pStyle w:val="Heading2"/>
        <w:ind w:left="0" w:firstLine="0"/>
        <w:rPr>
          <w:rFonts w:ascii="Times New Roman" w:hAnsi="Times New Roman"/>
          <w:b/>
          <w:i/>
          <w:sz w:val="20"/>
          <w:szCs w:val="24"/>
          <w:lang w:val="en-US" w:eastAsia="zh-CN"/>
        </w:rPr>
      </w:pPr>
      <w:r w:rsidRPr="00583FD8">
        <w:rPr>
          <w:rFonts w:ascii="Times New Roman" w:hAnsi="Times New Roman"/>
          <w:b/>
          <w:i/>
          <w:sz w:val="20"/>
          <w:szCs w:val="24"/>
          <w:lang w:val="en-US" w:eastAsia="zh-CN"/>
        </w:rPr>
        <w:t>Observation</w:t>
      </w:r>
      <w:r w:rsidR="00E27040" w:rsidRPr="00583FD8">
        <w:rPr>
          <w:rFonts w:ascii="Times New Roman" w:hAnsi="Times New Roman"/>
          <w:b/>
          <w:i/>
          <w:sz w:val="20"/>
          <w:szCs w:val="24"/>
          <w:lang w:val="en-US" w:eastAsia="zh-CN"/>
        </w:rPr>
        <w:t xml:space="preserve"> #2</w:t>
      </w:r>
      <w:r w:rsidRPr="00583FD8">
        <w:rPr>
          <w:rFonts w:ascii="Times New Roman" w:hAnsi="Times New Roman"/>
          <w:b/>
          <w:i/>
          <w:sz w:val="20"/>
          <w:szCs w:val="24"/>
          <w:lang w:val="en-US" w:eastAsia="zh-CN"/>
        </w:rPr>
        <w:t>: LBT solution for wider than 20 MHz carrier BW is needed</w:t>
      </w:r>
    </w:p>
    <w:p w14:paraId="2687998E" w14:textId="723AC225" w:rsidR="00F81F29" w:rsidRDefault="0065272D" w:rsidP="00F81F29">
      <w:pPr>
        <w:pStyle w:val="Heading2"/>
        <w:spacing w:after="0"/>
        <w:ind w:left="0" w:firstLine="0"/>
        <w:rPr>
          <w:rFonts w:ascii="Times New Roman" w:hAnsi="Times New Roman"/>
          <w:sz w:val="20"/>
          <w:szCs w:val="24"/>
          <w:lang w:val="en-US" w:eastAsia="zh-CN"/>
        </w:rPr>
      </w:pPr>
      <w:r>
        <w:rPr>
          <w:rFonts w:ascii="Times New Roman" w:hAnsi="Times New Roman"/>
          <w:sz w:val="20"/>
          <w:szCs w:val="24"/>
          <w:lang w:val="en-US" w:eastAsia="zh-CN"/>
        </w:rPr>
        <w:t>Wideband</w:t>
      </w:r>
      <w:r w:rsidR="00AC327A">
        <w:rPr>
          <w:rFonts w:ascii="Times New Roman" w:hAnsi="Times New Roman"/>
          <w:sz w:val="20"/>
          <w:szCs w:val="24"/>
          <w:lang w:val="en-US" w:eastAsia="zh-CN"/>
        </w:rPr>
        <w:t xml:space="preserve"> carrier</w:t>
      </w:r>
      <w:r>
        <w:rPr>
          <w:rFonts w:ascii="Times New Roman" w:hAnsi="Times New Roman"/>
          <w:sz w:val="20"/>
          <w:szCs w:val="24"/>
          <w:lang w:val="en-US" w:eastAsia="zh-CN"/>
        </w:rPr>
        <w:t xml:space="preserve"> </w:t>
      </w:r>
      <w:r w:rsidR="00133C63">
        <w:rPr>
          <w:rFonts w:ascii="Times New Roman" w:hAnsi="Times New Roman"/>
          <w:sz w:val="20"/>
          <w:szCs w:val="24"/>
          <w:lang w:val="en-US" w:eastAsia="zh-CN"/>
        </w:rPr>
        <w:t>in unlicensed band scenarios requires specific consideration in</w:t>
      </w:r>
      <w:r>
        <w:rPr>
          <w:rFonts w:ascii="Times New Roman" w:hAnsi="Times New Roman"/>
          <w:sz w:val="20"/>
          <w:szCs w:val="24"/>
          <w:lang w:val="en-US" w:eastAsia="zh-CN"/>
        </w:rPr>
        <w:t xml:space="preserve"> UL </w:t>
      </w:r>
      <w:r w:rsidR="00133C63">
        <w:rPr>
          <w:rFonts w:ascii="Times New Roman" w:hAnsi="Times New Roman"/>
          <w:sz w:val="20"/>
          <w:szCs w:val="24"/>
          <w:lang w:val="en-US" w:eastAsia="zh-CN"/>
        </w:rPr>
        <w:t>side</w:t>
      </w:r>
      <w:r>
        <w:rPr>
          <w:rFonts w:ascii="Times New Roman" w:hAnsi="Times New Roman"/>
          <w:sz w:val="20"/>
          <w:szCs w:val="24"/>
          <w:lang w:val="en-US" w:eastAsia="zh-CN"/>
        </w:rPr>
        <w:t>. For example,</w:t>
      </w:r>
      <w:r w:rsidR="00AC327A">
        <w:rPr>
          <w:rFonts w:ascii="Times New Roman" w:hAnsi="Times New Roman"/>
          <w:sz w:val="20"/>
          <w:szCs w:val="24"/>
          <w:lang w:val="en-US" w:eastAsia="zh-CN"/>
        </w:rPr>
        <w:t xml:space="preserve"> all UL channels need to</w:t>
      </w:r>
      <w:r>
        <w:rPr>
          <w:rFonts w:ascii="Times New Roman" w:hAnsi="Times New Roman"/>
          <w:sz w:val="20"/>
          <w:szCs w:val="24"/>
          <w:lang w:val="en-US" w:eastAsia="zh-CN"/>
        </w:rPr>
        <w:t xml:space="preserve"> tak</w:t>
      </w:r>
      <w:r w:rsidR="00AC327A">
        <w:rPr>
          <w:rFonts w:ascii="Times New Roman" w:hAnsi="Times New Roman"/>
          <w:sz w:val="20"/>
          <w:szCs w:val="24"/>
          <w:lang w:val="en-US" w:eastAsia="zh-CN"/>
        </w:rPr>
        <w:t>e</w:t>
      </w:r>
      <w:r>
        <w:rPr>
          <w:rFonts w:ascii="Times New Roman" w:hAnsi="Times New Roman"/>
          <w:sz w:val="20"/>
          <w:szCs w:val="24"/>
          <w:lang w:val="en-US" w:eastAsia="zh-CN"/>
        </w:rPr>
        <w:t xml:space="preserve"> into account existing regulation related to occupied bandwidth</w:t>
      </w:r>
      <w:r w:rsidR="004D21EE">
        <w:rPr>
          <w:rFonts w:ascii="Times New Roman" w:hAnsi="Times New Roman"/>
          <w:sz w:val="20"/>
          <w:szCs w:val="24"/>
          <w:lang w:val="en-US" w:eastAsia="zh-CN"/>
        </w:rPr>
        <w:t xml:space="preserve"> and maximum</w:t>
      </w:r>
      <w:r w:rsidR="00AC327A">
        <w:rPr>
          <w:rFonts w:ascii="Times New Roman" w:hAnsi="Times New Roman"/>
          <w:sz w:val="20"/>
          <w:szCs w:val="24"/>
          <w:lang w:val="en-US" w:eastAsia="zh-CN"/>
        </w:rPr>
        <w:t xml:space="preserve"> EIRP. With wideband carrier</w:t>
      </w:r>
      <w:r w:rsidR="004D21EE">
        <w:rPr>
          <w:rFonts w:ascii="Times New Roman" w:hAnsi="Times New Roman"/>
          <w:sz w:val="20"/>
          <w:szCs w:val="24"/>
          <w:lang w:val="en-US" w:eastAsia="zh-CN"/>
        </w:rPr>
        <w:t>, wideband UL transmission is needed to meet the occupied bandwidth requirement. This may lead to reduced power spectral density and challenges on channel estimation and demodulation. Hence,</w:t>
      </w:r>
      <w:r w:rsidR="00133C63">
        <w:rPr>
          <w:rFonts w:ascii="Times New Roman" w:hAnsi="Times New Roman"/>
          <w:sz w:val="20"/>
          <w:szCs w:val="24"/>
          <w:lang w:val="en-US" w:eastAsia="zh-CN"/>
        </w:rPr>
        <w:t xml:space="preserve"> it </w:t>
      </w:r>
      <w:r>
        <w:rPr>
          <w:rFonts w:ascii="Times New Roman" w:hAnsi="Times New Roman"/>
          <w:sz w:val="20"/>
          <w:szCs w:val="24"/>
          <w:lang w:val="en-US" w:eastAsia="zh-CN"/>
        </w:rPr>
        <w:t xml:space="preserve">may be a challenge to achieve sufficient UL coverage for </w:t>
      </w:r>
      <w:r w:rsidR="00133C63">
        <w:rPr>
          <w:rFonts w:ascii="Times New Roman" w:hAnsi="Times New Roman"/>
          <w:sz w:val="20"/>
          <w:szCs w:val="24"/>
          <w:lang w:val="en-US" w:eastAsia="zh-CN"/>
        </w:rPr>
        <w:t xml:space="preserve">uplink control information, provided that </w:t>
      </w:r>
      <w:r w:rsidR="000421D7">
        <w:rPr>
          <w:rFonts w:ascii="Times New Roman" w:hAnsi="Times New Roman"/>
          <w:sz w:val="20"/>
          <w:szCs w:val="24"/>
          <w:lang w:val="en-US" w:eastAsia="zh-CN"/>
        </w:rPr>
        <w:t>transmission</w:t>
      </w:r>
      <w:r w:rsidR="00133C63">
        <w:rPr>
          <w:rFonts w:ascii="Times New Roman" w:hAnsi="Times New Roman"/>
          <w:sz w:val="20"/>
          <w:szCs w:val="24"/>
          <w:lang w:val="en-US" w:eastAsia="zh-CN"/>
        </w:rPr>
        <w:t xml:space="preserve"> is distributed over the entire </w:t>
      </w:r>
      <w:r w:rsidR="0038685E">
        <w:rPr>
          <w:rFonts w:ascii="Times New Roman" w:hAnsi="Times New Roman"/>
          <w:sz w:val="20"/>
          <w:szCs w:val="24"/>
          <w:lang w:val="en-US" w:eastAsia="zh-CN"/>
        </w:rPr>
        <w:t xml:space="preserve">carrier </w:t>
      </w:r>
      <w:r w:rsidR="00133C63">
        <w:rPr>
          <w:rFonts w:ascii="Times New Roman" w:hAnsi="Times New Roman"/>
          <w:sz w:val="20"/>
          <w:szCs w:val="24"/>
          <w:lang w:val="en-US" w:eastAsia="zh-CN"/>
        </w:rPr>
        <w:t xml:space="preserve">bandwidth. </w:t>
      </w:r>
    </w:p>
    <w:p w14:paraId="010121E2" w14:textId="77777777" w:rsidR="0065272D" w:rsidRDefault="0065272D" w:rsidP="0038685E">
      <w:pPr>
        <w:spacing w:after="0"/>
        <w:rPr>
          <w:lang w:val="en-US" w:eastAsia="zh-CN"/>
        </w:rPr>
      </w:pPr>
    </w:p>
    <w:p w14:paraId="5519EF1E" w14:textId="648EC459" w:rsidR="00A153BE" w:rsidRDefault="0065272D" w:rsidP="00A01DCA">
      <w:pPr>
        <w:pStyle w:val="Heading2"/>
        <w:spacing w:before="0"/>
        <w:ind w:left="0" w:firstLine="0"/>
        <w:rPr>
          <w:rFonts w:ascii="Times New Roman" w:hAnsi="Times New Roman"/>
          <w:b/>
          <w:i/>
          <w:sz w:val="20"/>
          <w:szCs w:val="24"/>
          <w:lang w:val="en-US" w:eastAsia="zh-CN"/>
        </w:rPr>
      </w:pPr>
      <w:r w:rsidRPr="00583FD8">
        <w:rPr>
          <w:rFonts w:ascii="Times New Roman" w:hAnsi="Times New Roman"/>
          <w:b/>
          <w:i/>
          <w:sz w:val="20"/>
          <w:szCs w:val="24"/>
          <w:lang w:val="en-US" w:eastAsia="zh-CN"/>
        </w:rPr>
        <w:t>Observation</w:t>
      </w:r>
      <w:r w:rsidR="00E27040" w:rsidRPr="00583FD8">
        <w:rPr>
          <w:rFonts w:ascii="Times New Roman" w:hAnsi="Times New Roman"/>
          <w:b/>
          <w:i/>
          <w:sz w:val="20"/>
          <w:szCs w:val="24"/>
          <w:lang w:val="en-US" w:eastAsia="zh-CN"/>
        </w:rPr>
        <w:t xml:space="preserve"> #3</w:t>
      </w:r>
      <w:r w:rsidRPr="00583FD8">
        <w:rPr>
          <w:rFonts w:ascii="Times New Roman" w:hAnsi="Times New Roman"/>
          <w:b/>
          <w:i/>
          <w:sz w:val="20"/>
          <w:szCs w:val="24"/>
          <w:lang w:val="en-US" w:eastAsia="zh-CN"/>
        </w:rPr>
        <w:t xml:space="preserve">: </w:t>
      </w:r>
      <w:r w:rsidR="0038685E" w:rsidRPr="00583FD8">
        <w:rPr>
          <w:rFonts w:ascii="Times New Roman" w:hAnsi="Times New Roman"/>
          <w:b/>
          <w:i/>
          <w:sz w:val="20"/>
          <w:szCs w:val="24"/>
          <w:lang w:val="en-US" w:eastAsia="zh-CN"/>
        </w:rPr>
        <w:t>Uplink coverage is a potential challenge with wideband transmissions</w:t>
      </w:r>
      <w:r w:rsidR="00A01DCA" w:rsidRPr="00583FD8">
        <w:rPr>
          <w:rFonts w:ascii="Times New Roman" w:hAnsi="Times New Roman"/>
          <w:b/>
          <w:i/>
          <w:sz w:val="20"/>
          <w:szCs w:val="24"/>
          <w:lang w:val="en-US" w:eastAsia="zh-CN"/>
        </w:rPr>
        <w:t xml:space="preserve"> in unlicensed band</w:t>
      </w:r>
    </w:p>
    <w:p w14:paraId="540F7507" w14:textId="77777777" w:rsidR="00A01DCA" w:rsidRPr="00A01DCA" w:rsidRDefault="00A01DCA" w:rsidP="00A01DCA">
      <w:pPr>
        <w:spacing w:after="0"/>
        <w:rPr>
          <w:lang w:val="en-US" w:eastAsia="zh-CN"/>
        </w:rPr>
      </w:pPr>
    </w:p>
    <w:p w14:paraId="5EF726DE" w14:textId="77777777" w:rsidR="0034111C" w:rsidRPr="00A51522" w:rsidRDefault="001F34DA">
      <w:pPr>
        <w:pStyle w:val="Heading1"/>
        <w:rPr>
          <w:color w:val="000000"/>
        </w:rPr>
      </w:pPr>
      <w:r w:rsidRPr="00A51522">
        <w:rPr>
          <w:color w:val="000000"/>
        </w:rPr>
        <w:t>4</w:t>
      </w:r>
      <w:r w:rsidR="0034111C" w:rsidRPr="00A51522">
        <w:rPr>
          <w:color w:val="000000"/>
        </w:rPr>
        <w:tab/>
      </w:r>
      <w:r w:rsidR="00EE7FA7" w:rsidRPr="00A51522">
        <w:rPr>
          <w:color w:val="000000"/>
        </w:rPr>
        <w:t>Conclusion</w:t>
      </w:r>
      <w:r w:rsidR="00DB39D4" w:rsidRPr="00A51522">
        <w:rPr>
          <w:color w:val="000000"/>
        </w:rPr>
        <w:t>s</w:t>
      </w:r>
    </w:p>
    <w:p w14:paraId="4A9AEBBD" w14:textId="5336FBD4" w:rsidR="00B07E52" w:rsidRDefault="003D3FBA" w:rsidP="00496E75">
      <w:pPr>
        <w:jc w:val="both"/>
      </w:pPr>
      <w:r w:rsidRPr="00A51522">
        <w:t xml:space="preserve">In this contribution we have discussed </w:t>
      </w:r>
      <w:r w:rsidR="00E927C9">
        <w:rPr>
          <w:bCs/>
        </w:rPr>
        <w:t xml:space="preserve">scenarios, requirements and technical solutions behind wireless relay </w:t>
      </w:r>
      <w:r w:rsidR="00E927C9">
        <w:rPr>
          <w:lang w:eastAsia="ko-KR"/>
        </w:rPr>
        <w:t>inbuilt/integrated in the NR design.</w:t>
      </w:r>
      <w:r w:rsidR="00B07E52">
        <w:t xml:space="preserve"> Based on the discussion, we make the following proposals</w:t>
      </w:r>
      <w:r w:rsidR="00EE057E">
        <w:t xml:space="preserve"> and observations</w:t>
      </w:r>
      <w:r w:rsidR="00B07E52">
        <w:t>:</w:t>
      </w:r>
    </w:p>
    <w:p w14:paraId="277C32F1" w14:textId="77777777" w:rsidR="00163CA0" w:rsidRPr="00163CA0" w:rsidRDefault="00163CA0" w:rsidP="003703A8">
      <w:pPr>
        <w:rPr>
          <w:rFonts w:eastAsia="MS Mincho"/>
          <w:b/>
          <w:i/>
          <w:sz w:val="2"/>
          <w:lang w:val="en-US" w:eastAsia="ja-JP"/>
        </w:rPr>
      </w:pPr>
    </w:p>
    <w:p w14:paraId="241E3A9E" w14:textId="77777777" w:rsidR="003703A8" w:rsidRPr="00441C1E" w:rsidRDefault="003703A8" w:rsidP="003703A8">
      <w:pPr>
        <w:rPr>
          <w:rFonts w:eastAsia="MS Mincho"/>
          <w:b/>
          <w:i/>
          <w:lang w:val="en-US" w:eastAsia="ja-JP"/>
        </w:rPr>
      </w:pPr>
      <w:r w:rsidRPr="00583FD8">
        <w:rPr>
          <w:rFonts w:eastAsia="MS Mincho"/>
          <w:b/>
          <w:i/>
          <w:lang w:val="en-US" w:eastAsia="ja-JP"/>
        </w:rPr>
        <w:t>Proposal #1: Consider all deployment scenarios foreseen for unlicensed band operation in NR</w:t>
      </w:r>
    </w:p>
    <w:p w14:paraId="7CEDA131" w14:textId="77777777" w:rsidR="003703A8" w:rsidRPr="00441C1E" w:rsidRDefault="003703A8" w:rsidP="003703A8">
      <w:pPr>
        <w:rPr>
          <w:lang w:eastAsia="zh-CN"/>
        </w:rPr>
      </w:pPr>
      <w:r w:rsidRPr="00583FD8">
        <w:rPr>
          <w:rFonts w:eastAsia="MS Mincho"/>
          <w:b/>
          <w:i/>
          <w:lang w:val="en-US" w:eastAsia="ja-JP"/>
        </w:rPr>
        <w:t>Proposal #2: Consider both 5GHz and 60GHz bands as potential scenarios for unlicensed band operation in NR</w:t>
      </w:r>
      <w:r w:rsidRPr="00441C1E">
        <w:rPr>
          <w:rFonts w:eastAsia="MS Mincho"/>
          <w:b/>
          <w:i/>
          <w:lang w:val="en-US" w:eastAsia="ja-JP"/>
        </w:rPr>
        <w:t xml:space="preserve"> </w:t>
      </w:r>
    </w:p>
    <w:p w14:paraId="51095E36" w14:textId="77777777" w:rsidR="003703A8" w:rsidRPr="00441C1E" w:rsidRDefault="003703A8" w:rsidP="003703A8">
      <w:pPr>
        <w:rPr>
          <w:rFonts w:eastAsia="MS Mincho"/>
          <w:b/>
          <w:i/>
          <w:lang w:val="en-US" w:eastAsia="ja-JP"/>
        </w:rPr>
      </w:pPr>
      <w:r w:rsidRPr="00583FD8">
        <w:rPr>
          <w:rFonts w:eastAsia="MS Mincho"/>
          <w:b/>
          <w:i/>
          <w:lang w:val="en-US" w:eastAsia="ja-JP"/>
        </w:rPr>
        <w:t>Proposal #3: Consider LTE LAA coexistence solutions as the baseline for unlicensed band operation in</w:t>
      </w:r>
      <w:r w:rsidRPr="00583FD8">
        <w:t xml:space="preserve"> </w:t>
      </w:r>
      <w:r w:rsidRPr="00583FD8">
        <w:rPr>
          <w:rFonts w:eastAsia="MS Mincho"/>
          <w:b/>
          <w:i/>
          <w:lang w:val="en-US" w:eastAsia="ja-JP"/>
        </w:rPr>
        <w:t>NR</w:t>
      </w:r>
    </w:p>
    <w:p w14:paraId="7CD21B27" w14:textId="77777777" w:rsidR="003703A8" w:rsidRPr="00441C1E" w:rsidRDefault="003703A8" w:rsidP="003703A8">
      <w:pPr>
        <w:rPr>
          <w:b/>
          <w:i/>
          <w:lang w:val="en-US"/>
        </w:rPr>
      </w:pPr>
      <w:r w:rsidRPr="00583FD8">
        <w:rPr>
          <w:b/>
          <w:i/>
          <w:lang w:val="en-US"/>
        </w:rPr>
        <w:t>Proposal #4: Unlicensed band operation needs to be considered as a scenario for scalable NR numerology</w:t>
      </w:r>
      <w:r w:rsidRPr="00441C1E">
        <w:rPr>
          <w:b/>
          <w:i/>
          <w:lang w:val="en-US"/>
        </w:rPr>
        <w:t xml:space="preserve">   </w:t>
      </w:r>
    </w:p>
    <w:p w14:paraId="15B9EEB7" w14:textId="77777777" w:rsidR="003703A8" w:rsidRPr="00441C1E" w:rsidRDefault="003703A8" w:rsidP="003703A8">
      <w:pPr>
        <w:overflowPunct/>
        <w:autoSpaceDE/>
        <w:autoSpaceDN/>
        <w:adjustRightInd/>
        <w:spacing w:after="0"/>
        <w:textAlignment w:val="auto"/>
        <w:rPr>
          <w:rFonts w:eastAsia="MS Mincho"/>
          <w:b/>
          <w:i/>
          <w:lang w:eastAsia="ja-JP"/>
        </w:rPr>
      </w:pPr>
      <w:r w:rsidRPr="00583FD8">
        <w:rPr>
          <w:rFonts w:eastAsia="MS Mincho"/>
          <w:b/>
          <w:i/>
          <w:lang w:val="en-US" w:eastAsia="ja-JP"/>
        </w:rPr>
        <w:t>Observation #1 Three basic subframe types (DL subframe, bi-directional subframe and UL subframe) can facilitate also NR unlicensed band operation.</w:t>
      </w:r>
      <w:r w:rsidRPr="00441C1E">
        <w:rPr>
          <w:rFonts w:eastAsia="MS Mincho"/>
          <w:b/>
          <w:i/>
          <w:lang w:val="en-US" w:eastAsia="ja-JP"/>
        </w:rPr>
        <w:t xml:space="preserve"> </w:t>
      </w:r>
    </w:p>
    <w:p w14:paraId="57BB01E1" w14:textId="77777777" w:rsidR="003703A8" w:rsidRPr="00583FD8" w:rsidRDefault="003703A8" w:rsidP="003703A8">
      <w:pPr>
        <w:pStyle w:val="Heading2"/>
        <w:ind w:left="0" w:firstLine="0"/>
        <w:rPr>
          <w:rFonts w:ascii="Times New Roman" w:hAnsi="Times New Roman"/>
          <w:b/>
          <w:i/>
          <w:sz w:val="20"/>
          <w:szCs w:val="24"/>
          <w:lang w:val="en-US" w:eastAsia="zh-CN"/>
        </w:rPr>
      </w:pPr>
      <w:r w:rsidRPr="00583FD8">
        <w:rPr>
          <w:rFonts w:ascii="Times New Roman" w:hAnsi="Times New Roman"/>
          <w:b/>
          <w:i/>
          <w:sz w:val="20"/>
          <w:szCs w:val="24"/>
          <w:lang w:val="en-US" w:eastAsia="zh-CN"/>
        </w:rPr>
        <w:t>Observation #2: LBT solution for wider than 20 MHz carrier BW is needed</w:t>
      </w:r>
    </w:p>
    <w:p w14:paraId="359BF71B" w14:textId="54FD623E" w:rsidR="003703A8" w:rsidRPr="00441C1E" w:rsidRDefault="003703A8" w:rsidP="003703A8">
      <w:pPr>
        <w:pStyle w:val="Heading2"/>
        <w:spacing w:before="0"/>
        <w:ind w:left="0" w:firstLine="0"/>
        <w:rPr>
          <w:rFonts w:ascii="Times New Roman" w:hAnsi="Times New Roman"/>
          <w:b/>
          <w:i/>
          <w:sz w:val="20"/>
          <w:szCs w:val="24"/>
          <w:lang w:val="en-US" w:eastAsia="zh-CN"/>
        </w:rPr>
      </w:pPr>
      <w:r w:rsidRPr="00583FD8">
        <w:rPr>
          <w:rFonts w:ascii="Times New Roman" w:hAnsi="Times New Roman"/>
          <w:b/>
          <w:i/>
          <w:sz w:val="20"/>
          <w:szCs w:val="24"/>
          <w:lang w:val="en-US" w:eastAsia="zh-CN"/>
        </w:rPr>
        <w:t>Observation #3: Uplink coverage is a potential challenge with wideband transmissions in unlicensed band</w:t>
      </w:r>
      <w:r w:rsidR="00F44F42">
        <w:rPr>
          <w:rFonts w:ascii="Times New Roman" w:hAnsi="Times New Roman"/>
          <w:b/>
          <w:i/>
          <w:sz w:val="20"/>
          <w:szCs w:val="24"/>
          <w:lang w:val="en-US" w:eastAsia="zh-CN"/>
        </w:rPr>
        <w:t>.</w:t>
      </w:r>
    </w:p>
    <w:p w14:paraId="6BC9007D" w14:textId="77777777" w:rsidR="0034111C" w:rsidRPr="00A51522" w:rsidRDefault="0034111C">
      <w:pPr>
        <w:pStyle w:val="Heading1"/>
      </w:pPr>
      <w:r w:rsidRPr="00A51522">
        <w:t>References</w:t>
      </w:r>
      <w:r w:rsidR="00A2459D" w:rsidRPr="00A51522">
        <w:t xml:space="preserve"> </w:t>
      </w:r>
    </w:p>
    <w:p w14:paraId="1924AC68" w14:textId="77777777" w:rsidR="00055676" w:rsidRPr="000F2E1F" w:rsidRDefault="00055676" w:rsidP="00C178FB">
      <w:pPr>
        <w:numPr>
          <w:ilvl w:val="0"/>
          <w:numId w:val="1"/>
        </w:numPr>
        <w:rPr>
          <w:sz w:val="18"/>
        </w:rPr>
      </w:pPr>
      <w:r w:rsidRPr="000F2E1F">
        <w:rPr>
          <w:sz w:val="18"/>
          <w:lang w:eastAsia="zh-CN"/>
        </w:rPr>
        <w:t>RP-1</w:t>
      </w:r>
      <w:r w:rsidR="00E919AC" w:rsidRPr="000F2E1F">
        <w:rPr>
          <w:sz w:val="18"/>
          <w:lang w:eastAsia="zh-CN"/>
        </w:rPr>
        <w:t>60671</w:t>
      </w:r>
      <w:r w:rsidRPr="000F2E1F">
        <w:rPr>
          <w:sz w:val="18"/>
          <w:lang w:eastAsia="zh-CN"/>
        </w:rPr>
        <w:t xml:space="preserve">, </w:t>
      </w:r>
      <w:r w:rsidR="00D060FF" w:rsidRPr="000F2E1F">
        <w:rPr>
          <w:sz w:val="18"/>
          <w:lang w:eastAsia="zh-CN"/>
        </w:rPr>
        <w:t>“</w:t>
      </w:r>
      <w:r w:rsidR="00E919AC" w:rsidRPr="000F2E1F">
        <w:rPr>
          <w:i/>
          <w:sz w:val="18"/>
          <w:lang w:eastAsia="zh-CN"/>
        </w:rPr>
        <w:t>Study on New Radio Access</w:t>
      </w:r>
      <w:r w:rsidR="00D060FF" w:rsidRPr="000F2E1F">
        <w:rPr>
          <w:i/>
          <w:sz w:val="18"/>
          <w:lang w:eastAsia="zh-CN"/>
        </w:rPr>
        <w:t xml:space="preserve"> Technology</w:t>
      </w:r>
      <w:r w:rsidR="00D060FF" w:rsidRPr="000F2E1F">
        <w:rPr>
          <w:sz w:val="18"/>
          <w:lang w:eastAsia="zh-CN"/>
        </w:rPr>
        <w:t>”</w:t>
      </w:r>
      <w:r w:rsidRPr="000F2E1F">
        <w:rPr>
          <w:sz w:val="18"/>
          <w:lang w:eastAsia="zh-CN"/>
        </w:rPr>
        <w:t xml:space="preserve">, </w:t>
      </w:r>
      <w:r w:rsidR="00D060FF" w:rsidRPr="000F2E1F">
        <w:rPr>
          <w:sz w:val="18"/>
          <w:lang w:eastAsia="zh-CN"/>
        </w:rPr>
        <w:t>NTT DoCoMo</w:t>
      </w:r>
    </w:p>
    <w:p w14:paraId="2EF6C1F6" w14:textId="77777777" w:rsidR="00777315" w:rsidRPr="000F2E1F" w:rsidRDefault="00777315" w:rsidP="00777315">
      <w:pPr>
        <w:numPr>
          <w:ilvl w:val="0"/>
          <w:numId w:val="1"/>
        </w:numPr>
        <w:rPr>
          <w:sz w:val="18"/>
        </w:rPr>
      </w:pPr>
      <w:r w:rsidRPr="000F2E1F">
        <w:rPr>
          <w:sz w:val="18"/>
        </w:rPr>
        <w:t>TR 38.913, “</w:t>
      </w:r>
      <w:r w:rsidRPr="000F2E1F">
        <w:rPr>
          <w:i/>
          <w:sz w:val="18"/>
          <w:lang w:eastAsia="zh-CN"/>
        </w:rPr>
        <w:t>Study on Scenarios and Requirements for Next Generation Access Technologies</w:t>
      </w:r>
      <w:r w:rsidRPr="000F2E1F">
        <w:rPr>
          <w:sz w:val="18"/>
        </w:rPr>
        <w:t>”, 3GPP</w:t>
      </w:r>
    </w:p>
    <w:p w14:paraId="430B4E4A" w14:textId="6304CD21" w:rsidR="001F6A16" w:rsidRDefault="001F6A16" w:rsidP="001F6A16">
      <w:pPr>
        <w:numPr>
          <w:ilvl w:val="0"/>
          <w:numId w:val="1"/>
        </w:numPr>
        <w:textAlignment w:val="auto"/>
        <w:rPr>
          <w:sz w:val="18"/>
        </w:rPr>
      </w:pPr>
      <w:r>
        <w:rPr>
          <w:sz w:val="18"/>
        </w:rPr>
        <w:t>R1-16</w:t>
      </w:r>
      <w:r w:rsidR="00B00273">
        <w:rPr>
          <w:sz w:val="18"/>
        </w:rPr>
        <w:t>7262</w:t>
      </w:r>
      <w:r>
        <w:rPr>
          <w:sz w:val="18"/>
        </w:rPr>
        <w:t>, “</w:t>
      </w:r>
      <w:r>
        <w:rPr>
          <w:i/>
          <w:sz w:val="18"/>
        </w:rPr>
        <w:t>Basic frame structure principles for new radio</w:t>
      </w:r>
      <w:r>
        <w:rPr>
          <w:sz w:val="18"/>
        </w:rPr>
        <w:t>”, Nokia, Alcatel-Lucent Shanghai Bell</w:t>
      </w:r>
    </w:p>
    <w:p w14:paraId="16C3E359" w14:textId="5FB93988" w:rsidR="007826C8" w:rsidRPr="000F2E1F" w:rsidRDefault="007826C8" w:rsidP="00E927C9"/>
    <w:sectPr w:rsidR="007826C8" w:rsidRPr="000F2E1F"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ADC1E3" w14:textId="77777777" w:rsidR="00434F3A" w:rsidRDefault="00434F3A">
      <w:r>
        <w:separator/>
      </w:r>
    </w:p>
  </w:endnote>
  <w:endnote w:type="continuationSeparator" w:id="0">
    <w:p w14:paraId="6BE55B05" w14:textId="77777777" w:rsidR="00434F3A" w:rsidRDefault="00434F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NokiaPureText-Light">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5508FC" w14:textId="77777777" w:rsidR="00434F3A" w:rsidRDefault="00434F3A">
      <w:r>
        <w:separator/>
      </w:r>
    </w:p>
  </w:footnote>
  <w:footnote w:type="continuationSeparator" w:id="0">
    <w:p w14:paraId="66396985" w14:textId="77777777" w:rsidR="00434F3A" w:rsidRDefault="00434F3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C4266"/>
    <w:multiLevelType w:val="hybridMultilevel"/>
    <w:tmpl w:val="2C16B3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ED5B94"/>
    <w:multiLevelType w:val="hybridMultilevel"/>
    <w:tmpl w:val="2FE84976"/>
    <w:lvl w:ilvl="0" w:tplc="E3945CB2">
      <w:numFmt w:val="bullet"/>
      <w:lvlText w:val="•"/>
      <w:lvlJc w:val="left"/>
      <w:pPr>
        <w:ind w:left="360" w:firstLine="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280908"/>
    <w:multiLevelType w:val="hybridMultilevel"/>
    <w:tmpl w:val="A4F868FC"/>
    <w:lvl w:ilvl="0" w:tplc="04090001">
      <w:start w:val="1"/>
      <w:numFmt w:val="bullet"/>
      <w:lvlText w:val=""/>
      <w:lvlJc w:val="left"/>
      <w:pPr>
        <w:ind w:left="360" w:firstLine="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AB0B6E"/>
    <w:multiLevelType w:val="hybridMultilevel"/>
    <w:tmpl w:val="5910249E"/>
    <w:lvl w:ilvl="0" w:tplc="00228CF6">
      <w:start w:val="3"/>
      <w:numFmt w:val="bullet"/>
      <w:lvlText w:val=""/>
      <w:lvlJc w:val="left"/>
      <w:pPr>
        <w:ind w:left="720" w:hanging="360"/>
      </w:pPr>
      <w:rPr>
        <w:rFonts w:ascii="Wingdings" w:eastAsia="MS Mincho"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715F08"/>
    <w:multiLevelType w:val="hybridMultilevel"/>
    <w:tmpl w:val="E9DADE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405311"/>
    <w:multiLevelType w:val="hybridMultilevel"/>
    <w:tmpl w:val="0BBA47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10E2633"/>
    <w:multiLevelType w:val="hybridMultilevel"/>
    <w:tmpl w:val="E092E7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5E9F5558"/>
    <w:multiLevelType w:val="hybridMultilevel"/>
    <w:tmpl w:val="6F300A1C"/>
    <w:lvl w:ilvl="0" w:tplc="843216DC">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5DD60D8"/>
    <w:multiLevelType w:val="hybridMultilevel"/>
    <w:tmpl w:val="60B44E18"/>
    <w:lvl w:ilvl="0" w:tplc="E3945CB2">
      <w:numFmt w:val="bullet"/>
      <w:lvlText w:val="•"/>
      <w:lvlJc w:val="left"/>
      <w:pPr>
        <w:ind w:left="360" w:firstLine="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6"/>
  </w:num>
  <w:num w:numId="3">
    <w:abstractNumId w:val="5"/>
  </w:num>
  <w:num w:numId="4">
    <w:abstractNumId w:val="4"/>
  </w:num>
  <w:num w:numId="5">
    <w:abstractNumId w:val="0"/>
  </w:num>
  <w:num w:numId="6">
    <w:abstractNumId w:val="9"/>
  </w:num>
  <w:num w:numId="7">
    <w:abstractNumId w:val="1"/>
  </w:num>
  <w:num w:numId="8">
    <w:abstractNumId w:val="3"/>
  </w:num>
  <w:num w:numId="9">
    <w:abstractNumId w:val="8"/>
  </w:num>
  <w:num w:numId="10">
    <w:abstractNumId w:val="2"/>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oNotDisplayPageBoundaries/>
  <w:printFractionalCharacterWidth/>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s-ES" w:vendorID="64" w:dllVersion="131078" w:nlCheck="1" w:checkStyle="1"/>
  <w:activeWritingStyle w:appName="MSWord" w:lang="it-IT"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9F"/>
    <w:rsid w:val="00004AC8"/>
    <w:rsid w:val="0000600F"/>
    <w:rsid w:val="00006055"/>
    <w:rsid w:val="00006AD4"/>
    <w:rsid w:val="000074C4"/>
    <w:rsid w:val="000079A6"/>
    <w:rsid w:val="00012505"/>
    <w:rsid w:val="00012C4F"/>
    <w:rsid w:val="000131D1"/>
    <w:rsid w:val="000134E3"/>
    <w:rsid w:val="00013632"/>
    <w:rsid w:val="00013F5E"/>
    <w:rsid w:val="0001403F"/>
    <w:rsid w:val="0001487F"/>
    <w:rsid w:val="00014F35"/>
    <w:rsid w:val="00015AF7"/>
    <w:rsid w:val="000166AC"/>
    <w:rsid w:val="00017B7F"/>
    <w:rsid w:val="00017EDA"/>
    <w:rsid w:val="00024AEF"/>
    <w:rsid w:val="00026C65"/>
    <w:rsid w:val="00027755"/>
    <w:rsid w:val="00030048"/>
    <w:rsid w:val="0003072D"/>
    <w:rsid w:val="000314CD"/>
    <w:rsid w:val="00032D2F"/>
    <w:rsid w:val="00033544"/>
    <w:rsid w:val="0003479E"/>
    <w:rsid w:val="00035691"/>
    <w:rsid w:val="0004132D"/>
    <w:rsid w:val="000421D7"/>
    <w:rsid w:val="00044CFA"/>
    <w:rsid w:val="000459C7"/>
    <w:rsid w:val="00046630"/>
    <w:rsid w:val="00046C80"/>
    <w:rsid w:val="00050112"/>
    <w:rsid w:val="000505CC"/>
    <w:rsid w:val="000511F9"/>
    <w:rsid w:val="00052850"/>
    <w:rsid w:val="000528A2"/>
    <w:rsid w:val="00052BBA"/>
    <w:rsid w:val="00054D9D"/>
    <w:rsid w:val="00055676"/>
    <w:rsid w:val="00056544"/>
    <w:rsid w:val="00060D8E"/>
    <w:rsid w:val="0006347F"/>
    <w:rsid w:val="00063D9E"/>
    <w:rsid w:val="00064AD3"/>
    <w:rsid w:val="00065088"/>
    <w:rsid w:val="000652D3"/>
    <w:rsid w:val="000654A0"/>
    <w:rsid w:val="00072BBA"/>
    <w:rsid w:val="00075FDA"/>
    <w:rsid w:val="00076386"/>
    <w:rsid w:val="00076D82"/>
    <w:rsid w:val="00081EC2"/>
    <w:rsid w:val="00084A65"/>
    <w:rsid w:val="00091404"/>
    <w:rsid w:val="00091A92"/>
    <w:rsid w:val="00093C49"/>
    <w:rsid w:val="00095A80"/>
    <w:rsid w:val="00096C43"/>
    <w:rsid w:val="000973E1"/>
    <w:rsid w:val="000A1402"/>
    <w:rsid w:val="000A19D0"/>
    <w:rsid w:val="000A20BA"/>
    <w:rsid w:val="000A262C"/>
    <w:rsid w:val="000A3C8D"/>
    <w:rsid w:val="000A40EC"/>
    <w:rsid w:val="000A54EE"/>
    <w:rsid w:val="000A6A23"/>
    <w:rsid w:val="000A7BC5"/>
    <w:rsid w:val="000B16DB"/>
    <w:rsid w:val="000B1C5E"/>
    <w:rsid w:val="000B2282"/>
    <w:rsid w:val="000B2A11"/>
    <w:rsid w:val="000B2A5B"/>
    <w:rsid w:val="000B3B91"/>
    <w:rsid w:val="000B5F0A"/>
    <w:rsid w:val="000C74BA"/>
    <w:rsid w:val="000C7531"/>
    <w:rsid w:val="000C7C3F"/>
    <w:rsid w:val="000D0BD6"/>
    <w:rsid w:val="000D0C61"/>
    <w:rsid w:val="000D27AD"/>
    <w:rsid w:val="000D29D1"/>
    <w:rsid w:val="000D2B0A"/>
    <w:rsid w:val="000D3286"/>
    <w:rsid w:val="000D344D"/>
    <w:rsid w:val="000D40E7"/>
    <w:rsid w:val="000D486E"/>
    <w:rsid w:val="000D584F"/>
    <w:rsid w:val="000E071E"/>
    <w:rsid w:val="000E27AA"/>
    <w:rsid w:val="000E337A"/>
    <w:rsid w:val="000E4350"/>
    <w:rsid w:val="000E4408"/>
    <w:rsid w:val="000E5716"/>
    <w:rsid w:val="000E7A79"/>
    <w:rsid w:val="000F15B2"/>
    <w:rsid w:val="000F19DE"/>
    <w:rsid w:val="000F2E1F"/>
    <w:rsid w:val="000F37B0"/>
    <w:rsid w:val="000F4595"/>
    <w:rsid w:val="000F4CB2"/>
    <w:rsid w:val="00100D12"/>
    <w:rsid w:val="00101C4F"/>
    <w:rsid w:val="00102C9F"/>
    <w:rsid w:val="001068D2"/>
    <w:rsid w:val="001103BD"/>
    <w:rsid w:val="00111208"/>
    <w:rsid w:val="00111808"/>
    <w:rsid w:val="0011339F"/>
    <w:rsid w:val="00117C44"/>
    <w:rsid w:val="001204DD"/>
    <w:rsid w:val="00122839"/>
    <w:rsid w:val="001237AC"/>
    <w:rsid w:val="00124E12"/>
    <w:rsid w:val="0012673D"/>
    <w:rsid w:val="001269B8"/>
    <w:rsid w:val="00127099"/>
    <w:rsid w:val="00132B71"/>
    <w:rsid w:val="00133C63"/>
    <w:rsid w:val="0013427A"/>
    <w:rsid w:val="001362C2"/>
    <w:rsid w:val="00136955"/>
    <w:rsid w:val="001371B2"/>
    <w:rsid w:val="00137D78"/>
    <w:rsid w:val="00141F08"/>
    <w:rsid w:val="00144C87"/>
    <w:rsid w:val="001467B1"/>
    <w:rsid w:val="00150175"/>
    <w:rsid w:val="001502C8"/>
    <w:rsid w:val="0015130F"/>
    <w:rsid w:val="00153668"/>
    <w:rsid w:val="00155BFD"/>
    <w:rsid w:val="00157390"/>
    <w:rsid w:val="00160998"/>
    <w:rsid w:val="00160CD6"/>
    <w:rsid w:val="00160F4A"/>
    <w:rsid w:val="0016316A"/>
    <w:rsid w:val="00163CA0"/>
    <w:rsid w:val="00164171"/>
    <w:rsid w:val="00164E58"/>
    <w:rsid w:val="00165033"/>
    <w:rsid w:val="001670EA"/>
    <w:rsid w:val="001674A0"/>
    <w:rsid w:val="00170A50"/>
    <w:rsid w:val="00174C01"/>
    <w:rsid w:val="00174FFD"/>
    <w:rsid w:val="001759CA"/>
    <w:rsid w:val="00177252"/>
    <w:rsid w:val="0017726A"/>
    <w:rsid w:val="00180278"/>
    <w:rsid w:val="001818A7"/>
    <w:rsid w:val="00182725"/>
    <w:rsid w:val="001829C8"/>
    <w:rsid w:val="00186904"/>
    <w:rsid w:val="00186B0A"/>
    <w:rsid w:val="001905BD"/>
    <w:rsid w:val="00192FE6"/>
    <w:rsid w:val="00193986"/>
    <w:rsid w:val="00193B08"/>
    <w:rsid w:val="00194570"/>
    <w:rsid w:val="00196BF4"/>
    <w:rsid w:val="001976AA"/>
    <w:rsid w:val="001A15C6"/>
    <w:rsid w:val="001A5E19"/>
    <w:rsid w:val="001B01FA"/>
    <w:rsid w:val="001B0832"/>
    <w:rsid w:val="001B18A7"/>
    <w:rsid w:val="001B36FC"/>
    <w:rsid w:val="001B4607"/>
    <w:rsid w:val="001B7E0C"/>
    <w:rsid w:val="001C0674"/>
    <w:rsid w:val="001C226F"/>
    <w:rsid w:val="001C66AC"/>
    <w:rsid w:val="001C6754"/>
    <w:rsid w:val="001C77F0"/>
    <w:rsid w:val="001D46A0"/>
    <w:rsid w:val="001D7CA4"/>
    <w:rsid w:val="001D7E58"/>
    <w:rsid w:val="001E33B8"/>
    <w:rsid w:val="001E4D4F"/>
    <w:rsid w:val="001E57CF"/>
    <w:rsid w:val="001E5981"/>
    <w:rsid w:val="001E74BA"/>
    <w:rsid w:val="001E7B9F"/>
    <w:rsid w:val="001E7F10"/>
    <w:rsid w:val="001F01FB"/>
    <w:rsid w:val="001F023D"/>
    <w:rsid w:val="001F0658"/>
    <w:rsid w:val="001F0E92"/>
    <w:rsid w:val="001F1987"/>
    <w:rsid w:val="001F23BD"/>
    <w:rsid w:val="001F34DA"/>
    <w:rsid w:val="001F4DAC"/>
    <w:rsid w:val="001F5019"/>
    <w:rsid w:val="001F67AA"/>
    <w:rsid w:val="001F6A16"/>
    <w:rsid w:val="001F7599"/>
    <w:rsid w:val="00204B3A"/>
    <w:rsid w:val="0020535A"/>
    <w:rsid w:val="00206955"/>
    <w:rsid w:val="00210309"/>
    <w:rsid w:val="00212FB8"/>
    <w:rsid w:val="00213709"/>
    <w:rsid w:val="002149AF"/>
    <w:rsid w:val="00214A6E"/>
    <w:rsid w:val="00214A86"/>
    <w:rsid w:val="002155BF"/>
    <w:rsid w:val="00215AAA"/>
    <w:rsid w:val="00221985"/>
    <w:rsid w:val="00221EC5"/>
    <w:rsid w:val="00222A7A"/>
    <w:rsid w:val="00224A2C"/>
    <w:rsid w:val="002256D9"/>
    <w:rsid w:val="0022687C"/>
    <w:rsid w:val="002306F8"/>
    <w:rsid w:val="002312F4"/>
    <w:rsid w:val="002313A2"/>
    <w:rsid w:val="00231FC7"/>
    <w:rsid w:val="00232930"/>
    <w:rsid w:val="00232A95"/>
    <w:rsid w:val="00232DD9"/>
    <w:rsid w:val="00233403"/>
    <w:rsid w:val="00233440"/>
    <w:rsid w:val="00233D0E"/>
    <w:rsid w:val="00233DC2"/>
    <w:rsid w:val="00236450"/>
    <w:rsid w:val="0023765A"/>
    <w:rsid w:val="00237921"/>
    <w:rsid w:val="00241311"/>
    <w:rsid w:val="00242E22"/>
    <w:rsid w:val="0024336B"/>
    <w:rsid w:val="0024424F"/>
    <w:rsid w:val="00244D28"/>
    <w:rsid w:val="00245720"/>
    <w:rsid w:val="002477DF"/>
    <w:rsid w:val="00252C17"/>
    <w:rsid w:val="0025307F"/>
    <w:rsid w:val="002551BD"/>
    <w:rsid w:val="002568D0"/>
    <w:rsid w:val="00262661"/>
    <w:rsid w:val="002632DF"/>
    <w:rsid w:val="002640BA"/>
    <w:rsid w:val="00264CF2"/>
    <w:rsid w:val="0026652C"/>
    <w:rsid w:val="00267587"/>
    <w:rsid w:val="00271589"/>
    <w:rsid w:val="00273177"/>
    <w:rsid w:val="00275074"/>
    <w:rsid w:val="002763E9"/>
    <w:rsid w:val="002764C2"/>
    <w:rsid w:val="00276736"/>
    <w:rsid w:val="00277B31"/>
    <w:rsid w:val="002819EE"/>
    <w:rsid w:val="00282A17"/>
    <w:rsid w:val="00284E32"/>
    <w:rsid w:val="002851EB"/>
    <w:rsid w:val="00285510"/>
    <w:rsid w:val="00285DE2"/>
    <w:rsid w:val="0028616D"/>
    <w:rsid w:val="00286965"/>
    <w:rsid w:val="0029136E"/>
    <w:rsid w:val="00292399"/>
    <w:rsid w:val="00294445"/>
    <w:rsid w:val="00294B4D"/>
    <w:rsid w:val="002A1062"/>
    <w:rsid w:val="002A2413"/>
    <w:rsid w:val="002A2F5E"/>
    <w:rsid w:val="002A352A"/>
    <w:rsid w:val="002A607D"/>
    <w:rsid w:val="002B0851"/>
    <w:rsid w:val="002B132E"/>
    <w:rsid w:val="002B2813"/>
    <w:rsid w:val="002B2D29"/>
    <w:rsid w:val="002C1EEA"/>
    <w:rsid w:val="002C2B74"/>
    <w:rsid w:val="002C6034"/>
    <w:rsid w:val="002C635B"/>
    <w:rsid w:val="002C7CFF"/>
    <w:rsid w:val="002D0BC6"/>
    <w:rsid w:val="002D17C5"/>
    <w:rsid w:val="002D17F1"/>
    <w:rsid w:val="002D365F"/>
    <w:rsid w:val="002D7C86"/>
    <w:rsid w:val="002E0692"/>
    <w:rsid w:val="002E1D74"/>
    <w:rsid w:val="002E2943"/>
    <w:rsid w:val="002E2CF1"/>
    <w:rsid w:val="002E34AF"/>
    <w:rsid w:val="002E4AAC"/>
    <w:rsid w:val="002E53DE"/>
    <w:rsid w:val="002E563B"/>
    <w:rsid w:val="002E62D2"/>
    <w:rsid w:val="002F1038"/>
    <w:rsid w:val="002F22FF"/>
    <w:rsid w:val="002F2510"/>
    <w:rsid w:val="002F2D8F"/>
    <w:rsid w:val="002F695B"/>
    <w:rsid w:val="002F72DA"/>
    <w:rsid w:val="002F76B1"/>
    <w:rsid w:val="002F7D66"/>
    <w:rsid w:val="002F7DBE"/>
    <w:rsid w:val="0030090B"/>
    <w:rsid w:val="00302BB1"/>
    <w:rsid w:val="00304210"/>
    <w:rsid w:val="003048D7"/>
    <w:rsid w:val="00304AD2"/>
    <w:rsid w:val="003062E6"/>
    <w:rsid w:val="003068B6"/>
    <w:rsid w:val="003071F6"/>
    <w:rsid w:val="00311C08"/>
    <w:rsid w:val="00312ECE"/>
    <w:rsid w:val="0031393C"/>
    <w:rsid w:val="00313CB0"/>
    <w:rsid w:val="00313F96"/>
    <w:rsid w:val="003150CE"/>
    <w:rsid w:val="00315AAB"/>
    <w:rsid w:val="003175E1"/>
    <w:rsid w:val="00320299"/>
    <w:rsid w:val="00321154"/>
    <w:rsid w:val="003211B0"/>
    <w:rsid w:val="003224E7"/>
    <w:rsid w:val="00325D7A"/>
    <w:rsid w:val="00326145"/>
    <w:rsid w:val="00327163"/>
    <w:rsid w:val="00327305"/>
    <w:rsid w:val="00327531"/>
    <w:rsid w:val="00330187"/>
    <w:rsid w:val="00331C77"/>
    <w:rsid w:val="00331F96"/>
    <w:rsid w:val="00332B55"/>
    <w:rsid w:val="00335A33"/>
    <w:rsid w:val="00335EA8"/>
    <w:rsid w:val="003363DD"/>
    <w:rsid w:val="00340361"/>
    <w:rsid w:val="00340795"/>
    <w:rsid w:val="0034111C"/>
    <w:rsid w:val="00341E60"/>
    <w:rsid w:val="0034217F"/>
    <w:rsid w:val="00345405"/>
    <w:rsid w:val="00345DDD"/>
    <w:rsid w:val="00346FED"/>
    <w:rsid w:val="00351E01"/>
    <w:rsid w:val="00352D21"/>
    <w:rsid w:val="00354FEE"/>
    <w:rsid w:val="00356C0B"/>
    <w:rsid w:val="00357B9C"/>
    <w:rsid w:val="00361412"/>
    <w:rsid w:val="003615CA"/>
    <w:rsid w:val="003642A6"/>
    <w:rsid w:val="00364853"/>
    <w:rsid w:val="00367337"/>
    <w:rsid w:val="00367FD8"/>
    <w:rsid w:val="003703A8"/>
    <w:rsid w:val="00370B63"/>
    <w:rsid w:val="00370FCC"/>
    <w:rsid w:val="003711AF"/>
    <w:rsid w:val="00374848"/>
    <w:rsid w:val="00375D09"/>
    <w:rsid w:val="0037739D"/>
    <w:rsid w:val="0037751C"/>
    <w:rsid w:val="00380F3F"/>
    <w:rsid w:val="00382232"/>
    <w:rsid w:val="00382F1A"/>
    <w:rsid w:val="00383282"/>
    <w:rsid w:val="00383658"/>
    <w:rsid w:val="0038412E"/>
    <w:rsid w:val="00386053"/>
    <w:rsid w:val="0038685E"/>
    <w:rsid w:val="0038771D"/>
    <w:rsid w:val="00392C01"/>
    <w:rsid w:val="00393E44"/>
    <w:rsid w:val="00397AB6"/>
    <w:rsid w:val="00397ACA"/>
    <w:rsid w:val="00397E4D"/>
    <w:rsid w:val="003A597F"/>
    <w:rsid w:val="003A71A8"/>
    <w:rsid w:val="003B00CA"/>
    <w:rsid w:val="003B030B"/>
    <w:rsid w:val="003B0432"/>
    <w:rsid w:val="003B0821"/>
    <w:rsid w:val="003B0BE9"/>
    <w:rsid w:val="003B2E9B"/>
    <w:rsid w:val="003B2F8D"/>
    <w:rsid w:val="003B4FAA"/>
    <w:rsid w:val="003B547A"/>
    <w:rsid w:val="003B75B9"/>
    <w:rsid w:val="003C1109"/>
    <w:rsid w:val="003C1A18"/>
    <w:rsid w:val="003C5C41"/>
    <w:rsid w:val="003D0788"/>
    <w:rsid w:val="003D1517"/>
    <w:rsid w:val="003D2938"/>
    <w:rsid w:val="003D3D79"/>
    <w:rsid w:val="003D3FBA"/>
    <w:rsid w:val="003D402B"/>
    <w:rsid w:val="003D764F"/>
    <w:rsid w:val="003E0667"/>
    <w:rsid w:val="003E13E0"/>
    <w:rsid w:val="003E1660"/>
    <w:rsid w:val="003E1CD1"/>
    <w:rsid w:val="003E2A2D"/>
    <w:rsid w:val="003E64A9"/>
    <w:rsid w:val="003E7905"/>
    <w:rsid w:val="003F0336"/>
    <w:rsid w:val="003F5547"/>
    <w:rsid w:val="003F5C40"/>
    <w:rsid w:val="003F6E12"/>
    <w:rsid w:val="003F75ED"/>
    <w:rsid w:val="004002B7"/>
    <w:rsid w:val="00400F31"/>
    <w:rsid w:val="004154F7"/>
    <w:rsid w:val="00417581"/>
    <w:rsid w:val="004176FF"/>
    <w:rsid w:val="004241C5"/>
    <w:rsid w:val="00424FA7"/>
    <w:rsid w:val="00426A87"/>
    <w:rsid w:val="004309D8"/>
    <w:rsid w:val="00431079"/>
    <w:rsid w:val="004313D1"/>
    <w:rsid w:val="00432110"/>
    <w:rsid w:val="00433EBE"/>
    <w:rsid w:val="00434406"/>
    <w:rsid w:val="00434F3A"/>
    <w:rsid w:val="00441B92"/>
    <w:rsid w:val="00441C1E"/>
    <w:rsid w:val="0044474B"/>
    <w:rsid w:val="00445FF7"/>
    <w:rsid w:val="00453341"/>
    <w:rsid w:val="004545C6"/>
    <w:rsid w:val="00454DCA"/>
    <w:rsid w:val="00456544"/>
    <w:rsid w:val="00456649"/>
    <w:rsid w:val="004567B7"/>
    <w:rsid w:val="00456856"/>
    <w:rsid w:val="00461210"/>
    <w:rsid w:val="00462490"/>
    <w:rsid w:val="00465299"/>
    <w:rsid w:val="00466A0F"/>
    <w:rsid w:val="0046795B"/>
    <w:rsid w:val="00471863"/>
    <w:rsid w:val="00473A14"/>
    <w:rsid w:val="00474CA8"/>
    <w:rsid w:val="00474E43"/>
    <w:rsid w:val="00481D90"/>
    <w:rsid w:val="00482CD4"/>
    <w:rsid w:val="00483261"/>
    <w:rsid w:val="00485B23"/>
    <w:rsid w:val="004874E4"/>
    <w:rsid w:val="0049070D"/>
    <w:rsid w:val="00491DB2"/>
    <w:rsid w:val="00492877"/>
    <w:rsid w:val="00496DC2"/>
    <w:rsid w:val="00496E75"/>
    <w:rsid w:val="004A014C"/>
    <w:rsid w:val="004A0AA8"/>
    <w:rsid w:val="004A1FE4"/>
    <w:rsid w:val="004A2CA9"/>
    <w:rsid w:val="004A3CB5"/>
    <w:rsid w:val="004A537D"/>
    <w:rsid w:val="004A67F0"/>
    <w:rsid w:val="004A71C3"/>
    <w:rsid w:val="004A7769"/>
    <w:rsid w:val="004B23AD"/>
    <w:rsid w:val="004B2965"/>
    <w:rsid w:val="004B4224"/>
    <w:rsid w:val="004B4647"/>
    <w:rsid w:val="004B74FF"/>
    <w:rsid w:val="004B7CE4"/>
    <w:rsid w:val="004C0401"/>
    <w:rsid w:val="004C183D"/>
    <w:rsid w:val="004C3B50"/>
    <w:rsid w:val="004C3EEE"/>
    <w:rsid w:val="004C483D"/>
    <w:rsid w:val="004C6CF9"/>
    <w:rsid w:val="004C795A"/>
    <w:rsid w:val="004C7F93"/>
    <w:rsid w:val="004D1A46"/>
    <w:rsid w:val="004D21EE"/>
    <w:rsid w:val="004D26B8"/>
    <w:rsid w:val="004D4FC0"/>
    <w:rsid w:val="004D7DA8"/>
    <w:rsid w:val="004E16F0"/>
    <w:rsid w:val="004E2892"/>
    <w:rsid w:val="004E362B"/>
    <w:rsid w:val="004E3681"/>
    <w:rsid w:val="004E3D74"/>
    <w:rsid w:val="004E784B"/>
    <w:rsid w:val="004F0224"/>
    <w:rsid w:val="004F0DB4"/>
    <w:rsid w:val="004F0E04"/>
    <w:rsid w:val="004F1EBC"/>
    <w:rsid w:val="004F3B71"/>
    <w:rsid w:val="004F5154"/>
    <w:rsid w:val="004F5835"/>
    <w:rsid w:val="004F661C"/>
    <w:rsid w:val="004F6D99"/>
    <w:rsid w:val="00500572"/>
    <w:rsid w:val="00501425"/>
    <w:rsid w:val="00504311"/>
    <w:rsid w:val="0050485C"/>
    <w:rsid w:val="00504AC6"/>
    <w:rsid w:val="00511079"/>
    <w:rsid w:val="00512829"/>
    <w:rsid w:val="0051423C"/>
    <w:rsid w:val="00514C91"/>
    <w:rsid w:val="00516241"/>
    <w:rsid w:val="00516FD9"/>
    <w:rsid w:val="0051791D"/>
    <w:rsid w:val="005243E0"/>
    <w:rsid w:val="005265A3"/>
    <w:rsid w:val="00526783"/>
    <w:rsid w:val="00527FB1"/>
    <w:rsid w:val="0053162F"/>
    <w:rsid w:val="00531777"/>
    <w:rsid w:val="0053281C"/>
    <w:rsid w:val="005340C9"/>
    <w:rsid w:val="00543707"/>
    <w:rsid w:val="00543EBB"/>
    <w:rsid w:val="00544213"/>
    <w:rsid w:val="005453F3"/>
    <w:rsid w:val="00545549"/>
    <w:rsid w:val="005469F5"/>
    <w:rsid w:val="005518ED"/>
    <w:rsid w:val="00552093"/>
    <w:rsid w:val="00554E4B"/>
    <w:rsid w:val="00555F67"/>
    <w:rsid w:val="005606A4"/>
    <w:rsid w:val="005607B8"/>
    <w:rsid w:val="00560CF5"/>
    <w:rsid w:val="0056272D"/>
    <w:rsid w:val="0056308E"/>
    <w:rsid w:val="005649BF"/>
    <w:rsid w:val="00565073"/>
    <w:rsid w:val="005650ED"/>
    <w:rsid w:val="00565869"/>
    <w:rsid w:val="00567415"/>
    <w:rsid w:val="00567610"/>
    <w:rsid w:val="00570A8E"/>
    <w:rsid w:val="00570D9F"/>
    <w:rsid w:val="00571CA8"/>
    <w:rsid w:val="00580793"/>
    <w:rsid w:val="005810EF"/>
    <w:rsid w:val="00581470"/>
    <w:rsid w:val="00582087"/>
    <w:rsid w:val="005831DD"/>
    <w:rsid w:val="00583FD8"/>
    <w:rsid w:val="00584320"/>
    <w:rsid w:val="00587229"/>
    <w:rsid w:val="00587503"/>
    <w:rsid w:val="00590E8D"/>
    <w:rsid w:val="00591CA0"/>
    <w:rsid w:val="0059331A"/>
    <w:rsid w:val="005975C4"/>
    <w:rsid w:val="00597ED8"/>
    <w:rsid w:val="005A34D5"/>
    <w:rsid w:val="005A4904"/>
    <w:rsid w:val="005A515A"/>
    <w:rsid w:val="005A704D"/>
    <w:rsid w:val="005B2EE8"/>
    <w:rsid w:val="005B3C6D"/>
    <w:rsid w:val="005B609E"/>
    <w:rsid w:val="005B6DF6"/>
    <w:rsid w:val="005B7B7D"/>
    <w:rsid w:val="005C03FC"/>
    <w:rsid w:val="005C1948"/>
    <w:rsid w:val="005C263C"/>
    <w:rsid w:val="005C2679"/>
    <w:rsid w:val="005D07C5"/>
    <w:rsid w:val="005D4302"/>
    <w:rsid w:val="005D5A20"/>
    <w:rsid w:val="005D786C"/>
    <w:rsid w:val="005E3073"/>
    <w:rsid w:val="005E316A"/>
    <w:rsid w:val="005F0108"/>
    <w:rsid w:val="005F0ECC"/>
    <w:rsid w:val="005F21A5"/>
    <w:rsid w:val="005F2470"/>
    <w:rsid w:val="005F28C6"/>
    <w:rsid w:val="005F319C"/>
    <w:rsid w:val="005F52CC"/>
    <w:rsid w:val="005F6BD4"/>
    <w:rsid w:val="005F7985"/>
    <w:rsid w:val="00600001"/>
    <w:rsid w:val="00600CEB"/>
    <w:rsid w:val="00602AA1"/>
    <w:rsid w:val="00604367"/>
    <w:rsid w:val="006044BE"/>
    <w:rsid w:val="0060475F"/>
    <w:rsid w:val="00606A26"/>
    <w:rsid w:val="00607D81"/>
    <w:rsid w:val="00610747"/>
    <w:rsid w:val="0061176E"/>
    <w:rsid w:val="00614CD1"/>
    <w:rsid w:val="0061567B"/>
    <w:rsid w:val="0062152A"/>
    <w:rsid w:val="00623583"/>
    <w:rsid w:val="0062462F"/>
    <w:rsid w:val="00624BA1"/>
    <w:rsid w:val="0062661B"/>
    <w:rsid w:val="00630118"/>
    <w:rsid w:val="006310AE"/>
    <w:rsid w:val="006311CF"/>
    <w:rsid w:val="00632196"/>
    <w:rsid w:val="00633BF2"/>
    <w:rsid w:val="00633F67"/>
    <w:rsid w:val="006345C3"/>
    <w:rsid w:val="00636216"/>
    <w:rsid w:val="006373CD"/>
    <w:rsid w:val="0064165D"/>
    <w:rsid w:val="006424AA"/>
    <w:rsid w:val="006433BD"/>
    <w:rsid w:val="00643784"/>
    <w:rsid w:val="00644A21"/>
    <w:rsid w:val="00645C9F"/>
    <w:rsid w:val="00646A6C"/>
    <w:rsid w:val="006508B9"/>
    <w:rsid w:val="00650CA1"/>
    <w:rsid w:val="00651854"/>
    <w:rsid w:val="0065272D"/>
    <w:rsid w:val="0065518A"/>
    <w:rsid w:val="006565D8"/>
    <w:rsid w:val="00656B96"/>
    <w:rsid w:val="00657AE5"/>
    <w:rsid w:val="006619B0"/>
    <w:rsid w:val="00662012"/>
    <w:rsid w:val="00662543"/>
    <w:rsid w:val="006626D0"/>
    <w:rsid w:val="00664E8C"/>
    <w:rsid w:val="00665F7C"/>
    <w:rsid w:val="00666682"/>
    <w:rsid w:val="00666EBB"/>
    <w:rsid w:val="0066779E"/>
    <w:rsid w:val="0067269D"/>
    <w:rsid w:val="00672988"/>
    <w:rsid w:val="0067442E"/>
    <w:rsid w:val="00674E6A"/>
    <w:rsid w:val="00676A64"/>
    <w:rsid w:val="00677925"/>
    <w:rsid w:val="00680F46"/>
    <w:rsid w:val="00682B53"/>
    <w:rsid w:val="00682F27"/>
    <w:rsid w:val="00690525"/>
    <w:rsid w:val="00690E2E"/>
    <w:rsid w:val="006932E7"/>
    <w:rsid w:val="00693347"/>
    <w:rsid w:val="00696D63"/>
    <w:rsid w:val="006A41AE"/>
    <w:rsid w:val="006A4856"/>
    <w:rsid w:val="006A564B"/>
    <w:rsid w:val="006A7635"/>
    <w:rsid w:val="006B1545"/>
    <w:rsid w:val="006B2F4D"/>
    <w:rsid w:val="006B3682"/>
    <w:rsid w:val="006B48CB"/>
    <w:rsid w:val="006B51AD"/>
    <w:rsid w:val="006C1445"/>
    <w:rsid w:val="006C4FC1"/>
    <w:rsid w:val="006C529D"/>
    <w:rsid w:val="006D0E6B"/>
    <w:rsid w:val="006D2146"/>
    <w:rsid w:val="006E094A"/>
    <w:rsid w:val="006E12B1"/>
    <w:rsid w:val="006E13D1"/>
    <w:rsid w:val="006E4D0C"/>
    <w:rsid w:val="006E5B78"/>
    <w:rsid w:val="006E6BA3"/>
    <w:rsid w:val="006F1116"/>
    <w:rsid w:val="006F3196"/>
    <w:rsid w:val="006F3C54"/>
    <w:rsid w:val="006F5E64"/>
    <w:rsid w:val="006F7914"/>
    <w:rsid w:val="006F7E46"/>
    <w:rsid w:val="00700AB4"/>
    <w:rsid w:val="00700FCA"/>
    <w:rsid w:val="00701579"/>
    <w:rsid w:val="00701645"/>
    <w:rsid w:val="00702D5A"/>
    <w:rsid w:val="00702EF7"/>
    <w:rsid w:val="00703989"/>
    <w:rsid w:val="007042E9"/>
    <w:rsid w:val="0071118B"/>
    <w:rsid w:val="00711E13"/>
    <w:rsid w:val="00712EDA"/>
    <w:rsid w:val="007136D0"/>
    <w:rsid w:val="007155A9"/>
    <w:rsid w:val="007158E1"/>
    <w:rsid w:val="0071705B"/>
    <w:rsid w:val="00720505"/>
    <w:rsid w:val="007236A3"/>
    <w:rsid w:val="007239B6"/>
    <w:rsid w:val="0072490A"/>
    <w:rsid w:val="0072517D"/>
    <w:rsid w:val="00726878"/>
    <w:rsid w:val="0073124A"/>
    <w:rsid w:val="007328EF"/>
    <w:rsid w:val="00733016"/>
    <w:rsid w:val="00733893"/>
    <w:rsid w:val="00734A05"/>
    <w:rsid w:val="00735C6F"/>
    <w:rsid w:val="00750F5B"/>
    <w:rsid w:val="00756832"/>
    <w:rsid w:val="007626D0"/>
    <w:rsid w:val="007651CA"/>
    <w:rsid w:val="00767519"/>
    <w:rsid w:val="007704E1"/>
    <w:rsid w:val="00772569"/>
    <w:rsid w:val="00772E8C"/>
    <w:rsid w:val="007736D3"/>
    <w:rsid w:val="0077500F"/>
    <w:rsid w:val="0077548E"/>
    <w:rsid w:val="00777315"/>
    <w:rsid w:val="00780919"/>
    <w:rsid w:val="007826C8"/>
    <w:rsid w:val="00784190"/>
    <w:rsid w:val="0078457B"/>
    <w:rsid w:val="00784756"/>
    <w:rsid w:val="0078539D"/>
    <w:rsid w:val="007856C1"/>
    <w:rsid w:val="00787051"/>
    <w:rsid w:val="0079018D"/>
    <w:rsid w:val="00791A00"/>
    <w:rsid w:val="00792CEE"/>
    <w:rsid w:val="007976E5"/>
    <w:rsid w:val="007A138F"/>
    <w:rsid w:val="007A1640"/>
    <w:rsid w:val="007A39DF"/>
    <w:rsid w:val="007A43ED"/>
    <w:rsid w:val="007A4BDD"/>
    <w:rsid w:val="007A72EE"/>
    <w:rsid w:val="007B0397"/>
    <w:rsid w:val="007B3502"/>
    <w:rsid w:val="007B44ED"/>
    <w:rsid w:val="007B491A"/>
    <w:rsid w:val="007B5370"/>
    <w:rsid w:val="007B61F5"/>
    <w:rsid w:val="007B63FA"/>
    <w:rsid w:val="007B7373"/>
    <w:rsid w:val="007B7496"/>
    <w:rsid w:val="007C0802"/>
    <w:rsid w:val="007C12BE"/>
    <w:rsid w:val="007C2739"/>
    <w:rsid w:val="007C4B0F"/>
    <w:rsid w:val="007C5830"/>
    <w:rsid w:val="007C5DB8"/>
    <w:rsid w:val="007D05B2"/>
    <w:rsid w:val="007D0C44"/>
    <w:rsid w:val="007D1972"/>
    <w:rsid w:val="007D3307"/>
    <w:rsid w:val="007D3AF8"/>
    <w:rsid w:val="007D5E27"/>
    <w:rsid w:val="007D6F64"/>
    <w:rsid w:val="007E141F"/>
    <w:rsid w:val="007E3538"/>
    <w:rsid w:val="007E79C5"/>
    <w:rsid w:val="007F43BC"/>
    <w:rsid w:val="007F4740"/>
    <w:rsid w:val="008006C6"/>
    <w:rsid w:val="0080153E"/>
    <w:rsid w:val="0080742D"/>
    <w:rsid w:val="0081151E"/>
    <w:rsid w:val="00811885"/>
    <w:rsid w:val="00811C0E"/>
    <w:rsid w:val="00812498"/>
    <w:rsid w:val="008127E6"/>
    <w:rsid w:val="0081336E"/>
    <w:rsid w:val="00813928"/>
    <w:rsid w:val="00821698"/>
    <w:rsid w:val="008221FE"/>
    <w:rsid w:val="00822BF5"/>
    <w:rsid w:val="008235E5"/>
    <w:rsid w:val="00824894"/>
    <w:rsid w:val="008259DD"/>
    <w:rsid w:val="00826C7B"/>
    <w:rsid w:val="00826DD9"/>
    <w:rsid w:val="00826E01"/>
    <w:rsid w:val="008277A8"/>
    <w:rsid w:val="008278B6"/>
    <w:rsid w:val="008307ED"/>
    <w:rsid w:val="0083350F"/>
    <w:rsid w:val="00834358"/>
    <w:rsid w:val="008346BD"/>
    <w:rsid w:val="00836B7A"/>
    <w:rsid w:val="008409AA"/>
    <w:rsid w:val="00840FB8"/>
    <w:rsid w:val="00843A7A"/>
    <w:rsid w:val="008447F5"/>
    <w:rsid w:val="00846292"/>
    <w:rsid w:val="008506E1"/>
    <w:rsid w:val="008528D3"/>
    <w:rsid w:val="00854553"/>
    <w:rsid w:val="00855B86"/>
    <w:rsid w:val="00860874"/>
    <w:rsid w:val="00862008"/>
    <w:rsid w:val="00862720"/>
    <w:rsid w:val="008628C8"/>
    <w:rsid w:val="00862B2A"/>
    <w:rsid w:val="008630B9"/>
    <w:rsid w:val="00863F37"/>
    <w:rsid w:val="0086406B"/>
    <w:rsid w:val="00864C8C"/>
    <w:rsid w:val="00867651"/>
    <w:rsid w:val="008743F3"/>
    <w:rsid w:val="0087444A"/>
    <w:rsid w:val="00875139"/>
    <w:rsid w:val="00875410"/>
    <w:rsid w:val="008850BA"/>
    <w:rsid w:val="00885876"/>
    <w:rsid w:val="00886185"/>
    <w:rsid w:val="008861D9"/>
    <w:rsid w:val="0088638C"/>
    <w:rsid w:val="008908E5"/>
    <w:rsid w:val="00891216"/>
    <w:rsid w:val="00891F33"/>
    <w:rsid w:val="0089450C"/>
    <w:rsid w:val="00894FDC"/>
    <w:rsid w:val="00896C44"/>
    <w:rsid w:val="008A16F9"/>
    <w:rsid w:val="008A1D3E"/>
    <w:rsid w:val="008A4B16"/>
    <w:rsid w:val="008A6D62"/>
    <w:rsid w:val="008B3B51"/>
    <w:rsid w:val="008B4057"/>
    <w:rsid w:val="008B4145"/>
    <w:rsid w:val="008B5290"/>
    <w:rsid w:val="008C2CFD"/>
    <w:rsid w:val="008C2F85"/>
    <w:rsid w:val="008C71C8"/>
    <w:rsid w:val="008D4325"/>
    <w:rsid w:val="008D4B58"/>
    <w:rsid w:val="008D7D7B"/>
    <w:rsid w:val="008E0F52"/>
    <w:rsid w:val="008E2316"/>
    <w:rsid w:val="008E34BE"/>
    <w:rsid w:val="008E5657"/>
    <w:rsid w:val="008E5E51"/>
    <w:rsid w:val="008F00DB"/>
    <w:rsid w:val="008F1264"/>
    <w:rsid w:val="008F428E"/>
    <w:rsid w:val="008F47C6"/>
    <w:rsid w:val="009006A2"/>
    <w:rsid w:val="0090102B"/>
    <w:rsid w:val="00901448"/>
    <w:rsid w:val="00903B4F"/>
    <w:rsid w:val="00905C47"/>
    <w:rsid w:val="00906379"/>
    <w:rsid w:val="009101EA"/>
    <w:rsid w:val="009106FC"/>
    <w:rsid w:val="009118BB"/>
    <w:rsid w:val="00915B81"/>
    <w:rsid w:val="00915D6B"/>
    <w:rsid w:val="009160DF"/>
    <w:rsid w:val="009162C7"/>
    <w:rsid w:val="00916EC2"/>
    <w:rsid w:val="009213BD"/>
    <w:rsid w:val="00924627"/>
    <w:rsid w:val="009250A8"/>
    <w:rsid w:val="00925BE6"/>
    <w:rsid w:val="00926F61"/>
    <w:rsid w:val="0093123D"/>
    <w:rsid w:val="00933040"/>
    <w:rsid w:val="009330E9"/>
    <w:rsid w:val="00935D15"/>
    <w:rsid w:val="009411FB"/>
    <w:rsid w:val="009414A9"/>
    <w:rsid w:val="00941B71"/>
    <w:rsid w:val="009421AD"/>
    <w:rsid w:val="0094221C"/>
    <w:rsid w:val="00943410"/>
    <w:rsid w:val="0094409C"/>
    <w:rsid w:val="00944159"/>
    <w:rsid w:val="009449B2"/>
    <w:rsid w:val="00944A82"/>
    <w:rsid w:val="00946811"/>
    <w:rsid w:val="00946C4D"/>
    <w:rsid w:val="00950DFA"/>
    <w:rsid w:val="0095285B"/>
    <w:rsid w:val="00953FE9"/>
    <w:rsid w:val="0095481C"/>
    <w:rsid w:val="009567E6"/>
    <w:rsid w:val="00957132"/>
    <w:rsid w:val="009576FD"/>
    <w:rsid w:val="009578EB"/>
    <w:rsid w:val="009578FF"/>
    <w:rsid w:val="00960446"/>
    <w:rsid w:val="009610ED"/>
    <w:rsid w:val="009633BB"/>
    <w:rsid w:val="0096485F"/>
    <w:rsid w:val="00965753"/>
    <w:rsid w:val="00967354"/>
    <w:rsid w:val="00971592"/>
    <w:rsid w:val="00971DDF"/>
    <w:rsid w:val="009731D6"/>
    <w:rsid w:val="00974746"/>
    <w:rsid w:val="00975119"/>
    <w:rsid w:val="00976F04"/>
    <w:rsid w:val="009777F4"/>
    <w:rsid w:val="00977AD8"/>
    <w:rsid w:val="00980A10"/>
    <w:rsid w:val="00981130"/>
    <w:rsid w:val="00983D46"/>
    <w:rsid w:val="00983DCA"/>
    <w:rsid w:val="00985EF7"/>
    <w:rsid w:val="00986CF9"/>
    <w:rsid w:val="009873B7"/>
    <w:rsid w:val="00990C0E"/>
    <w:rsid w:val="00990D75"/>
    <w:rsid w:val="00991093"/>
    <w:rsid w:val="0099163B"/>
    <w:rsid w:val="00992343"/>
    <w:rsid w:val="00996306"/>
    <w:rsid w:val="00996744"/>
    <w:rsid w:val="00997870"/>
    <w:rsid w:val="00997CF4"/>
    <w:rsid w:val="009A0C18"/>
    <w:rsid w:val="009A1169"/>
    <w:rsid w:val="009A3789"/>
    <w:rsid w:val="009A6919"/>
    <w:rsid w:val="009A6AC7"/>
    <w:rsid w:val="009B0408"/>
    <w:rsid w:val="009B0843"/>
    <w:rsid w:val="009B1E47"/>
    <w:rsid w:val="009B2CED"/>
    <w:rsid w:val="009B6BB7"/>
    <w:rsid w:val="009B7A72"/>
    <w:rsid w:val="009B7BB8"/>
    <w:rsid w:val="009C126A"/>
    <w:rsid w:val="009C1D4C"/>
    <w:rsid w:val="009C2DD2"/>
    <w:rsid w:val="009C441F"/>
    <w:rsid w:val="009C4A07"/>
    <w:rsid w:val="009C4B8E"/>
    <w:rsid w:val="009C51D5"/>
    <w:rsid w:val="009C599A"/>
    <w:rsid w:val="009C650E"/>
    <w:rsid w:val="009C70DB"/>
    <w:rsid w:val="009D19BC"/>
    <w:rsid w:val="009D2348"/>
    <w:rsid w:val="009D2F0C"/>
    <w:rsid w:val="009D3578"/>
    <w:rsid w:val="009D3A5F"/>
    <w:rsid w:val="009D5193"/>
    <w:rsid w:val="009D5C32"/>
    <w:rsid w:val="009D6472"/>
    <w:rsid w:val="009D79F4"/>
    <w:rsid w:val="009E3CD1"/>
    <w:rsid w:val="009E5AF5"/>
    <w:rsid w:val="009E5EB5"/>
    <w:rsid w:val="009E74F0"/>
    <w:rsid w:val="009F0768"/>
    <w:rsid w:val="009F7867"/>
    <w:rsid w:val="009F7D66"/>
    <w:rsid w:val="00A00BD2"/>
    <w:rsid w:val="00A00E56"/>
    <w:rsid w:val="00A01DCA"/>
    <w:rsid w:val="00A027F3"/>
    <w:rsid w:val="00A029CA"/>
    <w:rsid w:val="00A03978"/>
    <w:rsid w:val="00A05E6B"/>
    <w:rsid w:val="00A071C7"/>
    <w:rsid w:val="00A07E08"/>
    <w:rsid w:val="00A12798"/>
    <w:rsid w:val="00A12AD6"/>
    <w:rsid w:val="00A153BE"/>
    <w:rsid w:val="00A15DEE"/>
    <w:rsid w:val="00A167B5"/>
    <w:rsid w:val="00A16DBE"/>
    <w:rsid w:val="00A17C4F"/>
    <w:rsid w:val="00A20A39"/>
    <w:rsid w:val="00A21B86"/>
    <w:rsid w:val="00A238BD"/>
    <w:rsid w:val="00A2459D"/>
    <w:rsid w:val="00A24E23"/>
    <w:rsid w:val="00A25F05"/>
    <w:rsid w:val="00A311AE"/>
    <w:rsid w:val="00A312A6"/>
    <w:rsid w:val="00A3130E"/>
    <w:rsid w:val="00A324CF"/>
    <w:rsid w:val="00A32E8B"/>
    <w:rsid w:val="00A32ED6"/>
    <w:rsid w:val="00A33CBC"/>
    <w:rsid w:val="00A346C3"/>
    <w:rsid w:val="00A42BCA"/>
    <w:rsid w:val="00A42D07"/>
    <w:rsid w:val="00A450C0"/>
    <w:rsid w:val="00A45468"/>
    <w:rsid w:val="00A4791B"/>
    <w:rsid w:val="00A50A48"/>
    <w:rsid w:val="00A51522"/>
    <w:rsid w:val="00A51573"/>
    <w:rsid w:val="00A51A5E"/>
    <w:rsid w:val="00A52895"/>
    <w:rsid w:val="00A53DA0"/>
    <w:rsid w:val="00A55FC9"/>
    <w:rsid w:val="00A5765D"/>
    <w:rsid w:val="00A607CB"/>
    <w:rsid w:val="00A6351F"/>
    <w:rsid w:val="00A65A70"/>
    <w:rsid w:val="00A66F36"/>
    <w:rsid w:val="00A676D9"/>
    <w:rsid w:val="00A67EFC"/>
    <w:rsid w:val="00A701AF"/>
    <w:rsid w:val="00A7031E"/>
    <w:rsid w:val="00A71140"/>
    <w:rsid w:val="00A74692"/>
    <w:rsid w:val="00A7618B"/>
    <w:rsid w:val="00A7640B"/>
    <w:rsid w:val="00A7778B"/>
    <w:rsid w:val="00A803BC"/>
    <w:rsid w:val="00A80969"/>
    <w:rsid w:val="00A86EA7"/>
    <w:rsid w:val="00A92776"/>
    <w:rsid w:val="00A93181"/>
    <w:rsid w:val="00A938E6"/>
    <w:rsid w:val="00A93CCF"/>
    <w:rsid w:val="00A95BD5"/>
    <w:rsid w:val="00A96F78"/>
    <w:rsid w:val="00AA1087"/>
    <w:rsid w:val="00AA25A9"/>
    <w:rsid w:val="00AA26D9"/>
    <w:rsid w:val="00AA51AD"/>
    <w:rsid w:val="00AA591E"/>
    <w:rsid w:val="00AA65C9"/>
    <w:rsid w:val="00AB0A32"/>
    <w:rsid w:val="00AB0E56"/>
    <w:rsid w:val="00AB4ECC"/>
    <w:rsid w:val="00AB674E"/>
    <w:rsid w:val="00AB6A71"/>
    <w:rsid w:val="00AC02C1"/>
    <w:rsid w:val="00AC0834"/>
    <w:rsid w:val="00AC0AB6"/>
    <w:rsid w:val="00AC10AD"/>
    <w:rsid w:val="00AC1E55"/>
    <w:rsid w:val="00AC327A"/>
    <w:rsid w:val="00AC429F"/>
    <w:rsid w:val="00AC60B4"/>
    <w:rsid w:val="00AD00C5"/>
    <w:rsid w:val="00AD165F"/>
    <w:rsid w:val="00AD2794"/>
    <w:rsid w:val="00AD2DC5"/>
    <w:rsid w:val="00AD3455"/>
    <w:rsid w:val="00AD3CAD"/>
    <w:rsid w:val="00AD69FF"/>
    <w:rsid w:val="00AD702B"/>
    <w:rsid w:val="00AD72E6"/>
    <w:rsid w:val="00AD7C95"/>
    <w:rsid w:val="00AE3DE1"/>
    <w:rsid w:val="00AF2D54"/>
    <w:rsid w:val="00AF3458"/>
    <w:rsid w:val="00AF3F7B"/>
    <w:rsid w:val="00AF42B4"/>
    <w:rsid w:val="00AF4F1B"/>
    <w:rsid w:val="00AF6E8A"/>
    <w:rsid w:val="00AF7213"/>
    <w:rsid w:val="00AF7D92"/>
    <w:rsid w:val="00B00273"/>
    <w:rsid w:val="00B011CC"/>
    <w:rsid w:val="00B04048"/>
    <w:rsid w:val="00B04F3D"/>
    <w:rsid w:val="00B05702"/>
    <w:rsid w:val="00B06DD9"/>
    <w:rsid w:val="00B07CD6"/>
    <w:rsid w:val="00B07E52"/>
    <w:rsid w:val="00B10010"/>
    <w:rsid w:val="00B11775"/>
    <w:rsid w:val="00B1302D"/>
    <w:rsid w:val="00B1513F"/>
    <w:rsid w:val="00B20725"/>
    <w:rsid w:val="00B2628E"/>
    <w:rsid w:val="00B266B0"/>
    <w:rsid w:val="00B27921"/>
    <w:rsid w:val="00B3000E"/>
    <w:rsid w:val="00B326A8"/>
    <w:rsid w:val="00B329EB"/>
    <w:rsid w:val="00B3377E"/>
    <w:rsid w:val="00B35DA4"/>
    <w:rsid w:val="00B40A96"/>
    <w:rsid w:val="00B422A7"/>
    <w:rsid w:val="00B42A32"/>
    <w:rsid w:val="00B4399E"/>
    <w:rsid w:val="00B43A16"/>
    <w:rsid w:val="00B46A75"/>
    <w:rsid w:val="00B500CD"/>
    <w:rsid w:val="00B5239C"/>
    <w:rsid w:val="00B53893"/>
    <w:rsid w:val="00B548C2"/>
    <w:rsid w:val="00B55428"/>
    <w:rsid w:val="00B570BF"/>
    <w:rsid w:val="00B63337"/>
    <w:rsid w:val="00B6369F"/>
    <w:rsid w:val="00B639D7"/>
    <w:rsid w:val="00B67805"/>
    <w:rsid w:val="00B7267A"/>
    <w:rsid w:val="00B726FF"/>
    <w:rsid w:val="00B72AA4"/>
    <w:rsid w:val="00B76BCD"/>
    <w:rsid w:val="00B76EE9"/>
    <w:rsid w:val="00B77880"/>
    <w:rsid w:val="00B80D90"/>
    <w:rsid w:val="00B82613"/>
    <w:rsid w:val="00B828B5"/>
    <w:rsid w:val="00B84E9C"/>
    <w:rsid w:val="00B85522"/>
    <w:rsid w:val="00B90E2A"/>
    <w:rsid w:val="00B90F2A"/>
    <w:rsid w:val="00B9198D"/>
    <w:rsid w:val="00B93008"/>
    <w:rsid w:val="00B9406D"/>
    <w:rsid w:val="00B94BA7"/>
    <w:rsid w:val="00B94E0E"/>
    <w:rsid w:val="00B97CA3"/>
    <w:rsid w:val="00BA76A9"/>
    <w:rsid w:val="00BB3E2B"/>
    <w:rsid w:val="00BB5611"/>
    <w:rsid w:val="00BB5D1C"/>
    <w:rsid w:val="00BB6552"/>
    <w:rsid w:val="00BB6B9B"/>
    <w:rsid w:val="00BB754F"/>
    <w:rsid w:val="00BC07D4"/>
    <w:rsid w:val="00BC0A5D"/>
    <w:rsid w:val="00BC1860"/>
    <w:rsid w:val="00BC1AD9"/>
    <w:rsid w:val="00BC32E7"/>
    <w:rsid w:val="00BC58B9"/>
    <w:rsid w:val="00BD3E68"/>
    <w:rsid w:val="00BD598A"/>
    <w:rsid w:val="00BD75B4"/>
    <w:rsid w:val="00BD7D14"/>
    <w:rsid w:val="00BE02B4"/>
    <w:rsid w:val="00BE631E"/>
    <w:rsid w:val="00BE7E4A"/>
    <w:rsid w:val="00BF0CCF"/>
    <w:rsid w:val="00BF0FC5"/>
    <w:rsid w:val="00BF10BC"/>
    <w:rsid w:val="00BF21AC"/>
    <w:rsid w:val="00BF2E53"/>
    <w:rsid w:val="00BF3669"/>
    <w:rsid w:val="00BF3C0D"/>
    <w:rsid w:val="00C03309"/>
    <w:rsid w:val="00C072FE"/>
    <w:rsid w:val="00C1193F"/>
    <w:rsid w:val="00C12E39"/>
    <w:rsid w:val="00C14164"/>
    <w:rsid w:val="00C15D8E"/>
    <w:rsid w:val="00C16611"/>
    <w:rsid w:val="00C17012"/>
    <w:rsid w:val="00C178FB"/>
    <w:rsid w:val="00C257B7"/>
    <w:rsid w:val="00C272E8"/>
    <w:rsid w:val="00C31AD4"/>
    <w:rsid w:val="00C33359"/>
    <w:rsid w:val="00C348D6"/>
    <w:rsid w:val="00C36E34"/>
    <w:rsid w:val="00C404EE"/>
    <w:rsid w:val="00C4171B"/>
    <w:rsid w:val="00C42689"/>
    <w:rsid w:val="00C42988"/>
    <w:rsid w:val="00C42BD4"/>
    <w:rsid w:val="00C43FF0"/>
    <w:rsid w:val="00C44641"/>
    <w:rsid w:val="00C45EF5"/>
    <w:rsid w:val="00C46B7E"/>
    <w:rsid w:val="00C50A4E"/>
    <w:rsid w:val="00C520B1"/>
    <w:rsid w:val="00C522D6"/>
    <w:rsid w:val="00C54020"/>
    <w:rsid w:val="00C545C5"/>
    <w:rsid w:val="00C61D4B"/>
    <w:rsid w:val="00C62B0A"/>
    <w:rsid w:val="00C63F08"/>
    <w:rsid w:val="00C6528C"/>
    <w:rsid w:val="00C661E8"/>
    <w:rsid w:val="00C70084"/>
    <w:rsid w:val="00C7235B"/>
    <w:rsid w:val="00C72E18"/>
    <w:rsid w:val="00C7380B"/>
    <w:rsid w:val="00C74421"/>
    <w:rsid w:val="00C75F2F"/>
    <w:rsid w:val="00C75FEE"/>
    <w:rsid w:val="00C76F1D"/>
    <w:rsid w:val="00C77D26"/>
    <w:rsid w:val="00C84D39"/>
    <w:rsid w:val="00C85277"/>
    <w:rsid w:val="00C85D76"/>
    <w:rsid w:val="00C93462"/>
    <w:rsid w:val="00C94384"/>
    <w:rsid w:val="00C94C2B"/>
    <w:rsid w:val="00C96F79"/>
    <w:rsid w:val="00C97CF9"/>
    <w:rsid w:val="00CA17DD"/>
    <w:rsid w:val="00CA1863"/>
    <w:rsid w:val="00CA391D"/>
    <w:rsid w:val="00CA3ACD"/>
    <w:rsid w:val="00CA4F8B"/>
    <w:rsid w:val="00CB09DA"/>
    <w:rsid w:val="00CB1CAC"/>
    <w:rsid w:val="00CB1DE8"/>
    <w:rsid w:val="00CB1E3B"/>
    <w:rsid w:val="00CB1F1D"/>
    <w:rsid w:val="00CB71F8"/>
    <w:rsid w:val="00CC26DB"/>
    <w:rsid w:val="00CC3DAA"/>
    <w:rsid w:val="00CC4C2C"/>
    <w:rsid w:val="00CC5057"/>
    <w:rsid w:val="00CD078F"/>
    <w:rsid w:val="00CD121E"/>
    <w:rsid w:val="00CD2CED"/>
    <w:rsid w:val="00CD3ED8"/>
    <w:rsid w:val="00CD761D"/>
    <w:rsid w:val="00CD76B5"/>
    <w:rsid w:val="00CE2346"/>
    <w:rsid w:val="00CE6F0F"/>
    <w:rsid w:val="00CF002F"/>
    <w:rsid w:val="00CF2483"/>
    <w:rsid w:val="00CF24E2"/>
    <w:rsid w:val="00CF4ABD"/>
    <w:rsid w:val="00CF5A53"/>
    <w:rsid w:val="00CF5D28"/>
    <w:rsid w:val="00CF6F1E"/>
    <w:rsid w:val="00D001F9"/>
    <w:rsid w:val="00D0036E"/>
    <w:rsid w:val="00D00BB7"/>
    <w:rsid w:val="00D01EAD"/>
    <w:rsid w:val="00D035B9"/>
    <w:rsid w:val="00D060FF"/>
    <w:rsid w:val="00D064E8"/>
    <w:rsid w:val="00D06572"/>
    <w:rsid w:val="00D065CD"/>
    <w:rsid w:val="00D118E0"/>
    <w:rsid w:val="00D12325"/>
    <w:rsid w:val="00D14487"/>
    <w:rsid w:val="00D1517A"/>
    <w:rsid w:val="00D15E7E"/>
    <w:rsid w:val="00D179EA"/>
    <w:rsid w:val="00D20016"/>
    <w:rsid w:val="00D2279F"/>
    <w:rsid w:val="00D22AF1"/>
    <w:rsid w:val="00D22E93"/>
    <w:rsid w:val="00D242DA"/>
    <w:rsid w:val="00D26448"/>
    <w:rsid w:val="00D264CE"/>
    <w:rsid w:val="00D26670"/>
    <w:rsid w:val="00D27486"/>
    <w:rsid w:val="00D27B8B"/>
    <w:rsid w:val="00D31B6E"/>
    <w:rsid w:val="00D3232B"/>
    <w:rsid w:val="00D324A4"/>
    <w:rsid w:val="00D328F6"/>
    <w:rsid w:val="00D3462C"/>
    <w:rsid w:val="00D35198"/>
    <w:rsid w:val="00D3584B"/>
    <w:rsid w:val="00D37720"/>
    <w:rsid w:val="00D42240"/>
    <w:rsid w:val="00D427C3"/>
    <w:rsid w:val="00D42EB8"/>
    <w:rsid w:val="00D44932"/>
    <w:rsid w:val="00D449C5"/>
    <w:rsid w:val="00D46111"/>
    <w:rsid w:val="00D4761A"/>
    <w:rsid w:val="00D47C16"/>
    <w:rsid w:val="00D502AF"/>
    <w:rsid w:val="00D50764"/>
    <w:rsid w:val="00D50C12"/>
    <w:rsid w:val="00D51A77"/>
    <w:rsid w:val="00D52647"/>
    <w:rsid w:val="00D53830"/>
    <w:rsid w:val="00D55889"/>
    <w:rsid w:val="00D57AF0"/>
    <w:rsid w:val="00D61B08"/>
    <w:rsid w:val="00D62ECD"/>
    <w:rsid w:val="00D64426"/>
    <w:rsid w:val="00D67BC5"/>
    <w:rsid w:val="00D7021B"/>
    <w:rsid w:val="00D70D33"/>
    <w:rsid w:val="00D722AF"/>
    <w:rsid w:val="00D73077"/>
    <w:rsid w:val="00D73C57"/>
    <w:rsid w:val="00D742FF"/>
    <w:rsid w:val="00D758B3"/>
    <w:rsid w:val="00D76ADC"/>
    <w:rsid w:val="00D77413"/>
    <w:rsid w:val="00D81F10"/>
    <w:rsid w:val="00D84A57"/>
    <w:rsid w:val="00D874DF"/>
    <w:rsid w:val="00D87A12"/>
    <w:rsid w:val="00D930E1"/>
    <w:rsid w:val="00D9415C"/>
    <w:rsid w:val="00D942CC"/>
    <w:rsid w:val="00D94D87"/>
    <w:rsid w:val="00D962DC"/>
    <w:rsid w:val="00DA180C"/>
    <w:rsid w:val="00DA2A09"/>
    <w:rsid w:val="00DA451D"/>
    <w:rsid w:val="00DA56DB"/>
    <w:rsid w:val="00DA6452"/>
    <w:rsid w:val="00DA6FE9"/>
    <w:rsid w:val="00DA7925"/>
    <w:rsid w:val="00DB0AB8"/>
    <w:rsid w:val="00DB0D2A"/>
    <w:rsid w:val="00DB1DAB"/>
    <w:rsid w:val="00DB39D4"/>
    <w:rsid w:val="00DB3A47"/>
    <w:rsid w:val="00DB4E06"/>
    <w:rsid w:val="00DB5AFB"/>
    <w:rsid w:val="00DB6C06"/>
    <w:rsid w:val="00DB7B06"/>
    <w:rsid w:val="00DC3A9D"/>
    <w:rsid w:val="00DC7951"/>
    <w:rsid w:val="00DD1C4B"/>
    <w:rsid w:val="00DD1F7B"/>
    <w:rsid w:val="00DD229E"/>
    <w:rsid w:val="00DD55E0"/>
    <w:rsid w:val="00DE1904"/>
    <w:rsid w:val="00DE3DBB"/>
    <w:rsid w:val="00DE43A2"/>
    <w:rsid w:val="00DE4A74"/>
    <w:rsid w:val="00DE541C"/>
    <w:rsid w:val="00DE737B"/>
    <w:rsid w:val="00DF100B"/>
    <w:rsid w:val="00DF19C2"/>
    <w:rsid w:val="00DF4359"/>
    <w:rsid w:val="00E0576C"/>
    <w:rsid w:val="00E068BC"/>
    <w:rsid w:val="00E073F0"/>
    <w:rsid w:val="00E10761"/>
    <w:rsid w:val="00E11D7A"/>
    <w:rsid w:val="00E11EEB"/>
    <w:rsid w:val="00E128F2"/>
    <w:rsid w:val="00E16463"/>
    <w:rsid w:val="00E26727"/>
    <w:rsid w:val="00E26970"/>
    <w:rsid w:val="00E27040"/>
    <w:rsid w:val="00E27791"/>
    <w:rsid w:val="00E319DB"/>
    <w:rsid w:val="00E31AFC"/>
    <w:rsid w:val="00E33B10"/>
    <w:rsid w:val="00E3409E"/>
    <w:rsid w:val="00E34F76"/>
    <w:rsid w:val="00E37BE5"/>
    <w:rsid w:val="00E41A27"/>
    <w:rsid w:val="00E4608B"/>
    <w:rsid w:val="00E501D3"/>
    <w:rsid w:val="00E53A01"/>
    <w:rsid w:val="00E564C4"/>
    <w:rsid w:val="00E567C9"/>
    <w:rsid w:val="00E604C4"/>
    <w:rsid w:val="00E60809"/>
    <w:rsid w:val="00E61300"/>
    <w:rsid w:val="00E635B9"/>
    <w:rsid w:val="00E65D15"/>
    <w:rsid w:val="00E67EE5"/>
    <w:rsid w:val="00E7013A"/>
    <w:rsid w:val="00E74B01"/>
    <w:rsid w:val="00E74F5D"/>
    <w:rsid w:val="00E76034"/>
    <w:rsid w:val="00E80440"/>
    <w:rsid w:val="00E817E0"/>
    <w:rsid w:val="00E82EE4"/>
    <w:rsid w:val="00E831E7"/>
    <w:rsid w:val="00E843B5"/>
    <w:rsid w:val="00E84A3B"/>
    <w:rsid w:val="00E85307"/>
    <w:rsid w:val="00E907E4"/>
    <w:rsid w:val="00E90A24"/>
    <w:rsid w:val="00E90C34"/>
    <w:rsid w:val="00E919AC"/>
    <w:rsid w:val="00E927C9"/>
    <w:rsid w:val="00E946A6"/>
    <w:rsid w:val="00E947E4"/>
    <w:rsid w:val="00E96A29"/>
    <w:rsid w:val="00E96FE6"/>
    <w:rsid w:val="00EA1D43"/>
    <w:rsid w:val="00EA4EC9"/>
    <w:rsid w:val="00EA5E0F"/>
    <w:rsid w:val="00EA6FE4"/>
    <w:rsid w:val="00EA7F4C"/>
    <w:rsid w:val="00EB1D47"/>
    <w:rsid w:val="00EB2317"/>
    <w:rsid w:val="00EB279B"/>
    <w:rsid w:val="00EB2850"/>
    <w:rsid w:val="00EB2ABB"/>
    <w:rsid w:val="00EB5D88"/>
    <w:rsid w:val="00EC0A82"/>
    <w:rsid w:val="00EC14B0"/>
    <w:rsid w:val="00EC204E"/>
    <w:rsid w:val="00EC249E"/>
    <w:rsid w:val="00EC2CFF"/>
    <w:rsid w:val="00EC3C6D"/>
    <w:rsid w:val="00EC5F2F"/>
    <w:rsid w:val="00EC651E"/>
    <w:rsid w:val="00EC692E"/>
    <w:rsid w:val="00EC745E"/>
    <w:rsid w:val="00EC7DCD"/>
    <w:rsid w:val="00EC7EAF"/>
    <w:rsid w:val="00ED27C3"/>
    <w:rsid w:val="00ED33AE"/>
    <w:rsid w:val="00ED3775"/>
    <w:rsid w:val="00ED4A6D"/>
    <w:rsid w:val="00ED6D4A"/>
    <w:rsid w:val="00ED738C"/>
    <w:rsid w:val="00ED7918"/>
    <w:rsid w:val="00ED7FD3"/>
    <w:rsid w:val="00EE057E"/>
    <w:rsid w:val="00EE3663"/>
    <w:rsid w:val="00EE41C4"/>
    <w:rsid w:val="00EE76A9"/>
    <w:rsid w:val="00EE799E"/>
    <w:rsid w:val="00EE7CA8"/>
    <w:rsid w:val="00EE7FA7"/>
    <w:rsid w:val="00EF1093"/>
    <w:rsid w:val="00EF1FCB"/>
    <w:rsid w:val="00EF21C3"/>
    <w:rsid w:val="00F0030E"/>
    <w:rsid w:val="00F00CD1"/>
    <w:rsid w:val="00F01E6B"/>
    <w:rsid w:val="00F0241C"/>
    <w:rsid w:val="00F05759"/>
    <w:rsid w:val="00F12351"/>
    <w:rsid w:val="00F16739"/>
    <w:rsid w:val="00F16DE2"/>
    <w:rsid w:val="00F2052B"/>
    <w:rsid w:val="00F2260F"/>
    <w:rsid w:val="00F242AD"/>
    <w:rsid w:val="00F247F2"/>
    <w:rsid w:val="00F265F7"/>
    <w:rsid w:val="00F27FA6"/>
    <w:rsid w:val="00F34444"/>
    <w:rsid w:val="00F36555"/>
    <w:rsid w:val="00F4275C"/>
    <w:rsid w:val="00F44F42"/>
    <w:rsid w:val="00F45B83"/>
    <w:rsid w:val="00F470D1"/>
    <w:rsid w:val="00F4741A"/>
    <w:rsid w:val="00F52339"/>
    <w:rsid w:val="00F5277A"/>
    <w:rsid w:val="00F52B81"/>
    <w:rsid w:val="00F532E8"/>
    <w:rsid w:val="00F537FF"/>
    <w:rsid w:val="00F560FE"/>
    <w:rsid w:val="00F6111C"/>
    <w:rsid w:val="00F614C0"/>
    <w:rsid w:val="00F61647"/>
    <w:rsid w:val="00F657CF"/>
    <w:rsid w:val="00F713A3"/>
    <w:rsid w:val="00F71A8F"/>
    <w:rsid w:val="00F76BD9"/>
    <w:rsid w:val="00F80318"/>
    <w:rsid w:val="00F80703"/>
    <w:rsid w:val="00F80948"/>
    <w:rsid w:val="00F81387"/>
    <w:rsid w:val="00F81F29"/>
    <w:rsid w:val="00F822E3"/>
    <w:rsid w:val="00F82866"/>
    <w:rsid w:val="00F8449B"/>
    <w:rsid w:val="00F8562D"/>
    <w:rsid w:val="00F85691"/>
    <w:rsid w:val="00F87094"/>
    <w:rsid w:val="00F87AB3"/>
    <w:rsid w:val="00F913DC"/>
    <w:rsid w:val="00F91DDA"/>
    <w:rsid w:val="00F9397A"/>
    <w:rsid w:val="00F93A37"/>
    <w:rsid w:val="00F94182"/>
    <w:rsid w:val="00F96500"/>
    <w:rsid w:val="00FA27DE"/>
    <w:rsid w:val="00FA4DDF"/>
    <w:rsid w:val="00FA6E7F"/>
    <w:rsid w:val="00FA7114"/>
    <w:rsid w:val="00FB04FB"/>
    <w:rsid w:val="00FB2379"/>
    <w:rsid w:val="00FB41B8"/>
    <w:rsid w:val="00FB4B8A"/>
    <w:rsid w:val="00FB5152"/>
    <w:rsid w:val="00FB680E"/>
    <w:rsid w:val="00FC0065"/>
    <w:rsid w:val="00FC3AEE"/>
    <w:rsid w:val="00FC6238"/>
    <w:rsid w:val="00FD33FC"/>
    <w:rsid w:val="00FD3730"/>
    <w:rsid w:val="00FD3ADE"/>
    <w:rsid w:val="00FD3B08"/>
    <w:rsid w:val="00FD4806"/>
    <w:rsid w:val="00FD534E"/>
    <w:rsid w:val="00FD5CBB"/>
    <w:rsid w:val="00FD6B74"/>
    <w:rsid w:val="00FE002E"/>
    <w:rsid w:val="00FE141A"/>
    <w:rsid w:val="00FE2398"/>
    <w:rsid w:val="00FE3340"/>
    <w:rsid w:val="00FE515A"/>
    <w:rsid w:val="00FE5624"/>
    <w:rsid w:val="00FE5D2C"/>
    <w:rsid w:val="00FE5FBF"/>
    <w:rsid w:val="00FE6C25"/>
    <w:rsid w:val="00FF0964"/>
    <w:rsid w:val="00FF16F2"/>
    <w:rsid w:val="00FF2B42"/>
    <w:rsid w:val="00FF3B7F"/>
    <w:rsid w:val="00FF6822"/>
    <w:rsid w:val="00FF73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207C14A"/>
  <w15:chartTrackingRefBased/>
  <w15:docId w15:val="{F1EDBA27-BF85-4DE4-8D86-7AF5348B62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lang w:eastAsia="x-none"/>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lang w:eastAsia="x-none"/>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5831DD"/>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basedOn w:val="Normal"/>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rPr>
      <w:lang w:eastAsia="x-none"/>
    </w:r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B10">
    <w:name w:val="B1 (文字)"/>
    <w:basedOn w:val="DefaultParagraphFont"/>
    <w:rsid w:val="00EC7DCD"/>
    <w:rPr>
      <w:lang w:val="en-GB"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5187946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90440235">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29899915">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29919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e5469df-49c0-4f8e-8391-f585965f44db"/>
    <NGTagNote xmlns="28c2b7ba-9a77-416a-84c3-ad5406b8260e" xsi:nil="true"/>
    <TaxKeywordTaxHTField xmlns="3e5469df-49c0-4f8e-8391-f585965f44db">
      <Terms xmlns="http://schemas.microsoft.com/office/infopath/2007/PartnerControls"/>
    </TaxKeywordTaxHTField>
    <AverageRating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61843B-4FB2-4AAA-9721-8960CA67DAE7}">
  <ds:schemaRefs>
    <ds:schemaRef ds:uri="http://schemas.microsoft.com/office/2006/metadata/properties"/>
    <ds:schemaRef ds:uri="http://schemas.microsoft.com/office/infopath/2007/PartnerControls"/>
    <ds:schemaRef ds:uri="3e5469df-49c0-4f8e-8391-f585965f44db"/>
    <ds:schemaRef ds:uri="28c2b7ba-9a77-416a-84c3-ad5406b8260e"/>
    <ds:schemaRef ds:uri="http://schemas.microsoft.com/sharepoint/v3"/>
  </ds:schemaRefs>
</ds:datastoreItem>
</file>

<file path=customXml/itemProps2.xml><?xml version="1.0" encoding="utf-8"?>
<ds:datastoreItem xmlns:ds="http://schemas.openxmlformats.org/officeDocument/2006/customXml" ds:itemID="{BE534FBE-AC81-460A-83CB-A5F1A398F3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5469df-49c0-4f8e-8391-f585965f44db"/>
    <ds:schemaRef ds:uri="28c2b7ba-9a77-416a-84c3-ad5406b8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9F002489-6837-4E88-B3AF-BDDDB6BF5F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4</Pages>
  <Words>1798</Words>
  <Characters>10252</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12026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cp:lastModifiedBy>Ranta-Aho, Karri (Nokia - FI/Espoo)</cp:lastModifiedBy>
  <cp:revision>2</cp:revision>
  <cp:lastPrinted>2016-03-22T06:48:00Z</cp:lastPrinted>
  <dcterms:created xsi:type="dcterms:W3CDTF">2016-08-12T19:09:00Z</dcterms:created>
  <dcterms:modified xsi:type="dcterms:W3CDTF">2016-08-12T19:09:00Z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0x01010083D7957DE8F4C7428D913A84920F99E8</vt:lpwstr>
  </property>
  <property fmtid="{D5CDD505-2E9C-101B-9397-08002B2CF9AE}" pid="6" name="TaxKeyword">
    <vt:lpwstr/>
  </property>
  <property fmtid="{D5CDD505-2E9C-101B-9397-08002B2CF9AE}" pid="7" name="AverageRating">
    <vt:lpwstr/>
  </property>
</Properties>
</file>