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C18D3" w14:textId="3FCD21F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FA7364">
        <w:rPr>
          <w:b/>
          <w:sz w:val="24"/>
          <w:szCs w:val="24"/>
          <w:lang w:eastAsia="ko-KR"/>
        </w:rPr>
        <w:t>6</w:t>
      </w:r>
      <w:r w:rsidRPr="006E473F">
        <w:rPr>
          <w:rFonts w:hint="eastAsia"/>
          <w:b/>
          <w:sz w:val="24"/>
          <w:szCs w:val="24"/>
          <w:lang w:eastAsia="ko-KR"/>
        </w:rPr>
        <w:tab/>
      </w:r>
      <w:r w:rsidRPr="006E473F">
        <w:rPr>
          <w:rFonts w:hint="eastAsia"/>
          <w:b/>
          <w:i/>
          <w:sz w:val="24"/>
          <w:szCs w:val="24"/>
          <w:lang w:eastAsia="ko-KR"/>
        </w:rPr>
        <w:t>R1-</w:t>
      </w:r>
      <w:r w:rsidR="006834AE">
        <w:rPr>
          <w:b/>
          <w:i/>
          <w:sz w:val="24"/>
          <w:szCs w:val="24"/>
          <w:lang w:eastAsia="ko-KR"/>
        </w:rPr>
        <w:t>166742</w:t>
      </w:r>
    </w:p>
    <w:bookmarkEnd w:id="0"/>
    <w:bookmarkEnd w:id="1"/>
    <w:p w14:paraId="53211106" w14:textId="3BAA51AD" w:rsidR="006D2ED0" w:rsidRPr="006E473F" w:rsidRDefault="00FA7364" w:rsidP="006D2ED0">
      <w:pPr>
        <w:pStyle w:val="CRCoverPage"/>
        <w:spacing w:after="240"/>
        <w:outlineLvl w:val="0"/>
        <w:rPr>
          <w:b/>
          <w:noProof/>
          <w:sz w:val="24"/>
          <w:szCs w:val="24"/>
        </w:rPr>
      </w:pPr>
      <w:r w:rsidRPr="00FA7364">
        <w:rPr>
          <w:b/>
          <w:noProof/>
          <w:sz w:val="24"/>
          <w:szCs w:val="24"/>
          <w:lang w:eastAsia="ko-KR"/>
        </w:rPr>
        <w:t>Gothenburg, Sweden, August 22 – 26, 2016</w:t>
      </w:r>
    </w:p>
    <w:p w14:paraId="3696E544" w14:textId="32B162B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027F1C">
        <w:rPr>
          <w:rFonts w:ascii="Arial" w:hAnsi="Arial"/>
          <w:sz w:val="24"/>
        </w:rPr>
        <w:t>7.</w:t>
      </w:r>
      <w:r w:rsidR="006834AE">
        <w:rPr>
          <w:rFonts w:ascii="Arial" w:hAnsi="Arial"/>
          <w:sz w:val="24"/>
        </w:rPr>
        <w:t>2.4.1.3</w:t>
      </w:r>
    </w:p>
    <w:p w14:paraId="55E627D6"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993172D" w14:textId="33990B97"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80928">
        <w:rPr>
          <w:rFonts w:ascii="Arial" w:hAnsi="Arial"/>
          <w:sz w:val="24"/>
        </w:rPr>
        <w:t>Proposals</w:t>
      </w:r>
      <w:r w:rsidR="00CA5F36" w:rsidRPr="00CA5F36">
        <w:rPr>
          <w:rFonts w:ascii="Arial" w:hAnsi="Arial"/>
          <w:sz w:val="24"/>
        </w:rPr>
        <w:t xml:space="preserve"> on uplink DMRS </w:t>
      </w:r>
      <w:r w:rsidR="00880928">
        <w:rPr>
          <w:rFonts w:ascii="Arial" w:hAnsi="Arial"/>
          <w:sz w:val="24"/>
        </w:rPr>
        <w:t xml:space="preserve">design enhancements </w:t>
      </w:r>
    </w:p>
    <w:p w14:paraId="1AED22C5"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65B9824"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6D3A6D07" w14:textId="6AAFC380" w:rsidR="005E57A1" w:rsidRDefault="005E57A1" w:rsidP="00565284">
      <w:pPr>
        <w:pStyle w:val="maintext"/>
        <w:ind w:firstLine="400"/>
      </w:pPr>
      <w:r>
        <w:t>In RAN plenary #71</w:t>
      </w:r>
      <w:r w:rsidR="006F4D44">
        <w:t xml:space="preserve">, </w:t>
      </w:r>
      <w:r w:rsidR="003F00C5">
        <w:t>a</w:t>
      </w:r>
      <w:r w:rsidR="006F4D44">
        <w:t xml:space="preserve"> </w:t>
      </w:r>
      <w:r w:rsidR="00251AFB">
        <w:t>work</w:t>
      </w:r>
      <w:r w:rsidR="006F4D44">
        <w:t xml:space="preserve"> item on ‘</w:t>
      </w:r>
      <w:r w:rsidR="00251AFB">
        <w:t xml:space="preserve">Enhancements </w:t>
      </w:r>
      <w:r w:rsidR="00251AFB" w:rsidRPr="00251AFB">
        <w:t>on Full-Dimension (FD) MIMO for LTE</w:t>
      </w:r>
      <w:r w:rsidR="006F4D44">
        <w:t>’ was approved [1]</w:t>
      </w:r>
      <w:r w:rsidR="00CF6B61">
        <w:t xml:space="preserve">. One of the objectives of the work </w:t>
      </w:r>
      <w:r w:rsidR="00D825C7">
        <w:t>item wa</w:t>
      </w:r>
      <w:r w:rsidR="00B20767">
        <w:t>s the</w:t>
      </w:r>
      <w:r w:rsidR="00CF6B61">
        <w:t xml:space="preserve"> </w:t>
      </w:r>
      <w:r w:rsidR="00B20767">
        <w:t xml:space="preserve">possible enhancement of the </w:t>
      </w:r>
      <w:r w:rsidR="00CF6B61" w:rsidRPr="00CF6B61">
        <w:t xml:space="preserve">uplink DMRS to </w:t>
      </w:r>
      <w:r w:rsidR="00B20767">
        <w:t xml:space="preserve">allow more than 2 </w:t>
      </w:r>
      <w:r w:rsidR="00CF6B61" w:rsidRPr="00CF6B61">
        <w:t>orthogonal</w:t>
      </w:r>
      <w:r w:rsidR="00B20767">
        <w:t xml:space="preserve"> ports to enable</w:t>
      </w:r>
      <w:r w:rsidR="00CF6B61" w:rsidRPr="00CF6B61">
        <w:t xml:space="preserve"> MU-MIMO with partially overlapping</w:t>
      </w:r>
      <w:r w:rsidR="001F72DF">
        <w:t xml:space="preserve"> bandwidth allocation</w:t>
      </w:r>
      <w:r w:rsidR="00565284">
        <w:t>s</w:t>
      </w:r>
      <w:r w:rsidR="00B20767">
        <w:t xml:space="preserve">. </w:t>
      </w:r>
    </w:p>
    <w:p w14:paraId="1EED1FD9" w14:textId="124796B7" w:rsidR="005E57A1" w:rsidRDefault="005E57A1" w:rsidP="00565284">
      <w:pPr>
        <w:pStyle w:val="maintext"/>
        <w:ind w:firstLine="400"/>
      </w:pPr>
      <w:r>
        <w:t>Following the discussions in the RAN1 #84-bis and RAN1 #85 meetings, the following agreement was reached</w:t>
      </w:r>
      <w:r w:rsidR="00BB010E">
        <w:t xml:space="preserve"> in the RAN1 #85 meeting</w:t>
      </w:r>
      <w:r>
        <w:t xml:space="preserve">. </w:t>
      </w:r>
    </w:p>
    <w:p w14:paraId="29D51826" w14:textId="77777777" w:rsidR="005E57A1" w:rsidRDefault="005E57A1" w:rsidP="005E57A1">
      <w:pPr>
        <w:numPr>
          <w:ilvl w:val="0"/>
          <w:numId w:val="11"/>
        </w:numPr>
        <w:spacing w:after="0"/>
        <w:rPr>
          <w:lang w:val="en-US"/>
        </w:rPr>
      </w:pPr>
      <w:r>
        <w:rPr>
          <w:lang w:val="en-US"/>
        </w:rPr>
        <w:t>UL DMRS Enhancement</w:t>
      </w:r>
    </w:p>
    <w:p w14:paraId="11FB21B2" w14:textId="77777777" w:rsidR="005E57A1" w:rsidRDefault="005E57A1" w:rsidP="005E57A1">
      <w:pPr>
        <w:numPr>
          <w:ilvl w:val="0"/>
          <w:numId w:val="11"/>
        </w:numPr>
        <w:tabs>
          <w:tab w:val="clear" w:pos="720"/>
          <w:tab w:val="num" w:pos="1080"/>
        </w:tabs>
        <w:spacing w:after="0"/>
        <w:ind w:left="1080"/>
        <w:rPr>
          <w:lang w:val="en-US"/>
        </w:rPr>
      </w:pPr>
      <w:r w:rsidRPr="006715E4">
        <w:rPr>
          <w:lang w:val="en-US"/>
        </w:rPr>
        <w:t xml:space="preserve">Specify enhancement on uplink DMRS to support (more than 2) orthogonal DMRS for MU-MIMO with partially overlapping BWs allocation, i.e. </w:t>
      </w:r>
      <w:r>
        <w:rPr>
          <w:lang w:val="en-US"/>
        </w:rPr>
        <w:t xml:space="preserve">one of </w:t>
      </w:r>
      <w:r w:rsidRPr="006715E4">
        <w:rPr>
          <w:lang w:val="en-US"/>
        </w:rPr>
        <w:t>IFDMA with OCC2 or new DMRS sequence design</w:t>
      </w:r>
    </w:p>
    <w:p w14:paraId="0B29B53E" w14:textId="77777777" w:rsidR="005E57A1" w:rsidRPr="00FD7698" w:rsidRDefault="005E57A1" w:rsidP="00FD7698">
      <w:pPr>
        <w:spacing w:after="0"/>
        <w:rPr>
          <w:lang w:val="en-US"/>
        </w:rPr>
      </w:pPr>
    </w:p>
    <w:p w14:paraId="7298B882" w14:textId="7CAF2F6F" w:rsidR="00591B6E" w:rsidRDefault="009B28D6" w:rsidP="00FD7698">
      <w:pPr>
        <w:pStyle w:val="maintext"/>
        <w:ind w:firstLine="400"/>
      </w:pPr>
      <w:r>
        <w:t>After providing</w:t>
      </w:r>
      <w:r w:rsidR="009B1724">
        <w:t xml:space="preserve"> some </w:t>
      </w:r>
      <w:r>
        <w:t>motivat</w:t>
      </w:r>
      <w:r w:rsidR="00615FEE">
        <w:t>ing design considerations</w:t>
      </w:r>
      <w:r>
        <w:t xml:space="preserve">, this contribution proposes enhancements to the </w:t>
      </w:r>
      <w:r w:rsidR="00162669">
        <w:t>legacy</w:t>
      </w:r>
      <w:r>
        <w:t xml:space="preserve"> UL DMRS design</w:t>
      </w:r>
      <w:r w:rsidR="003B00E7">
        <w:t xml:space="preserve"> following the “IFDMA with OCC2” methodology</w:t>
      </w:r>
      <w:r>
        <w:t>, and provides some details that may need to be captured in the</w:t>
      </w:r>
      <w:r w:rsidR="00591B6E">
        <w:t xml:space="preserve"> Rel. 14</w:t>
      </w:r>
      <w:r>
        <w:t xml:space="preserve"> specifications. </w:t>
      </w:r>
    </w:p>
    <w:p w14:paraId="1CFBD594" w14:textId="77777777" w:rsidR="00591B6E" w:rsidRDefault="00591B6E" w:rsidP="00591B6E">
      <w:pPr>
        <w:pStyle w:val="Heading1"/>
        <w:tabs>
          <w:tab w:val="num" w:pos="0"/>
        </w:tabs>
        <w:ind w:left="799" w:hanging="799"/>
      </w:pPr>
      <w:r>
        <w:t xml:space="preserve">Considerations for UL DMRS enhancements </w:t>
      </w:r>
    </w:p>
    <w:p w14:paraId="043D62FD" w14:textId="77777777" w:rsidR="00591B6E" w:rsidRPr="002958FD" w:rsidRDefault="00591B6E" w:rsidP="00591B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20B3DAE" w14:textId="77777777" w:rsidR="00591B6E" w:rsidRPr="002958FD" w:rsidRDefault="00591B6E" w:rsidP="00591B6E">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CBD29D9" w14:textId="7A1E6D23" w:rsidR="0039751F" w:rsidRDefault="00A20826" w:rsidP="001B3BC4">
      <w:pPr>
        <w:pStyle w:val="maintext"/>
        <w:ind w:firstLine="400"/>
      </w:pPr>
      <w:r>
        <w:t xml:space="preserve">In our view, one of the primary considerations is that the enhanced design should attempt to re-use as much of the </w:t>
      </w:r>
      <w:r w:rsidR="005F0DE8">
        <w:t>legacy (up-to Rel. 13)</w:t>
      </w:r>
      <w:r>
        <w:t xml:space="preserve"> design as possible. </w:t>
      </w:r>
      <w:r w:rsidR="004A5BA9">
        <w:t xml:space="preserve">In particular, it is highly desirable to maintain and re-use as much as possible of the </w:t>
      </w:r>
      <w:r w:rsidR="001B3BC4">
        <w:t xml:space="preserve">following </w:t>
      </w:r>
      <w:r w:rsidR="004A5BA9">
        <w:t xml:space="preserve">key aspects of the </w:t>
      </w:r>
      <w:r w:rsidR="005F0DE8">
        <w:t>legacy</w:t>
      </w:r>
      <w:r w:rsidR="004A5BA9">
        <w:t xml:space="preserve"> design</w:t>
      </w:r>
      <w:r w:rsidR="001B3BC4">
        <w:t>.</w:t>
      </w:r>
    </w:p>
    <w:p w14:paraId="659C7992" w14:textId="599E37BB" w:rsidR="009A31EF" w:rsidRDefault="009A31EF" w:rsidP="00671F5F">
      <w:pPr>
        <w:pStyle w:val="maintext"/>
        <w:numPr>
          <w:ilvl w:val="0"/>
          <w:numId w:val="10"/>
        </w:numPr>
        <w:ind w:firstLineChars="0"/>
      </w:pPr>
      <w:r>
        <w:t>The sizes and interpretations of the fields in DCI formats 0 and 4, as specified in Sections 5.3.3.1.2 and 5.3.3.1.8</w:t>
      </w:r>
      <w:r w:rsidR="001D0792">
        <w:t xml:space="preserve"> of [3]</w:t>
      </w:r>
      <w:r>
        <w:t>, respectively, which are used to schedule the PUSCH, should be maintained.</w:t>
      </w:r>
    </w:p>
    <w:p w14:paraId="5EA7ED8F" w14:textId="0FB7147D" w:rsidR="005E5990" w:rsidRDefault="00A20826" w:rsidP="005E5990">
      <w:pPr>
        <w:pStyle w:val="maintext"/>
        <w:numPr>
          <w:ilvl w:val="0"/>
          <w:numId w:val="10"/>
        </w:numPr>
        <w:ind w:firstLineChars="0"/>
      </w:pPr>
      <w:r>
        <w:t xml:space="preserve">The </w:t>
      </w:r>
      <w:r w:rsidR="00AE374E">
        <w:t xml:space="preserve">CAZAC and ZC sequences making up the set of UL </w:t>
      </w:r>
      <w:r>
        <w:t>DMRS sequences</w:t>
      </w:r>
      <w:r w:rsidR="00AE374E">
        <w:t xml:space="preserve">, as well as </w:t>
      </w:r>
      <w:r>
        <w:t xml:space="preserve">the methodology used to generate them as described in Section 5.5.2.1 of [2], should be </w:t>
      </w:r>
      <w:r w:rsidR="00B7411D">
        <w:t>re-used</w:t>
      </w:r>
      <w:r>
        <w:t xml:space="preserve">. </w:t>
      </w:r>
    </w:p>
    <w:p w14:paraId="4842E3CC" w14:textId="189B32F6" w:rsidR="00591B6E" w:rsidRDefault="00A20826" w:rsidP="00264DBF">
      <w:pPr>
        <w:pStyle w:val="maintext"/>
        <w:numPr>
          <w:ilvl w:val="0"/>
          <w:numId w:val="10"/>
        </w:numPr>
        <w:ind w:firstLineChars="0"/>
      </w:pPr>
      <w:r>
        <w:t>The mapping from the cyclic shift field in t</w:t>
      </w:r>
      <w:r w:rsidR="00180CCA">
        <w:t xml:space="preserve">he uplink-related DCI format to </w:t>
      </w:r>
      <w:r>
        <w:t>the</w:t>
      </w:r>
      <w:r w:rsidRPr="005B001C">
        <w:rPr>
          <w:position w:val="-14"/>
        </w:rPr>
        <w:object w:dxaOrig="720" w:dyaOrig="400" w14:anchorId="36D3E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20.2pt" o:ole="">
            <v:imagedata r:id="rId8" o:title=""/>
          </v:shape>
          <o:OLEObject Type="Embed" ProgID="Equation.DSMT4" ShapeID="_x0000_i1025" DrawAspect="Content" ObjectID="_1532516586" r:id="rId9"/>
        </w:object>
      </w:r>
      <w:r>
        <w:t xml:space="preserve">and the </w:t>
      </w:r>
      <w:r w:rsidRPr="00DE5929">
        <w:rPr>
          <w:position w:val="-10"/>
        </w:rPr>
        <w:object w:dxaOrig="1600" w:dyaOrig="360" w14:anchorId="7AEB6E09">
          <v:shape id="_x0000_i1026" type="#_x0000_t75" style="width:79.9pt;height:18.2pt" o:ole="">
            <v:imagedata r:id="rId10" o:title=""/>
          </v:shape>
          <o:OLEObject Type="Embed" ProgID="Equation.DSMT4" ShapeID="_x0000_i1026" DrawAspect="Content" ObjectID="_1532516587" r:id="rId11"/>
        </w:object>
      </w:r>
      <w:r>
        <w:t xml:space="preserve"> parameters (defining the DMRS sequence cyclic shift and OCC values, respectively), as defined in Table 5.5.2.1.1.-1 in Section 5.5.2.1 of [2], should be maintained as much as possible.  </w:t>
      </w:r>
    </w:p>
    <w:p w14:paraId="7CF7C37E" w14:textId="77777777" w:rsidR="00422959" w:rsidRDefault="00422959" w:rsidP="0039751F">
      <w:pPr>
        <w:pStyle w:val="maintext"/>
        <w:ind w:firstLineChars="0"/>
      </w:pPr>
    </w:p>
    <w:p w14:paraId="67EB3920" w14:textId="519F9962" w:rsidR="00591B6E" w:rsidRDefault="005E5990" w:rsidP="0039751F">
      <w:pPr>
        <w:pStyle w:val="maintext"/>
        <w:ind w:firstLineChars="0"/>
      </w:pPr>
      <w:r>
        <w:t xml:space="preserve">Enhancements to the </w:t>
      </w:r>
      <w:r w:rsidR="005F0DE8">
        <w:t>legacy</w:t>
      </w:r>
      <w:r>
        <w:t xml:space="preserve"> DMRS design following the “new DMRS design” methodology would </w:t>
      </w:r>
      <w:r w:rsidR="00E6504B">
        <w:t xml:space="preserve">impact each of the above </w:t>
      </w:r>
      <w:r w:rsidR="005F0DE8">
        <w:t xml:space="preserve">legacy </w:t>
      </w:r>
      <w:r w:rsidR="00E6504B">
        <w:t>design aspects, necessitating</w:t>
      </w:r>
      <w:r>
        <w:t xml:space="preserve"> significant changes to the signalling and operation structure</w:t>
      </w:r>
      <w:r w:rsidR="00E6504B">
        <w:t xml:space="preserve"> and resulting in </w:t>
      </w:r>
      <w:r w:rsidR="000840CE">
        <w:t xml:space="preserve">an increase in the signalling overheads w.r.t the </w:t>
      </w:r>
      <w:r w:rsidR="005F0DE8">
        <w:t>legacy</w:t>
      </w:r>
      <w:r w:rsidR="000840CE">
        <w:t xml:space="preserve"> design. On the other </w:t>
      </w:r>
      <w:r w:rsidR="0039751F">
        <w:t xml:space="preserve">hand, </w:t>
      </w:r>
      <w:r w:rsidR="000840CE">
        <w:t xml:space="preserve">enhancements following the “IFDMA with OCC2” methodology </w:t>
      </w:r>
      <w:r w:rsidR="0039751F">
        <w:t xml:space="preserve">can provide the required capability, while </w:t>
      </w:r>
      <w:r w:rsidR="00FC5A5D">
        <w:t xml:space="preserve">maintaining the signalling overheads and </w:t>
      </w:r>
      <w:r w:rsidR="0039751F">
        <w:t xml:space="preserve">largely </w:t>
      </w:r>
      <w:r w:rsidR="00FC5A5D">
        <w:t>maintaining</w:t>
      </w:r>
      <w:r w:rsidR="0039751F">
        <w:t xml:space="preserve"> the</w:t>
      </w:r>
      <w:r w:rsidR="00FC5A5D">
        <w:t xml:space="preserve"> above aspects of the </w:t>
      </w:r>
      <w:r w:rsidR="005F0DE8">
        <w:t>legacy</w:t>
      </w:r>
      <w:r w:rsidR="0039751F">
        <w:t xml:space="preserve"> design. </w:t>
      </w:r>
      <w:r w:rsidR="003A442E">
        <w:t xml:space="preserve">This will be made apparent as this design methodology is </w:t>
      </w:r>
      <w:r w:rsidR="0039751F">
        <w:t>elaborate</w:t>
      </w:r>
      <w:r w:rsidR="003A442E">
        <w:t>d upon</w:t>
      </w:r>
      <w:r w:rsidR="0039751F">
        <w:t xml:space="preserve"> further in Section 3. </w:t>
      </w:r>
    </w:p>
    <w:p w14:paraId="4B77A4BE" w14:textId="77777777" w:rsidR="00F83599" w:rsidRDefault="00F83599" w:rsidP="0039751F">
      <w:pPr>
        <w:pStyle w:val="maintext"/>
        <w:ind w:firstLineChars="0"/>
      </w:pPr>
    </w:p>
    <w:p w14:paraId="11B1FC2A" w14:textId="15D29A56" w:rsidR="00F83599" w:rsidRPr="00FD7698" w:rsidRDefault="00F83599" w:rsidP="0039751F">
      <w:pPr>
        <w:pStyle w:val="maintext"/>
        <w:ind w:firstLineChars="0"/>
      </w:pPr>
      <w:r w:rsidRPr="003B455C">
        <w:rPr>
          <w:b/>
        </w:rPr>
        <w:t>Proposal 1</w:t>
      </w:r>
      <w:r>
        <w:t>: The UL DMRS enhancement should follow the “IFDMA with OCC2” design.</w:t>
      </w:r>
    </w:p>
    <w:p w14:paraId="36334014" w14:textId="224F05D8" w:rsidR="00C43831" w:rsidRDefault="00FC5A5D" w:rsidP="00E57A94">
      <w:pPr>
        <w:pStyle w:val="Heading1"/>
        <w:tabs>
          <w:tab w:val="num" w:pos="0"/>
        </w:tabs>
        <w:ind w:left="799" w:hanging="799"/>
      </w:pPr>
      <w:r>
        <w:lastRenderedPageBreak/>
        <w:t xml:space="preserve">Proposed </w:t>
      </w:r>
      <w:r w:rsidR="00C43831">
        <w:t>UL DMRS design</w:t>
      </w:r>
      <w:r>
        <w:t xml:space="preserve"> enhancements</w:t>
      </w:r>
    </w:p>
    <w:p w14:paraId="77751713" w14:textId="3E20F559" w:rsidR="003A3E76" w:rsidRDefault="00A86647" w:rsidP="00722D7A">
      <w:pPr>
        <w:pStyle w:val="maintext"/>
        <w:ind w:firstLineChars="0"/>
      </w:pPr>
      <w:r>
        <w:t xml:space="preserve">In the </w:t>
      </w:r>
      <w:r w:rsidR="00776D79">
        <w:t>“IFDMA with OCC2” design, the UL DMRS occupies REs in the 4</w:t>
      </w:r>
      <w:r w:rsidR="00776D79" w:rsidRPr="009D23AF">
        <w:rPr>
          <w:vertAlign w:val="superscript"/>
        </w:rPr>
        <w:t>th</w:t>
      </w:r>
      <w:r w:rsidR="00776D79">
        <w:t xml:space="preserve"> and 11</w:t>
      </w:r>
      <w:r w:rsidR="00776D79" w:rsidRPr="009D23AF">
        <w:rPr>
          <w:vertAlign w:val="superscript"/>
        </w:rPr>
        <w:t>th</w:t>
      </w:r>
      <w:r w:rsidR="00776D79">
        <w:t xml:space="preserve"> symbols in each of the PUSCH RBs allocated to a UE. </w:t>
      </w:r>
      <w:r w:rsidR="00F67D5B">
        <w:t xml:space="preserve">Following the IFDMA structure, </w:t>
      </w:r>
      <w:r w:rsidR="003A3E76">
        <w:t xml:space="preserve">the UL DMRS </w:t>
      </w:r>
      <w:r w:rsidR="003C7377">
        <w:t xml:space="preserve">does not occupy </w:t>
      </w:r>
      <w:r w:rsidR="003A3E76">
        <w:t xml:space="preserve">all the REs </w:t>
      </w:r>
      <w:r w:rsidR="003C7377">
        <w:t>in the relevant RBs</w:t>
      </w:r>
      <w:r w:rsidR="00F67D5B">
        <w:t xml:space="preserve"> as it does in the current design; t</w:t>
      </w:r>
      <w:r w:rsidR="003C620F">
        <w:t xml:space="preserve">his is </w:t>
      </w:r>
      <w:r w:rsidR="00D91763">
        <w:t>discussed</w:t>
      </w:r>
      <w:r w:rsidR="003A3E76">
        <w:t xml:space="preserve"> upon further in this section. </w:t>
      </w:r>
      <w:r w:rsidR="00776D79">
        <w:t xml:space="preserve">Following the </w:t>
      </w:r>
      <w:r>
        <w:t>current system specifications in [2], PUSCH allocations to a UE can consist of up-to 2 clusters</w:t>
      </w:r>
      <w:r w:rsidR="00776D79">
        <w:t>, wherein e</w:t>
      </w:r>
      <w:r>
        <w:t xml:space="preserve">ach cluster </w:t>
      </w:r>
      <w:r w:rsidR="003A3E76">
        <w:t xml:space="preserve">is </w:t>
      </w:r>
      <w:r>
        <w:t>contiguous in frequency</w:t>
      </w:r>
      <w:r w:rsidR="00776D79">
        <w:t xml:space="preserve">. </w:t>
      </w:r>
    </w:p>
    <w:p w14:paraId="3FCF0443" w14:textId="0804C5D2" w:rsidR="00514BD4" w:rsidRPr="00514BD4" w:rsidRDefault="00514BD4" w:rsidP="00514BD4">
      <w:pPr>
        <w:pStyle w:val="Heading1"/>
        <w:numPr>
          <w:ilvl w:val="1"/>
          <w:numId w:val="2"/>
        </w:numPr>
        <w:rPr>
          <w:sz w:val="28"/>
          <w:szCs w:val="28"/>
        </w:rPr>
      </w:pPr>
      <w:r>
        <w:rPr>
          <w:sz w:val="28"/>
          <w:szCs w:val="28"/>
        </w:rPr>
        <w:t>IFDMA structure: RPF value selection</w:t>
      </w:r>
    </w:p>
    <w:p w14:paraId="4CDB9A90" w14:textId="4D188E4D" w:rsidR="0093799E" w:rsidRDefault="008202F7" w:rsidP="007A1AD8">
      <w:pPr>
        <w:pStyle w:val="maintext"/>
        <w:ind w:firstLineChars="0"/>
      </w:pPr>
      <w:r>
        <w:t xml:space="preserve">The proposed UL DMRS with </w:t>
      </w:r>
      <w:r w:rsidR="003C7377">
        <w:t>a</w:t>
      </w:r>
      <w:r w:rsidR="0096392F">
        <w:t>n IFDMA or c</w:t>
      </w:r>
      <w:r w:rsidR="003C7377">
        <w:t>omb structur</w:t>
      </w:r>
      <w:r w:rsidR="0096392F">
        <w:t>e</w:t>
      </w:r>
      <w:r>
        <w:t xml:space="preserve"> has a certain</w:t>
      </w:r>
      <w:r w:rsidR="0096392F">
        <w:t xml:space="preserve"> repetition factor (RPF)</w:t>
      </w:r>
      <w:r w:rsidR="00E827B3">
        <w:t>,</w:t>
      </w:r>
      <w:r w:rsidR="0096392F">
        <w:t xml:space="preserve"> </w:t>
      </w:r>
      <w:r w:rsidR="00E827B3">
        <w:t xml:space="preserve">or comb number, </w:t>
      </w:r>
      <w:r>
        <w:t>associated with it</w:t>
      </w:r>
      <w:r w:rsidR="0096392F">
        <w:t xml:space="preserve">. Figure 1 illustrates </w:t>
      </w:r>
      <w:r w:rsidR="007A1AD8">
        <w:t xml:space="preserve">example </w:t>
      </w:r>
      <w:r>
        <w:t xml:space="preserve">DMRS </w:t>
      </w:r>
      <w:r w:rsidR="007A1AD8">
        <w:t>comb structures with RPFs</w:t>
      </w:r>
      <w:r>
        <w:t>,</w:t>
      </w:r>
      <w:r w:rsidR="007A1AD8">
        <w:t xml:space="preserve"> or comb numbers</w:t>
      </w:r>
      <w:r>
        <w:t>,</w:t>
      </w:r>
      <w:r w:rsidR="007A1AD8">
        <w:t xml:space="preserve"> of 2, 3 and 4</w:t>
      </w:r>
      <w:r w:rsidR="0053045D">
        <w:t>, wherein the DMRS occupies every 2</w:t>
      </w:r>
      <w:r w:rsidR="0053045D" w:rsidRPr="0053045D">
        <w:rPr>
          <w:vertAlign w:val="superscript"/>
        </w:rPr>
        <w:t>nd</w:t>
      </w:r>
      <w:r w:rsidR="0053045D">
        <w:t>, 3</w:t>
      </w:r>
      <w:r w:rsidR="0053045D" w:rsidRPr="0053045D">
        <w:rPr>
          <w:vertAlign w:val="superscript"/>
        </w:rPr>
        <w:t>rd</w:t>
      </w:r>
      <w:r w:rsidR="0053045D">
        <w:t xml:space="preserve"> and 4</w:t>
      </w:r>
      <w:r w:rsidR="0053045D" w:rsidRPr="0053045D">
        <w:rPr>
          <w:vertAlign w:val="superscript"/>
        </w:rPr>
        <w:t>th</w:t>
      </w:r>
      <w:r w:rsidR="0053045D">
        <w:t xml:space="preserve"> RE, respectively, in symbols #s 4 and 11</w:t>
      </w:r>
      <w:r w:rsidR="0081143C">
        <w:t>,</w:t>
      </w:r>
      <w:r w:rsidR="0053045D">
        <w:t xml:space="preserve"> of each PUSCH RB</w:t>
      </w:r>
      <w:r w:rsidR="007A1AD8">
        <w:t>.</w:t>
      </w:r>
      <w:r w:rsidR="0096392F">
        <w:t xml:space="preserve"> </w:t>
      </w:r>
    </w:p>
    <w:p w14:paraId="1FC554C4" w14:textId="7D68D331" w:rsidR="0093799E" w:rsidRDefault="00D825C7" w:rsidP="0093799E">
      <w:pPr>
        <w:pStyle w:val="maintext"/>
        <w:ind w:firstLineChars="0"/>
        <w:jc w:val="center"/>
      </w:pPr>
      <w:r w:rsidRPr="00D825C7">
        <w:rPr>
          <w:noProof/>
          <w:lang w:val="en-US"/>
        </w:rPr>
        <w:drawing>
          <wp:inline distT="0" distB="0" distL="0" distR="0" wp14:anchorId="50DA1330" wp14:editId="24228A83">
            <wp:extent cx="5627649" cy="19009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27721" cy="1901011"/>
                    </a:xfrm>
                    <a:prstGeom prst="rect">
                      <a:avLst/>
                    </a:prstGeom>
                    <a:noFill/>
                    <a:ln>
                      <a:noFill/>
                    </a:ln>
                  </pic:spPr>
                </pic:pic>
              </a:graphicData>
            </a:graphic>
          </wp:inline>
        </w:drawing>
      </w:r>
    </w:p>
    <w:p w14:paraId="70519D7F" w14:textId="02F9897B" w:rsidR="0093799E" w:rsidRDefault="00500716" w:rsidP="00500716">
      <w:pPr>
        <w:pStyle w:val="maintext"/>
        <w:ind w:firstLineChars="0"/>
        <w:jc w:val="center"/>
      </w:pPr>
      <w:r w:rsidRPr="00500716">
        <w:rPr>
          <w:b/>
        </w:rPr>
        <w:t>Figure 1</w:t>
      </w:r>
      <w:r>
        <w:t>: Exam</w:t>
      </w:r>
      <w:r w:rsidR="00E02C79">
        <w:t>ple UL DMRS structures with RPF values of</w:t>
      </w:r>
      <w:r>
        <w:t xml:space="preserve"> 2, 3 and 4</w:t>
      </w:r>
    </w:p>
    <w:p w14:paraId="0613F71E" w14:textId="77777777" w:rsidR="0093799E" w:rsidRDefault="0093799E" w:rsidP="00722D7A">
      <w:pPr>
        <w:pStyle w:val="maintext"/>
        <w:ind w:firstLineChars="0"/>
      </w:pPr>
    </w:p>
    <w:p w14:paraId="634801BE" w14:textId="7BB77376" w:rsidR="002F109A" w:rsidRDefault="00CC48B9" w:rsidP="00ED5E84">
      <w:pPr>
        <w:pStyle w:val="maintext"/>
        <w:ind w:firstLineChars="0"/>
      </w:pPr>
      <w:r>
        <w:t>We make the following observations</w:t>
      </w:r>
      <w:r w:rsidR="003C6FF5">
        <w:t xml:space="preserve"> about desirable RPF </w:t>
      </w:r>
      <w:r w:rsidR="0010669B">
        <w:t>value</w:t>
      </w:r>
      <w:r w:rsidR="003C6FF5">
        <w:t xml:space="preserve"> selection for</w:t>
      </w:r>
      <w:r w:rsidR="009416F5">
        <w:t xml:space="preserve"> the</w:t>
      </w:r>
      <w:r w:rsidR="003C6FF5">
        <w:t xml:space="preserve"> specification</w:t>
      </w:r>
      <w:r w:rsidR="009416F5">
        <w:t>s</w:t>
      </w:r>
      <w:r>
        <w:t>.</w:t>
      </w:r>
    </w:p>
    <w:p w14:paraId="11ECB9B9" w14:textId="124F1257" w:rsidR="00971B64" w:rsidRDefault="00971B64" w:rsidP="007413BB">
      <w:pPr>
        <w:pStyle w:val="maintext"/>
        <w:numPr>
          <w:ilvl w:val="0"/>
          <w:numId w:val="12"/>
        </w:numPr>
        <w:ind w:firstLineChars="0"/>
      </w:pPr>
      <w:r>
        <w:t xml:space="preserve">In the legacy specifications, </w:t>
      </w:r>
      <w:r w:rsidR="00C900DB">
        <w:t>PUSCH allocations are in multiples of RBs, with a single RB being the minimum allocation; as a consequence, t</w:t>
      </w:r>
      <w:r>
        <w:t xml:space="preserve">he </w:t>
      </w:r>
      <w:r w:rsidR="00C900DB">
        <w:t xml:space="preserve">lengths of </w:t>
      </w:r>
      <w:r>
        <w:t xml:space="preserve">the </w:t>
      </w:r>
      <w:r w:rsidR="00C900DB">
        <w:t xml:space="preserve">legacy UL DMRS sequences </w:t>
      </w:r>
      <w:r>
        <w:t xml:space="preserve">are multiples of 12, </w:t>
      </w:r>
      <w:r w:rsidR="00C900DB">
        <w:t>with 12 being the minimum length.</w:t>
      </w:r>
      <w:r w:rsidR="00EA2EC2">
        <w:t xml:space="preserve"> As discussed in Section 2, it is desirable to retain and re-use the legacy DMRS sequences for the enhanced design as well. </w:t>
      </w:r>
      <w:r w:rsidR="00756985">
        <w:t xml:space="preserve">This has the following implications </w:t>
      </w:r>
      <w:r w:rsidR="00314424">
        <w:t>due to</w:t>
      </w:r>
      <w:r w:rsidR="00756985">
        <w:t xml:space="preserve"> the proposed IFDMA structure. </w:t>
      </w:r>
    </w:p>
    <w:p w14:paraId="395DAA15" w14:textId="1372A4B4" w:rsidR="00971B64" w:rsidRDefault="00971B64" w:rsidP="00971B64">
      <w:pPr>
        <w:pStyle w:val="maintext"/>
        <w:numPr>
          <w:ilvl w:val="1"/>
          <w:numId w:val="12"/>
        </w:numPr>
        <w:ind w:firstLineChars="0"/>
      </w:pPr>
      <w:r>
        <w:t xml:space="preserve">An RPF value of </w:t>
      </w:r>
      <w:r w:rsidRPr="003C6FF5">
        <w:rPr>
          <w:i/>
        </w:rPr>
        <w:t>N</w:t>
      </w:r>
      <w:r>
        <w:t xml:space="preserve"> implies a per-RB DMRS sequence length of 12/</w:t>
      </w:r>
      <w:r w:rsidRPr="003C6FF5">
        <w:rPr>
          <w:i/>
        </w:rPr>
        <w:t>N</w:t>
      </w:r>
      <w:r>
        <w:t>,</w:t>
      </w:r>
      <w:r w:rsidR="00FC32E3">
        <w:t xml:space="preserve"> and</w:t>
      </w:r>
      <w:r w:rsidR="001353A3">
        <w:t>,</w:t>
      </w:r>
      <w:r w:rsidR="00FC32E3">
        <w:t xml:space="preserve"> for a PUSCH allocation consisting of </w:t>
      </w:r>
      <w:r w:rsidR="00FC32E3" w:rsidRPr="00FC32E3">
        <w:rPr>
          <w:i/>
        </w:rPr>
        <w:t>R</w:t>
      </w:r>
      <w:r w:rsidR="00FC32E3">
        <w:t xml:space="preserve"> RBs, implies a </w:t>
      </w:r>
      <w:r w:rsidR="008044DB">
        <w:t>total sequence length of (12/</w:t>
      </w:r>
      <w:r w:rsidR="008044DB" w:rsidRPr="003C6FF5">
        <w:rPr>
          <w:i/>
        </w:rPr>
        <w:t>N</w:t>
      </w:r>
      <w:r w:rsidR="008044DB">
        <w:t xml:space="preserve"> *</w:t>
      </w:r>
      <w:r w:rsidR="008044DB" w:rsidRPr="00FC32E3">
        <w:rPr>
          <w:i/>
        </w:rPr>
        <w:t>R</w:t>
      </w:r>
      <w:r w:rsidR="008044DB">
        <w:t xml:space="preserve">). In order for the legacy sequences to be re-used, this constrains </w:t>
      </w:r>
      <w:r w:rsidR="008044DB" w:rsidRPr="00FC32E3">
        <w:rPr>
          <w:i/>
        </w:rPr>
        <w:t>R</w:t>
      </w:r>
      <w:r w:rsidR="008044DB">
        <w:t xml:space="preserve">, the number of </w:t>
      </w:r>
      <w:r w:rsidR="00675E9D">
        <w:t xml:space="preserve">allocated </w:t>
      </w:r>
      <w:r w:rsidR="008044DB">
        <w:t>PUSCH RBs, to values such that (12/</w:t>
      </w:r>
      <w:r w:rsidR="008044DB" w:rsidRPr="003C6FF5">
        <w:rPr>
          <w:i/>
        </w:rPr>
        <w:t>N</w:t>
      </w:r>
      <w:r w:rsidR="008044DB">
        <w:t xml:space="preserve"> *</w:t>
      </w:r>
      <w:r w:rsidR="008044DB" w:rsidRPr="00FC32E3">
        <w:rPr>
          <w:i/>
        </w:rPr>
        <w:t>R</w:t>
      </w:r>
      <w:r w:rsidR="008044DB">
        <w:t>) is an integer multiple of 12</w:t>
      </w:r>
      <w:r w:rsidR="00091344">
        <w:t xml:space="preserve">, leading to the constraint that </w:t>
      </w:r>
      <w:r w:rsidR="00091344" w:rsidRPr="00FC32E3">
        <w:rPr>
          <w:i/>
        </w:rPr>
        <w:t>R</w:t>
      </w:r>
      <w:r w:rsidR="0091007F">
        <w:t xml:space="preserve"> </w:t>
      </w:r>
      <w:r w:rsidR="00091344">
        <w:t xml:space="preserve">is an integer multiple of </w:t>
      </w:r>
      <w:r w:rsidR="00091344" w:rsidRPr="00091344">
        <w:rPr>
          <w:i/>
        </w:rPr>
        <w:t>N</w:t>
      </w:r>
      <w:r w:rsidR="008044DB">
        <w:t>.</w:t>
      </w:r>
      <w:r w:rsidR="0091007F">
        <w:t xml:space="preserve"> </w:t>
      </w:r>
      <w:r w:rsidR="00675E9D">
        <w:t>As a result, for</w:t>
      </w:r>
      <w:r w:rsidR="0091007F">
        <w:t xml:space="preserve"> RPF values of 2, 3 or 4, the </w:t>
      </w:r>
      <w:r w:rsidR="00675E9D">
        <w:t>number of allocated PUSCH RBs per cluster is constrained</w:t>
      </w:r>
      <w:r w:rsidR="0091007F">
        <w:t xml:space="preserve"> to be </w:t>
      </w:r>
      <w:r w:rsidR="00675E9D">
        <w:t xml:space="preserve">a </w:t>
      </w:r>
      <w:r w:rsidR="0091007F">
        <w:t>multiple of 2, 3 or 4, respectively.</w:t>
      </w:r>
      <w:r w:rsidR="008044DB">
        <w:t xml:space="preserve">  </w:t>
      </w:r>
      <w:r w:rsidR="00FC32E3">
        <w:t xml:space="preserve"> </w:t>
      </w:r>
    </w:p>
    <w:p w14:paraId="0A8297B9" w14:textId="07F41DE5" w:rsidR="00EA2EC2" w:rsidRDefault="008C44CD" w:rsidP="00971B64">
      <w:pPr>
        <w:pStyle w:val="maintext"/>
        <w:numPr>
          <w:ilvl w:val="1"/>
          <w:numId w:val="12"/>
        </w:numPr>
        <w:ind w:firstLineChars="0"/>
      </w:pPr>
      <w:r>
        <w:t>UEs whose PUSCH allocations do not conform to the above constraint w</w:t>
      </w:r>
      <w:r w:rsidR="00EA2EC2">
        <w:t>ill have to be scheduled using legacy specifications and will not benefit from the Rel. 14 design enhancements.</w:t>
      </w:r>
    </w:p>
    <w:p w14:paraId="5940DB49" w14:textId="28B89071" w:rsidR="00314424" w:rsidRDefault="00314424" w:rsidP="00ED5E84">
      <w:pPr>
        <w:pStyle w:val="maintext"/>
        <w:ind w:left="920" w:firstLineChars="0" w:firstLine="0"/>
      </w:pPr>
      <w:r>
        <w:t>We note here that lower RPF values allow a larger set of the number of allocated PUSCH RBs, and hence will impose fewer restrictions on the PUSCH scheduling operation</w:t>
      </w:r>
    </w:p>
    <w:p w14:paraId="6EDA62C6" w14:textId="77777777" w:rsidR="007413BB" w:rsidRDefault="002F109A" w:rsidP="007413BB">
      <w:pPr>
        <w:pStyle w:val="maintext"/>
        <w:numPr>
          <w:ilvl w:val="0"/>
          <w:numId w:val="12"/>
        </w:numPr>
        <w:ind w:firstLineChars="0"/>
      </w:pPr>
      <w:r>
        <w:t xml:space="preserve">An RPF </w:t>
      </w:r>
      <w:r w:rsidR="00B31A8E">
        <w:t xml:space="preserve">value </w:t>
      </w:r>
      <w:r>
        <w:t xml:space="preserve">of </w:t>
      </w:r>
      <w:r w:rsidRPr="003C6FF5">
        <w:rPr>
          <w:i/>
        </w:rPr>
        <w:t>N</w:t>
      </w:r>
      <w:r>
        <w:t xml:space="preserve"> implies an e</w:t>
      </w:r>
      <w:r w:rsidR="00AE7A6B" w:rsidRPr="00AE7A6B">
        <w:rPr>
          <w:rFonts w:hint="eastAsia"/>
        </w:rPr>
        <w:t>ffective</w:t>
      </w:r>
      <w:r>
        <w:t xml:space="preserve"> UL</w:t>
      </w:r>
      <w:r w:rsidR="00AE7A6B" w:rsidRPr="00AE7A6B">
        <w:rPr>
          <w:rFonts w:hint="eastAsia"/>
        </w:rPr>
        <w:t xml:space="preserve"> DMRS density</w:t>
      </w:r>
      <w:r>
        <w:t xml:space="preserve"> that is lower by a factor of </w:t>
      </w:r>
      <w:r w:rsidRPr="002F109A">
        <w:rPr>
          <w:i/>
        </w:rPr>
        <w:t>N</w:t>
      </w:r>
      <w:r>
        <w:t xml:space="preserve"> as compared to </w:t>
      </w:r>
      <w:r w:rsidR="00AE7A6B" w:rsidRPr="00AE7A6B">
        <w:rPr>
          <w:rFonts w:hint="eastAsia"/>
        </w:rPr>
        <w:t xml:space="preserve">legacy </w:t>
      </w:r>
      <w:r>
        <w:t xml:space="preserve">UL </w:t>
      </w:r>
      <w:r w:rsidR="00AE7A6B" w:rsidRPr="00AE7A6B">
        <w:rPr>
          <w:rFonts w:hint="eastAsia"/>
        </w:rPr>
        <w:t xml:space="preserve">DMRS, </w:t>
      </w:r>
      <w:r w:rsidR="00F30800">
        <w:t xml:space="preserve">leading to a </w:t>
      </w:r>
      <w:r w:rsidR="00AE7A6B" w:rsidRPr="00AE7A6B">
        <w:rPr>
          <w:rFonts w:hint="eastAsia"/>
        </w:rPr>
        <w:t>DMRS channel estimation performance loss.</w:t>
      </w:r>
      <w:r w:rsidR="00673387">
        <w:t xml:space="preserve"> </w:t>
      </w:r>
    </w:p>
    <w:p w14:paraId="509FC418" w14:textId="4B0C3D4A" w:rsidR="00673387" w:rsidRDefault="00673387" w:rsidP="00D5437E">
      <w:pPr>
        <w:pStyle w:val="maintext"/>
        <w:ind w:left="920" w:firstLineChars="0" w:firstLine="0"/>
      </w:pPr>
      <w:r>
        <w:t xml:space="preserve">We </w:t>
      </w:r>
      <w:r w:rsidR="00461D06">
        <w:t xml:space="preserve">note that lower RPF </w:t>
      </w:r>
      <w:r w:rsidR="00B31A8E">
        <w:t xml:space="preserve">values </w:t>
      </w:r>
      <w:r w:rsidR="00461D06">
        <w:t xml:space="preserve">imply a higher DMRS density and consequently to a lesser channel estimation performance loss. </w:t>
      </w:r>
    </w:p>
    <w:p w14:paraId="2FC87FE0" w14:textId="2B5E4E8B" w:rsidR="007413BB" w:rsidRDefault="007413BB" w:rsidP="003B455C">
      <w:pPr>
        <w:pStyle w:val="maintext"/>
        <w:numPr>
          <w:ilvl w:val="0"/>
          <w:numId w:val="12"/>
        </w:numPr>
        <w:ind w:firstLineChars="0"/>
      </w:pPr>
      <w:r>
        <w:t>Following the design considerations in Section 2, in the enhanced design, it is desirable to specify a single RPF value for comb structure, rather than a set of possible RPF values.</w:t>
      </w:r>
      <w:r w:rsidR="00514BD4">
        <w:t xml:space="preserve"> The single selected RPF value then does not need to be indicated to the UE.</w:t>
      </w:r>
    </w:p>
    <w:p w14:paraId="318CE2E9" w14:textId="4FFA4931" w:rsidR="00FC149E" w:rsidRDefault="0010669B" w:rsidP="00673387">
      <w:pPr>
        <w:pStyle w:val="maintext"/>
        <w:ind w:firstLineChars="0"/>
      </w:pPr>
      <w:r>
        <w:t xml:space="preserve">Based on these observations, lower RPF </w:t>
      </w:r>
      <w:r w:rsidR="00B31A8E">
        <w:t xml:space="preserve">values are desirable, both from the point of view of lower PUSCH scheduling restrictions, as well as better channel estimation performance. Lower RPF values, on the other hand, may </w:t>
      </w:r>
      <w:r w:rsidR="00B31A8E">
        <w:lastRenderedPageBreak/>
        <w:t>provide sufficient orthogonal</w:t>
      </w:r>
      <w:r w:rsidR="00C5456A">
        <w:t xml:space="preserve"> UL DMRS ports to provide enhanced performance in most cases of interest.</w:t>
      </w:r>
      <w:r w:rsidR="00B31A8E">
        <w:t xml:space="preserve"> </w:t>
      </w:r>
      <w:r w:rsidR="00C5456A">
        <w:t>In contrast to the legacy design which provides up-to 2 orthogonal ports via OCC2, w</w:t>
      </w:r>
      <w:r w:rsidR="00B31A8E">
        <w:t xml:space="preserve">e note that RPF values of 2 or 3, in combination with OCC2, can provide </w:t>
      </w:r>
      <w:r w:rsidR="00C5456A">
        <w:t xml:space="preserve">up-to </w:t>
      </w:r>
      <w:r w:rsidR="00B31A8E">
        <w:t>4 or 6 orthogonal ports, respectively</w:t>
      </w:r>
      <w:r w:rsidR="00C5456A">
        <w:t>.</w:t>
      </w:r>
    </w:p>
    <w:p w14:paraId="0631B8E0" w14:textId="77777777" w:rsidR="003B455C" w:rsidRDefault="003B455C" w:rsidP="00673387">
      <w:pPr>
        <w:pStyle w:val="maintext"/>
        <w:ind w:firstLineChars="0"/>
        <w:rPr>
          <w:b/>
        </w:rPr>
      </w:pPr>
    </w:p>
    <w:p w14:paraId="4B0A7F52" w14:textId="73A45846" w:rsidR="0093799E" w:rsidRDefault="007413BB" w:rsidP="003039F8">
      <w:pPr>
        <w:pStyle w:val="maintext"/>
        <w:ind w:firstLineChars="0"/>
      </w:pPr>
      <w:r w:rsidRPr="003B455C">
        <w:rPr>
          <w:b/>
        </w:rPr>
        <w:t xml:space="preserve">Proposal </w:t>
      </w:r>
      <w:r w:rsidR="003F17E1">
        <w:rPr>
          <w:b/>
        </w:rPr>
        <w:t>2</w:t>
      </w:r>
      <w:r>
        <w:t xml:space="preserve">: </w:t>
      </w:r>
      <w:r w:rsidR="003B455C">
        <w:t xml:space="preserve">The UL DMRS enhancement should follow the “IFDMA with OCC2” design via the specification of a single RPF value w.r.t the IFDMA/comb structure. An RPF value from among 2, 3 or 4 may be </w:t>
      </w:r>
      <w:r w:rsidR="003039F8">
        <w:t>specified</w:t>
      </w:r>
      <w:r w:rsidR="003B455C">
        <w:t>, with a preference for lower values.</w:t>
      </w:r>
    </w:p>
    <w:p w14:paraId="2268A2E9" w14:textId="5581FD8A" w:rsidR="00514BD4" w:rsidRPr="00514BD4" w:rsidRDefault="00514BD4" w:rsidP="00514BD4">
      <w:pPr>
        <w:pStyle w:val="Heading1"/>
        <w:numPr>
          <w:ilvl w:val="1"/>
          <w:numId w:val="2"/>
        </w:numPr>
        <w:rPr>
          <w:sz w:val="28"/>
          <w:szCs w:val="28"/>
        </w:rPr>
      </w:pPr>
      <w:r>
        <w:rPr>
          <w:sz w:val="28"/>
          <w:szCs w:val="28"/>
        </w:rPr>
        <w:t xml:space="preserve">IFDMA structure: </w:t>
      </w:r>
      <w:r w:rsidR="002457CD">
        <w:rPr>
          <w:sz w:val="28"/>
          <w:szCs w:val="28"/>
        </w:rPr>
        <w:t>Offset indication</w:t>
      </w:r>
    </w:p>
    <w:p w14:paraId="233E9C9D" w14:textId="7DE5C820" w:rsidR="00514BD4" w:rsidRDefault="003039F8" w:rsidP="00514BD4">
      <w:pPr>
        <w:pStyle w:val="maintext"/>
        <w:ind w:firstLineChars="0"/>
      </w:pPr>
      <w:r>
        <w:t xml:space="preserve">In addition to the RPF value discussed in Section 3.1, the other parameter that is needed to describe the IFDMA structure is the </w:t>
      </w:r>
      <w:r w:rsidR="00780C8C">
        <w:t xml:space="preserve">set of </w:t>
      </w:r>
      <w:r w:rsidR="008E7B9E">
        <w:t xml:space="preserve">applicable </w:t>
      </w:r>
      <w:r w:rsidR="000A715C">
        <w:t xml:space="preserve">per-RB </w:t>
      </w:r>
      <w:r>
        <w:t>RE offset value</w:t>
      </w:r>
      <w:r w:rsidR="00780C8C">
        <w:t xml:space="preserve">s </w:t>
      </w:r>
      <w:r w:rsidR="008E7B9E">
        <w:t>for that structure</w:t>
      </w:r>
      <w:r w:rsidR="00780C8C">
        <w:t xml:space="preserve">. </w:t>
      </w:r>
      <w:r w:rsidR="008E7B9E">
        <w:t>A</w:t>
      </w:r>
      <w:r w:rsidR="00806E98">
        <w:t>n example for the RPF = 2 case i</w:t>
      </w:r>
      <w:r w:rsidR="008E7B9E">
        <w:t>s illustrated in Figure 2</w:t>
      </w:r>
      <w:r w:rsidR="00806E98">
        <w:t>. T</w:t>
      </w:r>
      <w:r w:rsidR="00780C8C">
        <w:t>he RPF = 2 case comprises 2 possible sequences, each occupying</w:t>
      </w:r>
      <w:r w:rsidR="008E7B9E">
        <w:t xml:space="preserve"> every other </w:t>
      </w:r>
      <w:r w:rsidR="000516A7">
        <w:t>RE in the RB, but with 2</w:t>
      </w:r>
      <w:r w:rsidR="008E7B9E">
        <w:t xml:space="preserve"> different starting REs</w:t>
      </w:r>
      <w:r w:rsidR="000516A7">
        <w:t>, i.e., with 2 different RE offsets</w:t>
      </w:r>
      <w:r w:rsidR="008E7B9E">
        <w:t xml:space="preserve">. In Figure 2, the 2 possible sequences are </w:t>
      </w:r>
      <w:r w:rsidR="009C6CE7">
        <w:t>represe</w:t>
      </w:r>
      <w:r w:rsidR="008E7B9E">
        <w:t>nted by the blue and black REs; the 1</w:t>
      </w:r>
      <w:r w:rsidR="008E7B9E" w:rsidRPr="008E7B9E">
        <w:rPr>
          <w:vertAlign w:val="superscript"/>
        </w:rPr>
        <w:t>st</w:t>
      </w:r>
      <w:r w:rsidR="008E7B9E">
        <w:t xml:space="preserve"> sequence</w:t>
      </w:r>
      <w:r w:rsidR="000516A7">
        <w:t>,</w:t>
      </w:r>
      <w:r w:rsidR="008E7B9E">
        <w:t xml:space="preserve"> consisting of the 6 blue alternating RE</w:t>
      </w:r>
      <w:r w:rsidR="000516A7">
        <w:t>s,</w:t>
      </w:r>
      <w:r w:rsidR="008E7B9E">
        <w:t xml:space="preserve"> has an </w:t>
      </w:r>
      <w:r w:rsidR="000516A7">
        <w:t xml:space="preserve">RE </w:t>
      </w:r>
      <w:r w:rsidR="008E7B9E">
        <w:t xml:space="preserve">offset value </w:t>
      </w:r>
      <w:r w:rsidR="000516A7">
        <w:t xml:space="preserve">of </w:t>
      </w:r>
      <w:r w:rsidR="008E7B9E">
        <w:t>0</w:t>
      </w:r>
      <w:r w:rsidR="000516A7">
        <w:t>, implying that it starts from the 1</w:t>
      </w:r>
      <w:r w:rsidR="000516A7" w:rsidRPr="000516A7">
        <w:rPr>
          <w:vertAlign w:val="superscript"/>
        </w:rPr>
        <w:t>st</w:t>
      </w:r>
      <w:r w:rsidR="000516A7">
        <w:t xml:space="preserve"> RE from the top of the RB, whereas the 2</w:t>
      </w:r>
      <w:r w:rsidR="000516A7" w:rsidRPr="000516A7">
        <w:rPr>
          <w:vertAlign w:val="superscript"/>
        </w:rPr>
        <w:t>nd</w:t>
      </w:r>
      <w:r w:rsidR="000516A7">
        <w:t xml:space="preserve"> sequence</w:t>
      </w:r>
      <w:r w:rsidR="008E7B9E">
        <w:t xml:space="preserve">, </w:t>
      </w:r>
      <w:r w:rsidR="000516A7">
        <w:t>consisting of the 6 black alternating REs, has an RE offset value of 1.</w:t>
      </w:r>
      <w:r w:rsidR="00514BD4">
        <w:t xml:space="preserve"> </w:t>
      </w:r>
      <w:r w:rsidR="00806E98">
        <w:t xml:space="preserve">In this example, the RE offset for a sequence is the same in both </w:t>
      </w:r>
      <w:r w:rsidR="002E3857">
        <w:t xml:space="preserve">slots of each RB, i.e., in both </w:t>
      </w:r>
      <w:r w:rsidR="00806E98">
        <w:t>symbols 4 and 11.</w:t>
      </w:r>
    </w:p>
    <w:p w14:paraId="2A95B3B4" w14:textId="6EEBE843" w:rsidR="003B0432" w:rsidRDefault="003B0432" w:rsidP="00514BD4">
      <w:pPr>
        <w:pStyle w:val="maintext"/>
        <w:ind w:firstLineChars="0"/>
      </w:pPr>
      <w:r>
        <w:t>Similar to the RPF = 2 case, the RPF = 3 or 4 cases consist of 3 or 4 sequences</w:t>
      </w:r>
      <w:r w:rsidR="00330B30">
        <w:t>, each occupying every 3</w:t>
      </w:r>
      <w:r w:rsidR="00330B30" w:rsidRPr="00330B30">
        <w:rPr>
          <w:vertAlign w:val="superscript"/>
        </w:rPr>
        <w:t>rd</w:t>
      </w:r>
      <w:r w:rsidR="00330B30">
        <w:t xml:space="preserve"> or every 4</w:t>
      </w:r>
      <w:r w:rsidR="00330B30" w:rsidRPr="00330B30">
        <w:rPr>
          <w:vertAlign w:val="superscript"/>
        </w:rPr>
        <w:t>th</w:t>
      </w:r>
      <w:r w:rsidR="00330B30">
        <w:t xml:space="preserve"> RE in each RB, but</w:t>
      </w:r>
      <w:r>
        <w:t xml:space="preserve"> with RE offsets of {0, 1, 2} or {0, 1, 2, 3} REs, respectively.</w:t>
      </w:r>
    </w:p>
    <w:p w14:paraId="600106A4" w14:textId="58051316" w:rsidR="00514BD4" w:rsidRDefault="00C972F7" w:rsidP="00E02C79">
      <w:pPr>
        <w:pStyle w:val="maintext"/>
        <w:ind w:firstLineChars="0"/>
        <w:jc w:val="center"/>
      </w:pPr>
      <w:r w:rsidRPr="00C972F7">
        <w:rPr>
          <w:noProof/>
          <w:lang w:val="en-US"/>
        </w:rPr>
        <w:drawing>
          <wp:inline distT="0" distB="0" distL="0" distR="0" wp14:anchorId="2F2F314C" wp14:editId="2D5CB128">
            <wp:extent cx="5289550" cy="2051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89550" cy="2051050"/>
                    </a:xfrm>
                    <a:prstGeom prst="rect">
                      <a:avLst/>
                    </a:prstGeom>
                    <a:noFill/>
                    <a:ln>
                      <a:noFill/>
                    </a:ln>
                  </pic:spPr>
                </pic:pic>
              </a:graphicData>
            </a:graphic>
          </wp:inline>
        </w:drawing>
      </w:r>
    </w:p>
    <w:p w14:paraId="6CC34D38" w14:textId="198CB7AE" w:rsidR="0093799E" w:rsidRDefault="00E02C79" w:rsidP="00E02C79">
      <w:pPr>
        <w:pStyle w:val="maintext"/>
        <w:ind w:firstLineChars="0"/>
        <w:jc w:val="center"/>
      </w:pPr>
      <w:r w:rsidRPr="00500716">
        <w:rPr>
          <w:b/>
        </w:rPr>
        <w:t xml:space="preserve">Figure </w:t>
      </w:r>
      <w:r>
        <w:rPr>
          <w:b/>
        </w:rPr>
        <w:t>2</w:t>
      </w:r>
      <w:r>
        <w:t>: Offset values for UL DMRS structure with RPF = 2</w:t>
      </w:r>
    </w:p>
    <w:p w14:paraId="68757D3A" w14:textId="77777777" w:rsidR="001C18AD" w:rsidRDefault="001C18AD" w:rsidP="00565332">
      <w:pPr>
        <w:pStyle w:val="maintext"/>
        <w:ind w:firstLineChars="0"/>
      </w:pPr>
    </w:p>
    <w:p w14:paraId="5A3AE293" w14:textId="77777777" w:rsidR="00D36BF8" w:rsidRDefault="00AD0D8E" w:rsidP="00565332">
      <w:pPr>
        <w:pStyle w:val="maintext"/>
        <w:ind w:firstLineChars="0"/>
      </w:pPr>
      <w:r>
        <w:t xml:space="preserve">The indication of the UL DMRS </w:t>
      </w:r>
      <w:r w:rsidR="00706481">
        <w:t xml:space="preserve">sequence </w:t>
      </w:r>
      <w:r>
        <w:t xml:space="preserve">offset values may be achieved via </w:t>
      </w:r>
      <w:r w:rsidR="007A1E51">
        <w:t>a</w:t>
      </w:r>
      <w:r>
        <w:t xml:space="preserve"> modification of Table 5.5.2.1.1.-1 in Section 5.5.2.1 of [2], which, in the legacy system, indicates the mapping from the cyclic shift field in the uplink-related DCI format to the</w:t>
      </w:r>
      <w:r w:rsidRPr="005B001C">
        <w:rPr>
          <w:position w:val="-14"/>
        </w:rPr>
        <w:object w:dxaOrig="720" w:dyaOrig="400" w14:anchorId="0FDC0568">
          <v:shape id="_x0000_i1027" type="#_x0000_t75" style="width:36.4pt;height:20.2pt" o:ole="">
            <v:imagedata r:id="rId8" o:title=""/>
          </v:shape>
          <o:OLEObject Type="Embed" ProgID="Equation.DSMT4" ShapeID="_x0000_i1027" DrawAspect="Content" ObjectID="_1532516588" r:id="rId14"/>
        </w:object>
      </w:r>
      <w:r>
        <w:t xml:space="preserve">and the </w:t>
      </w:r>
      <w:r w:rsidRPr="00DE5929">
        <w:rPr>
          <w:position w:val="-10"/>
        </w:rPr>
        <w:object w:dxaOrig="1600" w:dyaOrig="360" w14:anchorId="06C81EFB">
          <v:shape id="_x0000_i1028" type="#_x0000_t75" style="width:79.9pt;height:18.2pt" o:ole="">
            <v:imagedata r:id="rId10" o:title=""/>
          </v:shape>
          <o:OLEObject Type="Embed" ProgID="Equation.DSMT4" ShapeID="_x0000_i1028" DrawAspect="Content" ObjectID="_1532516589" r:id="rId15"/>
        </w:object>
      </w:r>
      <w:r>
        <w:t xml:space="preserve"> parameters (defining the DMRS sequence cyclic shift and OCC values, respectively).</w:t>
      </w:r>
      <w:r w:rsidR="001C18AD">
        <w:t xml:space="preserve"> An example of such a modification applicable to the RPF = 2 case is illustrated in Table 1. </w:t>
      </w:r>
      <w:r w:rsidR="00EF5393">
        <w:t>In Table 1, the 1</w:t>
      </w:r>
      <w:r w:rsidR="00EF5393" w:rsidRPr="00EF5393">
        <w:rPr>
          <w:vertAlign w:val="superscript"/>
        </w:rPr>
        <w:t>st</w:t>
      </w:r>
      <w:r w:rsidR="00EF5393">
        <w:t xml:space="preserve"> 3 columns, corresponding to the cyclic shift field in the uplink-related DCI format, and the corresponding</w:t>
      </w:r>
      <w:r w:rsidR="00EF5393" w:rsidRPr="005B001C">
        <w:rPr>
          <w:position w:val="-14"/>
        </w:rPr>
        <w:object w:dxaOrig="720" w:dyaOrig="400" w14:anchorId="73C3FBD6">
          <v:shape id="_x0000_i1029" type="#_x0000_t75" style="width:36.4pt;height:20.2pt" o:ole="">
            <v:imagedata r:id="rId8" o:title=""/>
          </v:shape>
          <o:OLEObject Type="Embed" ProgID="Equation.DSMT4" ShapeID="_x0000_i1029" DrawAspect="Content" ObjectID="_1532516590" r:id="rId16"/>
        </w:object>
      </w:r>
      <w:r w:rsidR="00EF5393">
        <w:t xml:space="preserve">and </w:t>
      </w:r>
      <w:r w:rsidR="00EF5393" w:rsidRPr="00DE5929">
        <w:rPr>
          <w:position w:val="-10"/>
        </w:rPr>
        <w:object w:dxaOrig="1600" w:dyaOrig="360" w14:anchorId="40A12A9E">
          <v:shape id="_x0000_i1030" type="#_x0000_t75" style="width:79.9pt;height:18.2pt" o:ole="">
            <v:imagedata r:id="rId10" o:title=""/>
          </v:shape>
          <o:OLEObject Type="Embed" ProgID="Equation.DSMT4" ShapeID="_x0000_i1030" DrawAspect="Content" ObjectID="_1532516591" r:id="rId17"/>
        </w:object>
      </w:r>
      <w:r w:rsidR="00EF5393">
        <w:t xml:space="preserve"> parameters, are identical to the corresponding columns in </w:t>
      </w:r>
      <w:r w:rsidR="00A843E9">
        <w:t>of Table 5.5.2.1.1.-1 in Section 5.5.2.1 of [2]</w:t>
      </w:r>
      <w:r w:rsidR="00966E51">
        <w:t xml:space="preserve">; the last column is the modification to the existing table and defines example RE offsets for this case. </w:t>
      </w:r>
    </w:p>
    <w:p w14:paraId="30BDD5F5" w14:textId="20130E20" w:rsidR="00966E51" w:rsidRDefault="00966E51" w:rsidP="00565332">
      <w:pPr>
        <w:pStyle w:val="maintext"/>
        <w:ind w:firstLineChars="0"/>
      </w:pPr>
      <w:r>
        <w:t>We elaborate further on the example Table 1</w:t>
      </w:r>
      <w:r w:rsidR="006E66C2">
        <w:t>, and make some observations,</w:t>
      </w:r>
      <w:r>
        <w:t xml:space="preserve"> as follow</w:t>
      </w:r>
      <w:r w:rsidR="006E66C2">
        <w:t>s</w:t>
      </w:r>
      <w:r>
        <w:t>.</w:t>
      </w:r>
    </w:p>
    <w:p w14:paraId="2A61E957" w14:textId="6C804D0A" w:rsidR="00D36BF8" w:rsidRDefault="006E66C2" w:rsidP="00044587">
      <w:pPr>
        <w:pStyle w:val="maintext"/>
        <w:numPr>
          <w:ilvl w:val="0"/>
          <w:numId w:val="14"/>
        </w:numPr>
        <w:ind w:firstLineChars="0"/>
      </w:pPr>
      <w:r>
        <w:t xml:space="preserve">The values </w:t>
      </w:r>
      <w:r w:rsidRPr="006E66C2">
        <w:rPr>
          <w:position w:val="-10"/>
        </w:rPr>
        <w:object w:dxaOrig="999" w:dyaOrig="300" w14:anchorId="3541001E">
          <v:shape id="_x0000_i1031" type="#_x0000_t75" style="width:49.85pt;height:15.05pt" o:ole="">
            <v:imagedata r:id="rId18" o:title=""/>
          </v:shape>
          <o:OLEObject Type="Embed" ProgID="Equation.DSMT4" ShapeID="_x0000_i1031" DrawAspect="Content" ObjectID="_1532516592" r:id="rId19"/>
        </w:object>
      </w:r>
      <w:r>
        <w:t xml:space="preserve"> represent the RE offsets applicable to DMRS symbols in slot #s 0 and 1 of each RB, i.e., to symbol #s 4 and 11 of each RB. </w:t>
      </w:r>
      <w:r w:rsidR="00044587">
        <w:t xml:space="preserve">Since this is an example for the RPF = 2 case, each of the “FFS” values can be either 0 or 1. In case both the offset values in a row are the same, i.e., </w:t>
      </w:r>
      <w:r w:rsidR="0006707D">
        <w:t xml:space="preserve">[FFS </w:t>
      </w:r>
      <w:r w:rsidR="00044587" w:rsidRPr="00044587">
        <w:t>FFS]</w:t>
      </w:r>
      <w:r w:rsidR="00044587">
        <w:t xml:space="preserve"> = [0 0] or [1 1], </w:t>
      </w:r>
      <w:r w:rsidR="00D36BF8">
        <w:t xml:space="preserve">the RE offset for a sequence is the same in both slots of each RB, i.e., in both symbols 4 and 11. </w:t>
      </w:r>
    </w:p>
    <w:p w14:paraId="0A3E6F40" w14:textId="77777777" w:rsidR="00C367B8" w:rsidRDefault="00D36BF8" w:rsidP="00806267">
      <w:pPr>
        <w:pStyle w:val="maintext"/>
        <w:numPr>
          <w:ilvl w:val="0"/>
          <w:numId w:val="14"/>
        </w:numPr>
        <w:ind w:firstLineChars="0"/>
      </w:pPr>
      <w:r>
        <w:lastRenderedPageBreak/>
        <w:t>Similar tables can be constructed for the RPF = 3 or 4 cases. In addition, per-rank indication for the RE offset values may be considered as well, i.e., the indication table may specify</w:t>
      </w:r>
      <w:r w:rsidR="009E02DD">
        <w:t xml:space="preserve"> the RE offset values </w:t>
      </w:r>
      <w:r>
        <w:t xml:space="preserve">as </w:t>
      </w:r>
      <w:r w:rsidRPr="006E66C2">
        <w:rPr>
          <w:position w:val="-10"/>
        </w:rPr>
        <w:object w:dxaOrig="1460" w:dyaOrig="360" w14:anchorId="64A474A4">
          <v:shape id="_x0000_i1032" type="#_x0000_t75" style="width:73.2pt;height:18.2pt" o:ole="">
            <v:imagedata r:id="rId20" o:title=""/>
          </v:shape>
          <o:OLEObject Type="Embed" ProgID="Equation.DSMT4" ShapeID="_x0000_i1032" DrawAspect="Content" ObjectID="_1532516593" r:id="rId21"/>
        </w:object>
      </w:r>
      <w:r>
        <w:t>.</w:t>
      </w:r>
    </w:p>
    <w:p w14:paraId="19BA4EA4" w14:textId="200AB8DA" w:rsidR="00FE7B4F" w:rsidRDefault="00C367B8" w:rsidP="00806267">
      <w:pPr>
        <w:pStyle w:val="maintext"/>
        <w:numPr>
          <w:ilvl w:val="0"/>
          <w:numId w:val="14"/>
        </w:numPr>
        <w:ind w:firstLineChars="0"/>
      </w:pPr>
      <w:r>
        <w:t>It may be noted that such a modified table would be relevant to both legacy and Rel. 14 UEs; the legacy UEs would only interpret the 1</w:t>
      </w:r>
      <w:r w:rsidRPr="00C367B8">
        <w:rPr>
          <w:vertAlign w:val="superscript"/>
        </w:rPr>
        <w:t>st</w:t>
      </w:r>
      <w:r>
        <w:t xml:space="preserve"> 3 columns of the table, while the Rel. 14 UEs would interpret all columns. </w:t>
      </w:r>
      <w:r w:rsidR="00D36BF8">
        <w:t xml:space="preserve">  </w:t>
      </w:r>
      <w:r w:rsidR="006E66C2">
        <w:t xml:space="preserve"> </w:t>
      </w:r>
      <w:r w:rsidR="00966E51">
        <w:t xml:space="preserve">  </w:t>
      </w:r>
    </w:p>
    <w:p w14:paraId="16D090E4" w14:textId="77777777" w:rsidR="007A1E51" w:rsidRDefault="007A1E51" w:rsidP="00565332">
      <w:pPr>
        <w:pStyle w:val="maintext"/>
        <w:ind w:firstLineChars="0"/>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600"/>
        <w:gridCol w:w="630"/>
        <w:gridCol w:w="630"/>
        <w:gridCol w:w="630"/>
        <w:gridCol w:w="990"/>
        <w:gridCol w:w="990"/>
        <w:gridCol w:w="990"/>
        <w:gridCol w:w="990"/>
        <w:gridCol w:w="1330"/>
      </w:tblGrid>
      <w:tr w:rsidR="002E3857" w14:paraId="4E7E851F" w14:textId="77777777" w:rsidTr="004C3826">
        <w:trPr>
          <w:jc w:val="center"/>
        </w:trPr>
        <w:tc>
          <w:tcPr>
            <w:tcW w:w="14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E7AB59D" w14:textId="77777777" w:rsidR="002E3857" w:rsidRDefault="002E3857" w:rsidP="007A5422">
            <w:pPr>
              <w:pStyle w:val="TAH0"/>
            </w:pPr>
            <w:r>
              <w:t xml:space="preserve">Cyclic Shift Field in </w:t>
            </w:r>
          </w:p>
          <w:p w14:paraId="749641A4" w14:textId="77777777" w:rsidR="002E3857" w:rsidRDefault="002E3857" w:rsidP="007A5422">
            <w:pPr>
              <w:pStyle w:val="TAH0"/>
            </w:pPr>
            <w:r>
              <w:t>uplink-related DCI format [3]</w:t>
            </w:r>
          </w:p>
        </w:tc>
        <w:tc>
          <w:tcPr>
            <w:tcW w:w="2490" w:type="dxa"/>
            <w:gridSpan w:val="4"/>
            <w:tcBorders>
              <w:top w:val="single" w:sz="4" w:space="0" w:color="auto"/>
              <w:left w:val="single" w:sz="4" w:space="0" w:color="auto"/>
              <w:bottom w:val="single" w:sz="4" w:space="0" w:color="FFFFFF"/>
              <w:right w:val="single" w:sz="4" w:space="0" w:color="auto"/>
            </w:tcBorders>
            <w:shd w:val="clear" w:color="auto" w:fill="E0E0E0"/>
            <w:vAlign w:val="center"/>
          </w:tcPr>
          <w:p w14:paraId="4361294A" w14:textId="77777777" w:rsidR="002E3857" w:rsidRDefault="002E3857" w:rsidP="007A5422">
            <w:pPr>
              <w:pStyle w:val="TAH0"/>
            </w:pPr>
            <w:r w:rsidRPr="00111DB1">
              <w:rPr>
                <w:position w:val="-14"/>
              </w:rPr>
              <w:object w:dxaOrig="700" w:dyaOrig="380" w14:anchorId="686BA297">
                <v:shape id="_x0000_i1033" type="#_x0000_t75" style="width:34.8pt;height:19pt" o:ole="">
                  <v:imagedata r:id="rId22" o:title=""/>
                </v:shape>
                <o:OLEObject Type="Embed" ProgID="Equation.3" ShapeID="_x0000_i1033" DrawAspect="Content" ObjectID="_1532516594" r:id="rId23"/>
              </w:object>
            </w:r>
          </w:p>
        </w:tc>
        <w:tc>
          <w:tcPr>
            <w:tcW w:w="3960" w:type="dxa"/>
            <w:gridSpan w:val="4"/>
            <w:tcBorders>
              <w:top w:val="single" w:sz="4" w:space="0" w:color="auto"/>
              <w:left w:val="single" w:sz="4" w:space="0" w:color="auto"/>
              <w:bottom w:val="single" w:sz="4" w:space="0" w:color="FFFFFF"/>
              <w:right w:val="single" w:sz="4" w:space="0" w:color="auto"/>
            </w:tcBorders>
            <w:shd w:val="clear" w:color="auto" w:fill="E0E0E0"/>
          </w:tcPr>
          <w:p w14:paraId="0179C757" w14:textId="77777777" w:rsidR="002E3857" w:rsidRDefault="002E3857" w:rsidP="007A5422">
            <w:pPr>
              <w:pStyle w:val="TAH0"/>
            </w:pPr>
            <w:r w:rsidRPr="00111DB1">
              <w:rPr>
                <w:position w:val="-10"/>
              </w:rPr>
              <w:object w:dxaOrig="1579" w:dyaOrig="400" w14:anchorId="04496E19">
                <v:shape id="_x0000_i1034" type="#_x0000_t75" style="width:79.5pt;height:20.55pt" o:ole="">
                  <v:imagedata r:id="rId24" o:title=""/>
                </v:shape>
                <o:OLEObject Type="Embed" ProgID="Equation.3" ShapeID="_x0000_i1034" DrawAspect="Content" ObjectID="_1532516595" r:id="rId25"/>
              </w:object>
            </w:r>
          </w:p>
        </w:tc>
        <w:tc>
          <w:tcPr>
            <w:tcW w:w="1330" w:type="dxa"/>
            <w:tcBorders>
              <w:top w:val="single" w:sz="4" w:space="0" w:color="auto"/>
              <w:left w:val="single" w:sz="4" w:space="0" w:color="auto"/>
              <w:bottom w:val="single" w:sz="4" w:space="0" w:color="FFFFFF"/>
              <w:right w:val="single" w:sz="4" w:space="0" w:color="auto"/>
            </w:tcBorders>
            <w:shd w:val="clear" w:color="auto" w:fill="E0E0E0"/>
          </w:tcPr>
          <w:p w14:paraId="37E104B6" w14:textId="77777777" w:rsidR="002E3857" w:rsidRPr="00111DB1" w:rsidRDefault="002E3857" w:rsidP="007A5422">
            <w:pPr>
              <w:pStyle w:val="TAH0"/>
              <w:jc w:val="left"/>
            </w:pPr>
            <w:r w:rsidRPr="00957448">
              <w:rPr>
                <w:position w:val="-10"/>
              </w:rPr>
              <w:object w:dxaOrig="999" w:dyaOrig="300" w14:anchorId="1011767F">
                <v:shape id="_x0000_i1035" type="#_x0000_t75" style="width:50.65pt;height:15.45pt" o:ole="">
                  <v:imagedata r:id="rId26" o:title=""/>
                </v:shape>
                <o:OLEObject Type="Embed" ProgID="Equation.DSMT4" ShapeID="_x0000_i1035" DrawAspect="Content" ObjectID="_1532516596" r:id="rId27"/>
              </w:object>
            </w:r>
          </w:p>
        </w:tc>
      </w:tr>
      <w:tr w:rsidR="002E3857" w14:paraId="349424CA" w14:textId="77777777" w:rsidTr="004C3826">
        <w:trPr>
          <w:jc w:val="center"/>
        </w:trPr>
        <w:tc>
          <w:tcPr>
            <w:tcW w:w="1475"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66C5D4BF" w14:textId="77777777" w:rsidR="002E3857" w:rsidRDefault="002E3857" w:rsidP="007A5422">
            <w:pPr>
              <w:spacing w:after="0"/>
              <w:rPr>
                <w:rFonts w:ascii="Arial" w:hAnsi="Arial"/>
                <w:b/>
                <w:sz w:val="18"/>
              </w:rPr>
            </w:pPr>
          </w:p>
        </w:tc>
        <w:tc>
          <w:tcPr>
            <w:tcW w:w="600" w:type="dxa"/>
            <w:tcBorders>
              <w:top w:val="single" w:sz="4" w:space="0" w:color="FFFFFF"/>
              <w:left w:val="single" w:sz="4" w:space="0" w:color="auto"/>
              <w:bottom w:val="single" w:sz="4" w:space="0" w:color="auto"/>
              <w:right w:val="single" w:sz="4" w:space="0" w:color="auto"/>
            </w:tcBorders>
            <w:shd w:val="clear" w:color="auto" w:fill="E0E0E0"/>
            <w:vAlign w:val="center"/>
          </w:tcPr>
          <w:p w14:paraId="4E7F7F19" w14:textId="77777777" w:rsidR="002E3857" w:rsidRDefault="002E3857" w:rsidP="007A5422">
            <w:pPr>
              <w:pStyle w:val="TAH0"/>
            </w:pPr>
            <w:r>
              <w:rPr>
                <w:noProof/>
                <w:position w:val="-6"/>
                <w:lang w:val="en-US" w:eastAsia="ko-KR"/>
              </w:rPr>
              <w:drawing>
                <wp:inline distT="0" distB="0" distL="0" distR="0" wp14:anchorId="69F45083" wp14:editId="5CC1A73A">
                  <wp:extent cx="321945" cy="15367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630" w:type="dxa"/>
            <w:tcBorders>
              <w:top w:val="single" w:sz="4" w:space="0" w:color="FFFFFF"/>
              <w:left w:val="single" w:sz="4" w:space="0" w:color="auto"/>
              <w:bottom w:val="single" w:sz="4" w:space="0" w:color="auto"/>
              <w:right w:val="single" w:sz="4" w:space="0" w:color="auto"/>
            </w:tcBorders>
            <w:shd w:val="clear" w:color="auto" w:fill="E0E0E0"/>
          </w:tcPr>
          <w:p w14:paraId="0C3BC883" w14:textId="77777777" w:rsidR="002E3857" w:rsidRDefault="002E3857" w:rsidP="007A5422">
            <w:pPr>
              <w:pStyle w:val="TAH0"/>
            </w:pPr>
            <w:r>
              <w:rPr>
                <w:noProof/>
                <w:position w:val="-6"/>
                <w:lang w:val="en-US" w:eastAsia="ko-KR"/>
              </w:rPr>
              <w:drawing>
                <wp:inline distT="0" distB="0" distL="0" distR="0" wp14:anchorId="0C393CA8" wp14:editId="0AD8B1AE">
                  <wp:extent cx="292735" cy="153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2735" cy="153670"/>
                          </a:xfrm>
                          <a:prstGeom prst="rect">
                            <a:avLst/>
                          </a:prstGeom>
                          <a:noFill/>
                          <a:ln>
                            <a:noFill/>
                          </a:ln>
                        </pic:spPr>
                      </pic:pic>
                    </a:graphicData>
                  </a:graphic>
                </wp:inline>
              </w:drawing>
            </w:r>
          </w:p>
        </w:tc>
        <w:tc>
          <w:tcPr>
            <w:tcW w:w="630" w:type="dxa"/>
            <w:tcBorders>
              <w:top w:val="single" w:sz="4" w:space="0" w:color="FFFFFF"/>
              <w:left w:val="single" w:sz="4" w:space="0" w:color="auto"/>
              <w:bottom w:val="single" w:sz="4" w:space="0" w:color="auto"/>
              <w:right w:val="single" w:sz="4" w:space="0" w:color="auto"/>
            </w:tcBorders>
            <w:shd w:val="clear" w:color="auto" w:fill="E0E0E0"/>
          </w:tcPr>
          <w:p w14:paraId="6C8808AD" w14:textId="77777777" w:rsidR="002E3857" w:rsidRDefault="002E3857" w:rsidP="007A5422">
            <w:pPr>
              <w:pStyle w:val="TAH0"/>
            </w:pPr>
            <w:r w:rsidRPr="00111DB1">
              <w:rPr>
                <w:position w:val="-6"/>
              </w:rPr>
              <w:object w:dxaOrig="499" w:dyaOrig="240" w14:anchorId="08FBAF92">
                <v:shape id="_x0000_i1036" type="#_x0000_t75" style="width:24.9pt;height:12.65pt" o:ole="">
                  <v:imagedata r:id="rId30" o:title=""/>
                </v:shape>
                <o:OLEObject Type="Embed" ProgID="Equation.3" ShapeID="_x0000_i1036" DrawAspect="Content" ObjectID="_1532516597" r:id="rId31"/>
              </w:object>
            </w:r>
          </w:p>
        </w:tc>
        <w:tc>
          <w:tcPr>
            <w:tcW w:w="630" w:type="dxa"/>
            <w:tcBorders>
              <w:top w:val="single" w:sz="4" w:space="0" w:color="FFFFFF"/>
              <w:left w:val="single" w:sz="4" w:space="0" w:color="auto"/>
              <w:bottom w:val="single" w:sz="4" w:space="0" w:color="auto"/>
              <w:right w:val="single" w:sz="4" w:space="0" w:color="auto"/>
            </w:tcBorders>
            <w:shd w:val="clear" w:color="auto" w:fill="E0E0E0"/>
          </w:tcPr>
          <w:p w14:paraId="39C1D2CE" w14:textId="77777777" w:rsidR="002E3857" w:rsidRDefault="002E3857" w:rsidP="007A5422">
            <w:pPr>
              <w:pStyle w:val="TAH0"/>
            </w:pPr>
            <w:r w:rsidRPr="00111DB1">
              <w:rPr>
                <w:position w:val="-6"/>
              </w:rPr>
              <w:object w:dxaOrig="499" w:dyaOrig="240" w14:anchorId="3A8B27D1">
                <v:shape id="_x0000_i1037" type="#_x0000_t75" style="width:24.55pt;height:12.65pt" o:ole="">
                  <v:imagedata r:id="rId32" o:title=""/>
                </v:shape>
                <o:OLEObject Type="Embed" ProgID="Equation.3" ShapeID="_x0000_i1037" DrawAspect="Content" ObjectID="_1532516598" r:id="rId33"/>
              </w:object>
            </w:r>
          </w:p>
        </w:tc>
        <w:tc>
          <w:tcPr>
            <w:tcW w:w="990" w:type="dxa"/>
            <w:tcBorders>
              <w:top w:val="single" w:sz="4" w:space="0" w:color="FFFFFF"/>
              <w:left w:val="single" w:sz="4" w:space="0" w:color="auto"/>
              <w:bottom w:val="single" w:sz="4" w:space="0" w:color="auto"/>
              <w:right w:val="single" w:sz="4" w:space="0" w:color="auto"/>
            </w:tcBorders>
            <w:shd w:val="clear" w:color="auto" w:fill="E0E0E0"/>
          </w:tcPr>
          <w:p w14:paraId="5BC0E959" w14:textId="77777777" w:rsidR="002E3857" w:rsidRDefault="002E3857" w:rsidP="007A5422">
            <w:pPr>
              <w:pStyle w:val="TAH0"/>
            </w:pPr>
            <w:r>
              <w:rPr>
                <w:noProof/>
                <w:position w:val="-6"/>
                <w:lang w:val="en-US" w:eastAsia="ko-KR"/>
              </w:rPr>
              <w:drawing>
                <wp:inline distT="0" distB="0" distL="0" distR="0" wp14:anchorId="36251FFA" wp14:editId="49488366">
                  <wp:extent cx="321945" cy="15367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21945" cy="153670"/>
                          </a:xfrm>
                          <a:prstGeom prst="rect">
                            <a:avLst/>
                          </a:prstGeom>
                          <a:noFill/>
                          <a:ln>
                            <a:noFill/>
                          </a:ln>
                        </pic:spPr>
                      </pic:pic>
                    </a:graphicData>
                  </a:graphic>
                </wp:inline>
              </w:drawing>
            </w:r>
          </w:p>
        </w:tc>
        <w:tc>
          <w:tcPr>
            <w:tcW w:w="990" w:type="dxa"/>
            <w:tcBorders>
              <w:top w:val="single" w:sz="4" w:space="0" w:color="FFFFFF"/>
              <w:left w:val="single" w:sz="4" w:space="0" w:color="auto"/>
              <w:bottom w:val="single" w:sz="4" w:space="0" w:color="auto"/>
              <w:right w:val="single" w:sz="4" w:space="0" w:color="auto"/>
            </w:tcBorders>
            <w:shd w:val="clear" w:color="auto" w:fill="E0E0E0"/>
          </w:tcPr>
          <w:p w14:paraId="12C4E43C" w14:textId="77777777" w:rsidR="002E3857" w:rsidRDefault="002E3857" w:rsidP="007A5422">
            <w:pPr>
              <w:pStyle w:val="TAH0"/>
            </w:pPr>
            <w:r w:rsidRPr="00111DB1">
              <w:rPr>
                <w:position w:val="-6"/>
              </w:rPr>
              <w:object w:dxaOrig="460" w:dyaOrig="240" w14:anchorId="0783441D">
                <v:shape id="_x0000_i1038" type="#_x0000_t75" style="width:22.95pt;height:12.65pt" o:ole="">
                  <v:imagedata r:id="rId34" o:title=""/>
                </v:shape>
                <o:OLEObject Type="Embed" ProgID="Equation.3" ShapeID="_x0000_i1038" DrawAspect="Content" ObjectID="_1532516599" r:id="rId35"/>
              </w:object>
            </w:r>
          </w:p>
        </w:tc>
        <w:tc>
          <w:tcPr>
            <w:tcW w:w="990" w:type="dxa"/>
            <w:tcBorders>
              <w:top w:val="single" w:sz="4" w:space="0" w:color="FFFFFF"/>
              <w:left w:val="single" w:sz="4" w:space="0" w:color="auto"/>
              <w:bottom w:val="single" w:sz="4" w:space="0" w:color="auto"/>
              <w:right w:val="single" w:sz="4" w:space="0" w:color="auto"/>
            </w:tcBorders>
            <w:shd w:val="clear" w:color="auto" w:fill="E0E0E0"/>
          </w:tcPr>
          <w:p w14:paraId="267490AA" w14:textId="77777777" w:rsidR="002E3857" w:rsidRDefault="002E3857" w:rsidP="007A5422">
            <w:pPr>
              <w:pStyle w:val="TAH0"/>
            </w:pPr>
            <w:r w:rsidRPr="00111DB1">
              <w:rPr>
                <w:position w:val="-6"/>
              </w:rPr>
              <w:object w:dxaOrig="499" w:dyaOrig="240" w14:anchorId="51D8AF14">
                <v:shape id="_x0000_i1039" type="#_x0000_t75" style="width:24.9pt;height:12.65pt" o:ole="">
                  <v:imagedata r:id="rId36" o:title=""/>
                </v:shape>
                <o:OLEObject Type="Embed" ProgID="Equation.3" ShapeID="_x0000_i1039" DrawAspect="Content" ObjectID="_1532516600" r:id="rId37"/>
              </w:object>
            </w:r>
          </w:p>
        </w:tc>
        <w:tc>
          <w:tcPr>
            <w:tcW w:w="990" w:type="dxa"/>
            <w:tcBorders>
              <w:top w:val="single" w:sz="4" w:space="0" w:color="FFFFFF"/>
              <w:left w:val="single" w:sz="4" w:space="0" w:color="auto"/>
              <w:bottom w:val="single" w:sz="4" w:space="0" w:color="auto"/>
              <w:right w:val="single" w:sz="4" w:space="0" w:color="auto"/>
            </w:tcBorders>
            <w:shd w:val="clear" w:color="auto" w:fill="E0E0E0"/>
          </w:tcPr>
          <w:p w14:paraId="60DE8C71" w14:textId="77777777" w:rsidR="002E3857" w:rsidRDefault="002E3857" w:rsidP="007A5422">
            <w:pPr>
              <w:pStyle w:val="TAH0"/>
            </w:pPr>
            <w:r w:rsidRPr="00111DB1">
              <w:rPr>
                <w:position w:val="-6"/>
              </w:rPr>
              <w:object w:dxaOrig="499" w:dyaOrig="240" w14:anchorId="00C161FE">
                <v:shape id="_x0000_i1040" type="#_x0000_t75" style="width:24.55pt;height:12.65pt" o:ole="">
                  <v:imagedata r:id="rId38" o:title=""/>
                </v:shape>
                <o:OLEObject Type="Embed" ProgID="Equation.3" ShapeID="_x0000_i1040" DrawAspect="Content" ObjectID="_1532516601" r:id="rId39"/>
              </w:object>
            </w:r>
          </w:p>
        </w:tc>
        <w:tc>
          <w:tcPr>
            <w:tcW w:w="1330" w:type="dxa"/>
            <w:tcBorders>
              <w:top w:val="single" w:sz="4" w:space="0" w:color="FFFFFF"/>
              <w:left w:val="single" w:sz="4" w:space="0" w:color="auto"/>
              <w:bottom w:val="single" w:sz="4" w:space="0" w:color="auto"/>
              <w:right w:val="single" w:sz="4" w:space="0" w:color="auto"/>
            </w:tcBorders>
            <w:shd w:val="clear" w:color="auto" w:fill="E0E0E0"/>
          </w:tcPr>
          <w:p w14:paraId="54BEBE37" w14:textId="77777777" w:rsidR="002E3857" w:rsidRPr="00111DB1" w:rsidRDefault="002E3857" w:rsidP="007A5422">
            <w:pPr>
              <w:pStyle w:val="TAH0"/>
            </w:pPr>
          </w:p>
        </w:tc>
      </w:tr>
      <w:tr w:rsidR="002E3857" w14:paraId="79BE6334" w14:textId="77777777" w:rsidTr="004C3826">
        <w:trPr>
          <w:trHeight w:val="341"/>
          <w:jc w:val="center"/>
        </w:trPr>
        <w:tc>
          <w:tcPr>
            <w:tcW w:w="1475" w:type="dxa"/>
            <w:tcBorders>
              <w:top w:val="single" w:sz="4" w:space="0" w:color="auto"/>
              <w:left w:val="single" w:sz="4" w:space="0" w:color="auto"/>
              <w:bottom w:val="single" w:sz="4" w:space="0" w:color="auto"/>
              <w:right w:val="single" w:sz="4" w:space="0" w:color="auto"/>
            </w:tcBorders>
            <w:vAlign w:val="center"/>
          </w:tcPr>
          <w:p w14:paraId="325426EF" w14:textId="77777777" w:rsidR="002E3857" w:rsidRDefault="002E3857" w:rsidP="007A5422">
            <w:pPr>
              <w:pStyle w:val="TAC"/>
            </w:pPr>
            <w:r>
              <w:t>000</w:t>
            </w:r>
          </w:p>
        </w:tc>
        <w:tc>
          <w:tcPr>
            <w:tcW w:w="600" w:type="dxa"/>
            <w:tcBorders>
              <w:top w:val="single" w:sz="4" w:space="0" w:color="auto"/>
              <w:left w:val="single" w:sz="4" w:space="0" w:color="auto"/>
              <w:bottom w:val="single" w:sz="4" w:space="0" w:color="auto"/>
              <w:right w:val="single" w:sz="4" w:space="0" w:color="auto"/>
            </w:tcBorders>
            <w:vAlign w:val="center"/>
          </w:tcPr>
          <w:p w14:paraId="61667896" w14:textId="77777777" w:rsidR="002E3857" w:rsidRDefault="002E3857" w:rsidP="007A5422">
            <w:pPr>
              <w:pStyle w:val="TAC"/>
            </w:pPr>
            <w:r>
              <w:t>0</w:t>
            </w:r>
          </w:p>
        </w:tc>
        <w:tc>
          <w:tcPr>
            <w:tcW w:w="630" w:type="dxa"/>
            <w:tcBorders>
              <w:top w:val="single" w:sz="4" w:space="0" w:color="auto"/>
              <w:left w:val="single" w:sz="4" w:space="0" w:color="auto"/>
              <w:bottom w:val="single" w:sz="4" w:space="0" w:color="auto"/>
              <w:right w:val="single" w:sz="4" w:space="0" w:color="auto"/>
            </w:tcBorders>
            <w:vAlign w:val="center"/>
          </w:tcPr>
          <w:p w14:paraId="332D038F" w14:textId="77777777" w:rsidR="002E3857" w:rsidRDefault="002E3857" w:rsidP="007A5422">
            <w:pPr>
              <w:pStyle w:val="TAC"/>
            </w:pPr>
            <w:r>
              <w:t>6</w:t>
            </w:r>
          </w:p>
        </w:tc>
        <w:tc>
          <w:tcPr>
            <w:tcW w:w="630" w:type="dxa"/>
            <w:tcBorders>
              <w:top w:val="single" w:sz="4" w:space="0" w:color="auto"/>
              <w:left w:val="single" w:sz="4" w:space="0" w:color="auto"/>
              <w:bottom w:val="single" w:sz="4" w:space="0" w:color="auto"/>
              <w:right w:val="single" w:sz="4" w:space="0" w:color="auto"/>
            </w:tcBorders>
            <w:vAlign w:val="center"/>
          </w:tcPr>
          <w:p w14:paraId="60EE6275" w14:textId="77777777" w:rsidR="002E3857" w:rsidRDefault="002E3857" w:rsidP="007A5422">
            <w:pPr>
              <w:pStyle w:val="TAC"/>
            </w:pPr>
            <w:r>
              <w:t>3</w:t>
            </w:r>
          </w:p>
        </w:tc>
        <w:tc>
          <w:tcPr>
            <w:tcW w:w="630" w:type="dxa"/>
            <w:tcBorders>
              <w:top w:val="single" w:sz="4" w:space="0" w:color="auto"/>
              <w:left w:val="single" w:sz="4" w:space="0" w:color="auto"/>
              <w:bottom w:val="single" w:sz="4" w:space="0" w:color="auto"/>
              <w:right w:val="single" w:sz="4" w:space="0" w:color="auto"/>
            </w:tcBorders>
            <w:vAlign w:val="center"/>
          </w:tcPr>
          <w:p w14:paraId="344416B8" w14:textId="77777777" w:rsidR="002E3857" w:rsidRDefault="002E3857" w:rsidP="007A5422">
            <w:pPr>
              <w:pStyle w:val="TAC"/>
            </w:pPr>
            <w:r>
              <w:t>9</w:t>
            </w:r>
          </w:p>
        </w:tc>
        <w:tc>
          <w:tcPr>
            <w:tcW w:w="990" w:type="dxa"/>
            <w:tcBorders>
              <w:top w:val="single" w:sz="4" w:space="0" w:color="auto"/>
              <w:left w:val="single" w:sz="4" w:space="0" w:color="auto"/>
              <w:bottom w:val="single" w:sz="4" w:space="0" w:color="auto"/>
              <w:right w:val="single" w:sz="4" w:space="0" w:color="auto"/>
            </w:tcBorders>
            <w:vAlign w:val="center"/>
          </w:tcPr>
          <w:p w14:paraId="3328601E" w14:textId="77777777" w:rsidR="002E3857" w:rsidRDefault="002E3857" w:rsidP="007A5422">
            <w:pPr>
              <w:pStyle w:val="TAC"/>
            </w:pPr>
            <w:r w:rsidRPr="00F4170A">
              <w:rPr>
                <w:position w:val="-10"/>
              </w:rPr>
              <w:object w:dxaOrig="560" w:dyaOrig="360" w14:anchorId="15D90AF1">
                <v:shape id="_x0000_i1041" type="#_x0000_t75" style="width:28.1pt;height:17.4pt" o:ole="">
                  <v:imagedata r:id="rId40" o:title=""/>
                </v:shape>
                <o:OLEObject Type="Embed" ProgID="Equation.3" ShapeID="_x0000_i1041" DrawAspect="Content" ObjectID="_1532516602" r:id="rId41"/>
              </w:object>
            </w:r>
          </w:p>
        </w:tc>
        <w:tc>
          <w:tcPr>
            <w:tcW w:w="990" w:type="dxa"/>
            <w:tcBorders>
              <w:top w:val="single" w:sz="4" w:space="0" w:color="auto"/>
              <w:left w:val="single" w:sz="4" w:space="0" w:color="auto"/>
              <w:bottom w:val="single" w:sz="4" w:space="0" w:color="auto"/>
              <w:right w:val="single" w:sz="4" w:space="0" w:color="auto"/>
            </w:tcBorders>
            <w:vAlign w:val="center"/>
          </w:tcPr>
          <w:p w14:paraId="2EFC3F7B" w14:textId="77777777" w:rsidR="002E3857" w:rsidRDefault="002E3857" w:rsidP="007A5422">
            <w:pPr>
              <w:pStyle w:val="TAC"/>
            </w:pPr>
            <w:r w:rsidRPr="00F4170A">
              <w:rPr>
                <w:position w:val="-10"/>
              </w:rPr>
              <w:object w:dxaOrig="560" w:dyaOrig="360" w14:anchorId="428585D6">
                <v:shape id="_x0000_i1042" type="#_x0000_t75" style="width:28.1pt;height:17.4pt" o:ole="">
                  <v:imagedata r:id="rId40" o:title=""/>
                </v:shape>
                <o:OLEObject Type="Embed" ProgID="Equation.3" ShapeID="_x0000_i1042" DrawAspect="Content" ObjectID="_1532516603" r:id="rId42"/>
              </w:object>
            </w:r>
          </w:p>
        </w:tc>
        <w:tc>
          <w:tcPr>
            <w:tcW w:w="990" w:type="dxa"/>
            <w:tcBorders>
              <w:top w:val="single" w:sz="4" w:space="0" w:color="auto"/>
              <w:left w:val="single" w:sz="4" w:space="0" w:color="auto"/>
              <w:bottom w:val="single" w:sz="4" w:space="0" w:color="auto"/>
              <w:right w:val="single" w:sz="4" w:space="0" w:color="auto"/>
            </w:tcBorders>
            <w:vAlign w:val="center"/>
          </w:tcPr>
          <w:p w14:paraId="1E1C30B2" w14:textId="77777777" w:rsidR="002E3857" w:rsidRDefault="002E3857" w:rsidP="007A5422">
            <w:pPr>
              <w:pStyle w:val="TAC"/>
            </w:pPr>
            <w:r w:rsidRPr="00F4170A">
              <w:rPr>
                <w:position w:val="-10"/>
              </w:rPr>
              <w:object w:dxaOrig="700" w:dyaOrig="360" w14:anchorId="176C3042">
                <v:shape id="_x0000_i1043" type="#_x0000_t75" style="width:34.8pt;height:17.4pt" o:ole="">
                  <v:imagedata r:id="rId43" o:title=""/>
                </v:shape>
                <o:OLEObject Type="Embed" ProgID="Equation.3" ShapeID="_x0000_i1043" DrawAspect="Content" ObjectID="_1532516604" r:id="rId44"/>
              </w:object>
            </w:r>
          </w:p>
        </w:tc>
        <w:tc>
          <w:tcPr>
            <w:tcW w:w="990" w:type="dxa"/>
            <w:tcBorders>
              <w:top w:val="single" w:sz="4" w:space="0" w:color="auto"/>
              <w:left w:val="single" w:sz="4" w:space="0" w:color="auto"/>
              <w:bottom w:val="single" w:sz="4" w:space="0" w:color="auto"/>
              <w:right w:val="single" w:sz="4" w:space="0" w:color="auto"/>
            </w:tcBorders>
            <w:vAlign w:val="center"/>
          </w:tcPr>
          <w:p w14:paraId="3A84DC6E" w14:textId="77777777" w:rsidR="002E3857" w:rsidRDefault="002E3857" w:rsidP="007A5422">
            <w:pPr>
              <w:pStyle w:val="TAC"/>
            </w:pPr>
            <w:r w:rsidRPr="00F4170A">
              <w:rPr>
                <w:position w:val="-10"/>
              </w:rPr>
              <w:object w:dxaOrig="700" w:dyaOrig="360" w14:anchorId="2C84171D">
                <v:shape id="_x0000_i1044" type="#_x0000_t75" style="width:34.8pt;height:17.4pt" o:ole="">
                  <v:imagedata r:id="rId43" o:title=""/>
                </v:shape>
                <o:OLEObject Type="Embed" ProgID="Equation.3" ShapeID="_x0000_i1044" DrawAspect="Content" ObjectID="_1532516605" r:id="rId45"/>
              </w:object>
            </w:r>
          </w:p>
        </w:tc>
        <w:tc>
          <w:tcPr>
            <w:tcW w:w="1330" w:type="dxa"/>
            <w:tcBorders>
              <w:top w:val="single" w:sz="4" w:space="0" w:color="auto"/>
              <w:left w:val="single" w:sz="4" w:space="0" w:color="auto"/>
              <w:bottom w:val="single" w:sz="4" w:space="0" w:color="auto"/>
              <w:right w:val="single" w:sz="4" w:space="0" w:color="auto"/>
            </w:tcBorders>
          </w:tcPr>
          <w:p w14:paraId="1609318B" w14:textId="2DC6F0FD" w:rsidR="002E3857" w:rsidRPr="00957448" w:rsidRDefault="004C3826" w:rsidP="007A5422">
            <w:pPr>
              <w:pStyle w:val="TAC"/>
              <w:rPr>
                <w:color w:val="FF0000"/>
              </w:rPr>
            </w:pPr>
            <w:r>
              <w:rPr>
                <w:color w:val="FF0000"/>
              </w:rPr>
              <w:t>[FFS   FFS</w:t>
            </w:r>
            <w:r w:rsidR="002E3857" w:rsidRPr="00957448">
              <w:rPr>
                <w:color w:val="FF0000"/>
              </w:rPr>
              <w:t>]</w:t>
            </w:r>
          </w:p>
        </w:tc>
      </w:tr>
      <w:tr w:rsidR="002E3857" w14:paraId="0A8FE0A0" w14:textId="77777777" w:rsidTr="004C3826">
        <w:trPr>
          <w:trHeight w:val="224"/>
          <w:jc w:val="center"/>
        </w:trPr>
        <w:tc>
          <w:tcPr>
            <w:tcW w:w="1475" w:type="dxa"/>
            <w:tcBorders>
              <w:top w:val="single" w:sz="4" w:space="0" w:color="auto"/>
              <w:left w:val="single" w:sz="4" w:space="0" w:color="auto"/>
              <w:bottom w:val="single" w:sz="4" w:space="0" w:color="auto"/>
              <w:right w:val="single" w:sz="4" w:space="0" w:color="auto"/>
            </w:tcBorders>
            <w:vAlign w:val="center"/>
          </w:tcPr>
          <w:p w14:paraId="17F0CD8F" w14:textId="77777777" w:rsidR="002E3857" w:rsidRDefault="002E3857" w:rsidP="007A5422">
            <w:pPr>
              <w:pStyle w:val="TAC"/>
            </w:pPr>
            <w:r>
              <w:t>001</w:t>
            </w:r>
          </w:p>
        </w:tc>
        <w:tc>
          <w:tcPr>
            <w:tcW w:w="600" w:type="dxa"/>
            <w:tcBorders>
              <w:top w:val="single" w:sz="4" w:space="0" w:color="auto"/>
              <w:left w:val="single" w:sz="4" w:space="0" w:color="auto"/>
              <w:bottom w:val="single" w:sz="4" w:space="0" w:color="auto"/>
              <w:right w:val="single" w:sz="4" w:space="0" w:color="auto"/>
            </w:tcBorders>
            <w:vAlign w:val="center"/>
          </w:tcPr>
          <w:p w14:paraId="0C0AB09B" w14:textId="77777777" w:rsidR="002E3857" w:rsidRDefault="002E3857" w:rsidP="007A5422">
            <w:pPr>
              <w:pStyle w:val="TAC"/>
            </w:pPr>
            <w:r>
              <w:t>6</w:t>
            </w:r>
          </w:p>
        </w:tc>
        <w:tc>
          <w:tcPr>
            <w:tcW w:w="630" w:type="dxa"/>
            <w:tcBorders>
              <w:top w:val="single" w:sz="4" w:space="0" w:color="auto"/>
              <w:left w:val="single" w:sz="4" w:space="0" w:color="auto"/>
              <w:bottom w:val="single" w:sz="4" w:space="0" w:color="auto"/>
              <w:right w:val="single" w:sz="4" w:space="0" w:color="auto"/>
            </w:tcBorders>
            <w:vAlign w:val="center"/>
          </w:tcPr>
          <w:p w14:paraId="1125F2FE" w14:textId="77777777" w:rsidR="002E3857" w:rsidRDefault="002E3857" w:rsidP="007A5422">
            <w:pPr>
              <w:pStyle w:val="TAC"/>
            </w:pPr>
            <w:r>
              <w:t>0</w:t>
            </w:r>
          </w:p>
        </w:tc>
        <w:tc>
          <w:tcPr>
            <w:tcW w:w="630" w:type="dxa"/>
            <w:tcBorders>
              <w:top w:val="single" w:sz="4" w:space="0" w:color="auto"/>
              <w:left w:val="single" w:sz="4" w:space="0" w:color="auto"/>
              <w:bottom w:val="single" w:sz="4" w:space="0" w:color="auto"/>
              <w:right w:val="single" w:sz="4" w:space="0" w:color="auto"/>
            </w:tcBorders>
            <w:vAlign w:val="center"/>
          </w:tcPr>
          <w:p w14:paraId="77E7B517" w14:textId="77777777" w:rsidR="002E3857" w:rsidRDefault="002E3857" w:rsidP="007A5422">
            <w:pPr>
              <w:pStyle w:val="TAC"/>
            </w:pPr>
            <w:r>
              <w:t>9</w:t>
            </w:r>
          </w:p>
        </w:tc>
        <w:tc>
          <w:tcPr>
            <w:tcW w:w="630" w:type="dxa"/>
            <w:tcBorders>
              <w:top w:val="single" w:sz="4" w:space="0" w:color="auto"/>
              <w:left w:val="single" w:sz="4" w:space="0" w:color="auto"/>
              <w:bottom w:val="single" w:sz="4" w:space="0" w:color="auto"/>
              <w:right w:val="single" w:sz="4" w:space="0" w:color="auto"/>
            </w:tcBorders>
            <w:vAlign w:val="center"/>
          </w:tcPr>
          <w:p w14:paraId="0F1B23C0" w14:textId="77777777" w:rsidR="002E3857" w:rsidRDefault="002E3857" w:rsidP="007A5422">
            <w:pPr>
              <w:pStyle w:val="TAC"/>
            </w:pPr>
            <w:r>
              <w:t>3</w:t>
            </w:r>
          </w:p>
        </w:tc>
        <w:tc>
          <w:tcPr>
            <w:tcW w:w="990" w:type="dxa"/>
            <w:tcBorders>
              <w:top w:val="single" w:sz="4" w:space="0" w:color="auto"/>
              <w:left w:val="single" w:sz="4" w:space="0" w:color="auto"/>
              <w:bottom w:val="single" w:sz="4" w:space="0" w:color="auto"/>
              <w:right w:val="single" w:sz="4" w:space="0" w:color="auto"/>
            </w:tcBorders>
            <w:vAlign w:val="center"/>
          </w:tcPr>
          <w:p w14:paraId="1F3741E9" w14:textId="77777777" w:rsidR="002E3857" w:rsidRDefault="002E3857" w:rsidP="007A5422">
            <w:pPr>
              <w:pStyle w:val="TAC"/>
            </w:pPr>
            <w:r w:rsidRPr="00F4170A">
              <w:rPr>
                <w:position w:val="-10"/>
              </w:rPr>
              <w:object w:dxaOrig="700" w:dyaOrig="360" w14:anchorId="627783C8">
                <v:shape id="_x0000_i1045" type="#_x0000_t75" style="width:34.8pt;height:17.4pt" o:ole="">
                  <v:imagedata r:id="rId43" o:title=""/>
                </v:shape>
                <o:OLEObject Type="Embed" ProgID="Equation.3" ShapeID="_x0000_i1045" DrawAspect="Content" ObjectID="_1532516606" r:id="rId46"/>
              </w:object>
            </w:r>
          </w:p>
        </w:tc>
        <w:tc>
          <w:tcPr>
            <w:tcW w:w="990" w:type="dxa"/>
            <w:tcBorders>
              <w:top w:val="single" w:sz="4" w:space="0" w:color="auto"/>
              <w:left w:val="single" w:sz="4" w:space="0" w:color="auto"/>
              <w:bottom w:val="single" w:sz="4" w:space="0" w:color="auto"/>
              <w:right w:val="single" w:sz="4" w:space="0" w:color="auto"/>
            </w:tcBorders>
            <w:vAlign w:val="center"/>
          </w:tcPr>
          <w:p w14:paraId="25E85439" w14:textId="77777777" w:rsidR="002E3857" w:rsidRDefault="002E3857" w:rsidP="007A5422">
            <w:pPr>
              <w:pStyle w:val="TAC"/>
            </w:pPr>
            <w:r w:rsidRPr="00F4170A">
              <w:rPr>
                <w:position w:val="-10"/>
              </w:rPr>
              <w:object w:dxaOrig="700" w:dyaOrig="360" w14:anchorId="1E077E1A">
                <v:shape id="_x0000_i1046" type="#_x0000_t75" style="width:34.8pt;height:17.4pt" o:ole="">
                  <v:imagedata r:id="rId43" o:title=""/>
                </v:shape>
                <o:OLEObject Type="Embed" ProgID="Equation.3" ShapeID="_x0000_i1046" DrawAspect="Content" ObjectID="_1532516607" r:id="rId47"/>
              </w:object>
            </w:r>
          </w:p>
        </w:tc>
        <w:tc>
          <w:tcPr>
            <w:tcW w:w="990" w:type="dxa"/>
            <w:tcBorders>
              <w:top w:val="single" w:sz="4" w:space="0" w:color="auto"/>
              <w:left w:val="single" w:sz="4" w:space="0" w:color="auto"/>
              <w:bottom w:val="single" w:sz="4" w:space="0" w:color="auto"/>
              <w:right w:val="single" w:sz="4" w:space="0" w:color="auto"/>
            </w:tcBorders>
            <w:vAlign w:val="center"/>
          </w:tcPr>
          <w:p w14:paraId="5CF3DA9C" w14:textId="77777777" w:rsidR="002E3857" w:rsidRDefault="002E3857" w:rsidP="007A5422">
            <w:pPr>
              <w:pStyle w:val="TAC"/>
            </w:pPr>
            <w:r w:rsidRPr="00F4170A">
              <w:rPr>
                <w:position w:val="-10"/>
              </w:rPr>
              <w:object w:dxaOrig="560" w:dyaOrig="360" w14:anchorId="207D7B3F">
                <v:shape id="_x0000_i1047" type="#_x0000_t75" style="width:28.1pt;height:17.4pt" o:ole="">
                  <v:imagedata r:id="rId40" o:title=""/>
                </v:shape>
                <o:OLEObject Type="Embed" ProgID="Equation.3" ShapeID="_x0000_i1047" DrawAspect="Content" ObjectID="_1532516608" r:id="rId48"/>
              </w:object>
            </w:r>
          </w:p>
        </w:tc>
        <w:tc>
          <w:tcPr>
            <w:tcW w:w="990" w:type="dxa"/>
            <w:tcBorders>
              <w:top w:val="single" w:sz="4" w:space="0" w:color="auto"/>
              <w:left w:val="single" w:sz="4" w:space="0" w:color="auto"/>
              <w:bottom w:val="single" w:sz="4" w:space="0" w:color="auto"/>
              <w:right w:val="single" w:sz="4" w:space="0" w:color="auto"/>
            </w:tcBorders>
            <w:vAlign w:val="center"/>
          </w:tcPr>
          <w:p w14:paraId="12166C97" w14:textId="77777777" w:rsidR="002E3857" w:rsidRDefault="002E3857" w:rsidP="007A5422">
            <w:pPr>
              <w:pStyle w:val="TAC"/>
            </w:pPr>
            <w:r w:rsidRPr="00F4170A">
              <w:rPr>
                <w:position w:val="-10"/>
              </w:rPr>
              <w:object w:dxaOrig="560" w:dyaOrig="360" w14:anchorId="08EDE486">
                <v:shape id="_x0000_i1048" type="#_x0000_t75" style="width:28.1pt;height:17.4pt" o:ole="">
                  <v:imagedata r:id="rId40" o:title=""/>
                </v:shape>
                <o:OLEObject Type="Embed" ProgID="Equation.3" ShapeID="_x0000_i1048" DrawAspect="Content" ObjectID="_1532516609" r:id="rId49"/>
              </w:object>
            </w:r>
          </w:p>
        </w:tc>
        <w:tc>
          <w:tcPr>
            <w:tcW w:w="1330" w:type="dxa"/>
            <w:tcBorders>
              <w:top w:val="single" w:sz="4" w:space="0" w:color="auto"/>
              <w:left w:val="single" w:sz="4" w:space="0" w:color="auto"/>
              <w:bottom w:val="single" w:sz="4" w:space="0" w:color="auto"/>
              <w:right w:val="single" w:sz="4" w:space="0" w:color="auto"/>
            </w:tcBorders>
          </w:tcPr>
          <w:p w14:paraId="01508F23" w14:textId="088ABDD4" w:rsidR="002E3857" w:rsidRPr="00957448" w:rsidRDefault="004C3826" w:rsidP="007A5422">
            <w:pPr>
              <w:pStyle w:val="TAC"/>
              <w:rPr>
                <w:color w:val="FF0000"/>
              </w:rPr>
            </w:pPr>
            <w:r>
              <w:rPr>
                <w:color w:val="FF0000"/>
              </w:rPr>
              <w:t>[FFS   FFS</w:t>
            </w:r>
            <w:r w:rsidRPr="00957448">
              <w:rPr>
                <w:color w:val="FF0000"/>
              </w:rPr>
              <w:t>]</w:t>
            </w:r>
          </w:p>
        </w:tc>
      </w:tr>
      <w:tr w:rsidR="002E3857" w14:paraId="43B673F4" w14:textId="77777777" w:rsidTr="004C382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4CA9025D" w14:textId="77777777" w:rsidR="002E3857" w:rsidRDefault="002E3857" w:rsidP="007A5422">
            <w:pPr>
              <w:pStyle w:val="TAC"/>
            </w:pPr>
            <w:r>
              <w:t>010</w:t>
            </w:r>
          </w:p>
        </w:tc>
        <w:tc>
          <w:tcPr>
            <w:tcW w:w="600" w:type="dxa"/>
            <w:tcBorders>
              <w:top w:val="single" w:sz="4" w:space="0" w:color="auto"/>
              <w:left w:val="single" w:sz="4" w:space="0" w:color="auto"/>
              <w:bottom w:val="single" w:sz="4" w:space="0" w:color="auto"/>
              <w:right w:val="single" w:sz="4" w:space="0" w:color="auto"/>
            </w:tcBorders>
            <w:vAlign w:val="center"/>
          </w:tcPr>
          <w:p w14:paraId="0ACC7D85" w14:textId="77777777" w:rsidR="002E3857" w:rsidRDefault="002E3857" w:rsidP="007A5422">
            <w:pPr>
              <w:pStyle w:val="TAC"/>
            </w:pPr>
            <w:r>
              <w:t>3</w:t>
            </w:r>
          </w:p>
        </w:tc>
        <w:tc>
          <w:tcPr>
            <w:tcW w:w="630" w:type="dxa"/>
            <w:tcBorders>
              <w:top w:val="single" w:sz="4" w:space="0" w:color="auto"/>
              <w:left w:val="single" w:sz="4" w:space="0" w:color="auto"/>
              <w:bottom w:val="single" w:sz="4" w:space="0" w:color="auto"/>
              <w:right w:val="single" w:sz="4" w:space="0" w:color="auto"/>
            </w:tcBorders>
            <w:vAlign w:val="center"/>
          </w:tcPr>
          <w:p w14:paraId="61F81D5F" w14:textId="77777777" w:rsidR="002E3857" w:rsidRDefault="002E3857" w:rsidP="007A5422">
            <w:pPr>
              <w:pStyle w:val="TAC"/>
            </w:pPr>
            <w:r>
              <w:t>9</w:t>
            </w:r>
          </w:p>
        </w:tc>
        <w:tc>
          <w:tcPr>
            <w:tcW w:w="630" w:type="dxa"/>
            <w:tcBorders>
              <w:top w:val="single" w:sz="4" w:space="0" w:color="auto"/>
              <w:left w:val="single" w:sz="4" w:space="0" w:color="auto"/>
              <w:bottom w:val="single" w:sz="4" w:space="0" w:color="auto"/>
              <w:right w:val="single" w:sz="4" w:space="0" w:color="auto"/>
            </w:tcBorders>
            <w:vAlign w:val="center"/>
          </w:tcPr>
          <w:p w14:paraId="068BBF59" w14:textId="77777777" w:rsidR="002E3857" w:rsidRDefault="002E3857" w:rsidP="007A5422">
            <w:pPr>
              <w:pStyle w:val="TAC"/>
            </w:pPr>
            <w:r>
              <w:t>6</w:t>
            </w:r>
          </w:p>
        </w:tc>
        <w:tc>
          <w:tcPr>
            <w:tcW w:w="630" w:type="dxa"/>
            <w:tcBorders>
              <w:top w:val="single" w:sz="4" w:space="0" w:color="auto"/>
              <w:left w:val="single" w:sz="4" w:space="0" w:color="auto"/>
              <w:bottom w:val="single" w:sz="4" w:space="0" w:color="auto"/>
              <w:right w:val="single" w:sz="4" w:space="0" w:color="auto"/>
            </w:tcBorders>
            <w:vAlign w:val="center"/>
          </w:tcPr>
          <w:p w14:paraId="3A387A25" w14:textId="77777777" w:rsidR="002E3857" w:rsidRDefault="002E3857" w:rsidP="007A5422">
            <w:pPr>
              <w:pStyle w:val="TAC"/>
            </w:pPr>
            <w:r>
              <w:t>0</w:t>
            </w:r>
          </w:p>
        </w:tc>
        <w:tc>
          <w:tcPr>
            <w:tcW w:w="990" w:type="dxa"/>
            <w:tcBorders>
              <w:top w:val="single" w:sz="4" w:space="0" w:color="auto"/>
              <w:left w:val="single" w:sz="4" w:space="0" w:color="auto"/>
              <w:bottom w:val="single" w:sz="4" w:space="0" w:color="auto"/>
              <w:right w:val="single" w:sz="4" w:space="0" w:color="auto"/>
            </w:tcBorders>
            <w:vAlign w:val="center"/>
          </w:tcPr>
          <w:p w14:paraId="23B2BBDA" w14:textId="77777777" w:rsidR="002E3857" w:rsidRDefault="002E3857" w:rsidP="007A5422">
            <w:pPr>
              <w:pStyle w:val="TAC"/>
            </w:pPr>
            <w:r w:rsidRPr="00F4170A">
              <w:rPr>
                <w:position w:val="-10"/>
              </w:rPr>
              <w:object w:dxaOrig="700" w:dyaOrig="360" w14:anchorId="2964AAD8">
                <v:shape id="_x0000_i1049" type="#_x0000_t75" style="width:34.8pt;height:17.4pt" o:ole="">
                  <v:imagedata r:id="rId43" o:title=""/>
                </v:shape>
                <o:OLEObject Type="Embed" ProgID="Equation.3" ShapeID="_x0000_i1049" DrawAspect="Content" ObjectID="_1532516610" r:id="rId50"/>
              </w:object>
            </w:r>
          </w:p>
        </w:tc>
        <w:tc>
          <w:tcPr>
            <w:tcW w:w="990" w:type="dxa"/>
            <w:tcBorders>
              <w:top w:val="single" w:sz="4" w:space="0" w:color="auto"/>
              <w:left w:val="single" w:sz="4" w:space="0" w:color="auto"/>
              <w:bottom w:val="single" w:sz="4" w:space="0" w:color="auto"/>
              <w:right w:val="single" w:sz="4" w:space="0" w:color="auto"/>
            </w:tcBorders>
            <w:vAlign w:val="center"/>
          </w:tcPr>
          <w:p w14:paraId="1ADD6EF1" w14:textId="77777777" w:rsidR="002E3857" w:rsidRDefault="002E3857" w:rsidP="007A5422">
            <w:pPr>
              <w:pStyle w:val="TAC"/>
            </w:pPr>
            <w:r w:rsidRPr="00F4170A">
              <w:rPr>
                <w:position w:val="-10"/>
              </w:rPr>
              <w:object w:dxaOrig="700" w:dyaOrig="360" w14:anchorId="15FAE2DC">
                <v:shape id="_x0000_i1050" type="#_x0000_t75" style="width:34.8pt;height:17.4pt" o:ole="">
                  <v:imagedata r:id="rId43" o:title=""/>
                </v:shape>
                <o:OLEObject Type="Embed" ProgID="Equation.3" ShapeID="_x0000_i1050" DrawAspect="Content" ObjectID="_1532516611" r:id="rId51"/>
              </w:object>
            </w:r>
          </w:p>
        </w:tc>
        <w:tc>
          <w:tcPr>
            <w:tcW w:w="990" w:type="dxa"/>
            <w:tcBorders>
              <w:top w:val="single" w:sz="4" w:space="0" w:color="auto"/>
              <w:left w:val="single" w:sz="4" w:space="0" w:color="auto"/>
              <w:bottom w:val="single" w:sz="4" w:space="0" w:color="auto"/>
              <w:right w:val="single" w:sz="4" w:space="0" w:color="auto"/>
            </w:tcBorders>
            <w:vAlign w:val="center"/>
          </w:tcPr>
          <w:p w14:paraId="3BF5D7BC" w14:textId="77777777" w:rsidR="002E3857" w:rsidRDefault="002E3857" w:rsidP="007A5422">
            <w:pPr>
              <w:pStyle w:val="TAC"/>
            </w:pPr>
            <w:r w:rsidRPr="00F4170A">
              <w:rPr>
                <w:position w:val="-10"/>
              </w:rPr>
              <w:object w:dxaOrig="560" w:dyaOrig="360" w14:anchorId="54DDC2D9">
                <v:shape id="_x0000_i1051" type="#_x0000_t75" style="width:28.1pt;height:17.4pt" o:ole="">
                  <v:imagedata r:id="rId40" o:title=""/>
                </v:shape>
                <o:OLEObject Type="Embed" ProgID="Equation.3" ShapeID="_x0000_i1051" DrawAspect="Content" ObjectID="_1532516612" r:id="rId52"/>
              </w:object>
            </w:r>
          </w:p>
        </w:tc>
        <w:tc>
          <w:tcPr>
            <w:tcW w:w="990" w:type="dxa"/>
            <w:tcBorders>
              <w:top w:val="single" w:sz="4" w:space="0" w:color="auto"/>
              <w:left w:val="single" w:sz="4" w:space="0" w:color="auto"/>
              <w:bottom w:val="single" w:sz="4" w:space="0" w:color="auto"/>
              <w:right w:val="single" w:sz="4" w:space="0" w:color="auto"/>
            </w:tcBorders>
            <w:vAlign w:val="center"/>
          </w:tcPr>
          <w:p w14:paraId="61622C60" w14:textId="77777777" w:rsidR="002E3857" w:rsidRDefault="002E3857" w:rsidP="007A5422">
            <w:pPr>
              <w:pStyle w:val="TAC"/>
            </w:pPr>
            <w:r w:rsidRPr="00F4170A">
              <w:rPr>
                <w:position w:val="-10"/>
              </w:rPr>
              <w:object w:dxaOrig="560" w:dyaOrig="360" w14:anchorId="5A88F01F">
                <v:shape id="_x0000_i1052" type="#_x0000_t75" style="width:28.1pt;height:17.4pt" o:ole="">
                  <v:imagedata r:id="rId40" o:title=""/>
                </v:shape>
                <o:OLEObject Type="Embed" ProgID="Equation.3" ShapeID="_x0000_i1052" DrawAspect="Content" ObjectID="_1532516613" r:id="rId53"/>
              </w:object>
            </w:r>
          </w:p>
        </w:tc>
        <w:tc>
          <w:tcPr>
            <w:tcW w:w="1330" w:type="dxa"/>
            <w:tcBorders>
              <w:top w:val="single" w:sz="4" w:space="0" w:color="auto"/>
              <w:left w:val="single" w:sz="4" w:space="0" w:color="auto"/>
              <w:bottom w:val="single" w:sz="4" w:space="0" w:color="auto"/>
              <w:right w:val="single" w:sz="4" w:space="0" w:color="auto"/>
            </w:tcBorders>
          </w:tcPr>
          <w:p w14:paraId="0E4D39FE" w14:textId="38441F52" w:rsidR="002E3857" w:rsidRPr="00957448" w:rsidRDefault="004C3826" w:rsidP="007A5422">
            <w:pPr>
              <w:pStyle w:val="TAC"/>
              <w:rPr>
                <w:color w:val="FF0000"/>
              </w:rPr>
            </w:pPr>
            <w:r>
              <w:rPr>
                <w:color w:val="FF0000"/>
              </w:rPr>
              <w:t>[FFS   FFS</w:t>
            </w:r>
            <w:r w:rsidRPr="00957448">
              <w:rPr>
                <w:color w:val="FF0000"/>
              </w:rPr>
              <w:t>]</w:t>
            </w:r>
          </w:p>
        </w:tc>
      </w:tr>
      <w:tr w:rsidR="002E3857" w14:paraId="4998B103" w14:textId="77777777" w:rsidTr="004C382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498B37B3" w14:textId="77777777" w:rsidR="002E3857" w:rsidRDefault="002E3857" w:rsidP="007A5422">
            <w:pPr>
              <w:pStyle w:val="TAC"/>
            </w:pPr>
            <w:r>
              <w:t>011</w:t>
            </w:r>
          </w:p>
        </w:tc>
        <w:tc>
          <w:tcPr>
            <w:tcW w:w="600" w:type="dxa"/>
            <w:tcBorders>
              <w:top w:val="single" w:sz="4" w:space="0" w:color="auto"/>
              <w:left w:val="single" w:sz="4" w:space="0" w:color="auto"/>
              <w:bottom w:val="single" w:sz="4" w:space="0" w:color="auto"/>
              <w:right w:val="single" w:sz="4" w:space="0" w:color="auto"/>
            </w:tcBorders>
            <w:vAlign w:val="center"/>
          </w:tcPr>
          <w:p w14:paraId="7CE4A29E" w14:textId="77777777" w:rsidR="002E3857" w:rsidRDefault="002E3857" w:rsidP="007A5422">
            <w:pPr>
              <w:pStyle w:val="TAC"/>
            </w:pPr>
            <w:r>
              <w:t>4</w:t>
            </w:r>
          </w:p>
        </w:tc>
        <w:tc>
          <w:tcPr>
            <w:tcW w:w="630" w:type="dxa"/>
            <w:tcBorders>
              <w:top w:val="single" w:sz="4" w:space="0" w:color="auto"/>
              <w:left w:val="single" w:sz="4" w:space="0" w:color="auto"/>
              <w:bottom w:val="single" w:sz="4" w:space="0" w:color="auto"/>
              <w:right w:val="single" w:sz="4" w:space="0" w:color="auto"/>
            </w:tcBorders>
            <w:vAlign w:val="center"/>
          </w:tcPr>
          <w:p w14:paraId="6A3F8A5F" w14:textId="77777777" w:rsidR="002E3857" w:rsidRDefault="002E3857" w:rsidP="007A5422">
            <w:pPr>
              <w:pStyle w:val="TAC"/>
            </w:pPr>
            <w:r>
              <w:t>10</w:t>
            </w:r>
          </w:p>
        </w:tc>
        <w:tc>
          <w:tcPr>
            <w:tcW w:w="630" w:type="dxa"/>
            <w:tcBorders>
              <w:top w:val="single" w:sz="4" w:space="0" w:color="auto"/>
              <w:left w:val="single" w:sz="4" w:space="0" w:color="auto"/>
              <w:bottom w:val="single" w:sz="4" w:space="0" w:color="auto"/>
              <w:right w:val="single" w:sz="4" w:space="0" w:color="auto"/>
            </w:tcBorders>
            <w:vAlign w:val="center"/>
          </w:tcPr>
          <w:p w14:paraId="22AC4BD6" w14:textId="77777777" w:rsidR="002E3857" w:rsidRDefault="002E3857" w:rsidP="007A5422">
            <w:pPr>
              <w:pStyle w:val="TAC"/>
            </w:pPr>
            <w:r>
              <w:t>7</w:t>
            </w:r>
          </w:p>
        </w:tc>
        <w:tc>
          <w:tcPr>
            <w:tcW w:w="630" w:type="dxa"/>
            <w:tcBorders>
              <w:top w:val="single" w:sz="4" w:space="0" w:color="auto"/>
              <w:left w:val="single" w:sz="4" w:space="0" w:color="auto"/>
              <w:bottom w:val="single" w:sz="4" w:space="0" w:color="auto"/>
              <w:right w:val="single" w:sz="4" w:space="0" w:color="auto"/>
            </w:tcBorders>
            <w:vAlign w:val="center"/>
          </w:tcPr>
          <w:p w14:paraId="46E604BE" w14:textId="77777777" w:rsidR="002E3857" w:rsidRDefault="002E3857" w:rsidP="007A5422">
            <w:pPr>
              <w:pStyle w:val="TAC"/>
            </w:pPr>
            <w:r>
              <w:t>1</w:t>
            </w:r>
          </w:p>
        </w:tc>
        <w:tc>
          <w:tcPr>
            <w:tcW w:w="990" w:type="dxa"/>
            <w:tcBorders>
              <w:top w:val="single" w:sz="4" w:space="0" w:color="auto"/>
              <w:left w:val="single" w:sz="4" w:space="0" w:color="auto"/>
              <w:bottom w:val="single" w:sz="4" w:space="0" w:color="auto"/>
              <w:right w:val="single" w:sz="4" w:space="0" w:color="auto"/>
            </w:tcBorders>
            <w:vAlign w:val="center"/>
          </w:tcPr>
          <w:p w14:paraId="0150C91D" w14:textId="77777777" w:rsidR="002E3857" w:rsidRDefault="002E3857" w:rsidP="007A5422">
            <w:pPr>
              <w:pStyle w:val="TAC"/>
            </w:pPr>
            <w:r w:rsidRPr="00F4170A">
              <w:rPr>
                <w:position w:val="-10"/>
              </w:rPr>
              <w:object w:dxaOrig="560" w:dyaOrig="360" w14:anchorId="5270C7AD">
                <v:shape id="_x0000_i1053" type="#_x0000_t75" style="width:28.1pt;height:17.4pt" o:ole="">
                  <v:imagedata r:id="rId40" o:title=""/>
                </v:shape>
                <o:OLEObject Type="Embed" ProgID="Equation.3" ShapeID="_x0000_i1053" DrawAspect="Content" ObjectID="_1532516614" r:id="rId54"/>
              </w:object>
            </w:r>
          </w:p>
        </w:tc>
        <w:tc>
          <w:tcPr>
            <w:tcW w:w="990" w:type="dxa"/>
            <w:tcBorders>
              <w:top w:val="single" w:sz="4" w:space="0" w:color="auto"/>
              <w:left w:val="single" w:sz="4" w:space="0" w:color="auto"/>
              <w:bottom w:val="single" w:sz="4" w:space="0" w:color="auto"/>
              <w:right w:val="single" w:sz="4" w:space="0" w:color="auto"/>
            </w:tcBorders>
            <w:vAlign w:val="center"/>
          </w:tcPr>
          <w:p w14:paraId="13401A15" w14:textId="77777777" w:rsidR="002E3857" w:rsidRDefault="002E3857" w:rsidP="007A5422">
            <w:pPr>
              <w:pStyle w:val="TAC"/>
            </w:pPr>
            <w:r w:rsidRPr="00F4170A">
              <w:rPr>
                <w:position w:val="-10"/>
              </w:rPr>
              <w:object w:dxaOrig="560" w:dyaOrig="360" w14:anchorId="4BA91FB3">
                <v:shape id="_x0000_i1054" type="#_x0000_t75" style="width:28.1pt;height:17.4pt" o:ole="">
                  <v:imagedata r:id="rId40" o:title=""/>
                </v:shape>
                <o:OLEObject Type="Embed" ProgID="Equation.3" ShapeID="_x0000_i1054" DrawAspect="Content" ObjectID="_1532516615" r:id="rId55"/>
              </w:object>
            </w:r>
          </w:p>
        </w:tc>
        <w:tc>
          <w:tcPr>
            <w:tcW w:w="990" w:type="dxa"/>
            <w:tcBorders>
              <w:top w:val="single" w:sz="4" w:space="0" w:color="auto"/>
              <w:left w:val="single" w:sz="4" w:space="0" w:color="auto"/>
              <w:bottom w:val="single" w:sz="4" w:space="0" w:color="auto"/>
              <w:right w:val="single" w:sz="4" w:space="0" w:color="auto"/>
            </w:tcBorders>
            <w:vAlign w:val="center"/>
          </w:tcPr>
          <w:p w14:paraId="1D35421E" w14:textId="77777777" w:rsidR="002E3857" w:rsidRDefault="002E3857" w:rsidP="007A5422">
            <w:pPr>
              <w:pStyle w:val="TAC"/>
            </w:pPr>
            <w:r w:rsidRPr="00F4170A">
              <w:rPr>
                <w:position w:val="-10"/>
              </w:rPr>
              <w:object w:dxaOrig="560" w:dyaOrig="360" w14:anchorId="3231E66D">
                <v:shape id="_x0000_i1055" type="#_x0000_t75" style="width:28.1pt;height:17.4pt" o:ole="">
                  <v:imagedata r:id="rId40" o:title=""/>
                </v:shape>
                <o:OLEObject Type="Embed" ProgID="Equation.3" ShapeID="_x0000_i1055" DrawAspect="Content" ObjectID="_1532516616" r:id="rId56"/>
              </w:object>
            </w:r>
          </w:p>
        </w:tc>
        <w:tc>
          <w:tcPr>
            <w:tcW w:w="990" w:type="dxa"/>
            <w:tcBorders>
              <w:top w:val="single" w:sz="4" w:space="0" w:color="auto"/>
              <w:left w:val="single" w:sz="4" w:space="0" w:color="auto"/>
              <w:bottom w:val="single" w:sz="4" w:space="0" w:color="auto"/>
              <w:right w:val="single" w:sz="4" w:space="0" w:color="auto"/>
            </w:tcBorders>
            <w:vAlign w:val="center"/>
          </w:tcPr>
          <w:p w14:paraId="1F363781" w14:textId="77777777" w:rsidR="002E3857" w:rsidRDefault="002E3857" w:rsidP="007A5422">
            <w:pPr>
              <w:pStyle w:val="TAC"/>
            </w:pPr>
            <w:r w:rsidRPr="00F4170A">
              <w:rPr>
                <w:position w:val="-10"/>
              </w:rPr>
              <w:object w:dxaOrig="560" w:dyaOrig="360" w14:anchorId="3F61B99E">
                <v:shape id="_x0000_i1056" type="#_x0000_t75" style="width:28.1pt;height:17.4pt" o:ole="">
                  <v:imagedata r:id="rId40" o:title=""/>
                </v:shape>
                <o:OLEObject Type="Embed" ProgID="Equation.3" ShapeID="_x0000_i1056" DrawAspect="Content" ObjectID="_1532516617" r:id="rId57"/>
              </w:object>
            </w:r>
          </w:p>
        </w:tc>
        <w:tc>
          <w:tcPr>
            <w:tcW w:w="1330" w:type="dxa"/>
            <w:tcBorders>
              <w:top w:val="single" w:sz="4" w:space="0" w:color="auto"/>
              <w:left w:val="single" w:sz="4" w:space="0" w:color="auto"/>
              <w:bottom w:val="single" w:sz="4" w:space="0" w:color="auto"/>
              <w:right w:val="single" w:sz="4" w:space="0" w:color="auto"/>
            </w:tcBorders>
          </w:tcPr>
          <w:p w14:paraId="7DFC0D57" w14:textId="440F4BBE" w:rsidR="002E3857" w:rsidRPr="00957448" w:rsidRDefault="004C3826" w:rsidP="007A5422">
            <w:pPr>
              <w:pStyle w:val="TAC"/>
              <w:rPr>
                <w:color w:val="FF0000"/>
              </w:rPr>
            </w:pPr>
            <w:r>
              <w:rPr>
                <w:color w:val="FF0000"/>
              </w:rPr>
              <w:t>[FFS   FFS</w:t>
            </w:r>
            <w:r w:rsidRPr="00957448">
              <w:rPr>
                <w:color w:val="FF0000"/>
              </w:rPr>
              <w:t>]</w:t>
            </w:r>
          </w:p>
        </w:tc>
      </w:tr>
      <w:tr w:rsidR="002E3857" w14:paraId="7F21518F" w14:textId="77777777" w:rsidTr="004C3826">
        <w:trPr>
          <w:cantSplit/>
          <w:jc w:val="center"/>
        </w:trPr>
        <w:tc>
          <w:tcPr>
            <w:tcW w:w="1475" w:type="dxa"/>
            <w:tcBorders>
              <w:top w:val="single" w:sz="4" w:space="0" w:color="auto"/>
              <w:left w:val="single" w:sz="4" w:space="0" w:color="auto"/>
              <w:bottom w:val="single" w:sz="4" w:space="0" w:color="auto"/>
              <w:right w:val="single" w:sz="4" w:space="0" w:color="auto"/>
            </w:tcBorders>
            <w:vAlign w:val="center"/>
          </w:tcPr>
          <w:p w14:paraId="01CB9FA1" w14:textId="77777777" w:rsidR="002E3857" w:rsidRDefault="002E3857" w:rsidP="007A5422">
            <w:pPr>
              <w:pStyle w:val="TAC"/>
            </w:pPr>
            <w:r>
              <w:t>100</w:t>
            </w:r>
          </w:p>
        </w:tc>
        <w:tc>
          <w:tcPr>
            <w:tcW w:w="600" w:type="dxa"/>
            <w:tcBorders>
              <w:top w:val="single" w:sz="4" w:space="0" w:color="auto"/>
              <w:left w:val="single" w:sz="4" w:space="0" w:color="auto"/>
              <w:bottom w:val="single" w:sz="4" w:space="0" w:color="auto"/>
              <w:right w:val="single" w:sz="4" w:space="0" w:color="auto"/>
            </w:tcBorders>
            <w:vAlign w:val="center"/>
          </w:tcPr>
          <w:p w14:paraId="7BB7874D" w14:textId="77777777" w:rsidR="002E3857" w:rsidRDefault="002E3857" w:rsidP="007A5422">
            <w:pPr>
              <w:pStyle w:val="TAC"/>
            </w:pPr>
            <w:r>
              <w:t>2</w:t>
            </w:r>
          </w:p>
        </w:tc>
        <w:tc>
          <w:tcPr>
            <w:tcW w:w="630" w:type="dxa"/>
            <w:tcBorders>
              <w:top w:val="single" w:sz="4" w:space="0" w:color="auto"/>
              <w:left w:val="single" w:sz="4" w:space="0" w:color="auto"/>
              <w:bottom w:val="single" w:sz="4" w:space="0" w:color="auto"/>
              <w:right w:val="single" w:sz="4" w:space="0" w:color="auto"/>
            </w:tcBorders>
            <w:vAlign w:val="center"/>
          </w:tcPr>
          <w:p w14:paraId="4ACE8E6F" w14:textId="77777777" w:rsidR="002E3857" w:rsidRDefault="002E3857" w:rsidP="007A5422">
            <w:pPr>
              <w:pStyle w:val="TAC"/>
            </w:pPr>
            <w:r>
              <w:t>8</w:t>
            </w:r>
          </w:p>
        </w:tc>
        <w:tc>
          <w:tcPr>
            <w:tcW w:w="630" w:type="dxa"/>
            <w:tcBorders>
              <w:top w:val="single" w:sz="4" w:space="0" w:color="auto"/>
              <w:left w:val="single" w:sz="4" w:space="0" w:color="auto"/>
              <w:bottom w:val="single" w:sz="4" w:space="0" w:color="auto"/>
              <w:right w:val="single" w:sz="4" w:space="0" w:color="auto"/>
            </w:tcBorders>
            <w:vAlign w:val="center"/>
          </w:tcPr>
          <w:p w14:paraId="713B13A9" w14:textId="77777777" w:rsidR="002E3857" w:rsidRDefault="002E3857" w:rsidP="007A5422">
            <w:pPr>
              <w:pStyle w:val="TAC"/>
            </w:pPr>
            <w:r>
              <w:t>5</w:t>
            </w:r>
          </w:p>
        </w:tc>
        <w:tc>
          <w:tcPr>
            <w:tcW w:w="630" w:type="dxa"/>
            <w:tcBorders>
              <w:top w:val="single" w:sz="4" w:space="0" w:color="auto"/>
              <w:left w:val="single" w:sz="4" w:space="0" w:color="auto"/>
              <w:bottom w:val="single" w:sz="4" w:space="0" w:color="auto"/>
              <w:right w:val="single" w:sz="4" w:space="0" w:color="auto"/>
            </w:tcBorders>
            <w:vAlign w:val="center"/>
          </w:tcPr>
          <w:p w14:paraId="026E2459" w14:textId="77777777" w:rsidR="002E3857" w:rsidRDefault="002E3857" w:rsidP="007A5422">
            <w:pPr>
              <w:pStyle w:val="TAC"/>
            </w:pPr>
            <w:r>
              <w:t>11</w:t>
            </w:r>
          </w:p>
        </w:tc>
        <w:tc>
          <w:tcPr>
            <w:tcW w:w="990" w:type="dxa"/>
            <w:tcBorders>
              <w:top w:val="single" w:sz="4" w:space="0" w:color="auto"/>
              <w:left w:val="single" w:sz="4" w:space="0" w:color="auto"/>
              <w:bottom w:val="single" w:sz="4" w:space="0" w:color="auto"/>
              <w:right w:val="single" w:sz="4" w:space="0" w:color="auto"/>
            </w:tcBorders>
            <w:vAlign w:val="center"/>
          </w:tcPr>
          <w:p w14:paraId="567517AA" w14:textId="77777777" w:rsidR="002E3857" w:rsidRDefault="002E3857" w:rsidP="007A5422">
            <w:pPr>
              <w:pStyle w:val="TAC"/>
            </w:pPr>
            <w:r w:rsidRPr="00F4170A">
              <w:rPr>
                <w:position w:val="-10"/>
              </w:rPr>
              <w:object w:dxaOrig="560" w:dyaOrig="360" w14:anchorId="231AA9F5">
                <v:shape id="_x0000_i1057" type="#_x0000_t75" style="width:28.1pt;height:17.4pt" o:ole="">
                  <v:imagedata r:id="rId40" o:title=""/>
                </v:shape>
                <o:OLEObject Type="Embed" ProgID="Equation.3" ShapeID="_x0000_i1057" DrawAspect="Content" ObjectID="_1532516618" r:id="rId58"/>
              </w:object>
            </w:r>
          </w:p>
        </w:tc>
        <w:tc>
          <w:tcPr>
            <w:tcW w:w="990" w:type="dxa"/>
            <w:tcBorders>
              <w:top w:val="single" w:sz="4" w:space="0" w:color="auto"/>
              <w:left w:val="single" w:sz="4" w:space="0" w:color="auto"/>
              <w:bottom w:val="single" w:sz="4" w:space="0" w:color="auto"/>
              <w:right w:val="single" w:sz="4" w:space="0" w:color="auto"/>
            </w:tcBorders>
            <w:vAlign w:val="center"/>
          </w:tcPr>
          <w:p w14:paraId="6519AA7A" w14:textId="77777777" w:rsidR="002E3857" w:rsidRDefault="002E3857" w:rsidP="007A5422">
            <w:pPr>
              <w:pStyle w:val="TAC"/>
            </w:pPr>
            <w:r w:rsidRPr="00F4170A">
              <w:rPr>
                <w:position w:val="-10"/>
              </w:rPr>
              <w:object w:dxaOrig="560" w:dyaOrig="360" w14:anchorId="50F6E163">
                <v:shape id="_x0000_i1058" type="#_x0000_t75" style="width:28.1pt;height:17.4pt" o:ole="">
                  <v:imagedata r:id="rId40" o:title=""/>
                </v:shape>
                <o:OLEObject Type="Embed" ProgID="Equation.3" ShapeID="_x0000_i1058" DrawAspect="Content" ObjectID="_1532516619" r:id="rId59"/>
              </w:object>
            </w:r>
          </w:p>
        </w:tc>
        <w:tc>
          <w:tcPr>
            <w:tcW w:w="990" w:type="dxa"/>
            <w:tcBorders>
              <w:top w:val="single" w:sz="4" w:space="0" w:color="auto"/>
              <w:left w:val="single" w:sz="4" w:space="0" w:color="auto"/>
              <w:bottom w:val="single" w:sz="4" w:space="0" w:color="auto"/>
              <w:right w:val="single" w:sz="4" w:space="0" w:color="auto"/>
            </w:tcBorders>
            <w:vAlign w:val="center"/>
          </w:tcPr>
          <w:p w14:paraId="24ADF35F" w14:textId="77777777" w:rsidR="002E3857" w:rsidRDefault="002E3857" w:rsidP="007A5422">
            <w:pPr>
              <w:pStyle w:val="TAC"/>
            </w:pPr>
            <w:r w:rsidRPr="00F4170A">
              <w:rPr>
                <w:position w:val="-10"/>
              </w:rPr>
              <w:object w:dxaOrig="560" w:dyaOrig="360" w14:anchorId="2A317473">
                <v:shape id="_x0000_i1059" type="#_x0000_t75" style="width:28.1pt;height:17.4pt" o:ole="">
                  <v:imagedata r:id="rId40" o:title=""/>
                </v:shape>
                <o:OLEObject Type="Embed" ProgID="Equation.3" ShapeID="_x0000_i1059" DrawAspect="Content" ObjectID="_1532516620" r:id="rId60"/>
              </w:object>
            </w:r>
          </w:p>
        </w:tc>
        <w:tc>
          <w:tcPr>
            <w:tcW w:w="990" w:type="dxa"/>
            <w:tcBorders>
              <w:top w:val="single" w:sz="4" w:space="0" w:color="auto"/>
              <w:left w:val="single" w:sz="4" w:space="0" w:color="auto"/>
              <w:bottom w:val="single" w:sz="4" w:space="0" w:color="auto"/>
              <w:right w:val="single" w:sz="4" w:space="0" w:color="auto"/>
            </w:tcBorders>
            <w:vAlign w:val="center"/>
          </w:tcPr>
          <w:p w14:paraId="405E5050" w14:textId="77777777" w:rsidR="002E3857" w:rsidRDefault="002E3857" w:rsidP="007A5422">
            <w:pPr>
              <w:pStyle w:val="TAC"/>
            </w:pPr>
            <w:r w:rsidRPr="00F4170A">
              <w:rPr>
                <w:position w:val="-10"/>
              </w:rPr>
              <w:object w:dxaOrig="560" w:dyaOrig="360" w14:anchorId="464D1F51">
                <v:shape id="_x0000_i1060" type="#_x0000_t75" style="width:28.1pt;height:17.4pt" o:ole="">
                  <v:imagedata r:id="rId40" o:title=""/>
                </v:shape>
                <o:OLEObject Type="Embed" ProgID="Equation.3" ShapeID="_x0000_i1060" DrawAspect="Content" ObjectID="_1532516621" r:id="rId61"/>
              </w:object>
            </w:r>
          </w:p>
        </w:tc>
        <w:tc>
          <w:tcPr>
            <w:tcW w:w="1330" w:type="dxa"/>
            <w:tcBorders>
              <w:top w:val="single" w:sz="4" w:space="0" w:color="auto"/>
              <w:left w:val="single" w:sz="4" w:space="0" w:color="auto"/>
              <w:bottom w:val="single" w:sz="4" w:space="0" w:color="auto"/>
              <w:right w:val="single" w:sz="4" w:space="0" w:color="auto"/>
            </w:tcBorders>
          </w:tcPr>
          <w:p w14:paraId="7D3BEDDE" w14:textId="4BD47069" w:rsidR="002E3857" w:rsidRPr="00957448" w:rsidRDefault="004C3826" w:rsidP="007A5422">
            <w:pPr>
              <w:pStyle w:val="TAC"/>
              <w:rPr>
                <w:color w:val="FF0000"/>
              </w:rPr>
            </w:pPr>
            <w:r>
              <w:rPr>
                <w:color w:val="FF0000"/>
              </w:rPr>
              <w:t>[FFS   FFS</w:t>
            </w:r>
            <w:r w:rsidRPr="00957448">
              <w:rPr>
                <w:color w:val="FF0000"/>
              </w:rPr>
              <w:t>]</w:t>
            </w:r>
          </w:p>
        </w:tc>
      </w:tr>
      <w:tr w:rsidR="002E3857" w14:paraId="2E18FF62" w14:textId="77777777" w:rsidTr="004C3826">
        <w:trPr>
          <w:trHeight w:val="368"/>
          <w:jc w:val="center"/>
        </w:trPr>
        <w:tc>
          <w:tcPr>
            <w:tcW w:w="1475" w:type="dxa"/>
            <w:tcBorders>
              <w:top w:val="single" w:sz="4" w:space="0" w:color="auto"/>
              <w:left w:val="single" w:sz="4" w:space="0" w:color="auto"/>
              <w:bottom w:val="single" w:sz="4" w:space="0" w:color="auto"/>
              <w:right w:val="single" w:sz="4" w:space="0" w:color="auto"/>
            </w:tcBorders>
            <w:vAlign w:val="center"/>
          </w:tcPr>
          <w:p w14:paraId="3C42DB27" w14:textId="77777777" w:rsidR="002E3857" w:rsidRDefault="002E3857" w:rsidP="007A5422">
            <w:pPr>
              <w:pStyle w:val="TAC"/>
            </w:pPr>
            <w:r>
              <w:t>101</w:t>
            </w:r>
          </w:p>
        </w:tc>
        <w:tc>
          <w:tcPr>
            <w:tcW w:w="600" w:type="dxa"/>
            <w:tcBorders>
              <w:top w:val="single" w:sz="4" w:space="0" w:color="auto"/>
              <w:left w:val="single" w:sz="4" w:space="0" w:color="auto"/>
              <w:bottom w:val="single" w:sz="4" w:space="0" w:color="auto"/>
              <w:right w:val="single" w:sz="4" w:space="0" w:color="auto"/>
            </w:tcBorders>
            <w:vAlign w:val="center"/>
          </w:tcPr>
          <w:p w14:paraId="6BDE38EA" w14:textId="77777777" w:rsidR="002E3857" w:rsidRDefault="002E3857" w:rsidP="007A5422">
            <w:pPr>
              <w:pStyle w:val="TAC"/>
            </w:pPr>
            <w:r>
              <w:t>8</w:t>
            </w:r>
          </w:p>
        </w:tc>
        <w:tc>
          <w:tcPr>
            <w:tcW w:w="630" w:type="dxa"/>
            <w:tcBorders>
              <w:top w:val="single" w:sz="4" w:space="0" w:color="auto"/>
              <w:left w:val="single" w:sz="4" w:space="0" w:color="auto"/>
              <w:bottom w:val="single" w:sz="4" w:space="0" w:color="auto"/>
              <w:right w:val="single" w:sz="4" w:space="0" w:color="auto"/>
            </w:tcBorders>
            <w:vAlign w:val="center"/>
          </w:tcPr>
          <w:p w14:paraId="473A495E" w14:textId="77777777" w:rsidR="002E3857" w:rsidRDefault="002E3857" w:rsidP="007A5422">
            <w:pPr>
              <w:pStyle w:val="TAC"/>
            </w:pPr>
            <w:r>
              <w:t>2</w:t>
            </w:r>
          </w:p>
        </w:tc>
        <w:tc>
          <w:tcPr>
            <w:tcW w:w="630" w:type="dxa"/>
            <w:tcBorders>
              <w:top w:val="single" w:sz="4" w:space="0" w:color="auto"/>
              <w:left w:val="single" w:sz="4" w:space="0" w:color="auto"/>
              <w:bottom w:val="single" w:sz="4" w:space="0" w:color="auto"/>
              <w:right w:val="single" w:sz="4" w:space="0" w:color="auto"/>
            </w:tcBorders>
            <w:vAlign w:val="center"/>
          </w:tcPr>
          <w:p w14:paraId="221D6541" w14:textId="77777777" w:rsidR="002E3857" w:rsidRDefault="002E3857" w:rsidP="007A5422">
            <w:pPr>
              <w:pStyle w:val="TAC"/>
            </w:pPr>
            <w:r>
              <w:t>11</w:t>
            </w:r>
          </w:p>
        </w:tc>
        <w:tc>
          <w:tcPr>
            <w:tcW w:w="630" w:type="dxa"/>
            <w:tcBorders>
              <w:top w:val="single" w:sz="4" w:space="0" w:color="auto"/>
              <w:left w:val="single" w:sz="4" w:space="0" w:color="auto"/>
              <w:bottom w:val="single" w:sz="4" w:space="0" w:color="auto"/>
              <w:right w:val="single" w:sz="4" w:space="0" w:color="auto"/>
            </w:tcBorders>
            <w:vAlign w:val="center"/>
          </w:tcPr>
          <w:p w14:paraId="5CC23ABD" w14:textId="77777777" w:rsidR="002E3857" w:rsidRDefault="002E3857" w:rsidP="007A5422">
            <w:pPr>
              <w:pStyle w:val="TAC"/>
            </w:pPr>
            <w:r>
              <w:t>5</w:t>
            </w:r>
          </w:p>
        </w:tc>
        <w:tc>
          <w:tcPr>
            <w:tcW w:w="990" w:type="dxa"/>
            <w:tcBorders>
              <w:top w:val="single" w:sz="4" w:space="0" w:color="auto"/>
              <w:left w:val="single" w:sz="4" w:space="0" w:color="auto"/>
              <w:bottom w:val="single" w:sz="4" w:space="0" w:color="auto"/>
              <w:right w:val="single" w:sz="4" w:space="0" w:color="auto"/>
            </w:tcBorders>
            <w:vAlign w:val="center"/>
          </w:tcPr>
          <w:p w14:paraId="2254537B" w14:textId="77777777" w:rsidR="002E3857" w:rsidRDefault="002E3857" w:rsidP="007A5422">
            <w:pPr>
              <w:pStyle w:val="TAC"/>
            </w:pPr>
            <w:r w:rsidRPr="00F4170A">
              <w:rPr>
                <w:position w:val="-10"/>
              </w:rPr>
              <w:object w:dxaOrig="700" w:dyaOrig="360" w14:anchorId="17B74177">
                <v:shape id="_x0000_i1061" type="#_x0000_t75" style="width:34.8pt;height:17.4pt" o:ole="">
                  <v:imagedata r:id="rId43" o:title=""/>
                </v:shape>
                <o:OLEObject Type="Embed" ProgID="Equation.3" ShapeID="_x0000_i1061" DrawAspect="Content" ObjectID="_1532516622" r:id="rId62"/>
              </w:object>
            </w:r>
          </w:p>
        </w:tc>
        <w:tc>
          <w:tcPr>
            <w:tcW w:w="990" w:type="dxa"/>
            <w:tcBorders>
              <w:top w:val="single" w:sz="4" w:space="0" w:color="auto"/>
              <w:left w:val="single" w:sz="4" w:space="0" w:color="auto"/>
              <w:bottom w:val="single" w:sz="4" w:space="0" w:color="auto"/>
              <w:right w:val="single" w:sz="4" w:space="0" w:color="auto"/>
            </w:tcBorders>
            <w:vAlign w:val="center"/>
          </w:tcPr>
          <w:p w14:paraId="181361F7" w14:textId="77777777" w:rsidR="002E3857" w:rsidRDefault="002E3857" w:rsidP="007A5422">
            <w:pPr>
              <w:pStyle w:val="TAC"/>
            </w:pPr>
            <w:r w:rsidRPr="00F4170A">
              <w:rPr>
                <w:position w:val="-10"/>
              </w:rPr>
              <w:object w:dxaOrig="700" w:dyaOrig="360" w14:anchorId="6C57404E">
                <v:shape id="_x0000_i1062" type="#_x0000_t75" style="width:34.8pt;height:17.4pt" o:ole="">
                  <v:imagedata r:id="rId43" o:title=""/>
                </v:shape>
                <o:OLEObject Type="Embed" ProgID="Equation.3" ShapeID="_x0000_i1062" DrawAspect="Content" ObjectID="_1532516623" r:id="rId63"/>
              </w:object>
            </w:r>
          </w:p>
        </w:tc>
        <w:tc>
          <w:tcPr>
            <w:tcW w:w="990" w:type="dxa"/>
            <w:tcBorders>
              <w:top w:val="single" w:sz="4" w:space="0" w:color="auto"/>
              <w:left w:val="single" w:sz="4" w:space="0" w:color="auto"/>
              <w:bottom w:val="single" w:sz="4" w:space="0" w:color="auto"/>
              <w:right w:val="single" w:sz="4" w:space="0" w:color="auto"/>
            </w:tcBorders>
            <w:vAlign w:val="center"/>
          </w:tcPr>
          <w:p w14:paraId="3AA1F0C3" w14:textId="77777777" w:rsidR="002E3857" w:rsidRDefault="002E3857" w:rsidP="007A5422">
            <w:pPr>
              <w:pStyle w:val="TAC"/>
            </w:pPr>
            <w:r w:rsidRPr="00F4170A">
              <w:rPr>
                <w:position w:val="-10"/>
              </w:rPr>
              <w:object w:dxaOrig="700" w:dyaOrig="360" w14:anchorId="6A4AD483">
                <v:shape id="_x0000_i1063" type="#_x0000_t75" style="width:34.8pt;height:17.4pt" o:ole="">
                  <v:imagedata r:id="rId43" o:title=""/>
                </v:shape>
                <o:OLEObject Type="Embed" ProgID="Equation.3" ShapeID="_x0000_i1063" DrawAspect="Content" ObjectID="_1532516624" r:id="rId64"/>
              </w:object>
            </w:r>
          </w:p>
        </w:tc>
        <w:tc>
          <w:tcPr>
            <w:tcW w:w="990" w:type="dxa"/>
            <w:tcBorders>
              <w:top w:val="single" w:sz="4" w:space="0" w:color="auto"/>
              <w:left w:val="single" w:sz="4" w:space="0" w:color="auto"/>
              <w:bottom w:val="single" w:sz="4" w:space="0" w:color="auto"/>
              <w:right w:val="single" w:sz="4" w:space="0" w:color="auto"/>
            </w:tcBorders>
            <w:vAlign w:val="center"/>
          </w:tcPr>
          <w:p w14:paraId="719E2CDF" w14:textId="77777777" w:rsidR="002E3857" w:rsidRDefault="002E3857" w:rsidP="007A5422">
            <w:pPr>
              <w:pStyle w:val="TAC"/>
            </w:pPr>
            <w:r w:rsidRPr="00F4170A">
              <w:rPr>
                <w:position w:val="-10"/>
              </w:rPr>
              <w:object w:dxaOrig="700" w:dyaOrig="360" w14:anchorId="53C7A03F">
                <v:shape id="_x0000_i1064" type="#_x0000_t75" style="width:34.8pt;height:17.4pt" o:ole="">
                  <v:imagedata r:id="rId43" o:title=""/>
                </v:shape>
                <o:OLEObject Type="Embed" ProgID="Equation.3" ShapeID="_x0000_i1064" DrawAspect="Content" ObjectID="_1532516625" r:id="rId65"/>
              </w:object>
            </w:r>
          </w:p>
        </w:tc>
        <w:tc>
          <w:tcPr>
            <w:tcW w:w="1330" w:type="dxa"/>
            <w:tcBorders>
              <w:top w:val="single" w:sz="4" w:space="0" w:color="auto"/>
              <w:left w:val="single" w:sz="4" w:space="0" w:color="auto"/>
              <w:bottom w:val="single" w:sz="4" w:space="0" w:color="auto"/>
              <w:right w:val="single" w:sz="4" w:space="0" w:color="auto"/>
            </w:tcBorders>
          </w:tcPr>
          <w:p w14:paraId="5C2C6484" w14:textId="26732096" w:rsidR="002E3857" w:rsidRPr="00957448" w:rsidRDefault="004C3826" w:rsidP="007A5422">
            <w:pPr>
              <w:pStyle w:val="TAC"/>
              <w:rPr>
                <w:color w:val="FF0000"/>
              </w:rPr>
            </w:pPr>
            <w:r>
              <w:rPr>
                <w:color w:val="FF0000"/>
              </w:rPr>
              <w:t>[FFS   FFS</w:t>
            </w:r>
            <w:r w:rsidRPr="00957448">
              <w:rPr>
                <w:color w:val="FF0000"/>
              </w:rPr>
              <w:t>]</w:t>
            </w:r>
          </w:p>
        </w:tc>
      </w:tr>
      <w:tr w:rsidR="002E3857" w14:paraId="2A4773A9" w14:textId="77777777" w:rsidTr="004C382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100A2DDE" w14:textId="77777777" w:rsidR="002E3857" w:rsidRDefault="002E3857" w:rsidP="007A5422">
            <w:pPr>
              <w:pStyle w:val="TAC"/>
            </w:pPr>
            <w:r>
              <w:t>110</w:t>
            </w:r>
          </w:p>
        </w:tc>
        <w:tc>
          <w:tcPr>
            <w:tcW w:w="600" w:type="dxa"/>
            <w:tcBorders>
              <w:top w:val="single" w:sz="4" w:space="0" w:color="auto"/>
              <w:left w:val="single" w:sz="4" w:space="0" w:color="auto"/>
              <w:bottom w:val="single" w:sz="4" w:space="0" w:color="auto"/>
              <w:right w:val="single" w:sz="4" w:space="0" w:color="auto"/>
            </w:tcBorders>
            <w:vAlign w:val="center"/>
          </w:tcPr>
          <w:p w14:paraId="718E5A43" w14:textId="77777777" w:rsidR="002E3857" w:rsidRDefault="002E3857" w:rsidP="007A5422">
            <w:pPr>
              <w:pStyle w:val="TAC"/>
            </w:pPr>
            <w:r>
              <w:t>10</w:t>
            </w:r>
          </w:p>
        </w:tc>
        <w:tc>
          <w:tcPr>
            <w:tcW w:w="630" w:type="dxa"/>
            <w:tcBorders>
              <w:top w:val="single" w:sz="4" w:space="0" w:color="auto"/>
              <w:left w:val="single" w:sz="4" w:space="0" w:color="auto"/>
              <w:bottom w:val="single" w:sz="4" w:space="0" w:color="auto"/>
              <w:right w:val="single" w:sz="4" w:space="0" w:color="auto"/>
            </w:tcBorders>
            <w:vAlign w:val="center"/>
          </w:tcPr>
          <w:p w14:paraId="7D29BA84" w14:textId="77777777" w:rsidR="002E3857" w:rsidRDefault="002E3857" w:rsidP="007A5422">
            <w:pPr>
              <w:pStyle w:val="TAC"/>
            </w:pPr>
            <w:r>
              <w:t>4</w:t>
            </w:r>
          </w:p>
        </w:tc>
        <w:tc>
          <w:tcPr>
            <w:tcW w:w="630" w:type="dxa"/>
            <w:tcBorders>
              <w:top w:val="single" w:sz="4" w:space="0" w:color="auto"/>
              <w:left w:val="single" w:sz="4" w:space="0" w:color="auto"/>
              <w:bottom w:val="single" w:sz="4" w:space="0" w:color="auto"/>
              <w:right w:val="single" w:sz="4" w:space="0" w:color="auto"/>
            </w:tcBorders>
            <w:vAlign w:val="center"/>
          </w:tcPr>
          <w:p w14:paraId="44E555A9" w14:textId="77777777" w:rsidR="002E3857" w:rsidRDefault="002E3857" w:rsidP="007A5422">
            <w:pPr>
              <w:pStyle w:val="TAC"/>
            </w:pPr>
            <w:r>
              <w:t>1</w:t>
            </w:r>
          </w:p>
        </w:tc>
        <w:tc>
          <w:tcPr>
            <w:tcW w:w="630" w:type="dxa"/>
            <w:tcBorders>
              <w:top w:val="single" w:sz="4" w:space="0" w:color="auto"/>
              <w:left w:val="single" w:sz="4" w:space="0" w:color="auto"/>
              <w:bottom w:val="single" w:sz="4" w:space="0" w:color="auto"/>
              <w:right w:val="single" w:sz="4" w:space="0" w:color="auto"/>
            </w:tcBorders>
            <w:vAlign w:val="center"/>
          </w:tcPr>
          <w:p w14:paraId="2D140A0A" w14:textId="77777777" w:rsidR="002E3857" w:rsidRDefault="002E3857" w:rsidP="007A5422">
            <w:pPr>
              <w:pStyle w:val="TAC"/>
            </w:pPr>
            <w:r>
              <w:t>7</w:t>
            </w:r>
          </w:p>
        </w:tc>
        <w:tc>
          <w:tcPr>
            <w:tcW w:w="990" w:type="dxa"/>
            <w:tcBorders>
              <w:top w:val="single" w:sz="4" w:space="0" w:color="auto"/>
              <w:left w:val="single" w:sz="4" w:space="0" w:color="auto"/>
              <w:bottom w:val="single" w:sz="4" w:space="0" w:color="auto"/>
              <w:right w:val="single" w:sz="4" w:space="0" w:color="auto"/>
            </w:tcBorders>
            <w:vAlign w:val="center"/>
          </w:tcPr>
          <w:p w14:paraId="74D1ECB5" w14:textId="77777777" w:rsidR="002E3857" w:rsidRDefault="002E3857" w:rsidP="007A5422">
            <w:pPr>
              <w:pStyle w:val="TAC"/>
            </w:pPr>
            <w:r w:rsidRPr="00F4170A">
              <w:rPr>
                <w:position w:val="-10"/>
              </w:rPr>
              <w:object w:dxaOrig="700" w:dyaOrig="360" w14:anchorId="2C5B77FD">
                <v:shape id="_x0000_i1065" type="#_x0000_t75" style="width:34.8pt;height:17.4pt" o:ole="">
                  <v:imagedata r:id="rId43" o:title=""/>
                </v:shape>
                <o:OLEObject Type="Embed" ProgID="Equation.3" ShapeID="_x0000_i1065" DrawAspect="Content" ObjectID="_1532516626" r:id="rId66"/>
              </w:object>
            </w:r>
          </w:p>
        </w:tc>
        <w:tc>
          <w:tcPr>
            <w:tcW w:w="990" w:type="dxa"/>
            <w:tcBorders>
              <w:top w:val="single" w:sz="4" w:space="0" w:color="auto"/>
              <w:left w:val="single" w:sz="4" w:space="0" w:color="auto"/>
              <w:bottom w:val="single" w:sz="4" w:space="0" w:color="auto"/>
              <w:right w:val="single" w:sz="4" w:space="0" w:color="auto"/>
            </w:tcBorders>
            <w:vAlign w:val="center"/>
          </w:tcPr>
          <w:p w14:paraId="3472DC1B" w14:textId="77777777" w:rsidR="002E3857" w:rsidRDefault="002E3857" w:rsidP="007A5422">
            <w:pPr>
              <w:pStyle w:val="TAC"/>
            </w:pPr>
            <w:r w:rsidRPr="00F4170A">
              <w:rPr>
                <w:position w:val="-10"/>
              </w:rPr>
              <w:object w:dxaOrig="700" w:dyaOrig="360" w14:anchorId="4C16FC5A">
                <v:shape id="_x0000_i1066" type="#_x0000_t75" style="width:34.8pt;height:17.4pt" o:ole="">
                  <v:imagedata r:id="rId43" o:title=""/>
                </v:shape>
                <o:OLEObject Type="Embed" ProgID="Equation.3" ShapeID="_x0000_i1066" DrawAspect="Content" ObjectID="_1532516627" r:id="rId67"/>
              </w:object>
            </w:r>
          </w:p>
        </w:tc>
        <w:tc>
          <w:tcPr>
            <w:tcW w:w="990" w:type="dxa"/>
            <w:tcBorders>
              <w:top w:val="single" w:sz="4" w:space="0" w:color="auto"/>
              <w:left w:val="single" w:sz="4" w:space="0" w:color="auto"/>
              <w:bottom w:val="single" w:sz="4" w:space="0" w:color="auto"/>
              <w:right w:val="single" w:sz="4" w:space="0" w:color="auto"/>
            </w:tcBorders>
            <w:vAlign w:val="center"/>
          </w:tcPr>
          <w:p w14:paraId="3572D77E" w14:textId="77777777" w:rsidR="002E3857" w:rsidRDefault="002E3857" w:rsidP="007A5422">
            <w:pPr>
              <w:pStyle w:val="TAC"/>
            </w:pPr>
            <w:r w:rsidRPr="00F4170A">
              <w:rPr>
                <w:position w:val="-10"/>
              </w:rPr>
              <w:object w:dxaOrig="700" w:dyaOrig="360" w14:anchorId="28DBE190">
                <v:shape id="_x0000_i1067" type="#_x0000_t75" style="width:34.8pt;height:17.4pt" o:ole="">
                  <v:imagedata r:id="rId43" o:title=""/>
                </v:shape>
                <o:OLEObject Type="Embed" ProgID="Equation.3" ShapeID="_x0000_i1067" DrawAspect="Content" ObjectID="_1532516628" r:id="rId68"/>
              </w:object>
            </w:r>
          </w:p>
        </w:tc>
        <w:tc>
          <w:tcPr>
            <w:tcW w:w="990" w:type="dxa"/>
            <w:tcBorders>
              <w:top w:val="single" w:sz="4" w:space="0" w:color="auto"/>
              <w:left w:val="single" w:sz="4" w:space="0" w:color="auto"/>
              <w:bottom w:val="single" w:sz="4" w:space="0" w:color="auto"/>
              <w:right w:val="single" w:sz="4" w:space="0" w:color="auto"/>
            </w:tcBorders>
            <w:vAlign w:val="center"/>
          </w:tcPr>
          <w:p w14:paraId="11C1D4E4" w14:textId="77777777" w:rsidR="002E3857" w:rsidRDefault="002E3857" w:rsidP="007A5422">
            <w:pPr>
              <w:pStyle w:val="TAC"/>
            </w:pPr>
            <w:r w:rsidRPr="00F4170A">
              <w:rPr>
                <w:position w:val="-10"/>
              </w:rPr>
              <w:object w:dxaOrig="700" w:dyaOrig="360" w14:anchorId="16691520">
                <v:shape id="_x0000_i1068" type="#_x0000_t75" style="width:34.8pt;height:17.4pt" o:ole="">
                  <v:imagedata r:id="rId43" o:title=""/>
                </v:shape>
                <o:OLEObject Type="Embed" ProgID="Equation.3" ShapeID="_x0000_i1068" DrawAspect="Content" ObjectID="_1532516629" r:id="rId69"/>
              </w:object>
            </w:r>
          </w:p>
        </w:tc>
        <w:tc>
          <w:tcPr>
            <w:tcW w:w="1330" w:type="dxa"/>
            <w:tcBorders>
              <w:top w:val="single" w:sz="4" w:space="0" w:color="auto"/>
              <w:left w:val="single" w:sz="4" w:space="0" w:color="auto"/>
              <w:bottom w:val="single" w:sz="4" w:space="0" w:color="auto"/>
              <w:right w:val="single" w:sz="4" w:space="0" w:color="auto"/>
            </w:tcBorders>
          </w:tcPr>
          <w:p w14:paraId="5410F9AE" w14:textId="42DBA487" w:rsidR="002E3857" w:rsidRPr="00957448" w:rsidRDefault="004C3826" w:rsidP="007A5422">
            <w:pPr>
              <w:pStyle w:val="TAC"/>
              <w:rPr>
                <w:color w:val="FF0000"/>
              </w:rPr>
            </w:pPr>
            <w:r>
              <w:rPr>
                <w:color w:val="FF0000"/>
              </w:rPr>
              <w:t>[FFS   FFS</w:t>
            </w:r>
            <w:r w:rsidRPr="00957448">
              <w:rPr>
                <w:color w:val="FF0000"/>
              </w:rPr>
              <w:t>]</w:t>
            </w:r>
          </w:p>
        </w:tc>
      </w:tr>
      <w:tr w:rsidR="002E3857" w14:paraId="54C6CEB1" w14:textId="77777777" w:rsidTr="004C3826">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122CE002" w14:textId="77777777" w:rsidR="002E3857" w:rsidRDefault="002E3857" w:rsidP="007A5422">
            <w:pPr>
              <w:pStyle w:val="TAC"/>
            </w:pPr>
            <w:r>
              <w:t>111</w:t>
            </w:r>
          </w:p>
        </w:tc>
        <w:tc>
          <w:tcPr>
            <w:tcW w:w="600" w:type="dxa"/>
            <w:tcBorders>
              <w:top w:val="single" w:sz="4" w:space="0" w:color="auto"/>
              <w:left w:val="single" w:sz="4" w:space="0" w:color="auto"/>
              <w:bottom w:val="single" w:sz="4" w:space="0" w:color="auto"/>
              <w:right w:val="single" w:sz="4" w:space="0" w:color="auto"/>
            </w:tcBorders>
            <w:vAlign w:val="center"/>
          </w:tcPr>
          <w:p w14:paraId="5E9A5663" w14:textId="77777777" w:rsidR="002E3857" w:rsidRDefault="002E3857" w:rsidP="007A5422">
            <w:pPr>
              <w:pStyle w:val="TAC"/>
            </w:pPr>
            <w:r>
              <w:t>9</w:t>
            </w:r>
          </w:p>
        </w:tc>
        <w:tc>
          <w:tcPr>
            <w:tcW w:w="630" w:type="dxa"/>
            <w:tcBorders>
              <w:top w:val="single" w:sz="4" w:space="0" w:color="auto"/>
              <w:left w:val="single" w:sz="4" w:space="0" w:color="auto"/>
              <w:bottom w:val="single" w:sz="4" w:space="0" w:color="auto"/>
              <w:right w:val="single" w:sz="4" w:space="0" w:color="auto"/>
            </w:tcBorders>
            <w:vAlign w:val="center"/>
          </w:tcPr>
          <w:p w14:paraId="61F0ED81" w14:textId="77777777" w:rsidR="002E3857" w:rsidRDefault="002E3857" w:rsidP="007A5422">
            <w:pPr>
              <w:pStyle w:val="TAC"/>
            </w:pPr>
            <w:r>
              <w:t>3</w:t>
            </w:r>
          </w:p>
        </w:tc>
        <w:tc>
          <w:tcPr>
            <w:tcW w:w="630" w:type="dxa"/>
            <w:tcBorders>
              <w:top w:val="single" w:sz="4" w:space="0" w:color="auto"/>
              <w:left w:val="single" w:sz="4" w:space="0" w:color="auto"/>
              <w:bottom w:val="single" w:sz="4" w:space="0" w:color="auto"/>
              <w:right w:val="single" w:sz="4" w:space="0" w:color="auto"/>
            </w:tcBorders>
            <w:vAlign w:val="center"/>
          </w:tcPr>
          <w:p w14:paraId="72D44A06" w14:textId="77777777" w:rsidR="002E3857" w:rsidRDefault="002E3857" w:rsidP="007A5422">
            <w:pPr>
              <w:pStyle w:val="TAC"/>
            </w:pPr>
            <w:r>
              <w:t>0</w:t>
            </w:r>
          </w:p>
        </w:tc>
        <w:tc>
          <w:tcPr>
            <w:tcW w:w="630" w:type="dxa"/>
            <w:tcBorders>
              <w:top w:val="single" w:sz="4" w:space="0" w:color="auto"/>
              <w:left w:val="single" w:sz="4" w:space="0" w:color="auto"/>
              <w:bottom w:val="single" w:sz="4" w:space="0" w:color="auto"/>
              <w:right w:val="single" w:sz="4" w:space="0" w:color="auto"/>
            </w:tcBorders>
            <w:vAlign w:val="center"/>
          </w:tcPr>
          <w:p w14:paraId="5528B20D" w14:textId="77777777" w:rsidR="002E3857" w:rsidRDefault="002E3857" w:rsidP="007A5422">
            <w:pPr>
              <w:pStyle w:val="TAC"/>
            </w:pPr>
            <w:r>
              <w:t>6</w:t>
            </w:r>
          </w:p>
        </w:tc>
        <w:tc>
          <w:tcPr>
            <w:tcW w:w="990" w:type="dxa"/>
            <w:tcBorders>
              <w:top w:val="single" w:sz="4" w:space="0" w:color="auto"/>
              <w:left w:val="single" w:sz="4" w:space="0" w:color="auto"/>
              <w:bottom w:val="single" w:sz="4" w:space="0" w:color="auto"/>
              <w:right w:val="single" w:sz="4" w:space="0" w:color="auto"/>
            </w:tcBorders>
            <w:vAlign w:val="center"/>
          </w:tcPr>
          <w:p w14:paraId="15438FE4" w14:textId="77777777" w:rsidR="002E3857" w:rsidRDefault="002E3857" w:rsidP="007A5422">
            <w:pPr>
              <w:pStyle w:val="TAC"/>
            </w:pPr>
            <w:r w:rsidRPr="00F4170A">
              <w:rPr>
                <w:position w:val="-10"/>
              </w:rPr>
              <w:object w:dxaOrig="560" w:dyaOrig="360" w14:anchorId="585C2EDC">
                <v:shape id="_x0000_i1069" type="#_x0000_t75" style="width:28.1pt;height:17.4pt" o:ole="">
                  <v:imagedata r:id="rId40" o:title=""/>
                </v:shape>
                <o:OLEObject Type="Embed" ProgID="Equation.3" ShapeID="_x0000_i1069" DrawAspect="Content" ObjectID="_1532516630" r:id="rId70"/>
              </w:object>
            </w:r>
          </w:p>
        </w:tc>
        <w:tc>
          <w:tcPr>
            <w:tcW w:w="990" w:type="dxa"/>
            <w:tcBorders>
              <w:top w:val="single" w:sz="4" w:space="0" w:color="auto"/>
              <w:left w:val="single" w:sz="4" w:space="0" w:color="auto"/>
              <w:bottom w:val="single" w:sz="4" w:space="0" w:color="auto"/>
              <w:right w:val="single" w:sz="4" w:space="0" w:color="auto"/>
            </w:tcBorders>
            <w:vAlign w:val="center"/>
          </w:tcPr>
          <w:p w14:paraId="5BF3D845" w14:textId="77777777" w:rsidR="002E3857" w:rsidRDefault="002E3857" w:rsidP="007A5422">
            <w:pPr>
              <w:pStyle w:val="TAC"/>
            </w:pPr>
            <w:r w:rsidRPr="00F4170A">
              <w:rPr>
                <w:position w:val="-10"/>
              </w:rPr>
              <w:object w:dxaOrig="560" w:dyaOrig="360" w14:anchorId="637E9DA3">
                <v:shape id="_x0000_i1070" type="#_x0000_t75" style="width:28.1pt;height:17.4pt" o:ole="">
                  <v:imagedata r:id="rId40" o:title=""/>
                </v:shape>
                <o:OLEObject Type="Embed" ProgID="Equation.3" ShapeID="_x0000_i1070" DrawAspect="Content" ObjectID="_1532516631" r:id="rId71"/>
              </w:object>
            </w:r>
          </w:p>
        </w:tc>
        <w:tc>
          <w:tcPr>
            <w:tcW w:w="990" w:type="dxa"/>
            <w:tcBorders>
              <w:top w:val="single" w:sz="4" w:space="0" w:color="auto"/>
              <w:left w:val="single" w:sz="4" w:space="0" w:color="auto"/>
              <w:bottom w:val="single" w:sz="4" w:space="0" w:color="auto"/>
              <w:right w:val="single" w:sz="4" w:space="0" w:color="auto"/>
            </w:tcBorders>
            <w:vAlign w:val="center"/>
          </w:tcPr>
          <w:p w14:paraId="34BCC2FB" w14:textId="77777777" w:rsidR="002E3857" w:rsidRDefault="002E3857" w:rsidP="007A5422">
            <w:pPr>
              <w:pStyle w:val="TAC"/>
            </w:pPr>
            <w:r w:rsidRPr="00F4170A">
              <w:rPr>
                <w:position w:val="-10"/>
              </w:rPr>
              <w:object w:dxaOrig="700" w:dyaOrig="360" w14:anchorId="0B726FC1">
                <v:shape id="_x0000_i1071" type="#_x0000_t75" style="width:34.8pt;height:17.4pt" o:ole="">
                  <v:imagedata r:id="rId43" o:title=""/>
                </v:shape>
                <o:OLEObject Type="Embed" ProgID="Equation.3" ShapeID="_x0000_i1071" DrawAspect="Content" ObjectID="_1532516632" r:id="rId72"/>
              </w:object>
            </w:r>
          </w:p>
        </w:tc>
        <w:tc>
          <w:tcPr>
            <w:tcW w:w="990" w:type="dxa"/>
            <w:tcBorders>
              <w:top w:val="single" w:sz="4" w:space="0" w:color="auto"/>
              <w:left w:val="single" w:sz="4" w:space="0" w:color="auto"/>
              <w:bottom w:val="single" w:sz="4" w:space="0" w:color="auto"/>
              <w:right w:val="single" w:sz="4" w:space="0" w:color="auto"/>
            </w:tcBorders>
            <w:vAlign w:val="center"/>
          </w:tcPr>
          <w:p w14:paraId="4890F0F3" w14:textId="77777777" w:rsidR="002E3857" w:rsidRDefault="002E3857" w:rsidP="007A5422">
            <w:pPr>
              <w:pStyle w:val="TAC"/>
            </w:pPr>
            <w:r w:rsidRPr="00F4170A">
              <w:rPr>
                <w:position w:val="-10"/>
              </w:rPr>
              <w:object w:dxaOrig="700" w:dyaOrig="360" w14:anchorId="4035E40E">
                <v:shape id="_x0000_i1072" type="#_x0000_t75" style="width:34.8pt;height:17.4pt" o:ole="">
                  <v:imagedata r:id="rId43" o:title=""/>
                </v:shape>
                <o:OLEObject Type="Embed" ProgID="Equation.3" ShapeID="_x0000_i1072" DrawAspect="Content" ObjectID="_1532516633" r:id="rId73"/>
              </w:object>
            </w:r>
          </w:p>
        </w:tc>
        <w:tc>
          <w:tcPr>
            <w:tcW w:w="1330" w:type="dxa"/>
            <w:tcBorders>
              <w:top w:val="single" w:sz="4" w:space="0" w:color="auto"/>
              <w:left w:val="single" w:sz="4" w:space="0" w:color="auto"/>
              <w:bottom w:val="single" w:sz="4" w:space="0" w:color="auto"/>
              <w:right w:val="single" w:sz="4" w:space="0" w:color="auto"/>
            </w:tcBorders>
          </w:tcPr>
          <w:p w14:paraId="7B7864FA" w14:textId="613CDD13" w:rsidR="002E3857" w:rsidRPr="00957448" w:rsidRDefault="004C3826" w:rsidP="007A5422">
            <w:pPr>
              <w:pStyle w:val="TAC"/>
              <w:rPr>
                <w:color w:val="FF0000"/>
              </w:rPr>
            </w:pPr>
            <w:r>
              <w:rPr>
                <w:color w:val="FF0000"/>
              </w:rPr>
              <w:t>[FFS   FFS</w:t>
            </w:r>
            <w:r w:rsidRPr="00957448">
              <w:rPr>
                <w:color w:val="FF0000"/>
              </w:rPr>
              <w:t>]</w:t>
            </w:r>
          </w:p>
        </w:tc>
      </w:tr>
    </w:tbl>
    <w:p w14:paraId="5A533A4B" w14:textId="3C4F934E" w:rsidR="007A1E51" w:rsidRDefault="00064F0B" w:rsidP="007A1E51">
      <w:pPr>
        <w:pStyle w:val="maintext"/>
        <w:ind w:firstLineChars="0"/>
        <w:jc w:val="center"/>
      </w:pPr>
      <w:r>
        <w:rPr>
          <w:b/>
        </w:rPr>
        <w:t>Table</w:t>
      </w:r>
      <w:r w:rsidRPr="00500716">
        <w:rPr>
          <w:b/>
        </w:rPr>
        <w:t xml:space="preserve"> </w:t>
      </w:r>
      <w:r>
        <w:rPr>
          <w:b/>
        </w:rPr>
        <w:t>1</w:t>
      </w:r>
      <w:r>
        <w:t>: Example modification of legacy table to indicate offset values for UL DMRS structure with RPF = 2</w:t>
      </w:r>
    </w:p>
    <w:p w14:paraId="3B25196B" w14:textId="77777777" w:rsidR="007A1E51" w:rsidRDefault="007A1E51" w:rsidP="00565332">
      <w:pPr>
        <w:pStyle w:val="maintext"/>
        <w:ind w:firstLineChars="0"/>
      </w:pPr>
    </w:p>
    <w:p w14:paraId="194CEC53" w14:textId="035DBFB2" w:rsidR="007A1E51" w:rsidRDefault="00806267" w:rsidP="00565332">
      <w:pPr>
        <w:pStyle w:val="maintext"/>
        <w:ind w:firstLineChars="0"/>
      </w:pPr>
      <w:r>
        <w:t xml:space="preserve">Alternatively, an additional table, having the same structure as the example Table 1 above, may be specified as applicable to Rel. 14 UEs. </w:t>
      </w:r>
      <w:r w:rsidR="008B0A27">
        <w:t xml:space="preserve">Such a table, while still having 8 rows corresponding to the 8 </w:t>
      </w:r>
      <w:r w:rsidR="00246FF3">
        <w:t xml:space="preserve">DCI </w:t>
      </w:r>
      <w:r w:rsidR="008B0A27">
        <w:t xml:space="preserve">cyclic shift field values (indicated by DCI formats 0 or 4), may not have identical columns w.r.t the </w:t>
      </w:r>
      <w:r w:rsidR="008B0A27" w:rsidRPr="005B001C">
        <w:rPr>
          <w:position w:val="-14"/>
        </w:rPr>
        <w:object w:dxaOrig="720" w:dyaOrig="400" w14:anchorId="591E4C51">
          <v:shape id="_x0000_i1073" type="#_x0000_t75" style="width:36.4pt;height:20.2pt" o:ole="">
            <v:imagedata r:id="rId8" o:title=""/>
          </v:shape>
          <o:OLEObject Type="Embed" ProgID="Equation.DSMT4" ShapeID="_x0000_i1073" DrawAspect="Content" ObjectID="_1532516634" r:id="rId74"/>
        </w:object>
      </w:r>
      <w:r w:rsidR="008B0A27">
        <w:t xml:space="preserve">and the </w:t>
      </w:r>
      <w:r w:rsidR="008B0A27" w:rsidRPr="00DE5929">
        <w:rPr>
          <w:position w:val="-10"/>
        </w:rPr>
        <w:object w:dxaOrig="1600" w:dyaOrig="360" w14:anchorId="7A62A613">
          <v:shape id="_x0000_i1074" type="#_x0000_t75" style="width:79.9pt;height:18.2pt" o:ole="">
            <v:imagedata r:id="rId10" o:title=""/>
          </v:shape>
          <o:OLEObject Type="Embed" ProgID="Equation.DSMT4" ShapeID="_x0000_i1074" DrawAspect="Content" ObjectID="_1532516635" r:id="rId75"/>
        </w:object>
      </w:r>
      <w:r w:rsidR="008B0A27">
        <w:t xml:space="preserve"> parameters as in the legacy table in [2].</w:t>
      </w:r>
      <w:r w:rsidR="001B2F6F">
        <w:t xml:space="preserve"> The specification of such an additional table may be preferable, as it may provide performance gains due to the additional flexibility in selecting </w:t>
      </w:r>
      <w:r w:rsidR="00322B58">
        <w:t>desirable</w:t>
      </w:r>
      <w:r w:rsidR="001B2F6F">
        <w:t xml:space="preserve"> mapping</w:t>
      </w:r>
      <w:r w:rsidR="00322B58">
        <w:t>s</w:t>
      </w:r>
      <w:r w:rsidR="001B2F6F">
        <w:t xml:space="preserve"> from the cyclic shift field to the other DMRS sequence parameters.</w:t>
      </w:r>
    </w:p>
    <w:p w14:paraId="45F02351" w14:textId="77777777" w:rsidR="007A1E51" w:rsidRDefault="007A1E51" w:rsidP="00565332">
      <w:pPr>
        <w:pStyle w:val="maintext"/>
        <w:ind w:firstLineChars="0"/>
      </w:pPr>
    </w:p>
    <w:p w14:paraId="40C08D59" w14:textId="6745A851" w:rsidR="00E34C2E" w:rsidRDefault="00246FF3" w:rsidP="00565332">
      <w:pPr>
        <w:pStyle w:val="maintext"/>
        <w:ind w:firstLineChars="0"/>
        <w:rPr>
          <w:b/>
        </w:rPr>
      </w:pPr>
      <w:r w:rsidRPr="003B455C">
        <w:rPr>
          <w:b/>
        </w:rPr>
        <w:t xml:space="preserve">Proposal </w:t>
      </w:r>
      <w:r>
        <w:rPr>
          <w:b/>
        </w:rPr>
        <w:t>3</w:t>
      </w:r>
      <w:r w:rsidR="00E34C2E">
        <w:rPr>
          <w:b/>
        </w:rPr>
        <w:t>:</w:t>
      </w:r>
      <w:r w:rsidR="008619C7">
        <w:rPr>
          <w:b/>
        </w:rPr>
        <w:t xml:space="preserve"> </w:t>
      </w:r>
      <w:r w:rsidR="00E34C2E">
        <w:t>The indication of the sequence offset value w.r.t the IFDMA/comb structure of the enhanced UL DMRS may be specified via</w:t>
      </w:r>
      <w:r w:rsidR="00E34C2E">
        <w:t>:</w:t>
      </w:r>
    </w:p>
    <w:p w14:paraId="42338BA5" w14:textId="516CE11E" w:rsidR="008C5D51" w:rsidRDefault="008619C7" w:rsidP="00E34C2E">
      <w:pPr>
        <w:pStyle w:val="maintext"/>
        <w:numPr>
          <w:ilvl w:val="0"/>
          <w:numId w:val="15"/>
        </w:numPr>
        <w:ind w:firstLineChars="0"/>
      </w:pPr>
      <w:r>
        <w:rPr>
          <w:b/>
        </w:rPr>
        <w:t>Alt 1</w:t>
      </w:r>
      <w:r w:rsidR="00246FF3">
        <w:t xml:space="preserve">: </w:t>
      </w:r>
      <w:r w:rsidR="00E34C2E">
        <w:t>M</w:t>
      </w:r>
      <w:r w:rsidR="00246FF3">
        <w:t>odification of the legacy table</w:t>
      </w:r>
      <w:r w:rsidR="003E00B7">
        <w:t xml:space="preserve"> (which indicates</w:t>
      </w:r>
      <w:r w:rsidR="00246FF3">
        <w:t xml:space="preserve"> the mapping between the DCI cyclic shift field and the DMRS sequence cyclic shift and OCC values</w:t>
      </w:r>
      <w:r w:rsidR="003E00B7">
        <w:t>)</w:t>
      </w:r>
      <w:r w:rsidR="00246FF3">
        <w:t>. The modification consists of the addition of a set of columns specifying the offset values for each DCI cyclic shift field.</w:t>
      </w:r>
    </w:p>
    <w:p w14:paraId="1EDAD5EC" w14:textId="0A1E5938" w:rsidR="00EA0D87" w:rsidRDefault="008619C7" w:rsidP="00E34C2E">
      <w:pPr>
        <w:pStyle w:val="maintext"/>
        <w:numPr>
          <w:ilvl w:val="0"/>
          <w:numId w:val="15"/>
        </w:numPr>
        <w:ind w:firstLineChars="0"/>
      </w:pPr>
      <w:r>
        <w:rPr>
          <w:b/>
        </w:rPr>
        <w:t>Alt 2</w:t>
      </w:r>
      <w:r w:rsidR="00C367B8">
        <w:t>:</w:t>
      </w:r>
      <w:r>
        <w:t xml:space="preserve"> </w:t>
      </w:r>
      <w:r w:rsidR="00E34C2E">
        <w:t>I</w:t>
      </w:r>
      <w:r w:rsidR="00C367B8">
        <w:t>ntroduction</w:t>
      </w:r>
      <w:r w:rsidR="001179CE">
        <w:t xml:space="preserve"> of a new table applicable only to the Rel. 14 UEs. </w:t>
      </w:r>
      <w:r w:rsidR="00276A9A">
        <w:t xml:space="preserve">In addition to indicating the mapping between </w:t>
      </w:r>
      <w:r w:rsidR="00C367B8">
        <w:t xml:space="preserve">the DCI cyclic shift field and the </w:t>
      </w:r>
      <w:r w:rsidR="00276A9A">
        <w:t xml:space="preserve">DMRS sequence cyclic shift and </w:t>
      </w:r>
      <w:r w:rsidR="00C367B8">
        <w:t>OCC values</w:t>
      </w:r>
      <w:r w:rsidR="00276A9A">
        <w:t xml:space="preserve">, such a table would also indicate the mapping between the DCI cyclic shift field and DMRS sequence offset </w:t>
      </w:r>
      <w:r w:rsidR="001179CE">
        <w:t>values.</w:t>
      </w:r>
      <w:r w:rsidR="00742811">
        <w:t xml:space="preserve"> </w:t>
      </w:r>
      <w:r w:rsidR="005B001C">
        <w:t xml:space="preserve"> </w:t>
      </w:r>
    </w:p>
    <w:p w14:paraId="3498E5AA" w14:textId="77777777" w:rsidR="007A5422" w:rsidRDefault="007A5422" w:rsidP="007A5422">
      <w:pPr>
        <w:pStyle w:val="maintext"/>
        <w:ind w:firstLineChars="0" w:firstLine="0"/>
      </w:pPr>
    </w:p>
    <w:p w14:paraId="68AF6AAB" w14:textId="39D9EE67" w:rsidR="007A5422" w:rsidRDefault="007A5422" w:rsidP="00FA5692">
      <w:pPr>
        <w:pStyle w:val="maintext"/>
        <w:ind w:firstLineChars="0"/>
      </w:pPr>
      <w:r>
        <w:t>It may be noted that proposals</w:t>
      </w:r>
      <w:r w:rsidR="00A47BE5">
        <w:t xml:space="preserve"> 1-3</w:t>
      </w:r>
      <w:r w:rsidR="00D4196D">
        <w:t xml:space="preserve"> would provide the </w:t>
      </w:r>
      <w:r w:rsidR="00A363F2">
        <w:t xml:space="preserve">desired UL DMRS </w:t>
      </w:r>
      <w:r w:rsidR="00D4196D">
        <w:t>performance enhance</w:t>
      </w:r>
      <w:r w:rsidR="00A363F2">
        <w:t xml:space="preserve">ment, while maintaining the signalling and DMRS overheads of the legacy design. </w:t>
      </w:r>
    </w:p>
    <w:p w14:paraId="4C4D859E" w14:textId="77777777" w:rsidR="000E364F" w:rsidRDefault="000E364F" w:rsidP="000E364F">
      <w:pPr>
        <w:pStyle w:val="Heading1"/>
        <w:tabs>
          <w:tab w:val="num" w:pos="0"/>
        </w:tabs>
        <w:ind w:left="799" w:hanging="799"/>
      </w:pPr>
      <w:r>
        <w:t xml:space="preserve">Conclusions </w:t>
      </w:r>
    </w:p>
    <w:p w14:paraId="550BD1CB" w14:textId="77777777" w:rsidR="000E364F" w:rsidRPr="002958FD" w:rsidRDefault="000E364F" w:rsidP="000E364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17C38F4" w14:textId="77777777" w:rsidR="000E364F" w:rsidRPr="002958FD" w:rsidRDefault="000E364F" w:rsidP="000E364F">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F4320C9" w14:textId="77777777" w:rsidR="00411D80" w:rsidRDefault="007A5422" w:rsidP="00D4196D">
      <w:pPr>
        <w:pStyle w:val="maintext"/>
        <w:ind w:firstLineChars="0"/>
      </w:pPr>
      <w:r>
        <w:t>This contribution provided some motivating design considerations for enhancements to the legacy UL DMRS design, and proposed enhancements</w:t>
      </w:r>
      <w:r w:rsidR="00C029C7">
        <w:t>, along with some design details,</w:t>
      </w:r>
      <w:r>
        <w:t xml:space="preserve"> following the agreed-upon “IFDMA with OCC2” methodology. </w:t>
      </w:r>
      <w:r w:rsidR="00411D80">
        <w:t>The proposed design can provide the desired UL DMRS performance enhancement, while maintaining the signalling and DMRS overheads of the legacy design.</w:t>
      </w:r>
    </w:p>
    <w:p w14:paraId="0ABD3F89" w14:textId="77777777" w:rsidR="00210F71" w:rsidRDefault="00210F71" w:rsidP="00D4196D">
      <w:pPr>
        <w:pStyle w:val="maintext"/>
        <w:ind w:firstLineChars="0"/>
      </w:pPr>
    </w:p>
    <w:p w14:paraId="3AFC2B5B" w14:textId="2D4D9D5B" w:rsidR="003D35F7" w:rsidRDefault="007A5422" w:rsidP="00D4196D">
      <w:pPr>
        <w:pStyle w:val="maintext"/>
        <w:ind w:firstLineChars="0"/>
      </w:pPr>
      <w:r>
        <w:lastRenderedPageBreak/>
        <w:t xml:space="preserve">This contribution </w:t>
      </w:r>
      <w:r w:rsidR="00D4196D">
        <w:t xml:space="preserve">made the following proposals. </w:t>
      </w:r>
      <w:r w:rsidR="000E364F">
        <w:t xml:space="preserve"> </w:t>
      </w:r>
    </w:p>
    <w:p w14:paraId="5171A98A" w14:textId="1081E2EF" w:rsidR="007A5422" w:rsidRDefault="007A5422" w:rsidP="00EB0972">
      <w:pPr>
        <w:pStyle w:val="2222"/>
        <w:spacing w:after="120" w:line="288" w:lineRule="auto"/>
        <w:ind w:firstLineChars="0" w:firstLine="0"/>
      </w:pPr>
      <w:r w:rsidRPr="003B455C">
        <w:rPr>
          <w:b/>
        </w:rPr>
        <w:t>Proposal 1</w:t>
      </w:r>
      <w:r>
        <w:t>: The UL DMRS enhancement should follow the “IFDMA with OCC2” design.</w:t>
      </w:r>
    </w:p>
    <w:p w14:paraId="196681B9" w14:textId="77777777" w:rsidR="00A32A15" w:rsidRDefault="00A32A15" w:rsidP="00A32A15">
      <w:pPr>
        <w:pStyle w:val="2222"/>
        <w:spacing w:after="120" w:line="288" w:lineRule="auto"/>
        <w:ind w:firstLineChars="0" w:firstLine="0"/>
        <w:rPr>
          <w:b/>
        </w:rPr>
      </w:pPr>
    </w:p>
    <w:p w14:paraId="2686E589" w14:textId="77777777" w:rsidR="00A32A15" w:rsidRDefault="007A5422" w:rsidP="00A32A15">
      <w:pPr>
        <w:pStyle w:val="2222"/>
        <w:spacing w:after="120" w:line="288" w:lineRule="auto"/>
        <w:ind w:firstLineChars="0" w:firstLine="0"/>
      </w:pPr>
      <w:r w:rsidRPr="003B455C">
        <w:rPr>
          <w:b/>
        </w:rPr>
        <w:t xml:space="preserve">Proposal </w:t>
      </w:r>
      <w:r>
        <w:rPr>
          <w:b/>
        </w:rPr>
        <w:t>2</w:t>
      </w:r>
      <w:r>
        <w:t>: The UL DMRS enhancement should follow the “IFDMA with OCC2” design via the specification of a single RPF value w.r.t the IFDMA/comb structure. An RPF value from among 2, 3 or 4 may be specified, with a preference for lower values.</w:t>
      </w:r>
    </w:p>
    <w:p w14:paraId="0C8B4AF6" w14:textId="77777777" w:rsidR="00A32A15" w:rsidRDefault="00A32A15" w:rsidP="00A32A15">
      <w:pPr>
        <w:pStyle w:val="2222"/>
        <w:spacing w:after="120" w:line="288" w:lineRule="auto"/>
        <w:ind w:firstLineChars="0" w:firstLine="0"/>
        <w:rPr>
          <w:b/>
        </w:rPr>
      </w:pPr>
    </w:p>
    <w:p w14:paraId="27AB155C" w14:textId="77777777" w:rsidR="00E34C2E" w:rsidRDefault="00E34C2E" w:rsidP="00E34C2E">
      <w:pPr>
        <w:pStyle w:val="maintext"/>
        <w:ind w:firstLineChars="0" w:firstLine="0"/>
        <w:rPr>
          <w:b/>
        </w:rPr>
      </w:pPr>
      <w:bookmarkStart w:id="4" w:name="_GoBack"/>
      <w:bookmarkEnd w:id="4"/>
      <w:r w:rsidRPr="003B455C">
        <w:rPr>
          <w:b/>
        </w:rPr>
        <w:t xml:space="preserve">Proposal </w:t>
      </w:r>
      <w:r>
        <w:rPr>
          <w:b/>
        </w:rPr>
        <w:t xml:space="preserve">3: </w:t>
      </w:r>
      <w:r>
        <w:t>The indication of the sequence offset value w.r.t the IFDMA/comb structure of the enhanced UL DMRS may be specified via:</w:t>
      </w:r>
    </w:p>
    <w:p w14:paraId="695F325A" w14:textId="77777777" w:rsidR="00E34C2E" w:rsidRDefault="00E34C2E" w:rsidP="00E34C2E">
      <w:pPr>
        <w:pStyle w:val="maintext"/>
        <w:numPr>
          <w:ilvl w:val="0"/>
          <w:numId w:val="15"/>
        </w:numPr>
        <w:ind w:firstLineChars="0"/>
      </w:pPr>
      <w:r>
        <w:rPr>
          <w:b/>
        </w:rPr>
        <w:t>Alt 1</w:t>
      </w:r>
      <w:r>
        <w:t>: Modification of the legacy table (which indicates the mapping between the DCI cyclic shift field and the DMRS sequence cyclic shift and OCC values). The modification consists of the addition of a set of columns specifying the offset values for each DCI cyclic shift field.</w:t>
      </w:r>
    </w:p>
    <w:p w14:paraId="041B8EED" w14:textId="77777777" w:rsidR="00E34C2E" w:rsidRDefault="00E34C2E" w:rsidP="00E34C2E">
      <w:pPr>
        <w:pStyle w:val="maintext"/>
        <w:numPr>
          <w:ilvl w:val="0"/>
          <w:numId w:val="15"/>
        </w:numPr>
        <w:ind w:firstLineChars="0"/>
      </w:pPr>
      <w:r>
        <w:rPr>
          <w:b/>
        </w:rPr>
        <w:t>Alt 2</w:t>
      </w:r>
      <w:r>
        <w:t xml:space="preserve">: Introduction of a new table applicable only to the Rel. 14 UEs. In addition to indicating the mapping between the DCI cyclic shift field and the DMRS sequence cyclic shift and OCC values, such a table would also indicate the mapping between the DCI cyclic shift field and DMRS sequence offset values.  </w:t>
      </w:r>
    </w:p>
    <w:p w14:paraId="61EBAF75" w14:textId="77777777" w:rsidR="007A5422" w:rsidRPr="00B12C3B" w:rsidRDefault="007A5422" w:rsidP="00EB0972">
      <w:pPr>
        <w:pStyle w:val="2222"/>
        <w:spacing w:after="120" w:line="288" w:lineRule="auto"/>
        <w:ind w:firstLineChars="0" w:firstLine="0"/>
        <w:rPr>
          <w:lang w:eastAsia="ko-KR"/>
        </w:rPr>
      </w:pPr>
    </w:p>
    <w:p w14:paraId="771809C3"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703B7785" w14:textId="77777777" w:rsidR="00296E64" w:rsidRPr="002B5F81" w:rsidRDefault="009814E6" w:rsidP="00012396">
      <w:pPr>
        <w:pStyle w:val="2222"/>
        <w:numPr>
          <w:ilvl w:val="0"/>
          <w:numId w:val="5"/>
        </w:numPr>
        <w:spacing w:after="120" w:line="288" w:lineRule="auto"/>
        <w:ind w:firstLineChars="0"/>
        <w:rPr>
          <w:rFonts w:cs="Times New Roman"/>
          <w:lang w:eastAsia="ko-KR"/>
        </w:rPr>
      </w:pPr>
      <w:bookmarkStart w:id="5" w:name="_Ref446582201"/>
      <w:r>
        <w:rPr>
          <w:rFonts w:cs="Times New Roman"/>
          <w:lang w:eastAsia="ko-KR"/>
        </w:rPr>
        <w:t xml:space="preserve">RP-160623, </w:t>
      </w:r>
      <w:r w:rsidRPr="009814E6">
        <w:rPr>
          <w:rFonts w:cs="Times New Roman"/>
          <w:lang w:eastAsia="ko-KR"/>
        </w:rPr>
        <w:t>New WID Proposal: Enhancements on Full-Dimension (FD) MIMO for LTE</w:t>
      </w:r>
      <w:r w:rsidR="002B5F81">
        <w:rPr>
          <w:rFonts w:cs="Times New Roman"/>
          <w:lang w:eastAsia="ko-KR"/>
        </w:rPr>
        <w:t>, Samsung</w:t>
      </w:r>
      <w:r w:rsidR="00AD6148" w:rsidRPr="002B5F81">
        <w:rPr>
          <w:rFonts w:eastAsia="Batang" w:cs="Times New Roman"/>
          <w:lang w:eastAsia="zh-CN"/>
        </w:rPr>
        <w:t>.</w:t>
      </w:r>
      <w:bookmarkEnd w:id="5"/>
    </w:p>
    <w:p w14:paraId="346528EC" w14:textId="77777777" w:rsidR="00AC414E" w:rsidRDefault="00B20767" w:rsidP="00012396">
      <w:pPr>
        <w:pStyle w:val="2222"/>
        <w:numPr>
          <w:ilvl w:val="0"/>
          <w:numId w:val="5"/>
        </w:numPr>
        <w:spacing w:after="120" w:line="288" w:lineRule="auto"/>
        <w:ind w:left="357" w:firstLineChars="0" w:hanging="357"/>
        <w:rPr>
          <w:rFonts w:cs="Times New Roman"/>
          <w:lang w:eastAsia="ko-KR"/>
        </w:rPr>
      </w:pPr>
      <w:bookmarkStart w:id="6" w:name="_Ref446582202"/>
      <w:r>
        <w:rPr>
          <w:rFonts w:cs="Times New Roman"/>
          <w:lang w:eastAsia="ko-KR"/>
        </w:rPr>
        <w:t>3GPP TS 36.211 V12.7.0 (2015-09)</w:t>
      </w:r>
      <w:bookmarkEnd w:id="6"/>
      <w:r w:rsidR="00086B72">
        <w:rPr>
          <w:rFonts w:cs="Times New Roman"/>
          <w:lang w:eastAsia="ko-KR"/>
        </w:rPr>
        <w:t>.</w:t>
      </w:r>
    </w:p>
    <w:p w14:paraId="52EFAB36" w14:textId="06CA5812" w:rsidR="009A31EF" w:rsidRPr="00073752" w:rsidRDefault="009A31EF" w:rsidP="00012396">
      <w:pPr>
        <w:pStyle w:val="2222"/>
        <w:numPr>
          <w:ilvl w:val="0"/>
          <w:numId w:val="5"/>
        </w:numPr>
        <w:spacing w:after="120" w:line="288" w:lineRule="auto"/>
        <w:ind w:left="357" w:firstLineChars="0" w:hanging="357"/>
        <w:rPr>
          <w:rFonts w:cs="Times New Roman"/>
          <w:lang w:eastAsia="ko-KR"/>
        </w:rPr>
      </w:pPr>
      <w:r>
        <w:rPr>
          <w:rFonts w:cs="Times New Roman"/>
          <w:lang w:eastAsia="ko-KR"/>
        </w:rPr>
        <w:t>3GPP TS 36.211 V12.6.0 (2015-09).</w:t>
      </w:r>
    </w:p>
    <w:sectPr w:rsidR="009A31EF" w:rsidRPr="00073752" w:rsidSect="00FF4D8E">
      <w:headerReference w:type="default" r:id="rId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4FF12" w14:textId="77777777" w:rsidR="00062DAE" w:rsidRDefault="00062DAE">
      <w:r>
        <w:separator/>
      </w:r>
    </w:p>
  </w:endnote>
  <w:endnote w:type="continuationSeparator" w:id="0">
    <w:p w14:paraId="4733264C" w14:textId="77777777" w:rsidR="00062DAE" w:rsidRDefault="0006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DB0E2" w14:textId="77777777" w:rsidR="00062DAE" w:rsidRDefault="00062DAE">
      <w:r>
        <w:separator/>
      </w:r>
    </w:p>
  </w:footnote>
  <w:footnote w:type="continuationSeparator" w:id="0">
    <w:p w14:paraId="5659CAD9" w14:textId="77777777" w:rsidR="00062DAE" w:rsidRDefault="00062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E140" w14:textId="77777777" w:rsidR="007A5422" w:rsidRDefault="007A542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AD1244"/>
    <w:multiLevelType w:val="hybridMultilevel"/>
    <w:tmpl w:val="DFAECA60"/>
    <w:lvl w:ilvl="0" w:tplc="04090019">
      <w:start w:val="1"/>
      <w:numFmt w:val="lowerLetter"/>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A866A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93362C"/>
    <w:multiLevelType w:val="hybridMultilevel"/>
    <w:tmpl w:val="1482302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2B6D3751"/>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7"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45BB5388"/>
    <w:multiLevelType w:val="hybridMultilevel"/>
    <w:tmpl w:val="23AE4F6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9B38BC"/>
    <w:multiLevelType w:val="hybridMultilevel"/>
    <w:tmpl w:val="14823020"/>
    <w:lvl w:ilvl="0" w:tplc="0409000F">
      <w:start w:val="1"/>
      <w:numFmt w:val="decimal"/>
      <w:lvlText w:val="%1."/>
      <w:lvlJc w:val="left"/>
      <w:pPr>
        <w:ind w:left="920" w:hanging="360"/>
      </w:p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4143D9"/>
    <w:multiLevelType w:val="hybridMultilevel"/>
    <w:tmpl w:val="29A86C10"/>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2" w15:restartNumberingAfterBreak="0">
    <w:nsid w:val="71E07B5C"/>
    <w:multiLevelType w:val="hybridMultilevel"/>
    <w:tmpl w:val="009A5EFA"/>
    <w:lvl w:ilvl="0" w:tplc="6C12511C">
      <w:numFmt w:val="bullet"/>
      <w:lvlText w:val=""/>
      <w:lvlJc w:val="left"/>
      <w:pPr>
        <w:ind w:left="560" w:hanging="360"/>
      </w:pPr>
      <w:rPr>
        <w:rFonts w:ascii="Symbol" w:eastAsia="Malgun Gothic" w:hAnsi="Symbol" w:cs="Batang" w:hint="default"/>
        <w:b/>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0"/>
  </w:num>
  <w:num w:numId="4">
    <w:abstractNumId w:val="13"/>
  </w:num>
  <w:num w:numId="5">
    <w:abstractNumId w:val="0"/>
  </w:num>
  <w:num w:numId="6">
    <w:abstractNumId w:val="11"/>
  </w:num>
  <w:num w:numId="7">
    <w:abstractNumId w:val="8"/>
  </w:num>
  <w:num w:numId="8">
    <w:abstractNumId w:val="6"/>
  </w:num>
  <w:num w:numId="9">
    <w:abstractNumId w:val="1"/>
  </w:num>
  <w:num w:numId="10">
    <w:abstractNumId w:val="4"/>
  </w:num>
  <w:num w:numId="11">
    <w:abstractNumId w:val="2"/>
  </w:num>
  <w:num w:numId="12">
    <w:abstractNumId w:val="9"/>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43"/>
    <w:rsid w:val="00001C76"/>
    <w:rsid w:val="000020C0"/>
    <w:rsid w:val="00002A92"/>
    <w:rsid w:val="00002ACA"/>
    <w:rsid w:val="000033A8"/>
    <w:rsid w:val="00004076"/>
    <w:rsid w:val="00005774"/>
    <w:rsid w:val="00010921"/>
    <w:rsid w:val="00011005"/>
    <w:rsid w:val="00011A53"/>
    <w:rsid w:val="00011FB1"/>
    <w:rsid w:val="00012357"/>
    <w:rsid w:val="00012396"/>
    <w:rsid w:val="00012D3C"/>
    <w:rsid w:val="0001401B"/>
    <w:rsid w:val="000147F7"/>
    <w:rsid w:val="000167DF"/>
    <w:rsid w:val="0001695D"/>
    <w:rsid w:val="000172F4"/>
    <w:rsid w:val="000210FF"/>
    <w:rsid w:val="00021CA4"/>
    <w:rsid w:val="00022194"/>
    <w:rsid w:val="00022677"/>
    <w:rsid w:val="00022C4C"/>
    <w:rsid w:val="00027F1C"/>
    <w:rsid w:val="00030EA8"/>
    <w:rsid w:val="00032854"/>
    <w:rsid w:val="000375ED"/>
    <w:rsid w:val="0004152C"/>
    <w:rsid w:val="00044587"/>
    <w:rsid w:val="00045082"/>
    <w:rsid w:val="00046AB8"/>
    <w:rsid w:val="00046EDE"/>
    <w:rsid w:val="0005019A"/>
    <w:rsid w:val="00050F55"/>
    <w:rsid w:val="000516A7"/>
    <w:rsid w:val="00051AFF"/>
    <w:rsid w:val="00052776"/>
    <w:rsid w:val="00052AF6"/>
    <w:rsid w:val="00053930"/>
    <w:rsid w:val="000543C0"/>
    <w:rsid w:val="00054CEB"/>
    <w:rsid w:val="000551A1"/>
    <w:rsid w:val="00055EC9"/>
    <w:rsid w:val="00056B06"/>
    <w:rsid w:val="00057250"/>
    <w:rsid w:val="00057CB5"/>
    <w:rsid w:val="00060151"/>
    <w:rsid w:val="0006267E"/>
    <w:rsid w:val="000627C6"/>
    <w:rsid w:val="00062DAE"/>
    <w:rsid w:val="00063AC6"/>
    <w:rsid w:val="00064F0B"/>
    <w:rsid w:val="00064F28"/>
    <w:rsid w:val="00065630"/>
    <w:rsid w:val="0006707D"/>
    <w:rsid w:val="0007119C"/>
    <w:rsid w:val="00072453"/>
    <w:rsid w:val="00073752"/>
    <w:rsid w:val="00073C42"/>
    <w:rsid w:val="000755B5"/>
    <w:rsid w:val="00076FF5"/>
    <w:rsid w:val="000775AB"/>
    <w:rsid w:val="00083457"/>
    <w:rsid w:val="00083DE3"/>
    <w:rsid w:val="000840CE"/>
    <w:rsid w:val="000862ED"/>
    <w:rsid w:val="00086364"/>
    <w:rsid w:val="00086A31"/>
    <w:rsid w:val="00086B72"/>
    <w:rsid w:val="00087EEE"/>
    <w:rsid w:val="00087F06"/>
    <w:rsid w:val="000902E8"/>
    <w:rsid w:val="00090A57"/>
    <w:rsid w:val="00091344"/>
    <w:rsid w:val="00091C52"/>
    <w:rsid w:val="00091CE0"/>
    <w:rsid w:val="00092123"/>
    <w:rsid w:val="00093AA5"/>
    <w:rsid w:val="00094B22"/>
    <w:rsid w:val="0009739B"/>
    <w:rsid w:val="000A1D31"/>
    <w:rsid w:val="000A26F4"/>
    <w:rsid w:val="000A421C"/>
    <w:rsid w:val="000A5315"/>
    <w:rsid w:val="000A591F"/>
    <w:rsid w:val="000A6336"/>
    <w:rsid w:val="000A715C"/>
    <w:rsid w:val="000A77A6"/>
    <w:rsid w:val="000B0B99"/>
    <w:rsid w:val="000B13DA"/>
    <w:rsid w:val="000B25B1"/>
    <w:rsid w:val="000B2B68"/>
    <w:rsid w:val="000B4FD7"/>
    <w:rsid w:val="000C074E"/>
    <w:rsid w:val="000C14C1"/>
    <w:rsid w:val="000C2DAC"/>
    <w:rsid w:val="000C386E"/>
    <w:rsid w:val="000C3A4B"/>
    <w:rsid w:val="000C3C17"/>
    <w:rsid w:val="000C5067"/>
    <w:rsid w:val="000C650F"/>
    <w:rsid w:val="000D00DD"/>
    <w:rsid w:val="000D0C70"/>
    <w:rsid w:val="000D1026"/>
    <w:rsid w:val="000D19F4"/>
    <w:rsid w:val="000D25AC"/>
    <w:rsid w:val="000D4806"/>
    <w:rsid w:val="000D5200"/>
    <w:rsid w:val="000D758A"/>
    <w:rsid w:val="000D77B5"/>
    <w:rsid w:val="000E13E9"/>
    <w:rsid w:val="000E2201"/>
    <w:rsid w:val="000E364F"/>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5BF1"/>
    <w:rsid w:val="0010669B"/>
    <w:rsid w:val="001067FF"/>
    <w:rsid w:val="00106F9A"/>
    <w:rsid w:val="00107C3A"/>
    <w:rsid w:val="00111454"/>
    <w:rsid w:val="00112A78"/>
    <w:rsid w:val="00114EB4"/>
    <w:rsid w:val="001155B8"/>
    <w:rsid w:val="00117010"/>
    <w:rsid w:val="001179CE"/>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3A3"/>
    <w:rsid w:val="00135EB0"/>
    <w:rsid w:val="00136E4B"/>
    <w:rsid w:val="00137048"/>
    <w:rsid w:val="00137383"/>
    <w:rsid w:val="001379DE"/>
    <w:rsid w:val="00140E28"/>
    <w:rsid w:val="0014343A"/>
    <w:rsid w:val="00143869"/>
    <w:rsid w:val="00146DE6"/>
    <w:rsid w:val="001471E4"/>
    <w:rsid w:val="00147305"/>
    <w:rsid w:val="001503B7"/>
    <w:rsid w:val="0015445A"/>
    <w:rsid w:val="00157248"/>
    <w:rsid w:val="00157C78"/>
    <w:rsid w:val="00162392"/>
    <w:rsid w:val="00162669"/>
    <w:rsid w:val="001639BD"/>
    <w:rsid w:val="00164498"/>
    <w:rsid w:val="001649A0"/>
    <w:rsid w:val="0016551E"/>
    <w:rsid w:val="0016793B"/>
    <w:rsid w:val="00167D7B"/>
    <w:rsid w:val="00167F3F"/>
    <w:rsid w:val="0017033E"/>
    <w:rsid w:val="00170CD5"/>
    <w:rsid w:val="001714DA"/>
    <w:rsid w:val="00171E74"/>
    <w:rsid w:val="00172663"/>
    <w:rsid w:val="001752DA"/>
    <w:rsid w:val="00176B67"/>
    <w:rsid w:val="001801D3"/>
    <w:rsid w:val="00180AD4"/>
    <w:rsid w:val="00180CCA"/>
    <w:rsid w:val="00181899"/>
    <w:rsid w:val="00182E06"/>
    <w:rsid w:val="00184848"/>
    <w:rsid w:val="001850D6"/>
    <w:rsid w:val="001911AC"/>
    <w:rsid w:val="0019161B"/>
    <w:rsid w:val="0019499E"/>
    <w:rsid w:val="00196998"/>
    <w:rsid w:val="00197BA4"/>
    <w:rsid w:val="001A2884"/>
    <w:rsid w:val="001A3681"/>
    <w:rsid w:val="001A3AFD"/>
    <w:rsid w:val="001A3EC6"/>
    <w:rsid w:val="001A53DF"/>
    <w:rsid w:val="001A56C7"/>
    <w:rsid w:val="001B010D"/>
    <w:rsid w:val="001B15C2"/>
    <w:rsid w:val="001B1FAD"/>
    <w:rsid w:val="001B2F6F"/>
    <w:rsid w:val="001B3BC4"/>
    <w:rsid w:val="001B4387"/>
    <w:rsid w:val="001B4778"/>
    <w:rsid w:val="001B620C"/>
    <w:rsid w:val="001B7B86"/>
    <w:rsid w:val="001B7F2F"/>
    <w:rsid w:val="001C06AA"/>
    <w:rsid w:val="001C18AD"/>
    <w:rsid w:val="001C3694"/>
    <w:rsid w:val="001C46E4"/>
    <w:rsid w:val="001C553E"/>
    <w:rsid w:val="001C64AB"/>
    <w:rsid w:val="001C6890"/>
    <w:rsid w:val="001C71C9"/>
    <w:rsid w:val="001C76C5"/>
    <w:rsid w:val="001C7CCA"/>
    <w:rsid w:val="001D04EE"/>
    <w:rsid w:val="001D0792"/>
    <w:rsid w:val="001D07C2"/>
    <w:rsid w:val="001D0D60"/>
    <w:rsid w:val="001D0FD7"/>
    <w:rsid w:val="001D2861"/>
    <w:rsid w:val="001D4091"/>
    <w:rsid w:val="001D524E"/>
    <w:rsid w:val="001D61B8"/>
    <w:rsid w:val="001E01A3"/>
    <w:rsid w:val="001E083E"/>
    <w:rsid w:val="001E0E77"/>
    <w:rsid w:val="001E2551"/>
    <w:rsid w:val="001E52BF"/>
    <w:rsid w:val="001E5959"/>
    <w:rsid w:val="001E6796"/>
    <w:rsid w:val="001F1669"/>
    <w:rsid w:val="001F2638"/>
    <w:rsid w:val="001F3815"/>
    <w:rsid w:val="001F3BD8"/>
    <w:rsid w:val="001F4519"/>
    <w:rsid w:val="001F5199"/>
    <w:rsid w:val="001F6F91"/>
    <w:rsid w:val="001F72DF"/>
    <w:rsid w:val="001F7B02"/>
    <w:rsid w:val="001F7C2B"/>
    <w:rsid w:val="00202049"/>
    <w:rsid w:val="00202279"/>
    <w:rsid w:val="00202BE0"/>
    <w:rsid w:val="002044FD"/>
    <w:rsid w:val="00205DF1"/>
    <w:rsid w:val="00210F71"/>
    <w:rsid w:val="0021177B"/>
    <w:rsid w:val="0021354A"/>
    <w:rsid w:val="00214221"/>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54CF"/>
    <w:rsid w:val="00235759"/>
    <w:rsid w:val="0023789F"/>
    <w:rsid w:val="00237EB6"/>
    <w:rsid w:val="0024012A"/>
    <w:rsid w:val="00240808"/>
    <w:rsid w:val="00242798"/>
    <w:rsid w:val="002428B8"/>
    <w:rsid w:val="00242921"/>
    <w:rsid w:val="00244EF2"/>
    <w:rsid w:val="002457CD"/>
    <w:rsid w:val="00245C3D"/>
    <w:rsid w:val="002469F1"/>
    <w:rsid w:val="00246FF3"/>
    <w:rsid w:val="0024758D"/>
    <w:rsid w:val="00251AFB"/>
    <w:rsid w:val="00251DAC"/>
    <w:rsid w:val="0025287D"/>
    <w:rsid w:val="0025697E"/>
    <w:rsid w:val="00257528"/>
    <w:rsid w:val="002576FF"/>
    <w:rsid w:val="00257F7E"/>
    <w:rsid w:val="00261808"/>
    <w:rsid w:val="002624DF"/>
    <w:rsid w:val="00262587"/>
    <w:rsid w:val="002638DC"/>
    <w:rsid w:val="0026470F"/>
    <w:rsid w:val="00264DBB"/>
    <w:rsid w:val="00264DBF"/>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6A9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28"/>
    <w:rsid w:val="002958FD"/>
    <w:rsid w:val="00295B0A"/>
    <w:rsid w:val="00296433"/>
    <w:rsid w:val="00296E64"/>
    <w:rsid w:val="002A1E47"/>
    <w:rsid w:val="002A3A3D"/>
    <w:rsid w:val="002A4DC5"/>
    <w:rsid w:val="002A5024"/>
    <w:rsid w:val="002A74D6"/>
    <w:rsid w:val="002B3B3B"/>
    <w:rsid w:val="002B4C6E"/>
    <w:rsid w:val="002B52C6"/>
    <w:rsid w:val="002B57DB"/>
    <w:rsid w:val="002B5F81"/>
    <w:rsid w:val="002B6BDA"/>
    <w:rsid w:val="002B71B0"/>
    <w:rsid w:val="002C0D28"/>
    <w:rsid w:val="002C1230"/>
    <w:rsid w:val="002C46A5"/>
    <w:rsid w:val="002D233C"/>
    <w:rsid w:val="002D2EF7"/>
    <w:rsid w:val="002D488B"/>
    <w:rsid w:val="002D53AF"/>
    <w:rsid w:val="002D5B2B"/>
    <w:rsid w:val="002D6FEE"/>
    <w:rsid w:val="002E09C2"/>
    <w:rsid w:val="002E11B9"/>
    <w:rsid w:val="002E2CB4"/>
    <w:rsid w:val="002E315D"/>
    <w:rsid w:val="002E333E"/>
    <w:rsid w:val="002E3857"/>
    <w:rsid w:val="002E5EC2"/>
    <w:rsid w:val="002E60AB"/>
    <w:rsid w:val="002F00C5"/>
    <w:rsid w:val="002F109A"/>
    <w:rsid w:val="002F28D8"/>
    <w:rsid w:val="002F43F1"/>
    <w:rsid w:val="002F47AD"/>
    <w:rsid w:val="002F5790"/>
    <w:rsid w:val="002F6FEC"/>
    <w:rsid w:val="003006CA"/>
    <w:rsid w:val="0030336D"/>
    <w:rsid w:val="003039F8"/>
    <w:rsid w:val="00303FBB"/>
    <w:rsid w:val="003052A7"/>
    <w:rsid w:val="003065FD"/>
    <w:rsid w:val="0031062D"/>
    <w:rsid w:val="00310B3E"/>
    <w:rsid w:val="003114E5"/>
    <w:rsid w:val="00313945"/>
    <w:rsid w:val="00313DC6"/>
    <w:rsid w:val="00314424"/>
    <w:rsid w:val="00314E63"/>
    <w:rsid w:val="003155DC"/>
    <w:rsid w:val="00316644"/>
    <w:rsid w:val="00316AD7"/>
    <w:rsid w:val="00316B82"/>
    <w:rsid w:val="00317BEA"/>
    <w:rsid w:val="00317FB1"/>
    <w:rsid w:val="0032098B"/>
    <w:rsid w:val="00320E9B"/>
    <w:rsid w:val="003214AE"/>
    <w:rsid w:val="003217E5"/>
    <w:rsid w:val="00322B58"/>
    <w:rsid w:val="00323455"/>
    <w:rsid w:val="003237AF"/>
    <w:rsid w:val="00324DCD"/>
    <w:rsid w:val="003250F2"/>
    <w:rsid w:val="003264AA"/>
    <w:rsid w:val="0032775A"/>
    <w:rsid w:val="00330B30"/>
    <w:rsid w:val="0033129D"/>
    <w:rsid w:val="00331A6A"/>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751F"/>
    <w:rsid w:val="003A048E"/>
    <w:rsid w:val="003A36C7"/>
    <w:rsid w:val="003A3E76"/>
    <w:rsid w:val="003A442E"/>
    <w:rsid w:val="003A4806"/>
    <w:rsid w:val="003A5945"/>
    <w:rsid w:val="003A69C3"/>
    <w:rsid w:val="003A730C"/>
    <w:rsid w:val="003B00E7"/>
    <w:rsid w:val="003B0432"/>
    <w:rsid w:val="003B0AC6"/>
    <w:rsid w:val="003B33FB"/>
    <w:rsid w:val="003B455C"/>
    <w:rsid w:val="003B784F"/>
    <w:rsid w:val="003C0353"/>
    <w:rsid w:val="003C13C6"/>
    <w:rsid w:val="003C1E94"/>
    <w:rsid w:val="003C2C5D"/>
    <w:rsid w:val="003C32F0"/>
    <w:rsid w:val="003C53D6"/>
    <w:rsid w:val="003C5A7F"/>
    <w:rsid w:val="003C5BAF"/>
    <w:rsid w:val="003C5ED0"/>
    <w:rsid w:val="003C620F"/>
    <w:rsid w:val="003C6FF5"/>
    <w:rsid w:val="003C7377"/>
    <w:rsid w:val="003C73BB"/>
    <w:rsid w:val="003C748B"/>
    <w:rsid w:val="003D1649"/>
    <w:rsid w:val="003D3265"/>
    <w:rsid w:val="003D35F7"/>
    <w:rsid w:val="003D3E2E"/>
    <w:rsid w:val="003D44EF"/>
    <w:rsid w:val="003D6109"/>
    <w:rsid w:val="003D79CD"/>
    <w:rsid w:val="003E00B7"/>
    <w:rsid w:val="003E079D"/>
    <w:rsid w:val="003E0FEE"/>
    <w:rsid w:val="003E1753"/>
    <w:rsid w:val="003E2779"/>
    <w:rsid w:val="003E430F"/>
    <w:rsid w:val="003E633B"/>
    <w:rsid w:val="003F00C5"/>
    <w:rsid w:val="003F0727"/>
    <w:rsid w:val="003F0876"/>
    <w:rsid w:val="003F0A78"/>
    <w:rsid w:val="003F1546"/>
    <w:rsid w:val="003F17E1"/>
    <w:rsid w:val="003F1A3F"/>
    <w:rsid w:val="003F3471"/>
    <w:rsid w:val="003F48AA"/>
    <w:rsid w:val="003F4981"/>
    <w:rsid w:val="003F4D6D"/>
    <w:rsid w:val="003F4E14"/>
    <w:rsid w:val="003F540A"/>
    <w:rsid w:val="003F680E"/>
    <w:rsid w:val="003F7398"/>
    <w:rsid w:val="00401F93"/>
    <w:rsid w:val="0040329D"/>
    <w:rsid w:val="00404B4A"/>
    <w:rsid w:val="0040633D"/>
    <w:rsid w:val="0040728D"/>
    <w:rsid w:val="0040735D"/>
    <w:rsid w:val="004107E6"/>
    <w:rsid w:val="00411D80"/>
    <w:rsid w:val="00420853"/>
    <w:rsid w:val="00421E04"/>
    <w:rsid w:val="00422959"/>
    <w:rsid w:val="004239D8"/>
    <w:rsid w:val="004240D5"/>
    <w:rsid w:val="00424A72"/>
    <w:rsid w:val="00424D6E"/>
    <w:rsid w:val="004254DF"/>
    <w:rsid w:val="00427387"/>
    <w:rsid w:val="004300DC"/>
    <w:rsid w:val="00430452"/>
    <w:rsid w:val="00432D00"/>
    <w:rsid w:val="00433489"/>
    <w:rsid w:val="004351C1"/>
    <w:rsid w:val="00436AEE"/>
    <w:rsid w:val="00437386"/>
    <w:rsid w:val="00440E60"/>
    <w:rsid w:val="00441151"/>
    <w:rsid w:val="00442C0D"/>
    <w:rsid w:val="004430A5"/>
    <w:rsid w:val="00443538"/>
    <w:rsid w:val="004471CE"/>
    <w:rsid w:val="00450C48"/>
    <w:rsid w:val="00452E54"/>
    <w:rsid w:val="004530DE"/>
    <w:rsid w:val="0045322C"/>
    <w:rsid w:val="004535E6"/>
    <w:rsid w:val="00454D22"/>
    <w:rsid w:val="00455E7A"/>
    <w:rsid w:val="00461C28"/>
    <w:rsid w:val="00461D06"/>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2F9F"/>
    <w:rsid w:val="00484F59"/>
    <w:rsid w:val="00485376"/>
    <w:rsid w:val="0048570F"/>
    <w:rsid w:val="00485F12"/>
    <w:rsid w:val="00485FF9"/>
    <w:rsid w:val="00486540"/>
    <w:rsid w:val="00487090"/>
    <w:rsid w:val="0049325B"/>
    <w:rsid w:val="00493A37"/>
    <w:rsid w:val="004A0A28"/>
    <w:rsid w:val="004A2F45"/>
    <w:rsid w:val="004A360E"/>
    <w:rsid w:val="004A43B9"/>
    <w:rsid w:val="004A4659"/>
    <w:rsid w:val="004A4968"/>
    <w:rsid w:val="004A5660"/>
    <w:rsid w:val="004A574A"/>
    <w:rsid w:val="004A5A2F"/>
    <w:rsid w:val="004A5BA9"/>
    <w:rsid w:val="004A73B7"/>
    <w:rsid w:val="004B02A2"/>
    <w:rsid w:val="004B0763"/>
    <w:rsid w:val="004B2890"/>
    <w:rsid w:val="004B37FF"/>
    <w:rsid w:val="004B38E1"/>
    <w:rsid w:val="004B3FBF"/>
    <w:rsid w:val="004B461B"/>
    <w:rsid w:val="004B4C96"/>
    <w:rsid w:val="004C1AC1"/>
    <w:rsid w:val="004C2115"/>
    <w:rsid w:val="004C3826"/>
    <w:rsid w:val="004C4315"/>
    <w:rsid w:val="004C48A5"/>
    <w:rsid w:val="004C5D06"/>
    <w:rsid w:val="004C657C"/>
    <w:rsid w:val="004D026D"/>
    <w:rsid w:val="004D108A"/>
    <w:rsid w:val="004D159C"/>
    <w:rsid w:val="004D1EEB"/>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76D"/>
    <w:rsid w:val="00500716"/>
    <w:rsid w:val="00501E42"/>
    <w:rsid w:val="00503979"/>
    <w:rsid w:val="00503993"/>
    <w:rsid w:val="00503F9D"/>
    <w:rsid w:val="00507091"/>
    <w:rsid w:val="005074C4"/>
    <w:rsid w:val="005079CC"/>
    <w:rsid w:val="005109A0"/>
    <w:rsid w:val="0051414A"/>
    <w:rsid w:val="00514BD4"/>
    <w:rsid w:val="00514BFF"/>
    <w:rsid w:val="00514ED9"/>
    <w:rsid w:val="00515B5F"/>
    <w:rsid w:val="00515DAE"/>
    <w:rsid w:val="0051746B"/>
    <w:rsid w:val="00520036"/>
    <w:rsid w:val="0052348B"/>
    <w:rsid w:val="00526A64"/>
    <w:rsid w:val="00526BC4"/>
    <w:rsid w:val="00526FD1"/>
    <w:rsid w:val="00527339"/>
    <w:rsid w:val="00527FA8"/>
    <w:rsid w:val="0053045D"/>
    <w:rsid w:val="0053211B"/>
    <w:rsid w:val="00533D37"/>
    <w:rsid w:val="00534D9D"/>
    <w:rsid w:val="00534DF6"/>
    <w:rsid w:val="00535E8C"/>
    <w:rsid w:val="00535EE7"/>
    <w:rsid w:val="00537F42"/>
    <w:rsid w:val="00540BAC"/>
    <w:rsid w:val="00541207"/>
    <w:rsid w:val="005420EB"/>
    <w:rsid w:val="005434F9"/>
    <w:rsid w:val="0054367D"/>
    <w:rsid w:val="00544D62"/>
    <w:rsid w:val="0055167A"/>
    <w:rsid w:val="005516F8"/>
    <w:rsid w:val="00553AF5"/>
    <w:rsid w:val="00555F2F"/>
    <w:rsid w:val="00565284"/>
    <w:rsid w:val="00565332"/>
    <w:rsid w:val="00567B39"/>
    <w:rsid w:val="00572D9D"/>
    <w:rsid w:val="005742D7"/>
    <w:rsid w:val="005744E6"/>
    <w:rsid w:val="00574BBA"/>
    <w:rsid w:val="00574D57"/>
    <w:rsid w:val="00574E7C"/>
    <w:rsid w:val="005750FD"/>
    <w:rsid w:val="00575276"/>
    <w:rsid w:val="00576688"/>
    <w:rsid w:val="00576ADB"/>
    <w:rsid w:val="00576F91"/>
    <w:rsid w:val="005808CD"/>
    <w:rsid w:val="00580DCD"/>
    <w:rsid w:val="00581B33"/>
    <w:rsid w:val="00581EBB"/>
    <w:rsid w:val="00582473"/>
    <w:rsid w:val="0058443F"/>
    <w:rsid w:val="0058463D"/>
    <w:rsid w:val="005849C2"/>
    <w:rsid w:val="00586684"/>
    <w:rsid w:val="00587E75"/>
    <w:rsid w:val="00590DDD"/>
    <w:rsid w:val="00590E08"/>
    <w:rsid w:val="0059155C"/>
    <w:rsid w:val="005916A7"/>
    <w:rsid w:val="00591B6E"/>
    <w:rsid w:val="00592741"/>
    <w:rsid w:val="0059368B"/>
    <w:rsid w:val="00594308"/>
    <w:rsid w:val="00594AAF"/>
    <w:rsid w:val="00595B38"/>
    <w:rsid w:val="00597F38"/>
    <w:rsid w:val="005A1CF9"/>
    <w:rsid w:val="005A1D16"/>
    <w:rsid w:val="005A1F16"/>
    <w:rsid w:val="005A243A"/>
    <w:rsid w:val="005A2BF4"/>
    <w:rsid w:val="005A490C"/>
    <w:rsid w:val="005A4C2A"/>
    <w:rsid w:val="005A653E"/>
    <w:rsid w:val="005A6545"/>
    <w:rsid w:val="005A73AC"/>
    <w:rsid w:val="005B001C"/>
    <w:rsid w:val="005B2ADD"/>
    <w:rsid w:val="005B2AE8"/>
    <w:rsid w:val="005B334E"/>
    <w:rsid w:val="005B33D7"/>
    <w:rsid w:val="005B3F28"/>
    <w:rsid w:val="005B4724"/>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E2034"/>
    <w:rsid w:val="005E29CE"/>
    <w:rsid w:val="005E52D7"/>
    <w:rsid w:val="005E57A1"/>
    <w:rsid w:val="005E58B6"/>
    <w:rsid w:val="005E5990"/>
    <w:rsid w:val="005F0DE8"/>
    <w:rsid w:val="005F1FBE"/>
    <w:rsid w:val="005F39AE"/>
    <w:rsid w:val="005F4E6B"/>
    <w:rsid w:val="005F514C"/>
    <w:rsid w:val="005F57DC"/>
    <w:rsid w:val="005F5BAD"/>
    <w:rsid w:val="005F7EE3"/>
    <w:rsid w:val="00600C24"/>
    <w:rsid w:val="00600CDE"/>
    <w:rsid w:val="0060297E"/>
    <w:rsid w:val="00603253"/>
    <w:rsid w:val="00605580"/>
    <w:rsid w:val="00605798"/>
    <w:rsid w:val="00606DF4"/>
    <w:rsid w:val="00607327"/>
    <w:rsid w:val="006078B5"/>
    <w:rsid w:val="00615A3A"/>
    <w:rsid w:val="00615A8C"/>
    <w:rsid w:val="00615CB1"/>
    <w:rsid w:val="00615D77"/>
    <w:rsid w:val="00615D88"/>
    <w:rsid w:val="00615FEE"/>
    <w:rsid w:val="00615FF5"/>
    <w:rsid w:val="00616AB6"/>
    <w:rsid w:val="00616F0A"/>
    <w:rsid w:val="00617606"/>
    <w:rsid w:val="006178E4"/>
    <w:rsid w:val="00620B19"/>
    <w:rsid w:val="00621018"/>
    <w:rsid w:val="0062196D"/>
    <w:rsid w:val="006255CB"/>
    <w:rsid w:val="006258AD"/>
    <w:rsid w:val="00627509"/>
    <w:rsid w:val="00630E9A"/>
    <w:rsid w:val="00631C9C"/>
    <w:rsid w:val="0063477E"/>
    <w:rsid w:val="00642A83"/>
    <w:rsid w:val="00643083"/>
    <w:rsid w:val="006458B7"/>
    <w:rsid w:val="00645E63"/>
    <w:rsid w:val="00647880"/>
    <w:rsid w:val="0065003C"/>
    <w:rsid w:val="006515BC"/>
    <w:rsid w:val="00651A61"/>
    <w:rsid w:val="00653A11"/>
    <w:rsid w:val="00657F0C"/>
    <w:rsid w:val="006608B5"/>
    <w:rsid w:val="00660D6C"/>
    <w:rsid w:val="00660ECE"/>
    <w:rsid w:val="006610EE"/>
    <w:rsid w:val="00662EAD"/>
    <w:rsid w:val="00662FB7"/>
    <w:rsid w:val="006634B8"/>
    <w:rsid w:val="006663DD"/>
    <w:rsid w:val="006666D6"/>
    <w:rsid w:val="006676C8"/>
    <w:rsid w:val="006678AE"/>
    <w:rsid w:val="00670F1B"/>
    <w:rsid w:val="006710BE"/>
    <w:rsid w:val="00671F5F"/>
    <w:rsid w:val="00673387"/>
    <w:rsid w:val="00675513"/>
    <w:rsid w:val="00675E9D"/>
    <w:rsid w:val="00680617"/>
    <w:rsid w:val="00680FE3"/>
    <w:rsid w:val="006811C4"/>
    <w:rsid w:val="0068173F"/>
    <w:rsid w:val="006826A1"/>
    <w:rsid w:val="006826B6"/>
    <w:rsid w:val="006834AE"/>
    <w:rsid w:val="00683595"/>
    <w:rsid w:val="00684B10"/>
    <w:rsid w:val="00690293"/>
    <w:rsid w:val="00690437"/>
    <w:rsid w:val="006918CE"/>
    <w:rsid w:val="00691E94"/>
    <w:rsid w:val="0069233F"/>
    <w:rsid w:val="00694BC6"/>
    <w:rsid w:val="00696206"/>
    <w:rsid w:val="00696E55"/>
    <w:rsid w:val="00697A04"/>
    <w:rsid w:val="006A0925"/>
    <w:rsid w:val="006A25EB"/>
    <w:rsid w:val="006A29C1"/>
    <w:rsid w:val="006A2D38"/>
    <w:rsid w:val="006A6FAD"/>
    <w:rsid w:val="006B1826"/>
    <w:rsid w:val="006B347E"/>
    <w:rsid w:val="006B4275"/>
    <w:rsid w:val="006B43E1"/>
    <w:rsid w:val="006B5A69"/>
    <w:rsid w:val="006B6EFB"/>
    <w:rsid w:val="006B7556"/>
    <w:rsid w:val="006C0965"/>
    <w:rsid w:val="006C292A"/>
    <w:rsid w:val="006C2CEB"/>
    <w:rsid w:val="006C3097"/>
    <w:rsid w:val="006C4640"/>
    <w:rsid w:val="006C67C2"/>
    <w:rsid w:val="006D0769"/>
    <w:rsid w:val="006D17F0"/>
    <w:rsid w:val="006D206D"/>
    <w:rsid w:val="006D2487"/>
    <w:rsid w:val="006D2E11"/>
    <w:rsid w:val="006D2ED0"/>
    <w:rsid w:val="006D3D85"/>
    <w:rsid w:val="006D57FB"/>
    <w:rsid w:val="006D60A8"/>
    <w:rsid w:val="006D6D52"/>
    <w:rsid w:val="006D6F16"/>
    <w:rsid w:val="006D716D"/>
    <w:rsid w:val="006D75D9"/>
    <w:rsid w:val="006D7619"/>
    <w:rsid w:val="006E0232"/>
    <w:rsid w:val="006E02D0"/>
    <w:rsid w:val="006E1EC6"/>
    <w:rsid w:val="006E2A37"/>
    <w:rsid w:val="006E5428"/>
    <w:rsid w:val="006E6697"/>
    <w:rsid w:val="006E66C2"/>
    <w:rsid w:val="006E6A76"/>
    <w:rsid w:val="006F199F"/>
    <w:rsid w:val="006F204A"/>
    <w:rsid w:val="006F4BD2"/>
    <w:rsid w:val="006F4D44"/>
    <w:rsid w:val="006F4D8E"/>
    <w:rsid w:val="006F6EF9"/>
    <w:rsid w:val="006F79E1"/>
    <w:rsid w:val="006F7BCF"/>
    <w:rsid w:val="0070274F"/>
    <w:rsid w:val="00705B9C"/>
    <w:rsid w:val="00706011"/>
    <w:rsid w:val="00706481"/>
    <w:rsid w:val="00707D33"/>
    <w:rsid w:val="0071081E"/>
    <w:rsid w:val="007110E6"/>
    <w:rsid w:val="00711976"/>
    <w:rsid w:val="007130BE"/>
    <w:rsid w:val="00714030"/>
    <w:rsid w:val="007155D3"/>
    <w:rsid w:val="00716D7A"/>
    <w:rsid w:val="007177ED"/>
    <w:rsid w:val="0072161A"/>
    <w:rsid w:val="0072162A"/>
    <w:rsid w:val="0072166D"/>
    <w:rsid w:val="007217AF"/>
    <w:rsid w:val="00721B2F"/>
    <w:rsid w:val="00722D7A"/>
    <w:rsid w:val="007238F8"/>
    <w:rsid w:val="00725549"/>
    <w:rsid w:val="00726315"/>
    <w:rsid w:val="00726DAA"/>
    <w:rsid w:val="00732EEB"/>
    <w:rsid w:val="00735463"/>
    <w:rsid w:val="00737F4D"/>
    <w:rsid w:val="00741392"/>
    <w:rsid w:val="007413BB"/>
    <w:rsid w:val="00741B82"/>
    <w:rsid w:val="00742811"/>
    <w:rsid w:val="00746D48"/>
    <w:rsid w:val="00750E72"/>
    <w:rsid w:val="00753A41"/>
    <w:rsid w:val="00755AD7"/>
    <w:rsid w:val="00756864"/>
    <w:rsid w:val="00756985"/>
    <w:rsid w:val="00760CE8"/>
    <w:rsid w:val="00761697"/>
    <w:rsid w:val="007625EC"/>
    <w:rsid w:val="007658A6"/>
    <w:rsid w:val="00766BA8"/>
    <w:rsid w:val="00771F90"/>
    <w:rsid w:val="0077429E"/>
    <w:rsid w:val="00775996"/>
    <w:rsid w:val="0077688F"/>
    <w:rsid w:val="00776D43"/>
    <w:rsid w:val="00776D79"/>
    <w:rsid w:val="00776FB7"/>
    <w:rsid w:val="00777922"/>
    <w:rsid w:val="0078020B"/>
    <w:rsid w:val="00780248"/>
    <w:rsid w:val="0078028C"/>
    <w:rsid w:val="00780C8C"/>
    <w:rsid w:val="00781967"/>
    <w:rsid w:val="00782F72"/>
    <w:rsid w:val="0078358F"/>
    <w:rsid w:val="007843C4"/>
    <w:rsid w:val="007858E7"/>
    <w:rsid w:val="007874F1"/>
    <w:rsid w:val="007901FD"/>
    <w:rsid w:val="007902B1"/>
    <w:rsid w:val="0079068D"/>
    <w:rsid w:val="0079133C"/>
    <w:rsid w:val="00791704"/>
    <w:rsid w:val="00791981"/>
    <w:rsid w:val="00791DD1"/>
    <w:rsid w:val="00792A2F"/>
    <w:rsid w:val="00792B38"/>
    <w:rsid w:val="00793519"/>
    <w:rsid w:val="00794412"/>
    <w:rsid w:val="00796128"/>
    <w:rsid w:val="0079723B"/>
    <w:rsid w:val="007973AE"/>
    <w:rsid w:val="00797420"/>
    <w:rsid w:val="00797B10"/>
    <w:rsid w:val="00797B55"/>
    <w:rsid w:val="007A0069"/>
    <w:rsid w:val="007A1AD8"/>
    <w:rsid w:val="007A1E51"/>
    <w:rsid w:val="007A339A"/>
    <w:rsid w:val="007A3DB5"/>
    <w:rsid w:val="007A5422"/>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22F2"/>
    <w:rsid w:val="007E42C7"/>
    <w:rsid w:val="007E57D0"/>
    <w:rsid w:val="007E63F4"/>
    <w:rsid w:val="007E71AC"/>
    <w:rsid w:val="007E7FB0"/>
    <w:rsid w:val="007F400E"/>
    <w:rsid w:val="007F75CB"/>
    <w:rsid w:val="007F76E5"/>
    <w:rsid w:val="00802A3E"/>
    <w:rsid w:val="00802B57"/>
    <w:rsid w:val="0080308A"/>
    <w:rsid w:val="00804239"/>
    <w:rsid w:val="008044DB"/>
    <w:rsid w:val="0080482F"/>
    <w:rsid w:val="0080578A"/>
    <w:rsid w:val="00806267"/>
    <w:rsid w:val="00806712"/>
    <w:rsid w:val="00806E98"/>
    <w:rsid w:val="00806F56"/>
    <w:rsid w:val="00807B70"/>
    <w:rsid w:val="00807DB8"/>
    <w:rsid w:val="0081007A"/>
    <w:rsid w:val="00810FF3"/>
    <w:rsid w:val="0081143C"/>
    <w:rsid w:val="00812A05"/>
    <w:rsid w:val="00812B7C"/>
    <w:rsid w:val="0081357E"/>
    <w:rsid w:val="00814AD0"/>
    <w:rsid w:val="00814EE4"/>
    <w:rsid w:val="00815694"/>
    <w:rsid w:val="008166DC"/>
    <w:rsid w:val="008176FC"/>
    <w:rsid w:val="008202F7"/>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9C7"/>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C4"/>
    <w:rsid w:val="00880928"/>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7736"/>
    <w:rsid w:val="008B0A27"/>
    <w:rsid w:val="008B2920"/>
    <w:rsid w:val="008B494B"/>
    <w:rsid w:val="008B6030"/>
    <w:rsid w:val="008C1D66"/>
    <w:rsid w:val="008C3FDD"/>
    <w:rsid w:val="008C44CD"/>
    <w:rsid w:val="008C5D51"/>
    <w:rsid w:val="008C5D63"/>
    <w:rsid w:val="008C7A40"/>
    <w:rsid w:val="008D22A7"/>
    <w:rsid w:val="008D324A"/>
    <w:rsid w:val="008D5A50"/>
    <w:rsid w:val="008D5BAB"/>
    <w:rsid w:val="008E0543"/>
    <w:rsid w:val="008E1091"/>
    <w:rsid w:val="008E158C"/>
    <w:rsid w:val="008E1CBB"/>
    <w:rsid w:val="008E1EB9"/>
    <w:rsid w:val="008E686B"/>
    <w:rsid w:val="008E7B9E"/>
    <w:rsid w:val="008F0485"/>
    <w:rsid w:val="008F2B67"/>
    <w:rsid w:val="008F301F"/>
    <w:rsid w:val="008F3F16"/>
    <w:rsid w:val="008F55A4"/>
    <w:rsid w:val="008F6B64"/>
    <w:rsid w:val="00900885"/>
    <w:rsid w:val="00901A1C"/>
    <w:rsid w:val="00902F8A"/>
    <w:rsid w:val="009038A9"/>
    <w:rsid w:val="00904908"/>
    <w:rsid w:val="00906BCC"/>
    <w:rsid w:val="00906FAE"/>
    <w:rsid w:val="009078A9"/>
    <w:rsid w:val="00907CE5"/>
    <w:rsid w:val="0091007F"/>
    <w:rsid w:val="009103AF"/>
    <w:rsid w:val="009112F8"/>
    <w:rsid w:val="009126DC"/>
    <w:rsid w:val="0091365E"/>
    <w:rsid w:val="00916842"/>
    <w:rsid w:val="009170D7"/>
    <w:rsid w:val="00917BD8"/>
    <w:rsid w:val="00917FC7"/>
    <w:rsid w:val="0092003A"/>
    <w:rsid w:val="009215FD"/>
    <w:rsid w:val="00921C98"/>
    <w:rsid w:val="0092441A"/>
    <w:rsid w:val="0092530C"/>
    <w:rsid w:val="00931E59"/>
    <w:rsid w:val="009322F2"/>
    <w:rsid w:val="0093328E"/>
    <w:rsid w:val="00933BB5"/>
    <w:rsid w:val="0093725F"/>
    <w:rsid w:val="0093799E"/>
    <w:rsid w:val="00937E33"/>
    <w:rsid w:val="009416F5"/>
    <w:rsid w:val="009446EA"/>
    <w:rsid w:val="00945740"/>
    <w:rsid w:val="00947445"/>
    <w:rsid w:val="00947F7B"/>
    <w:rsid w:val="009502CE"/>
    <w:rsid w:val="0095220B"/>
    <w:rsid w:val="00952316"/>
    <w:rsid w:val="00952B7C"/>
    <w:rsid w:val="00954215"/>
    <w:rsid w:val="00954991"/>
    <w:rsid w:val="00954A84"/>
    <w:rsid w:val="009564A8"/>
    <w:rsid w:val="00956EEC"/>
    <w:rsid w:val="0096225A"/>
    <w:rsid w:val="0096392F"/>
    <w:rsid w:val="00966E51"/>
    <w:rsid w:val="00967D6D"/>
    <w:rsid w:val="00971B64"/>
    <w:rsid w:val="00972D70"/>
    <w:rsid w:val="00975CC7"/>
    <w:rsid w:val="00976F41"/>
    <w:rsid w:val="00977E64"/>
    <w:rsid w:val="00980278"/>
    <w:rsid w:val="00980425"/>
    <w:rsid w:val="0098068D"/>
    <w:rsid w:val="009814E6"/>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148"/>
    <w:rsid w:val="009A2B5A"/>
    <w:rsid w:val="009A31EF"/>
    <w:rsid w:val="009A4121"/>
    <w:rsid w:val="009A546A"/>
    <w:rsid w:val="009B1724"/>
    <w:rsid w:val="009B245D"/>
    <w:rsid w:val="009B28D6"/>
    <w:rsid w:val="009B40B4"/>
    <w:rsid w:val="009B4837"/>
    <w:rsid w:val="009B78C4"/>
    <w:rsid w:val="009B7F8D"/>
    <w:rsid w:val="009C09A4"/>
    <w:rsid w:val="009C2DD9"/>
    <w:rsid w:val="009C3A0D"/>
    <w:rsid w:val="009C43E2"/>
    <w:rsid w:val="009C614B"/>
    <w:rsid w:val="009C6B5D"/>
    <w:rsid w:val="009C6CE7"/>
    <w:rsid w:val="009C7129"/>
    <w:rsid w:val="009D0202"/>
    <w:rsid w:val="009D0769"/>
    <w:rsid w:val="009D0F6C"/>
    <w:rsid w:val="009D1438"/>
    <w:rsid w:val="009D15E4"/>
    <w:rsid w:val="009D17C2"/>
    <w:rsid w:val="009D23AF"/>
    <w:rsid w:val="009D26AB"/>
    <w:rsid w:val="009D45C5"/>
    <w:rsid w:val="009D651E"/>
    <w:rsid w:val="009D7AE8"/>
    <w:rsid w:val="009E02DD"/>
    <w:rsid w:val="009E2872"/>
    <w:rsid w:val="009E4A14"/>
    <w:rsid w:val="009F0D5B"/>
    <w:rsid w:val="009F1A2B"/>
    <w:rsid w:val="009F307D"/>
    <w:rsid w:val="009F34AE"/>
    <w:rsid w:val="009F451D"/>
    <w:rsid w:val="009F5729"/>
    <w:rsid w:val="009F5B4F"/>
    <w:rsid w:val="00A02D0F"/>
    <w:rsid w:val="00A0774C"/>
    <w:rsid w:val="00A109F3"/>
    <w:rsid w:val="00A11BF8"/>
    <w:rsid w:val="00A12A90"/>
    <w:rsid w:val="00A16523"/>
    <w:rsid w:val="00A17773"/>
    <w:rsid w:val="00A20344"/>
    <w:rsid w:val="00A207CA"/>
    <w:rsid w:val="00A20826"/>
    <w:rsid w:val="00A21216"/>
    <w:rsid w:val="00A232AC"/>
    <w:rsid w:val="00A252F2"/>
    <w:rsid w:val="00A26BD0"/>
    <w:rsid w:val="00A2781F"/>
    <w:rsid w:val="00A30EB8"/>
    <w:rsid w:val="00A31043"/>
    <w:rsid w:val="00A31E66"/>
    <w:rsid w:val="00A328DA"/>
    <w:rsid w:val="00A32A15"/>
    <w:rsid w:val="00A33E4A"/>
    <w:rsid w:val="00A363F2"/>
    <w:rsid w:val="00A368E9"/>
    <w:rsid w:val="00A371FA"/>
    <w:rsid w:val="00A37A66"/>
    <w:rsid w:val="00A40AD6"/>
    <w:rsid w:val="00A41899"/>
    <w:rsid w:val="00A43AE8"/>
    <w:rsid w:val="00A45284"/>
    <w:rsid w:val="00A4626E"/>
    <w:rsid w:val="00A4697B"/>
    <w:rsid w:val="00A471C4"/>
    <w:rsid w:val="00A47A1D"/>
    <w:rsid w:val="00A47A54"/>
    <w:rsid w:val="00A47BE5"/>
    <w:rsid w:val="00A51FC5"/>
    <w:rsid w:val="00A55BEB"/>
    <w:rsid w:val="00A5697C"/>
    <w:rsid w:val="00A56C74"/>
    <w:rsid w:val="00A60EBA"/>
    <w:rsid w:val="00A61895"/>
    <w:rsid w:val="00A6241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812D4"/>
    <w:rsid w:val="00A81B80"/>
    <w:rsid w:val="00A81B88"/>
    <w:rsid w:val="00A83127"/>
    <w:rsid w:val="00A843E9"/>
    <w:rsid w:val="00A846F3"/>
    <w:rsid w:val="00A84E99"/>
    <w:rsid w:val="00A86177"/>
    <w:rsid w:val="00A86647"/>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7214"/>
    <w:rsid w:val="00AD058B"/>
    <w:rsid w:val="00AD0D8E"/>
    <w:rsid w:val="00AD0FDB"/>
    <w:rsid w:val="00AD265D"/>
    <w:rsid w:val="00AD392E"/>
    <w:rsid w:val="00AD3DB5"/>
    <w:rsid w:val="00AD568E"/>
    <w:rsid w:val="00AD5F6E"/>
    <w:rsid w:val="00AD5F7B"/>
    <w:rsid w:val="00AD6148"/>
    <w:rsid w:val="00AD6CA7"/>
    <w:rsid w:val="00AD7755"/>
    <w:rsid w:val="00AE0192"/>
    <w:rsid w:val="00AE18B3"/>
    <w:rsid w:val="00AE2D81"/>
    <w:rsid w:val="00AE374E"/>
    <w:rsid w:val="00AE37BC"/>
    <w:rsid w:val="00AE4511"/>
    <w:rsid w:val="00AE5FB0"/>
    <w:rsid w:val="00AE619F"/>
    <w:rsid w:val="00AE64B0"/>
    <w:rsid w:val="00AE6811"/>
    <w:rsid w:val="00AE7A6B"/>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0767"/>
    <w:rsid w:val="00B2265E"/>
    <w:rsid w:val="00B26342"/>
    <w:rsid w:val="00B2681C"/>
    <w:rsid w:val="00B3087A"/>
    <w:rsid w:val="00B31A8E"/>
    <w:rsid w:val="00B325F5"/>
    <w:rsid w:val="00B32D75"/>
    <w:rsid w:val="00B3361F"/>
    <w:rsid w:val="00B339CD"/>
    <w:rsid w:val="00B342AC"/>
    <w:rsid w:val="00B410F3"/>
    <w:rsid w:val="00B42710"/>
    <w:rsid w:val="00B4397A"/>
    <w:rsid w:val="00B51895"/>
    <w:rsid w:val="00B53B8E"/>
    <w:rsid w:val="00B575B4"/>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411D"/>
    <w:rsid w:val="00B7692A"/>
    <w:rsid w:val="00B7737D"/>
    <w:rsid w:val="00B774A4"/>
    <w:rsid w:val="00B80FAF"/>
    <w:rsid w:val="00B836ED"/>
    <w:rsid w:val="00B848C9"/>
    <w:rsid w:val="00B85D36"/>
    <w:rsid w:val="00B92A02"/>
    <w:rsid w:val="00B93E09"/>
    <w:rsid w:val="00B93EE0"/>
    <w:rsid w:val="00B96BFE"/>
    <w:rsid w:val="00BA0940"/>
    <w:rsid w:val="00BA267A"/>
    <w:rsid w:val="00BA3A0E"/>
    <w:rsid w:val="00BA3D0B"/>
    <w:rsid w:val="00BA5A0C"/>
    <w:rsid w:val="00BB010E"/>
    <w:rsid w:val="00BB0244"/>
    <w:rsid w:val="00BB308A"/>
    <w:rsid w:val="00BB3744"/>
    <w:rsid w:val="00BB3C1A"/>
    <w:rsid w:val="00BB4764"/>
    <w:rsid w:val="00BB53C4"/>
    <w:rsid w:val="00BB69E5"/>
    <w:rsid w:val="00BB6A0E"/>
    <w:rsid w:val="00BB6B48"/>
    <w:rsid w:val="00BC01F0"/>
    <w:rsid w:val="00BC0C41"/>
    <w:rsid w:val="00BC0DC6"/>
    <w:rsid w:val="00BC0E07"/>
    <w:rsid w:val="00BC4A3D"/>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D0"/>
    <w:rsid w:val="00BF0BE6"/>
    <w:rsid w:val="00BF216C"/>
    <w:rsid w:val="00BF26A0"/>
    <w:rsid w:val="00BF2C7B"/>
    <w:rsid w:val="00C029C7"/>
    <w:rsid w:val="00C02C22"/>
    <w:rsid w:val="00C0397A"/>
    <w:rsid w:val="00C0411A"/>
    <w:rsid w:val="00C0469F"/>
    <w:rsid w:val="00C04EB8"/>
    <w:rsid w:val="00C0522E"/>
    <w:rsid w:val="00C0691C"/>
    <w:rsid w:val="00C06B4F"/>
    <w:rsid w:val="00C10261"/>
    <w:rsid w:val="00C10A32"/>
    <w:rsid w:val="00C1271B"/>
    <w:rsid w:val="00C13441"/>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67B8"/>
    <w:rsid w:val="00C42ED0"/>
    <w:rsid w:val="00C43831"/>
    <w:rsid w:val="00C43D0A"/>
    <w:rsid w:val="00C44D97"/>
    <w:rsid w:val="00C50936"/>
    <w:rsid w:val="00C511E0"/>
    <w:rsid w:val="00C516E6"/>
    <w:rsid w:val="00C52045"/>
    <w:rsid w:val="00C53A87"/>
    <w:rsid w:val="00C543CC"/>
    <w:rsid w:val="00C5456A"/>
    <w:rsid w:val="00C54940"/>
    <w:rsid w:val="00C551A9"/>
    <w:rsid w:val="00C56034"/>
    <w:rsid w:val="00C57126"/>
    <w:rsid w:val="00C57D8A"/>
    <w:rsid w:val="00C60A25"/>
    <w:rsid w:val="00C62546"/>
    <w:rsid w:val="00C62BAD"/>
    <w:rsid w:val="00C63980"/>
    <w:rsid w:val="00C63E32"/>
    <w:rsid w:val="00C643E9"/>
    <w:rsid w:val="00C6489F"/>
    <w:rsid w:val="00C64B6F"/>
    <w:rsid w:val="00C64F9A"/>
    <w:rsid w:val="00C64FF0"/>
    <w:rsid w:val="00C6683F"/>
    <w:rsid w:val="00C670E1"/>
    <w:rsid w:val="00C671D7"/>
    <w:rsid w:val="00C6771C"/>
    <w:rsid w:val="00C70F99"/>
    <w:rsid w:val="00C71F57"/>
    <w:rsid w:val="00C73800"/>
    <w:rsid w:val="00C73A02"/>
    <w:rsid w:val="00C73CD0"/>
    <w:rsid w:val="00C753CF"/>
    <w:rsid w:val="00C75B14"/>
    <w:rsid w:val="00C75CAA"/>
    <w:rsid w:val="00C777BC"/>
    <w:rsid w:val="00C80059"/>
    <w:rsid w:val="00C80084"/>
    <w:rsid w:val="00C80395"/>
    <w:rsid w:val="00C8049E"/>
    <w:rsid w:val="00C824C3"/>
    <w:rsid w:val="00C83756"/>
    <w:rsid w:val="00C852E7"/>
    <w:rsid w:val="00C8628A"/>
    <w:rsid w:val="00C865CD"/>
    <w:rsid w:val="00C865E0"/>
    <w:rsid w:val="00C877FD"/>
    <w:rsid w:val="00C87E29"/>
    <w:rsid w:val="00C900DB"/>
    <w:rsid w:val="00C9223F"/>
    <w:rsid w:val="00C93759"/>
    <w:rsid w:val="00C9424E"/>
    <w:rsid w:val="00C943D1"/>
    <w:rsid w:val="00C9621E"/>
    <w:rsid w:val="00C972F7"/>
    <w:rsid w:val="00CA18DB"/>
    <w:rsid w:val="00CA220D"/>
    <w:rsid w:val="00CA22E2"/>
    <w:rsid w:val="00CA37ED"/>
    <w:rsid w:val="00CA56C6"/>
    <w:rsid w:val="00CA5F3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8B9"/>
    <w:rsid w:val="00CC4D1A"/>
    <w:rsid w:val="00CC5DFD"/>
    <w:rsid w:val="00CC6844"/>
    <w:rsid w:val="00CC7C8D"/>
    <w:rsid w:val="00CC7E95"/>
    <w:rsid w:val="00CD13E5"/>
    <w:rsid w:val="00CD1BD3"/>
    <w:rsid w:val="00CD3320"/>
    <w:rsid w:val="00CD4094"/>
    <w:rsid w:val="00CD66F3"/>
    <w:rsid w:val="00CD6D6B"/>
    <w:rsid w:val="00CE1480"/>
    <w:rsid w:val="00CE1D79"/>
    <w:rsid w:val="00CE29FE"/>
    <w:rsid w:val="00CE4166"/>
    <w:rsid w:val="00CE4F8B"/>
    <w:rsid w:val="00CE597D"/>
    <w:rsid w:val="00CE7370"/>
    <w:rsid w:val="00CE7998"/>
    <w:rsid w:val="00CE7F74"/>
    <w:rsid w:val="00CF03A8"/>
    <w:rsid w:val="00CF0C5D"/>
    <w:rsid w:val="00CF32AB"/>
    <w:rsid w:val="00CF359A"/>
    <w:rsid w:val="00CF3790"/>
    <w:rsid w:val="00CF3B66"/>
    <w:rsid w:val="00CF4F42"/>
    <w:rsid w:val="00CF57C7"/>
    <w:rsid w:val="00CF6AD3"/>
    <w:rsid w:val="00CF6B61"/>
    <w:rsid w:val="00CF7537"/>
    <w:rsid w:val="00CF7C58"/>
    <w:rsid w:val="00D043BC"/>
    <w:rsid w:val="00D05563"/>
    <w:rsid w:val="00D07B94"/>
    <w:rsid w:val="00D07EC2"/>
    <w:rsid w:val="00D10778"/>
    <w:rsid w:val="00D10FA1"/>
    <w:rsid w:val="00D11A6D"/>
    <w:rsid w:val="00D147F5"/>
    <w:rsid w:val="00D14C5D"/>
    <w:rsid w:val="00D14DD7"/>
    <w:rsid w:val="00D154BD"/>
    <w:rsid w:val="00D15929"/>
    <w:rsid w:val="00D15A2A"/>
    <w:rsid w:val="00D16868"/>
    <w:rsid w:val="00D21563"/>
    <w:rsid w:val="00D2719E"/>
    <w:rsid w:val="00D27B3D"/>
    <w:rsid w:val="00D3051E"/>
    <w:rsid w:val="00D32097"/>
    <w:rsid w:val="00D33009"/>
    <w:rsid w:val="00D33ACD"/>
    <w:rsid w:val="00D348E4"/>
    <w:rsid w:val="00D36BF8"/>
    <w:rsid w:val="00D40DAB"/>
    <w:rsid w:val="00D4171F"/>
    <w:rsid w:val="00D4196D"/>
    <w:rsid w:val="00D45FF2"/>
    <w:rsid w:val="00D51146"/>
    <w:rsid w:val="00D5147E"/>
    <w:rsid w:val="00D51890"/>
    <w:rsid w:val="00D51B09"/>
    <w:rsid w:val="00D53155"/>
    <w:rsid w:val="00D53BD8"/>
    <w:rsid w:val="00D5413D"/>
    <w:rsid w:val="00D5437E"/>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196F"/>
    <w:rsid w:val="00D825C7"/>
    <w:rsid w:val="00D84E2B"/>
    <w:rsid w:val="00D87747"/>
    <w:rsid w:val="00D87CA4"/>
    <w:rsid w:val="00D90384"/>
    <w:rsid w:val="00D90C34"/>
    <w:rsid w:val="00D91763"/>
    <w:rsid w:val="00D93BE3"/>
    <w:rsid w:val="00D94390"/>
    <w:rsid w:val="00D9542E"/>
    <w:rsid w:val="00D957EA"/>
    <w:rsid w:val="00D958E3"/>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3C84"/>
    <w:rsid w:val="00DD40E2"/>
    <w:rsid w:val="00DD41C8"/>
    <w:rsid w:val="00DD6237"/>
    <w:rsid w:val="00DE135B"/>
    <w:rsid w:val="00DE31AD"/>
    <w:rsid w:val="00DE5929"/>
    <w:rsid w:val="00DE714A"/>
    <w:rsid w:val="00DF27CE"/>
    <w:rsid w:val="00DF2CB8"/>
    <w:rsid w:val="00DF3A66"/>
    <w:rsid w:val="00DF3E32"/>
    <w:rsid w:val="00DF73AC"/>
    <w:rsid w:val="00DF7613"/>
    <w:rsid w:val="00E007C7"/>
    <w:rsid w:val="00E009AC"/>
    <w:rsid w:val="00E02C79"/>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3F"/>
    <w:rsid w:val="00E237D1"/>
    <w:rsid w:val="00E2410B"/>
    <w:rsid w:val="00E244B4"/>
    <w:rsid w:val="00E2520C"/>
    <w:rsid w:val="00E254F3"/>
    <w:rsid w:val="00E2793E"/>
    <w:rsid w:val="00E3384C"/>
    <w:rsid w:val="00E34C2E"/>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A75"/>
    <w:rsid w:val="00E53C61"/>
    <w:rsid w:val="00E53E59"/>
    <w:rsid w:val="00E53E98"/>
    <w:rsid w:val="00E541F4"/>
    <w:rsid w:val="00E54ADA"/>
    <w:rsid w:val="00E5508A"/>
    <w:rsid w:val="00E550A8"/>
    <w:rsid w:val="00E55EFF"/>
    <w:rsid w:val="00E57A94"/>
    <w:rsid w:val="00E60466"/>
    <w:rsid w:val="00E604F7"/>
    <w:rsid w:val="00E60523"/>
    <w:rsid w:val="00E60C67"/>
    <w:rsid w:val="00E60D4C"/>
    <w:rsid w:val="00E61418"/>
    <w:rsid w:val="00E63323"/>
    <w:rsid w:val="00E64767"/>
    <w:rsid w:val="00E6504B"/>
    <w:rsid w:val="00E65EE0"/>
    <w:rsid w:val="00E66160"/>
    <w:rsid w:val="00E67F31"/>
    <w:rsid w:val="00E70DE5"/>
    <w:rsid w:val="00E71E31"/>
    <w:rsid w:val="00E725B1"/>
    <w:rsid w:val="00E73012"/>
    <w:rsid w:val="00E758A6"/>
    <w:rsid w:val="00E76B97"/>
    <w:rsid w:val="00E777F8"/>
    <w:rsid w:val="00E827B3"/>
    <w:rsid w:val="00E84296"/>
    <w:rsid w:val="00E84B03"/>
    <w:rsid w:val="00E84BAD"/>
    <w:rsid w:val="00E87035"/>
    <w:rsid w:val="00E87A93"/>
    <w:rsid w:val="00E87B10"/>
    <w:rsid w:val="00E902AB"/>
    <w:rsid w:val="00E90C53"/>
    <w:rsid w:val="00E90F78"/>
    <w:rsid w:val="00E91A36"/>
    <w:rsid w:val="00E91DF8"/>
    <w:rsid w:val="00E92A40"/>
    <w:rsid w:val="00E9308B"/>
    <w:rsid w:val="00E93471"/>
    <w:rsid w:val="00E93DB2"/>
    <w:rsid w:val="00E958B5"/>
    <w:rsid w:val="00E95A75"/>
    <w:rsid w:val="00E95EBC"/>
    <w:rsid w:val="00EA0256"/>
    <w:rsid w:val="00EA0D87"/>
    <w:rsid w:val="00EA1043"/>
    <w:rsid w:val="00EA15EC"/>
    <w:rsid w:val="00EA1E56"/>
    <w:rsid w:val="00EA2847"/>
    <w:rsid w:val="00EA2EC2"/>
    <w:rsid w:val="00EA39E8"/>
    <w:rsid w:val="00EA3E5B"/>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EDE"/>
    <w:rsid w:val="00EC4AF7"/>
    <w:rsid w:val="00ED00DE"/>
    <w:rsid w:val="00ED048F"/>
    <w:rsid w:val="00ED0A8D"/>
    <w:rsid w:val="00ED5E84"/>
    <w:rsid w:val="00ED66F9"/>
    <w:rsid w:val="00EE082D"/>
    <w:rsid w:val="00EE08C5"/>
    <w:rsid w:val="00EE442B"/>
    <w:rsid w:val="00EE4827"/>
    <w:rsid w:val="00EF0DBD"/>
    <w:rsid w:val="00EF12AC"/>
    <w:rsid w:val="00EF21E2"/>
    <w:rsid w:val="00EF2C8E"/>
    <w:rsid w:val="00EF2D06"/>
    <w:rsid w:val="00EF2E76"/>
    <w:rsid w:val="00EF5393"/>
    <w:rsid w:val="00EF5990"/>
    <w:rsid w:val="00EF692D"/>
    <w:rsid w:val="00EF6A09"/>
    <w:rsid w:val="00EF72A1"/>
    <w:rsid w:val="00EF738B"/>
    <w:rsid w:val="00F01548"/>
    <w:rsid w:val="00F01774"/>
    <w:rsid w:val="00F01D83"/>
    <w:rsid w:val="00F01FD0"/>
    <w:rsid w:val="00F02E1C"/>
    <w:rsid w:val="00F0387E"/>
    <w:rsid w:val="00F03B43"/>
    <w:rsid w:val="00F040F9"/>
    <w:rsid w:val="00F06541"/>
    <w:rsid w:val="00F070D6"/>
    <w:rsid w:val="00F07F4E"/>
    <w:rsid w:val="00F11730"/>
    <w:rsid w:val="00F133E1"/>
    <w:rsid w:val="00F1444B"/>
    <w:rsid w:val="00F15D19"/>
    <w:rsid w:val="00F16046"/>
    <w:rsid w:val="00F173FD"/>
    <w:rsid w:val="00F20368"/>
    <w:rsid w:val="00F2058B"/>
    <w:rsid w:val="00F20DB4"/>
    <w:rsid w:val="00F212BA"/>
    <w:rsid w:val="00F22284"/>
    <w:rsid w:val="00F229F9"/>
    <w:rsid w:val="00F2372B"/>
    <w:rsid w:val="00F2776C"/>
    <w:rsid w:val="00F27C7B"/>
    <w:rsid w:val="00F30800"/>
    <w:rsid w:val="00F30825"/>
    <w:rsid w:val="00F30B86"/>
    <w:rsid w:val="00F30E59"/>
    <w:rsid w:val="00F3162C"/>
    <w:rsid w:val="00F32027"/>
    <w:rsid w:val="00F32A82"/>
    <w:rsid w:val="00F32FFD"/>
    <w:rsid w:val="00F34BD1"/>
    <w:rsid w:val="00F3545D"/>
    <w:rsid w:val="00F3659C"/>
    <w:rsid w:val="00F370D1"/>
    <w:rsid w:val="00F37941"/>
    <w:rsid w:val="00F418C6"/>
    <w:rsid w:val="00F432E5"/>
    <w:rsid w:val="00F45E58"/>
    <w:rsid w:val="00F46173"/>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67D5B"/>
    <w:rsid w:val="00F70310"/>
    <w:rsid w:val="00F71912"/>
    <w:rsid w:val="00F735BB"/>
    <w:rsid w:val="00F74937"/>
    <w:rsid w:val="00F7496A"/>
    <w:rsid w:val="00F774C1"/>
    <w:rsid w:val="00F809BC"/>
    <w:rsid w:val="00F82A79"/>
    <w:rsid w:val="00F8318B"/>
    <w:rsid w:val="00F83599"/>
    <w:rsid w:val="00F83C00"/>
    <w:rsid w:val="00F841C9"/>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1886"/>
    <w:rsid w:val="00FA1977"/>
    <w:rsid w:val="00FA37F1"/>
    <w:rsid w:val="00FA5692"/>
    <w:rsid w:val="00FA7364"/>
    <w:rsid w:val="00FA7C6D"/>
    <w:rsid w:val="00FB03EA"/>
    <w:rsid w:val="00FB1962"/>
    <w:rsid w:val="00FB4F84"/>
    <w:rsid w:val="00FB52F3"/>
    <w:rsid w:val="00FB556B"/>
    <w:rsid w:val="00FB6B74"/>
    <w:rsid w:val="00FB7598"/>
    <w:rsid w:val="00FB7C17"/>
    <w:rsid w:val="00FC0D33"/>
    <w:rsid w:val="00FC149E"/>
    <w:rsid w:val="00FC1D4F"/>
    <w:rsid w:val="00FC2BA3"/>
    <w:rsid w:val="00FC32E3"/>
    <w:rsid w:val="00FC5A5D"/>
    <w:rsid w:val="00FC6C75"/>
    <w:rsid w:val="00FC71D7"/>
    <w:rsid w:val="00FC79E0"/>
    <w:rsid w:val="00FD0D5B"/>
    <w:rsid w:val="00FD1195"/>
    <w:rsid w:val="00FD194D"/>
    <w:rsid w:val="00FD2879"/>
    <w:rsid w:val="00FD3250"/>
    <w:rsid w:val="00FD3BD9"/>
    <w:rsid w:val="00FD73F6"/>
    <w:rsid w:val="00FD7698"/>
    <w:rsid w:val="00FD7DAF"/>
    <w:rsid w:val="00FE0078"/>
    <w:rsid w:val="00FE085B"/>
    <w:rsid w:val="00FE11A8"/>
    <w:rsid w:val="00FE1F6A"/>
    <w:rsid w:val="00FE3B4E"/>
    <w:rsid w:val="00FE5C15"/>
    <w:rsid w:val="00FE7B4F"/>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4BE87"/>
  <w15:docId w15:val="{E229E99C-BE1B-4272-A511-44F80AB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TAC"/>
    <w:rsid w:val="002E3857"/>
    <w:rPr>
      <w:b/>
    </w:rPr>
  </w:style>
  <w:style w:type="paragraph" w:customStyle="1" w:styleId="TAC">
    <w:name w:val="TAC"/>
    <w:basedOn w:val="Normal"/>
    <w:rsid w:val="002E3857"/>
    <w:pPr>
      <w:keepNext/>
      <w:keepLines/>
      <w:spacing w:after="0"/>
      <w:jc w:val="center"/>
    </w:pPr>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oleObject" Target="embeddings/oleObject8.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oleObject" Target="embeddings/oleObject38.bin"/><Relationship Id="rId68" Type="http://schemas.openxmlformats.org/officeDocument/2006/relationships/oleObject" Target="embeddings/oleObject43.bin"/><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oleObject" Target="embeddings/oleObject33.bin"/><Relationship Id="rId66" Type="http://schemas.openxmlformats.org/officeDocument/2006/relationships/oleObject" Target="embeddings/oleObject41.bin"/><Relationship Id="rId74" Type="http://schemas.openxmlformats.org/officeDocument/2006/relationships/oleObject" Target="embeddings/oleObject4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oleObject" Target="embeddings/oleObject24.bin"/><Relationship Id="rId57" Type="http://schemas.openxmlformats.org/officeDocument/2006/relationships/oleObject" Target="embeddings/oleObject32.bin"/><Relationship Id="rId61" Type="http://schemas.openxmlformats.org/officeDocument/2006/relationships/oleObject" Target="embeddings/oleObject36.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7.bin"/><Relationship Id="rId60" Type="http://schemas.openxmlformats.org/officeDocument/2006/relationships/oleObject" Target="embeddings/oleObject35.bin"/><Relationship Id="rId65" Type="http://schemas.openxmlformats.org/officeDocument/2006/relationships/oleObject" Target="embeddings/oleObject40.bin"/><Relationship Id="rId73" Type="http://schemas.openxmlformats.org/officeDocument/2006/relationships/oleObject" Target="embeddings/oleObject48.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3.bin"/><Relationship Id="rId56" Type="http://schemas.openxmlformats.org/officeDocument/2006/relationships/oleObject" Target="embeddings/oleObject31.bin"/><Relationship Id="rId64" Type="http://schemas.openxmlformats.org/officeDocument/2006/relationships/oleObject" Target="embeddings/oleObject39.bin"/><Relationship Id="rId69" Type="http://schemas.openxmlformats.org/officeDocument/2006/relationships/oleObject" Target="embeddings/oleObject44.bin"/><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1.bin"/><Relationship Id="rId59" Type="http://schemas.openxmlformats.org/officeDocument/2006/relationships/oleObject" Target="embeddings/oleObject34.bin"/><Relationship Id="rId67" Type="http://schemas.openxmlformats.org/officeDocument/2006/relationships/oleObject" Target="embeddings/oleObject42.bin"/><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oleObject" Target="embeddings/oleObject29.bin"/><Relationship Id="rId62" Type="http://schemas.openxmlformats.org/officeDocument/2006/relationships/oleObject" Target="embeddings/oleObject37.bin"/><Relationship Id="rId70" Type="http://schemas.openxmlformats.org/officeDocument/2006/relationships/oleObject" Target="embeddings/oleObject45.bin"/><Relationship Id="rId75" Type="http://schemas.openxmlformats.org/officeDocument/2006/relationships/oleObject" Target="embeddings/oleObject50.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58DE1-3800-42A9-B696-EE575E651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1372</TotalTime>
  <Pages>5</Pages>
  <Words>2095</Words>
  <Characters>11946</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162</cp:revision>
  <cp:lastPrinted>2012-03-15T10:36:00Z</cp:lastPrinted>
  <dcterms:created xsi:type="dcterms:W3CDTF">2016-03-31T10:20:00Z</dcterms:created>
  <dcterms:modified xsi:type="dcterms:W3CDTF">2016-08-12T19:16:00Z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