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6C4" w:rsidRPr="008566C4" w:rsidRDefault="008566C4" w:rsidP="008566C4">
      <w:pPr>
        <w:pBdr>
          <w:bottom w:val="single" w:sz="4" w:space="1" w:color="auto"/>
        </w:pBdr>
        <w:tabs>
          <w:tab w:val="left" w:pos="2552"/>
        </w:tabs>
        <w:rPr>
          <w:rFonts w:ascii="Arial" w:eastAsia="MS Mincho" w:hAnsi="Arial"/>
          <w:b/>
          <w:lang w:val="de-DE"/>
        </w:rPr>
      </w:pPr>
      <w:r w:rsidRPr="008566C4">
        <w:rPr>
          <w:rFonts w:ascii="Arial" w:eastAsia="MS Mincho" w:hAnsi="Arial"/>
          <w:b/>
          <w:lang w:val="de-DE"/>
        </w:rPr>
        <w:t xml:space="preserve">3GPP TSG RAN WG1 Meeting #84bis                                                        </w:t>
      </w:r>
      <w:r w:rsidRPr="008566C4">
        <w:rPr>
          <w:rFonts w:ascii="Arial" w:eastAsia="MS Mincho" w:hAnsi="Arial"/>
          <w:b/>
          <w:lang w:val="de-DE"/>
        </w:rPr>
        <w:tab/>
        <w:t>R1-</w:t>
      </w:r>
      <w:r w:rsidR="00971130" w:rsidRPr="00971130">
        <w:rPr>
          <w:rFonts w:ascii="Arial" w:eastAsia="MS Mincho" w:hAnsi="Arial"/>
          <w:b/>
          <w:lang w:val="de-DE"/>
        </w:rPr>
        <w:t>163145</w:t>
      </w:r>
    </w:p>
    <w:p w:rsidR="008566C4" w:rsidRPr="008566C4" w:rsidRDefault="008566C4" w:rsidP="008566C4">
      <w:pPr>
        <w:pBdr>
          <w:bottom w:val="single" w:sz="4" w:space="1" w:color="auto"/>
        </w:pBdr>
        <w:tabs>
          <w:tab w:val="left" w:pos="2552"/>
        </w:tabs>
        <w:rPr>
          <w:rFonts w:ascii="Arial" w:eastAsia="MS Mincho" w:hAnsi="Arial"/>
          <w:b/>
          <w:lang w:val="de-DE"/>
        </w:rPr>
      </w:pPr>
      <w:r w:rsidRPr="008566C4">
        <w:rPr>
          <w:rFonts w:ascii="Arial" w:eastAsia="MS Mincho" w:hAnsi="Arial"/>
          <w:b/>
          <w:lang w:val="de-DE"/>
        </w:rPr>
        <w:t>Busan, Korea, 11th – 15th April 2016</w:t>
      </w:r>
    </w:p>
    <w:p w:rsidR="008566C4" w:rsidRPr="008566C4" w:rsidRDefault="008566C4" w:rsidP="008566C4">
      <w:pPr>
        <w:pBdr>
          <w:bottom w:val="single" w:sz="4" w:space="1" w:color="auto"/>
        </w:pBdr>
        <w:tabs>
          <w:tab w:val="left" w:pos="2552"/>
        </w:tabs>
        <w:rPr>
          <w:rFonts w:ascii="Arial" w:eastAsia="MS Mincho" w:hAnsi="Arial"/>
          <w:b/>
          <w:lang w:val="de-DE"/>
        </w:rPr>
      </w:pPr>
    </w:p>
    <w:p w:rsidR="008566C4" w:rsidRPr="008566C4" w:rsidRDefault="008566C4" w:rsidP="00CE3F4B">
      <w:pPr>
        <w:pBdr>
          <w:bottom w:val="single" w:sz="4" w:space="1" w:color="auto"/>
        </w:pBdr>
        <w:tabs>
          <w:tab w:val="left" w:pos="1440"/>
        </w:tabs>
        <w:rPr>
          <w:rFonts w:ascii="Arial" w:eastAsia="MS Mincho" w:hAnsi="Arial"/>
          <w:b/>
          <w:lang w:val="de-DE"/>
        </w:rPr>
      </w:pPr>
      <w:r w:rsidRPr="008566C4">
        <w:rPr>
          <w:rFonts w:ascii="Arial" w:eastAsia="MS Mincho" w:hAnsi="Arial"/>
          <w:b/>
          <w:lang w:val="de-DE"/>
        </w:rPr>
        <w:t xml:space="preserve">Source: </w:t>
      </w:r>
      <w:r w:rsidRPr="008566C4">
        <w:rPr>
          <w:rFonts w:ascii="Arial" w:eastAsia="MS Mincho" w:hAnsi="Arial"/>
          <w:b/>
          <w:lang w:val="de-DE"/>
        </w:rPr>
        <w:tab/>
        <w:t>Ericsson</w:t>
      </w:r>
    </w:p>
    <w:p w:rsidR="008566C4" w:rsidRPr="008566C4" w:rsidRDefault="008566C4" w:rsidP="007D6693">
      <w:pPr>
        <w:pBdr>
          <w:bottom w:val="single" w:sz="4" w:space="1" w:color="auto"/>
        </w:pBdr>
        <w:tabs>
          <w:tab w:val="left" w:pos="1440"/>
        </w:tabs>
        <w:ind w:left="1440" w:hanging="1440"/>
        <w:rPr>
          <w:rFonts w:ascii="Arial" w:eastAsia="MS Mincho" w:hAnsi="Arial"/>
          <w:b/>
          <w:lang w:val="de-DE"/>
        </w:rPr>
      </w:pPr>
      <w:r w:rsidRPr="008566C4">
        <w:rPr>
          <w:rFonts w:ascii="Arial" w:eastAsia="MS Mincho" w:hAnsi="Arial"/>
          <w:b/>
          <w:lang w:val="de-DE"/>
        </w:rPr>
        <w:t>Title:</w:t>
      </w:r>
      <w:r w:rsidRPr="008566C4">
        <w:rPr>
          <w:rFonts w:ascii="Arial" w:eastAsia="MS Mincho" w:hAnsi="Arial"/>
          <w:b/>
          <w:lang w:val="de-DE"/>
        </w:rPr>
        <w:tab/>
      </w:r>
      <w:r w:rsidR="007D6693" w:rsidRPr="007D6693">
        <w:rPr>
          <w:rFonts w:ascii="Arial" w:eastAsia="MS Mincho" w:hAnsi="Arial"/>
          <w:b/>
          <w:lang w:val="de-DE"/>
        </w:rPr>
        <w:t xml:space="preserve">Transmission of uplink control information on an LAA SCell in DL partial subframes  </w:t>
      </w:r>
    </w:p>
    <w:p w:rsidR="008566C4" w:rsidRPr="008566C4" w:rsidRDefault="008566C4" w:rsidP="00CE3F4B">
      <w:pPr>
        <w:pBdr>
          <w:bottom w:val="single" w:sz="4" w:space="1" w:color="auto"/>
        </w:pBdr>
        <w:tabs>
          <w:tab w:val="left" w:pos="1440"/>
        </w:tabs>
        <w:rPr>
          <w:rFonts w:ascii="Arial" w:eastAsia="MS Mincho" w:hAnsi="Arial"/>
          <w:b/>
          <w:lang w:val="de-DE"/>
        </w:rPr>
      </w:pPr>
      <w:r>
        <w:rPr>
          <w:rFonts w:ascii="Arial" w:eastAsia="MS Mincho" w:hAnsi="Arial"/>
          <w:b/>
          <w:lang w:val="de-DE"/>
        </w:rPr>
        <w:t>Agenda Item:</w:t>
      </w:r>
      <w:r>
        <w:rPr>
          <w:rFonts w:ascii="Arial" w:eastAsia="MS Mincho" w:hAnsi="Arial"/>
          <w:b/>
          <w:lang w:val="de-DE"/>
        </w:rPr>
        <w:tab/>
        <w:t>7.3.1.3</w:t>
      </w:r>
    </w:p>
    <w:p w:rsidR="00795DB8" w:rsidRDefault="008566C4" w:rsidP="00CE3F4B">
      <w:pPr>
        <w:pBdr>
          <w:bottom w:val="single" w:sz="4" w:space="1" w:color="auto"/>
        </w:pBdr>
        <w:tabs>
          <w:tab w:val="left" w:pos="1440"/>
        </w:tabs>
        <w:rPr>
          <w:rFonts w:ascii="Arial" w:eastAsia="MS Mincho" w:hAnsi="Arial"/>
          <w:b/>
          <w:lang w:val="de-DE"/>
        </w:rPr>
      </w:pPr>
      <w:r w:rsidRPr="008566C4">
        <w:rPr>
          <w:rFonts w:ascii="Arial" w:eastAsia="MS Mincho" w:hAnsi="Arial"/>
          <w:b/>
          <w:lang w:val="de-DE"/>
        </w:rPr>
        <w:t>Document for:</w:t>
      </w:r>
      <w:r w:rsidRPr="008566C4">
        <w:rPr>
          <w:rFonts w:ascii="Arial" w:eastAsia="MS Mincho" w:hAnsi="Arial"/>
          <w:b/>
          <w:lang w:val="de-DE"/>
        </w:rPr>
        <w:tab/>
        <w:t>Discussion and Decision</w:t>
      </w:r>
    </w:p>
    <w:p w:rsidR="008566C4" w:rsidRPr="009D2B97" w:rsidRDefault="008566C4" w:rsidP="008566C4">
      <w:pPr>
        <w:pBdr>
          <w:bottom w:val="single" w:sz="4" w:space="1" w:color="auto"/>
        </w:pBdr>
        <w:tabs>
          <w:tab w:val="left" w:pos="2552"/>
        </w:tabs>
      </w:pPr>
    </w:p>
    <w:p w:rsidR="004E3F86" w:rsidRDefault="00AF1102" w:rsidP="00A60380">
      <w:pPr>
        <w:pStyle w:val="Heading1"/>
      </w:pPr>
      <w:r w:rsidRPr="003178F4">
        <w:t>Introduction</w:t>
      </w:r>
    </w:p>
    <w:p w:rsidR="00D93699" w:rsidRDefault="00D80165" w:rsidP="00B278A1">
      <w:pPr>
        <w:pStyle w:val="BodyText"/>
      </w:pPr>
      <w:r>
        <w:t xml:space="preserve">The new Rel-14 work item on enhanced LAA is tasked with specifying efficient operation of uplink LAA </w:t>
      </w:r>
      <w:r>
        <w:fldChar w:fldCharType="begin"/>
      </w:r>
      <w:r>
        <w:instrText xml:space="preserve"> REF _Ref442105324 \r \h </w:instrText>
      </w:r>
      <w:r>
        <w:fldChar w:fldCharType="separate"/>
      </w:r>
      <w:r w:rsidR="00B82BF4">
        <w:t>[1]</w:t>
      </w:r>
      <w:r>
        <w:fldChar w:fldCharType="end"/>
      </w:r>
      <w:r>
        <w:t xml:space="preserve">.  </w:t>
      </w:r>
      <w:r w:rsidR="0001644D">
        <w:t>O</w:t>
      </w:r>
      <w:r>
        <w:t xml:space="preserve">ne of the objectives is to specify support for </w:t>
      </w:r>
      <w:r w:rsidR="0001644D">
        <w:t>PUCCH</w:t>
      </w:r>
      <w:r>
        <w:t xml:space="preserve"> if needed</w:t>
      </w:r>
      <w:r w:rsidR="00E45040">
        <w:t>.</w:t>
      </w:r>
      <w:r w:rsidR="0001644D">
        <w:t xml:space="preserve"> </w:t>
      </w:r>
      <w:r w:rsidR="00E45040">
        <w:t>I</w:t>
      </w:r>
      <w:r w:rsidR="0001644D">
        <w:t xml:space="preserve">t is </w:t>
      </w:r>
      <w:r w:rsidR="00E45040">
        <w:t xml:space="preserve">further </w:t>
      </w:r>
      <w:r w:rsidR="0001644D">
        <w:t>stated in the work item description that</w:t>
      </w:r>
      <w:r w:rsidR="00E45040">
        <w:t xml:space="preserve"> “</w:t>
      </w:r>
      <w:r w:rsidR="0001644D" w:rsidRPr="0001644D">
        <w:t>Forward compatibility should be taken into account so that support for dual connectivity can be specified without significant changes to the design.</w:t>
      </w:r>
      <w:r w:rsidR="00E45040">
        <w:t xml:space="preserve">” </w:t>
      </w:r>
      <w:r w:rsidR="00D93699">
        <w:t xml:space="preserve">It was agreed in RAN1 #84 that </w:t>
      </w:r>
      <w:r w:rsidR="00D93699">
        <w:fldChar w:fldCharType="begin"/>
      </w:r>
      <w:r w:rsidR="00D93699">
        <w:instrText xml:space="preserve"> REF _Ref447113305 \r \h </w:instrText>
      </w:r>
      <w:r w:rsidR="00D93699">
        <w:fldChar w:fldCharType="separate"/>
      </w:r>
      <w:r w:rsidR="00D93699">
        <w:t>[4]</w:t>
      </w:r>
      <w:r w:rsidR="00D93699">
        <w:fldChar w:fldCharType="end"/>
      </w:r>
    </w:p>
    <w:p w:rsidR="00D93699" w:rsidRPr="00652DC6" w:rsidRDefault="00D93699" w:rsidP="00D93699">
      <w:pPr>
        <w:numPr>
          <w:ilvl w:val="0"/>
          <w:numId w:val="15"/>
        </w:numPr>
        <w:rPr>
          <w:rFonts w:eastAsia="MS Mincho"/>
          <w:lang w:eastAsia="ja-JP"/>
        </w:rPr>
      </w:pPr>
      <w:r w:rsidRPr="00652DC6">
        <w:rPr>
          <w:rFonts w:eastAsia="MS Mincho"/>
          <w:u w:val="single"/>
          <w:lang w:eastAsia="ja-JP"/>
        </w:rPr>
        <w:t>Agreements:</w:t>
      </w:r>
    </w:p>
    <w:p w:rsidR="00D93699" w:rsidRPr="00652DC6" w:rsidRDefault="00D93699" w:rsidP="00D93699">
      <w:pPr>
        <w:numPr>
          <w:ilvl w:val="1"/>
          <w:numId w:val="15"/>
        </w:numPr>
        <w:rPr>
          <w:rFonts w:eastAsia="MS Mincho"/>
          <w:lang w:eastAsia="ja-JP"/>
        </w:rPr>
      </w:pPr>
      <w:r w:rsidRPr="00652DC6">
        <w:rPr>
          <w:rFonts w:eastAsia="MS Mincho"/>
          <w:lang w:eastAsia="ja-JP"/>
        </w:rPr>
        <w:t>Transmission of HARQ ACK for serving cells at licensed carriers on an LAA SCell is not supported</w:t>
      </w:r>
    </w:p>
    <w:p w:rsidR="00D93699" w:rsidRPr="00652DC6" w:rsidRDefault="00D93699" w:rsidP="00D93699">
      <w:pPr>
        <w:numPr>
          <w:ilvl w:val="1"/>
          <w:numId w:val="15"/>
        </w:numPr>
        <w:rPr>
          <w:rFonts w:eastAsia="MS Mincho"/>
          <w:lang w:eastAsia="ja-JP"/>
        </w:rPr>
      </w:pPr>
      <w:r w:rsidRPr="00652DC6">
        <w:rPr>
          <w:rFonts w:eastAsia="MS Mincho"/>
          <w:lang w:eastAsia="ja-JP"/>
        </w:rPr>
        <w:t>Transmission of HARQ ACK and CSI for serving cells at unlicensed carriers on an LAA SCell is supported</w:t>
      </w:r>
    </w:p>
    <w:p w:rsidR="00D93699" w:rsidRPr="00652DC6" w:rsidRDefault="00D93699" w:rsidP="00D93699">
      <w:pPr>
        <w:numPr>
          <w:ilvl w:val="1"/>
          <w:numId w:val="15"/>
        </w:numPr>
        <w:rPr>
          <w:rFonts w:eastAsia="MS Mincho"/>
          <w:lang w:eastAsia="ja-JP"/>
        </w:rPr>
      </w:pPr>
      <w:r w:rsidRPr="00652DC6">
        <w:rPr>
          <w:rFonts w:eastAsia="MS Mincho"/>
          <w:lang w:eastAsia="ja-JP"/>
        </w:rPr>
        <w:t>FFS on new or existing waveform of channel for UCI transmission on unlicensed carrier</w:t>
      </w:r>
    </w:p>
    <w:p w:rsidR="00D93699" w:rsidRPr="00652DC6" w:rsidRDefault="00D93699" w:rsidP="00D93699">
      <w:pPr>
        <w:numPr>
          <w:ilvl w:val="1"/>
          <w:numId w:val="15"/>
        </w:numPr>
        <w:rPr>
          <w:rFonts w:eastAsia="MS Mincho"/>
          <w:lang w:eastAsia="ja-JP"/>
        </w:rPr>
      </w:pPr>
      <w:r w:rsidRPr="00652DC6">
        <w:rPr>
          <w:rFonts w:eastAsia="MS Mincho"/>
          <w:lang w:eastAsia="ja-JP"/>
        </w:rPr>
        <w:t>FFS on the LBT scheme for UCI transmission</w:t>
      </w:r>
    </w:p>
    <w:p w:rsidR="00D93699" w:rsidRDefault="00D93699" w:rsidP="00D93699">
      <w:pPr>
        <w:numPr>
          <w:ilvl w:val="1"/>
          <w:numId w:val="15"/>
        </w:numPr>
        <w:rPr>
          <w:rFonts w:eastAsia="MS Mincho"/>
          <w:lang w:eastAsia="ja-JP"/>
        </w:rPr>
      </w:pPr>
      <w:r w:rsidRPr="00652DC6">
        <w:rPr>
          <w:rFonts w:eastAsia="MS Mincho"/>
          <w:lang w:eastAsia="ja-JP"/>
        </w:rPr>
        <w:t>FFS on position of UCI in a subframe</w:t>
      </w:r>
    </w:p>
    <w:p w:rsidR="00D93699" w:rsidRDefault="00D93699" w:rsidP="00B278A1">
      <w:pPr>
        <w:pStyle w:val="BodyText"/>
      </w:pPr>
    </w:p>
    <w:p w:rsidR="00E046E4" w:rsidRDefault="00D93699" w:rsidP="00B278A1">
      <w:pPr>
        <w:pStyle w:val="BodyText"/>
      </w:pPr>
      <w:r>
        <w:t xml:space="preserve">In </w:t>
      </w:r>
      <w:r>
        <w:fldChar w:fldCharType="begin"/>
      </w:r>
      <w:r>
        <w:instrText xml:space="preserve"> REF _Ref447113299 \r \h </w:instrText>
      </w:r>
      <w:r>
        <w:fldChar w:fldCharType="separate"/>
      </w:r>
      <w:r>
        <w:t>[5]</w:t>
      </w:r>
      <w:r>
        <w:fldChar w:fldCharType="end"/>
      </w:r>
      <w:r>
        <w:t xml:space="preserve">, we discuss the support of UCI transmission in LAA SCell UL subframes. </w:t>
      </w:r>
      <w:r w:rsidR="00D80165">
        <w:t xml:space="preserve">In this contribution, we present our views on the motivations </w:t>
      </w:r>
      <w:r w:rsidR="0001644D">
        <w:t xml:space="preserve">and design </w:t>
      </w:r>
      <w:r w:rsidR="00D80165">
        <w:t xml:space="preserve">for </w:t>
      </w:r>
      <w:r w:rsidR="007D6693">
        <w:t xml:space="preserve">efficient </w:t>
      </w:r>
      <w:r w:rsidR="0001644D">
        <w:t>PUCCH</w:t>
      </w:r>
      <w:r w:rsidR="00D80165">
        <w:t xml:space="preserve"> support in eLAA</w:t>
      </w:r>
      <w:r w:rsidR="007D6693">
        <w:t xml:space="preserve"> using DL partial subframes</w:t>
      </w:r>
      <w:r w:rsidR="00D80165">
        <w:t>.</w:t>
      </w:r>
    </w:p>
    <w:p w:rsidR="008648D4" w:rsidRDefault="00417E22" w:rsidP="00466E22">
      <w:pPr>
        <w:pStyle w:val="Heading1"/>
      </w:pPr>
      <w:bookmarkStart w:id="0" w:name="_Ref426729914"/>
      <w:r>
        <w:t>Discussion</w:t>
      </w:r>
    </w:p>
    <w:bookmarkEnd w:id="0"/>
    <w:p w:rsidR="00607995" w:rsidRDefault="00607995" w:rsidP="00607995">
      <w:pPr>
        <w:pStyle w:val="Heading2"/>
      </w:pPr>
      <w:r>
        <w:t>Motivation and general design</w:t>
      </w:r>
    </w:p>
    <w:p w:rsidR="0093682D" w:rsidRDefault="00511641" w:rsidP="00264CAB">
      <w:pPr>
        <w:pStyle w:val="BodyText"/>
      </w:pPr>
      <w:r>
        <w:t xml:space="preserve">In order to reduce control overhead, </w:t>
      </w:r>
      <w:r w:rsidR="00FB772B">
        <w:t xml:space="preserve">802.11 adopts </w:t>
      </w:r>
      <w:r>
        <w:t xml:space="preserve">the Block ACK mechanism </w:t>
      </w:r>
      <w:r w:rsidR="00525D0E">
        <w:t xml:space="preserve">which </w:t>
      </w:r>
      <w:r>
        <w:t>allows the transmission of a single frame containing a consolidated set of ACKs in response to multiple data frames, as shown in</w:t>
      </w:r>
      <w:r w:rsidR="00FB772B">
        <w:t xml:space="preserve"> </w:t>
      </w:r>
      <w:r w:rsidR="00FB772B">
        <w:fldChar w:fldCharType="begin"/>
      </w:r>
      <w:r w:rsidR="00FB772B">
        <w:instrText xml:space="preserve"> REF _Ref442286466 \h </w:instrText>
      </w:r>
      <w:r w:rsidR="00FB772B">
        <w:fldChar w:fldCharType="separate"/>
      </w:r>
      <w:r w:rsidR="00B82BF4">
        <w:t xml:space="preserve">Figure </w:t>
      </w:r>
      <w:r w:rsidR="00B82BF4">
        <w:rPr>
          <w:noProof/>
        </w:rPr>
        <w:t>1</w:t>
      </w:r>
      <w:r w:rsidR="00FB772B">
        <w:fldChar w:fldCharType="end"/>
      </w:r>
      <w:r>
        <w:t xml:space="preserve">. The recipient </w:t>
      </w:r>
      <w:r w:rsidR="00FB772B">
        <w:t>can</w:t>
      </w:r>
      <w:r>
        <w:t xml:space="preserve"> send the Block ACK </w:t>
      </w:r>
      <w:r w:rsidR="00FB772B">
        <w:t xml:space="preserve">with a delay of 16 </w:t>
      </w:r>
      <w:r w:rsidR="00FB772B">
        <w:rPr>
          <w:rFonts w:ascii="Cambria Math" w:hAnsi="Cambria Math"/>
        </w:rPr>
        <w:t>μ</w:t>
      </w:r>
      <w:r w:rsidR="00FB772B">
        <w:t>s and without the need of performing an LBT before sending the ACK frame.</w:t>
      </w:r>
      <w:r>
        <w:t xml:space="preserve"> </w:t>
      </w:r>
      <w:r w:rsidR="00FB772B">
        <w:t xml:space="preserve">Such fast ACK/NAK signaling provides the advantages of responsive retransmission/scheduling control without losing </w:t>
      </w:r>
      <w:r w:rsidR="004925C1">
        <w:t xml:space="preserve">control of </w:t>
      </w:r>
      <w:r w:rsidR="00FB772B">
        <w:t xml:space="preserve">the TXOP. </w:t>
      </w:r>
    </w:p>
    <w:p w:rsidR="00FB772B" w:rsidRDefault="00FB772B" w:rsidP="00264CAB">
      <w:pPr>
        <w:pStyle w:val="BodyText"/>
      </w:pPr>
    </w:p>
    <w:p w:rsidR="00511641" w:rsidRDefault="00CC05F6" w:rsidP="00511641">
      <w:pPr>
        <w:pStyle w:val="BodyText"/>
        <w:keepNext/>
        <w:ind w:left="720"/>
        <w:jc w:val="center"/>
      </w:pPr>
      <w:r>
        <w:rPr>
          <w:noProof/>
        </w:rPr>
        <w:drawing>
          <wp:inline distT="0" distB="0" distL="0" distR="0" wp14:anchorId="72844D41" wp14:editId="58949C11">
            <wp:extent cx="3160395" cy="89027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b="51791"/>
                    <a:stretch>
                      <a:fillRect/>
                    </a:stretch>
                  </pic:blipFill>
                  <pic:spPr bwMode="auto">
                    <a:xfrm>
                      <a:off x="0" y="0"/>
                      <a:ext cx="3160395" cy="890270"/>
                    </a:xfrm>
                    <a:prstGeom prst="rect">
                      <a:avLst/>
                    </a:prstGeom>
                    <a:noFill/>
                    <a:ln>
                      <a:noFill/>
                    </a:ln>
                  </pic:spPr>
                </pic:pic>
              </a:graphicData>
            </a:graphic>
          </wp:inline>
        </w:drawing>
      </w:r>
    </w:p>
    <w:p w:rsidR="00511641" w:rsidRDefault="00511641" w:rsidP="00511641">
      <w:pPr>
        <w:pStyle w:val="BodyText"/>
        <w:jc w:val="center"/>
      </w:pPr>
      <w:bookmarkStart w:id="1" w:name="_Ref442286466"/>
      <w:bookmarkStart w:id="2" w:name="_Ref430609869"/>
      <w:r>
        <w:t xml:space="preserve">Figure </w:t>
      </w:r>
      <w:fldSimple w:instr=" SEQ Figure \* ARABIC ">
        <w:r w:rsidR="00B82BF4">
          <w:rPr>
            <w:noProof/>
          </w:rPr>
          <w:t>1</w:t>
        </w:r>
      </w:fldSimple>
      <w:bookmarkEnd w:id="1"/>
      <w:r>
        <w:t xml:space="preserve">: Block acknowledgement </w:t>
      </w:r>
      <w:r w:rsidR="00BE69D3">
        <w:t xml:space="preserve">transmission without LBT </w:t>
      </w:r>
      <w:r>
        <w:t>in 802.11.</w:t>
      </w:r>
    </w:p>
    <w:bookmarkEnd w:id="2"/>
    <w:p w:rsidR="00C050D0" w:rsidRDefault="002C7821" w:rsidP="00264CAB">
      <w:pPr>
        <w:pStyle w:val="BodyText"/>
      </w:pPr>
      <w:r>
        <w:t xml:space="preserve">To be competitive with Wi-Fi </w:t>
      </w:r>
      <w:r w:rsidR="004925C1">
        <w:t>technology</w:t>
      </w:r>
      <w:r>
        <w:t xml:space="preserve">, it may hence be advantageous for LAA to incorporate a similar fast shortened PUCCH mechanism particularly in heavy DL traffic cases. </w:t>
      </w:r>
      <w:r w:rsidR="00FB772B">
        <w:t xml:space="preserve">In Rel-13, ending partial </w:t>
      </w:r>
      <w:r w:rsidR="006A0132">
        <w:t>TTIs</w:t>
      </w:r>
      <w:r w:rsidR="00FB772B">
        <w:t xml:space="preserve"> were introduced such that the DL transmission can cease before the end of the last DL subframe. </w:t>
      </w:r>
      <w:r>
        <w:t>This leaves room in the remain</w:t>
      </w:r>
      <w:r w:rsidR="004925C1">
        <w:t>der</w:t>
      </w:r>
      <w:r>
        <w:t xml:space="preserve"> of the subframe. One possible use is to introduce a shortened PUCCH (using, e.g., two to four OFDM symbols) such that the UEs can send HARQ-ACK quickly and without LBT</w:t>
      </w:r>
      <w:r w:rsidR="00754EE3">
        <w:t xml:space="preserve"> as illustrated in </w:t>
      </w:r>
      <w:r w:rsidR="00754EE3">
        <w:fldChar w:fldCharType="begin"/>
      </w:r>
      <w:r w:rsidR="00754EE3">
        <w:instrText xml:space="preserve"> REF _Ref442290950 \h </w:instrText>
      </w:r>
      <w:r w:rsidR="00754EE3">
        <w:fldChar w:fldCharType="separate"/>
      </w:r>
      <w:r w:rsidR="00B82BF4">
        <w:t xml:space="preserve">Figure </w:t>
      </w:r>
      <w:r w:rsidR="00B82BF4">
        <w:rPr>
          <w:noProof/>
        </w:rPr>
        <w:t>2</w:t>
      </w:r>
      <w:r w:rsidR="00754EE3">
        <w:fldChar w:fldCharType="end"/>
      </w:r>
      <w:r>
        <w:t xml:space="preserve">. </w:t>
      </w:r>
      <w:r w:rsidR="00754EE3">
        <w:t xml:space="preserve">Similar to the Wi-Fi protocol, the gap between the end of the DL transmission and the shortened PUCCH should be kept short, e.g., less than 25 </w:t>
      </w:r>
      <w:r w:rsidR="00754EE3">
        <w:rPr>
          <w:rFonts w:ascii="Cambria Math" w:hAnsi="Cambria Math"/>
        </w:rPr>
        <w:t>μ</w:t>
      </w:r>
      <w:r w:rsidR="00754EE3">
        <w:t>s.</w:t>
      </w:r>
      <w:r w:rsidR="00116713">
        <w:t xml:space="preserve"> If no LBT is needed for the HARQ-ACK transmission, then the gap should be at </w:t>
      </w:r>
      <w:r w:rsidR="006A0132">
        <w:t>most</w:t>
      </w:r>
      <w:r w:rsidR="00116713">
        <w:t xml:space="preserve"> 16 </w:t>
      </w:r>
      <w:proofErr w:type="spellStart"/>
      <w:r w:rsidR="00116713">
        <w:rPr>
          <w:rFonts w:ascii="Cambria Math" w:hAnsi="Cambria Math"/>
        </w:rPr>
        <w:t>μ</w:t>
      </w:r>
      <w:r w:rsidR="00116713">
        <w:t>s</w:t>
      </w:r>
      <w:proofErr w:type="spellEnd"/>
      <w:r w:rsidR="00116713">
        <w:t xml:space="preserve">. If LBT is needed for HARQ-ACK transmission, then the gap should be set to 25 </w:t>
      </w:r>
      <w:r w:rsidR="00116713">
        <w:rPr>
          <w:rFonts w:ascii="Cambria Math" w:hAnsi="Cambria Math"/>
        </w:rPr>
        <w:t>μ</w:t>
      </w:r>
      <w:r w:rsidR="00116713">
        <w:t>s.</w:t>
      </w:r>
    </w:p>
    <w:p w:rsidR="00C050D0" w:rsidRDefault="00CC05F6" w:rsidP="00C050D0">
      <w:pPr>
        <w:pStyle w:val="BodyText"/>
        <w:jc w:val="center"/>
      </w:pPr>
      <w:r>
        <w:rPr>
          <w:noProof/>
        </w:rPr>
        <w:lastRenderedPageBreak/>
        <w:drawing>
          <wp:inline distT="0" distB="0" distL="0" distR="0" wp14:anchorId="3407FC99" wp14:editId="31724B54">
            <wp:extent cx="3931920" cy="1784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31920" cy="1784350"/>
                    </a:xfrm>
                    <a:prstGeom prst="rect">
                      <a:avLst/>
                    </a:prstGeom>
                    <a:noFill/>
                  </pic:spPr>
                </pic:pic>
              </a:graphicData>
            </a:graphic>
          </wp:inline>
        </w:drawing>
      </w:r>
    </w:p>
    <w:p w:rsidR="00754EE3" w:rsidRDefault="00754EE3" w:rsidP="00754EE3">
      <w:pPr>
        <w:pStyle w:val="BodyText"/>
        <w:jc w:val="center"/>
      </w:pPr>
      <w:bookmarkStart w:id="3" w:name="_Ref442290950"/>
      <w:r>
        <w:t xml:space="preserve">Figure </w:t>
      </w:r>
      <w:fldSimple w:instr=" SEQ Figure \* ARABIC ">
        <w:r w:rsidR="00B82BF4">
          <w:rPr>
            <w:noProof/>
          </w:rPr>
          <w:t>2</w:t>
        </w:r>
      </w:fldSimple>
      <w:bookmarkEnd w:id="3"/>
      <w:r>
        <w:t>: Shortened PUCCH within the DL ending partial subframe.</w:t>
      </w:r>
    </w:p>
    <w:p w:rsidR="002C7821" w:rsidRDefault="002C7821" w:rsidP="00264CAB">
      <w:pPr>
        <w:pStyle w:val="BodyText"/>
      </w:pPr>
      <w:r>
        <w:t xml:space="preserve">As illustrated in </w:t>
      </w:r>
      <w:r>
        <w:fldChar w:fldCharType="begin"/>
      </w:r>
      <w:r>
        <w:instrText xml:space="preserve"> REF _Ref442288976 \h </w:instrText>
      </w:r>
      <w:r>
        <w:fldChar w:fldCharType="separate"/>
      </w:r>
      <w:r w:rsidR="00B82BF4">
        <w:t xml:space="preserve">Figure </w:t>
      </w:r>
      <w:r w:rsidR="00B82BF4">
        <w:rPr>
          <w:noProof/>
        </w:rPr>
        <w:t>3</w:t>
      </w:r>
      <w:r>
        <w:fldChar w:fldCharType="end"/>
      </w:r>
      <w:r>
        <w:t xml:space="preserve">, </w:t>
      </w:r>
      <w:r w:rsidR="00754EE3">
        <w:t>using the</w:t>
      </w:r>
      <w:r w:rsidR="003A1500">
        <w:t xml:space="preserve"> shortened PUCCH design </w:t>
      </w:r>
      <w:r w:rsidR="00533769">
        <w:t>can substantially reduce signaling overhead and hence improves user throughput</w:t>
      </w:r>
      <w:r w:rsidR="00754EE3">
        <w:t xml:space="preserve"> for LAA</w:t>
      </w:r>
      <w:r w:rsidR="00533769">
        <w:t>.</w:t>
      </w:r>
    </w:p>
    <w:p w:rsidR="00D02670" w:rsidRDefault="00CC05F6" w:rsidP="00D02670">
      <w:pPr>
        <w:pStyle w:val="Figure"/>
      </w:pPr>
      <w:r>
        <w:rPr>
          <w:noProof/>
          <w:lang w:val="en-US" w:eastAsia="en-US"/>
        </w:rPr>
        <w:drawing>
          <wp:inline distT="0" distB="0" distL="0" distR="0" wp14:anchorId="08C0B5E1" wp14:editId="640E1C7A">
            <wp:extent cx="2743200" cy="117602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1176020"/>
                    </a:xfrm>
                    <a:prstGeom prst="rect">
                      <a:avLst/>
                    </a:prstGeom>
                    <a:noFill/>
                  </pic:spPr>
                </pic:pic>
              </a:graphicData>
            </a:graphic>
          </wp:inline>
        </w:drawing>
      </w:r>
    </w:p>
    <w:p w:rsidR="00D02670" w:rsidRDefault="00D02670" w:rsidP="00D02670">
      <w:pPr>
        <w:pStyle w:val="BodyText"/>
        <w:jc w:val="center"/>
      </w:pPr>
      <w:bookmarkStart w:id="4" w:name="_Ref442288976"/>
      <w:bookmarkStart w:id="5" w:name="_Ref436944059"/>
      <w:r>
        <w:t xml:space="preserve">Figure </w:t>
      </w:r>
      <w:fldSimple w:instr=" SEQ Figure \* ARABIC ">
        <w:r w:rsidR="00B82BF4">
          <w:rPr>
            <w:noProof/>
          </w:rPr>
          <w:t>3</w:t>
        </w:r>
      </w:fldSimple>
      <w:bookmarkEnd w:id="4"/>
      <w:r>
        <w:t>: Short PUCCH at the end of a shortened DL subframe.</w:t>
      </w:r>
    </w:p>
    <w:bookmarkEnd w:id="5"/>
    <w:p w:rsidR="00533769" w:rsidRDefault="00533769" w:rsidP="00533769">
      <w:pPr>
        <w:pStyle w:val="BodyText"/>
        <w:rPr>
          <w:b/>
        </w:rPr>
      </w:pPr>
    </w:p>
    <w:p w:rsidR="00533769" w:rsidRDefault="00533769" w:rsidP="00533769">
      <w:pPr>
        <w:pStyle w:val="BodyText"/>
        <w:rPr>
          <w:b/>
        </w:rPr>
      </w:pPr>
      <w:r w:rsidRPr="00533769">
        <w:rPr>
          <w:b/>
        </w:rPr>
        <w:t xml:space="preserve">Proposal: </w:t>
      </w:r>
      <w:r>
        <w:rPr>
          <w:b/>
        </w:rPr>
        <w:t xml:space="preserve">Shortened </w:t>
      </w:r>
      <w:r w:rsidRPr="00533769">
        <w:rPr>
          <w:b/>
        </w:rPr>
        <w:t xml:space="preserve">PUCCH </w:t>
      </w:r>
      <w:r>
        <w:rPr>
          <w:b/>
        </w:rPr>
        <w:t xml:space="preserve">residing in a </w:t>
      </w:r>
      <w:r w:rsidR="003F618F">
        <w:rPr>
          <w:b/>
        </w:rPr>
        <w:t xml:space="preserve">DL ending partial </w:t>
      </w:r>
      <w:r>
        <w:rPr>
          <w:b/>
        </w:rPr>
        <w:t>subframe can be introduced to enhance LAA performance.</w:t>
      </w:r>
    </w:p>
    <w:p w:rsidR="00533769" w:rsidRDefault="00533769" w:rsidP="00533769">
      <w:pPr>
        <w:pStyle w:val="BodyText"/>
      </w:pPr>
    </w:p>
    <w:p w:rsidR="00607995" w:rsidRDefault="00607995" w:rsidP="00607995">
      <w:pPr>
        <w:pStyle w:val="Heading2"/>
      </w:pPr>
      <w:r>
        <w:t>Further discussion on the use of shortened PUCCH signal</w:t>
      </w:r>
    </w:p>
    <w:p w:rsidR="00607995" w:rsidRDefault="00607995" w:rsidP="00533769">
      <w:pPr>
        <w:pStyle w:val="BodyText"/>
      </w:pPr>
      <w:r>
        <w:t xml:space="preserve">A basic design is to allocate for example four OFDM symbols after the end of the partial DL </w:t>
      </w:r>
      <w:proofErr w:type="spellStart"/>
      <w:r>
        <w:t>subframes</w:t>
      </w:r>
      <w:proofErr w:type="spellEnd"/>
      <w:r>
        <w:t xml:space="preserve"> for shorten</w:t>
      </w:r>
      <w:r w:rsidR="006A0132">
        <w:t>ed</w:t>
      </w:r>
      <w:r>
        <w:t xml:space="preserve"> PUCCH signaling. Two of the OFDM symbols can be used for demodulation reference signals and the other two OFDM symbols for carrying the UCI. The coding procedure should in general follow those specified for </w:t>
      </w:r>
      <w:r w:rsidR="001460E3">
        <w:t xml:space="preserve">PUCCH format 4/5: </w:t>
      </w:r>
      <w:r w:rsidR="001460E3" w:rsidRPr="001460E3">
        <w:t>TBCC and 8-bit CRC are applied</w:t>
      </w:r>
      <w:r w:rsidR="001460E3">
        <w:t xml:space="preserve"> if the UCI payload size is greater than </w:t>
      </w:r>
      <w:r w:rsidR="00B82BF4">
        <w:t>22</w:t>
      </w:r>
      <w:r w:rsidR="001460E3">
        <w:t>. The only difference is the number of available QPSK symbols to carry the encoded UCI.</w:t>
      </w:r>
    </w:p>
    <w:p w:rsidR="00E2298A" w:rsidRDefault="00607995" w:rsidP="00533769">
      <w:pPr>
        <w:pStyle w:val="BodyText"/>
      </w:pPr>
      <w:r>
        <w:t xml:space="preserve">For a 20 MHz system, one interlace contains 10 PRBs. In total, there are 480 REs available for </w:t>
      </w:r>
      <w:r w:rsidR="00C9017E">
        <w:t xml:space="preserve">a </w:t>
      </w:r>
      <w:r>
        <w:t>shortened PUCCH signal</w:t>
      </w:r>
      <w:r w:rsidR="00C9017E">
        <w:t xml:space="preserve"> with four OFDM symbols</w:t>
      </w:r>
      <w:r>
        <w:t xml:space="preserve">. </w:t>
      </w:r>
      <w:r w:rsidR="001460E3">
        <w:t xml:space="preserve">It is therefore possible </w:t>
      </w:r>
      <w:r w:rsidR="006A0132">
        <w:t xml:space="preserve">to </w:t>
      </w:r>
      <w:r w:rsidR="001460E3">
        <w:t xml:space="preserve">multiplex multiple UEs in the same set of resources using orthogonal cover codes on the data symbols. Demodulation reference signals </w:t>
      </w:r>
      <w:r w:rsidR="00C9017E">
        <w:t xml:space="preserve">(DMRS) </w:t>
      </w:r>
      <w:r w:rsidR="001460E3">
        <w:t>from different UEs can be separated</w:t>
      </w:r>
      <w:r w:rsidR="00C9017E">
        <w:t xml:space="preserve"> (i.e.</w:t>
      </w:r>
      <w:r w:rsidR="00036A7C">
        <w:t>, multiplexed</w:t>
      </w:r>
      <w:r w:rsidR="00C9017E">
        <w:t>)</w:t>
      </w:r>
      <w:r w:rsidR="001460E3">
        <w:t xml:space="preserve"> by different cyclic shifts</w:t>
      </w:r>
      <w:r w:rsidR="00036A7C">
        <w:t xml:space="preserve"> (CS)</w:t>
      </w:r>
      <w:r w:rsidR="001460E3">
        <w:t xml:space="preserve">. </w:t>
      </w:r>
    </w:p>
    <w:p w:rsidR="00E2298A" w:rsidRDefault="00E2298A" w:rsidP="00533769">
      <w:pPr>
        <w:pStyle w:val="BodyText"/>
      </w:pPr>
    </w:p>
    <w:p w:rsidR="00ED37FB" w:rsidRDefault="00ED37FB" w:rsidP="00ED37FB">
      <w:pPr>
        <w:pStyle w:val="BodyText"/>
        <w:jc w:val="center"/>
      </w:pPr>
      <w:r w:rsidRPr="00ED37FB">
        <w:rPr>
          <w:noProof/>
        </w:rPr>
        <w:lastRenderedPageBreak/>
        <w:drawing>
          <wp:inline distT="0" distB="0" distL="0" distR="0" wp14:anchorId="635C98E6" wp14:editId="72629E72">
            <wp:extent cx="3657600" cy="2468880"/>
            <wp:effectExtent l="0" t="0" r="0" b="762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rotWithShape="1">
                    <a:blip r:embed="rId12">
                      <a:extLst>
                        <a:ext uri="{28A0092B-C50C-407E-A947-70E740481C1C}">
                          <a14:useLocalDpi xmlns:a14="http://schemas.microsoft.com/office/drawing/2010/main" val="0"/>
                        </a:ext>
                      </a:extLst>
                    </a:blip>
                    <a:srcRect t="5317" b="-1015"/>
                    <a:stretch/>
                  </pic:blipFill>
                  <pic:spPr bwMode="auto">
                    <a:xfrm>
                      <a:off x="0" y="0"/>
                      <a:ext cx="3657600" cy="2468880"/>
                    </a:xfrm>
                    <a:prstGeom prst="rect">
                      <a:avLst/>
                    </a:prstGeom>
                    <a:ln>
                      <a:noFill/>
                    </a:ln>
                    <a:extLst>
                      <a:ext uri="{53640926-AAD7-44D8-BBD7-CCE9431645EC}">
                        <a14:shadowObscured xmlns:a14="http://schemas.microsoft.com/office/drawing/2010/main"/>
                      </a:ext>
                    </a:extLst>
                  </pic:spPr>
                </pic:pic>
              </a:graphicData>
            </a:graphic>
          </wp:inline>
        </w:drawing>
      </w:r>
    </w:p>
    <w:p w:rsidR="00B82BF4" w:rsidRDefault="00B82BF4" w:rsidP="00B82BF4">
      <w:pPr>
        <w:pStyle w:val="BodyText"/>
      </w:pPr>
      <w:r>
        <w:t xml:space="preserve">Figure </w:t>
      </w:r>
      <w:fldSimple w:instr=" SEQ Figure \* ARABIC ">
        <w:r>
          <w:rPr>
            <w:noProof/>
          </w:rPr>
          <w:t>4</w:t>
        </w:r>
      </w:fldSimple>
      <w:r>
        <w:t xml:space="preserve">: Performance of short PUCCH using </w:t>
      </w:r>
      <w:r w:rsidR="00C9017E">
        <w:t xml:space="preserve">in total </w:t>
      </w:r>
      <w:r>
        <w:t xml:space="preserve">four OFDM symbols </w:t>
      </w:r>
      <w:r w:rsidR="00C9017E">
        <w:t xml:space="preserve">of which two </w:t>
      </w:r>
      <w:r w:rsidR="00036A7C">
        <w:t>are</w:t>
      </w:r>
      <w:r w:rsidR="00C9017E">
        <w:t xml:space="preserve"> DMRS</w:t>
      </w:r>
      <w:r w:rsidR="00036A7C">
        <w:t>,</w:t>
      </w:r>
      <w:r w:rsidR="00C9017E">
        <w:t xml:space="preserve"> </w:t>
      </w:r>
      <w:r w:rsidR="00036A7C">
        <w:t>o</w:t>
      </w:r>
      <w:r>
        <w:t>rthogonal cover codes</w:t>
      </w:r>
      <w:r w:rsidR="00C9017E">
        <w:t xml:space="preserve"> between data symbols</w:t>
      </w:r>
      <w:r w:rsidR="00036A7C">
        <w:t xml:space="preserve"> and different CS on DMRS, </w:t>
      </w:r>
      <w:r>
        <w:t>EPA 50 km/</w:t>
      </w:r>
      <w:proofErr w:type="spellStart"/>
      <w:r>
        <w:t>hr</w:t>
      </w:r>
      <w:proofErr w:type="spellEnd"/>
      <w:r>
        <w:t xml:space="preserve"> channel with 1T2R</w:t>
      </w:r>
      <w:bookmarkStart w:id="6" w:name="_GoBack"/>
      <w:bookmarkEnd w:id="6"/>
      <w:r>
        <w:t xml:space="preserve"> setup.</w:t>
      </w:r>
      <w:r w:rsidR="00387BE6">
        <w:t xml:space="preserve"> Payload sizes from left to right are 10, 16, 32, 48, 64 and 128 bits</w:t>
      </w:r>
      <w:r w:rsidR="00C9017E">
        <w:t xml:space="preserve"> (excluding the 8-bits CRC)</w:t>
      </w:r>
      <w:r w:rsidR="00387BE6">
        <w:t>.</w:t>
      </w:r>
    </w:p>
    <w:p w:rsidR="00E2298A" w:rsidRDefault="00E2298A" w:rsidP="00533769">
      <w:pPr>
        <w:pStyle w:val="BodyText"/>
      </w:pPr>
    </w:p>
    <w:p w:rsidR="00892AED" w:rsidRDefault="00892AED" w:rsidP="00892AED">
      <w:pPr>
        <w:pStyle w:val="Heading1"/>
        <w:rPr>
          <w:lang w:eastAsia="ja-JP"/>
        </w:rPr>
      </w:pPr>
      <w:r w:rsidRPr="009D2B97">
        <w:rPr>
          <w:lang w:eastAsia="ja-JP"/>
        </w:rPr>
        <w:t>Conclusion</w:t>
      </w:r>
    </w:p>
    <w:p w:rsidR="00C90E96" w:rsidRDefault="008030DB" w:rsidP="0072476D">
      <w:pPr>
        <w:pStyle w:val="BodyText"/>
        <w:keepNext/>
        <w:rPr>
          <w:lang w:eastAsia="ja-JP"/>
        </w:rPr>
      </w:pPr>
      <w:r>
        <w:t xml:space="preserve">This contribution </w:t>
      </w:r>
      <w:r w:rsidR="003A4B87">
        <w:t xml:space="preserve">discussed the motivation for supporting </w:t>
      </w:r>
      <w:r w:rsidR="000E3FE7">
        <w:t xml:space="preserve">PUCCH </w:t>
      </w:r>
      <w:r w:rsidR="003A4B87">
        <w:t>in eLAA</w:t>
      </w:r>
      <w:r>
        <w:t>.</w:t>
      </w:r>
      <w:r w:rsidR="00C90E96">
        <w:t xml:space="preserve">  </w:t>
      </w:r>
      <w:r w:rsidR="00136D4D">
        <w:t xml:space="preserve">Based on our investigation, </w:t>
      </w:r>
      <w:r w:rsidR="000E0618">
        <w:t xml:space="preserve">the following </w:t>
      </w:r>
      <w:r w:rsidR="00136D4D">
        <w:t>is proposed</w:t>
      </w:r>
      <w:r w:rsidR="000E0618">
        <w:t>.</w:t>
      </w:r>
    </w:p>
    <w:p w:rsidR="004919B6" w:rsidRDefault="003F618F" w:rsidP="004919B6">
      <w:pPr>
        <w:pStyle w:val="BodyText"/>
        <w:rPr>
          <w:b/>
        </w:rPr>
      </w:pPr>
      <w:r w:rsidRPr="00533769">
        <w:rPr>
          <w:b/>
        </w:rPr>
        <w:t xml:space="preserve">Proposal: </w:t>
      </w:r>
      <w:r>
        <w:rPr>
          <w:b/>
        </w:rPr>
        <w:t xml:space="preserve">Shortened </w:t>
      </w:r>
      <w:r w:rsidRPr="00533769">
        <w:rPr>
          <w:b/>
        </w:rPr>
        <w:t xml:space="preserve">PUCCH </w:t>
      </w:r>
      <w:r>
        <w:rPr>
          <w:b/>
        </w:rPr>
        <w:t>residing in a DL ending partial subframe can be introduced to enhance LAA performance.</w:t>
      </w:r>
    </w:p>
    <w:p w:rsidR="006C0DCA" w:rsidRDefault="006C0DCA" w:rsidP="0072621F">
      <w:pPr>
        <w:pStyle w:val="Heading1"/>
        <w:spacing w:after="100"/>
        <w:rPr>
          <w:lang w:eastAsia="ja-JP"/>
        </w:rPr>
      </w:pPr>
      <w:r w:rsidRPr="00AA4666">
        <w:rPr>
          <w:lang w:eastAsia="ja-JP"/>
        </w:rPr>
        <w:t>References</w:t>
      </w:r>
    </w:p>
    <w:p w:rsidR="00D80165" w:rsidRDefault="00D80165" w:rsidP="00D80165">
      <w:pPr>
        <w:pStyle w:val="BodyText"/>
        <w:numPr>
          <w:ilvl w:val="0"/>
          <w:numId w:val="13"/>
        </w:numPr>
        <w:ind w:left="450" w:hanging="450"/>
        <w:rPr>
          <w:lang w:eastAsia="ja-JP"/>
        </w:rPr>
      </w:pPr>
      <w:bookmarkStart w:id="7" w:name="_Ref442105324"/>
      <w:r w:rsidRPr="00D80165">
        <w:rPr>
          <w:lang w:eastAsia="ja-JP"/>
        </w:rPr>
        <w:t>RP-152272</w:t>
      </w:r>
      <w:r>
        <w:rPr>
          <w:lang w:eastAsia="ja-JP"/>
        </w:rPr>
        <w:t xml:space="preserve">, </w:t>
      </w:r>
      <w:r w:rsidRPr="00D80165">
        <w:rPr>
          <w:lang w:eastAsia="ja-JP"/>
        </w:rPr>
        <w:t>New Work Item on enhanced LAA for LTE</w:t>
      </w:r>
      <w:r>
        <w:rPr>
          <w:lang w:eastAsia="ja-JP"/>
        </w:rPr>
        <w:t>.</w:t>
      </w:r>
      <w:bookmarkEnd w:id="7"/>
    </w:p>
    <w:p w:rsidR="00A44E91" w:rsidRDefault="00A44E91" w:rsidP="00A44E91">
      <w:pPr>
        <w:pStyle w:val="BodyText"/>
        <w:numPr>
          <w:ilvl w:val="0"/>
          <w:numId w:val="13"/>
        </w:numPr>
        <w:ind w:left="450" w:hanging="450"/>
        <w:rPr>
          <w:lang w:eastAsia="ja-JP"/>
        </w:rPr>
      </w:pPr>
      <w:bookmarkStart w:id="8" w:name="_Ref442262753"/>
      <w:r w:rsidRPr="00A44E91">
        <w:rPr>
          <w:lang w:eastAsia="ja-JP"/>
        </w:rPr>
        <w:t>R1-</w:t>
      </w:r>
      <w:r w:rsidR="00971130" w:rsidRPr="00A44E91">
        <w:rPr>
          <w:lang w:eastAsia="ja-JP"/>
        </w:rPr>
        <w:t>16</w:t>
      </w:r>
      <w:r w:rsidR="00971130">
        <w:rPr>
          <w:lang w:eastAsia="ja-JP"/>
        </w:rPr>
        <w:t>3138</w:t>
      </w:r>
      <w:r>
        <w:rPr>
          <w:lang w:eastAsia="ja-JP"/>
        </w:rPr>
        <w:t>,</w:t>
      </w:r>
      <w:r w:rsidRPr="00A44E91">
        <w:rPr>
          <w:lang w:eastAsia="ja-JP"/>
        </w:rPr>
        <w:t xml:space="preserve"> UL resource allocation designs for eLAA</w:t>
      </w:r>
      <w:r>
        <w:rPr>
          <w:lang w:eastAsia="ja-JP"/>
        </w:rPr>
        <w:t>, Ericsson.</w:t>
      </w:r>
      <w:bookmarkEnd w:id="8"/>
    </w:p>
    <w:p w:rsidR="00FF7C21" w:rsidRDefault="00FF7C21" w:rsidP="00A44E91">
      <w:pPr>
        <w:pStyle w:val="BodyText"/>
        <w:numPr>
          <w:ilvl w:val="0"/>
          <w:numId w:val="13"/>
        </w:numPr>
        <w:ind w:left="450" w:hanging="450"/>
        <w:rPr>
          <w:lang w:eastAsia="ja-JP"/>
        </w:rPr>
      </w:pPr>
      <w:bookmarkStart w:id="9" w:name="_Ref442257568"/>
      <w:r>
        <w:rPr>
          <w:lang w:eastAsia="ja-JP"/>
        </w:rPr>
        <w:t>ETSI EN 301 893, Harmonized European Standard, “Broadband Radio Access Networks (BRAN); 5 GHz high performance RLAN”.</w:t>
      </w:r>
      <w:bookmarkEnd w:id="9"/>
    </w:p>
    <w:p w:rsidR="00D93699" w:rsidRDefault="00D93699" w:rsidP="00A44E91">
      <w:pPr>
        <w:pStyle w:val="BodyText"/>
        <w:numPr>
          <w:ilvl w:val="0"/>
          <w:numId w:val="13"/>
        </w:numPr>
        <w:ind w:left="450" w:hanging="450"/>
        <w:rPr>
          <w:lang w:eastAsia="ja-JP"/>
        </w:rPr>
      </w:pPr>
      <w:bookmarkStart w:id="10" w:name="_Ref447113305"/>
      <w:r>
        <w:rPr>
          <w:lang w:eastAsia="ja-JP"/>
        </w:rPr>
        <w:t>Chairman’s notes for RAN1 meeting #84</w:t>
      </w:r>
      <w:bookmarkEnd w:id="10"/>
    </w:p>
    <w:p w:rsidR="00D93699" w:rsidRPr="00D80165" w:rsidRDefault="00D93699" w:rsidP="00D93699">
      <w:pPr>
        <w:pStyle w:val="BodyText"/>
        <w:numPr>
          <w:ilvl w:val="0"/>
          <w:numId w:val="13"/>
        </w:numPr>
        <w:ind w:left="450" w:hanging="450"/>
        <w:rPr>
          <w:lang w:eastAsia="ja-JP"/>
        </w:rPr>
      </w:pPr>
      <w:bookmarkStart w:id="11" w:name="_Ref447113299"/>
      <w:r w:rsidRPr="00D93699">
        <w:rPr>
          <w:lang w:eastAsia="ja-JP"/>
        </w:rPr>
        <w:t>R1-</w:t>
      </w:r>
      <w:r w:rsidR="00971130" w:rsidRPr="00D93699">
        <w:rPr>
          <w:lang w:eastAsia="ja-JP"/>
        </w:rPr>
        <w:t>16</w:t>
      </w:r>
      <w:r w:rsidR="00971130">
        <w:rPr>
          <w:lang w:eastAsia="ja-JP"/>
        </w:rPr>
        <w:t>3144</w:t>
      </w:r>
      <w:r w:rsidR="00971130" w:rsidRPr="00D93699">
        <w:rPr>
          <w:lang w:eastAsia="ja-JP"/>
        </w:rPr>
        <w:t xml:space="preserve"> </w:t>
      </w:r>
      <w:r w:rsidR="00E94D19">
        <w:rPr>
          <w:lang w:eastAsia="ja-JP"/>
        </w:rPr>
        <w:t>T</w:t>
      </w:r>
      <w:r w:rsidRPr="00D93699">
        <w:rPr>
          <w:lang w:eastAsia="ja-JP"/>
        </w:rPr>
        <w:t>ransmission of uplink control information on an LAA SCell</w:t>
      </w:r>
      <w:r w:rsidR="00971130">
        <w:rPr>
          <w:lang w:eastAsia="ja-JP"/>
        </w:rPr>
        <w:t xml:space="preserve"> in</w:t>
      </w:r>
      <w:r w:rsidRPr="00D93699">
        <w:rPr>
          <w:lang w:eastAsia="ja-JP"/>
        </w:rPr>
        <w:t xml:space="preserve"> UL subframes</w:t>
      </w:r>
      <w:bookmarkEnd w:id="11"/>
    </w:p>
    <w:p w:rsidR="00D66031" w:rsidRPr="00D66031" w:rsidRDefault="00D66031" w:rsidP="00D66031">
      <w:pPr>
        <w:pStyle w:val="BodyText"/>
        <w:rPr>
          <w:lang w:eastAsia="ja-JP"/>
        </w:rPr>
      </w:pPr>
    </w:p>
    <w:sectPr w:rsidR="00D66031" w:rsidRPr="00D66031">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E32" w:rsidRDefault="00482E32">
      <w:r>
        <w:separator/>
      </w:r>
    </w:p>
  </w:endnote>
  <w:endnote w:type="continuationSeparator" w:id="0">
    <w:p w:rsidR="00482E32" w:rsidRDefault="00482E32">
      <w:r>
        <w:continuationSeparator/>
      </w:r>
    </w:p>
  </w:endnote>
  <w:endnote w:type="continuationNotice" w:id="1">
    <w:p w:rsidR="00482E32" w:rsidRDefault="00482E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E32" w:rsidRDefault="00482E32">
      <w:r>
        <w:separator/>
      </w:r>
    </w:p>
  </w:footnote>
  <w:footnote w:type="continuationSeparator" w:id="0">
    <w:p w:rsidR="00482E32" w:rsidRDefault="00482E32">
      <w:r>
        <w:continuationSeparator/>
      </w:r>
    </w:p>
  </w:footnote>
  <w:footnote w:type="continuationNotice" w:id="1">
    <w:p w:rsidR="00482E32" w:rsidRDefault="00482E3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3">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7">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1"/>
  </w:num>
  <w:num w:numId="2">
    <w:abstractNumId w:val="18"/>
  </w:num>
  <w:num w:numId="3">
    <w:abstractNumId w:val="9"/>
  </w:num>
  <w:num w:numId="4">
    <w:abstractNumId w:val="2"/>
  </w:num>
  <w:num w:numId="5">
    <w:abstractNumId w:val="19"/>
  </w:num>
  <w:num w:numId="6">
    <w:abstractNumId w:val="16"/>
  </w:num>
  <w:num w:numId="7">
    <w:abstractNumId w:val="13"/>
  </w:num>
  <w:num w:numId="8">
    <w:abstractNumId w:val="10"/>
  </w:num>
  <w:num w:numId="9">
    <w:abstractNumId w:val="6"/>
  </w:num>
  <w:num w:numId="10">
    <w:abstractNumId w:val="15"/>
  </w:num>
  <w:num w:numId="11">
    <w:abstractNumId w:val="8"/>
  </w:num>
  <w:num w:numId="12">
    <w:abstractNumId w:val="14"/>
  </w:num>
  <w:num w:numId="13">
    <w:abstractNumId w:val="12"/>
  </w:num>
  <w:num w:numId="14">
    <w:abstractNumId w:val="7"/>
  </w:num>
  <w:num w:numId="15">
    <w:abstractNumId w:val="4"/>
  </w:num>
  <w:num w:numId="16">
    <w:abstractNumId w:val="3"/>
  </w:num>
  <w:num w:numId="17">
    <w:abstractNumId w:val="17"/>
  </w:num>
  <w:num w:numId="18">
    <w:abstractNumId w:val="5"/>
  </w:num>
  <w:num w:numId="19">
    <w:abstractNumId w:val="1"/>
  </w:num>
  <w:num w:numId="2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7C"/>
    <w:rsid w:val="00036AD6"/>
    <w:rsid w:val="000370DA"/>
    <w:rsid w:val="000372AB"/>
    <w:rsid w:val="00037452"/>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15"/>
    <w:rsid w:val="000504A4"/>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E3"/>
    <w:rsid w:val="00061E1F"/>
    <w:rsid w:val="000620E7"/>
    <w:rsid w:val="000622B5"/>
    <w:rsid w:val="00062423"/>
    <w:rsid w:val="00062CA8"/>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23D"/>
    <w:rsid w:val="000975A9"/>
    <w:rsid w:val="00097B7E"/>
    <w:rsid w:val="000A01CD"/>
    <w:rsid w:val="000A0237"/>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BCD"/>
    <w:rsid w:val="000C7220"/>
    <w:rsid w:val="000C7CBA"/>
    <w:rsid w:val="000C7FDB"/>
    <w:rsid w:val="000D0496"/>
    <w:rsid w:val="000D0814"/>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713"/>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0E3"/>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314"/>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C8C"/>
    <w:rsid w:val="001A510C"/>
    <w:rsid w:val="001A52D2"/>
    <w:rsid w:val="001A5557"/>
    <w:rsid w:val="001A5894"/>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5EAA"/>
    <w:rsid w:val="00215F51"/>
    <w:rsid w:val="00216095"/>
    <w:rsid w:val="00216433"/>
    <w:rsid w:val="0021682F"/>
    <w:rsid w:val="00216843"/>
    <w:rsid w:val="00216A15"/>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6AB"/>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A33"/>
    <w:rsid w:val="00302E68"/>
    <w:rsid w:val="00302F2D"/>
    <w:rsid w:val="00302F5C"/>
    <w:rsid w:val="0030351C"/>
    <w:rsid w:val="003037A7"/>
    <w:rsid w:val="00303A6E"/>
    <w:rsid w:val="0030425B"/>
    <w:rsid w:val="00304BA3"/>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2D5"/>
    <w:rsid w:val="0034665D"/>
    <w:rsid w:val="00346C6F"/>
    <w:rsid w:val="00346D94"/>
    <w:rsid w:val="00347089"/>
    <w:rsid w:val="00347D98"/>
    <w:rsid w:val="00350479"/>
    <w:rsid w:val="00351212"/>
    <w:rsid w:val="00351468"/>
    <w:rsid w:val="00351812"/>
    <w:rsid w:val="00352A4F"/>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8FC"/>
    <w:rsid w:val="00372A39"/>
    <w:rsid w:val="00372D41"/>
    <w:rsid w:val="00372E7A"/>
    <w:rsid w:val="0037422F"/>
    <w:rsid w:val="003747B7"/>
    <w:rsid w:val="00374901"/>
    <w:rsid w:val="00374AB4"/>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BE6"/>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102A7"/>
    <w:rsid w:val="00410384"/>
    <w:rsid w:val="004104F3"/>
    <w:rsid w:val="00410BB2"/>
    <w:rsid w:val="00410E5D"/>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8A1"/>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187"/>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2E32"/>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A6C"/>
    <w:rsid w:val="0057509D"/>
    <w:rsid w:val="005755B1"/>
    <w:rsid w:val="005755D4"/>
    <w:rsid w:val="00575F36"/>
    <w:rsid w:val="00576A2C"/>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4244"/>
    <w:rsid w:val="005846BD"/>
    <w:rsid w:val="00584702"/>
    <w:rsid w:val="00584C31"/>
    <w:rsid w:val="00584FC2"/>
    <w:rsid w:val="00585D98"/>
    <w:rsid w:val="00586489"/>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742"/>
    <w:rsid w:val="005B7605"/>
    <w:rsid w:val="005B7798"/>
    <w:rsid w:val="005B7CA0"/>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995"/>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132"/>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6E4"/>
    <w:rsid w:val="006F46E6"/>
    <w:rsid w:val="006F4745"/>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61C9"/>
    <w:rsid w:val="00776EF9"/>
    <w:rsid w:val="007771B0"/>
    <w:rsid w:val="00777725"/>
    <w:rsid w:val="00777E65"/>
    <w:rsid w:val="00777EB2"/>
    <w:rsid w:val="007800B0"/>
    <w:rsid w:val="00780B4D"/>
    <w:rsid w:val="00780C2B"/>
    <w:rsid w:val="00780D37"/>
    <w:rsid w:val="00780DCB"/>
    <w:rsid w:val="00781396"/>
    <w:rsid w:val="007817FD"/>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4C"/>
    <w:rsid w:val="007D126E"/>
    <w:rsid w:val="007D191A"/>
    <w:rsid w:val="007D1D11"/>
    <w:rsid w:val="007D2627"/>
    <w:rsid w:val="007D2663"/>
    <w:rsid w:val="007D26E1"/>
    <w:rsid w:val="007D2981"/>
    <w:rsid w:val="007D29C4"/>
    <w:rsid w:val="007D2A34"/>
    <w:rsid w:val="007D2FBE"/>
    <w:rsid w:val="007D3006"/>
    <w:rsid w:val="007D3246"/>
    <w:rsid w:val="007D3E4F"/>
    <w:rsid w:val="007D4486"/>
    <w:rsid w:val="007D4CF1"/>
    <w:rsid w:val="007D5043"/>
    <w:rsid w:val="007D63AF"/>
    <w:rsid w:val="007D6693"/>
    <w:rsid w:val="007D6D83"/>
    <w:rsid w:val="007D70F6"/>
    <w:rsid w:val="007D7538"/>
    <w:rsid w:val="007D7793"/>
    <w:rsid w:val="007D7922"/>
    <w:rsid w:val="007D7DA5"/>
    <w:rsid w:val="007D7EAB"/>
    <w:rsid w:val="007D7F8F"/>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16D"/>
    <w:rsid w:val="00825661"/>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9B5"/>
    <w:rsid w:val="00847FD9"/>
    <w:rsid w:val="0085020D"/>
    <w:rsid w:val="00850438"/>
    <w:rsid w:val="00851425"/>
    <w:rsid w:val="0085190E"/>
    <w:rsid w:val="00851D8E"/>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C4"/>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31E1"/>
    <w:rsid w:val="009031FC"/>
    <w:rsid w:val="009033DF"/>
    <w:rsid w:val="00903CA4"/>
    <w:rsid w:val="00904071"/>
    <w:rsid w:val="0090417D"/>
    <w:rsid w:val="0090562C"/>
    <w:rsid w:val="00905683"/>
    <w:rsid w:val="009058DA"/>
    <w:rsid w:val="00906418"/>
    <w:rsid w:val="009067B2"/>
    <w:rsid w:val="00906A6B"/>
    <w:rsid w:val="00906C7D"/>
    <w:rsid w:val="00907039"/>
    <w:rsid w:val="0090764A"/>
    <w:rsid w:val="0090771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130"/>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A47"/>
    <w:rsid w:val="009941C6"/>
    <w:rsid w:val="009943AE"/>
    <w:rsid w:val="0099490F"/>
    <w:rsid w:val="009959F2"/>
    <w:rsid w:val="00995FEE"/>
    <w:rsid w:val="009968D9"/>
    <w:rsid w:val="00996BD1"/>
    <w:rsid w:val="009A0009"/>
    <w:rsid w:val="009A046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B0A"/>
    <w:rsid w:val="00A32D53"/>
    <w:rsid w:val="00A33671"/>
    <w:rsid w:val="00A3423D"/>
    <w:rsid w:val="00A343AA"/>
    <w:rsid w:val="00A34A3A"/>
    <w:rsid w:val="00A34E7C"/>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5921"/>
    <w:rsid w:val="00A6604E"/>
    <w:rsid w:val="00A66293"/>
    <w:rsid w:val="00A6635C"/>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23F"/>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AB3"/>
    <w:rsid w:val="00B103D0"/>
    <w:rsid w:val="00B10978"/>
    <w:rsid w:val="00B10998"/>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BF4"/>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52A5"/>
    <w:rsid w:val="00BA5BE4"/>
    <w:rsid w:val="00BA5F56"/>
    <w:rsid w:val="00BA6076"/>
    <w:rsid w:val="00BA60E7"/>
    <w:rsid w:val="00BA69CF"/>
    <w:rsid w:val="00BA6D50"/>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5C7"/>
    <w:rsid w:val="00BC5BD2"/>
    <w:rsid w:val="00BC6048"/>
    <w:rsid w:val="00BC610D"/>
    <w:rsid w:val="00BC610F"/>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AA6"/>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372F"/>
    <w:rsid w:val="00C239F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CA5"/>
    <w:rsid w:val="00C874B6"/>
    <w:rsid w:val="00C87552"/>
    <w:rsid w:val="00C87FD1"/>
    <w:rsid w:val="00C9016D"/>
    <w:rsid w:val="00C9017E"/>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5F6"/>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3F4B"/>
    <w:rsid w:val="00CE43A0"/>
    <w:rsid w:val="00CE4479"/>
    <w:rsid w:val="00CE496C"/>
    <w:rsid w:val="00CE4B7F"/>
    <w:rsid w:val="00CE4C79"/>
    <w:rsid w:val="00CE5B0F"/>
    <w:rsid w:val="00CE5DEE"/>
    <w:rsid w:val="00CE6B50"/>
    <w:rsid w:val="00CE79C7"/>
    <w:rsid w:val="00CE7CAD"/>
    <w:rsid w:val="00CF032E"/>
    <w:rsid w:val="00CF03B6"/>
    <w:rsid w:val="00CF05D8"/>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390E"/>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699"/>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9E0"/>
    <w:rsid w:val="00DE3E08"/>
    <w:rsid w:val="00DE41E9"/>
    <w:rsid w:val="00DE41EC"/>
    <w:rsid w:val="00DE48E0"/>
    <w:rsid w:val="00DE48EC"/>
    <w:rsid w:val="00DE5510"/>
    <w:rsid w:val="00DE7004"/>
    <w:rsid w:val="00DE702B"/>
    <w:rsid w:val="00DE7C1C"/>
    <w:rsid w:val="00DF0D42"/>
    <w:rsid w:val="00DF18D6"/>
    <w:rsid w:val="00DF1B3A"/>
    <w:rsid w:val="00DF204C"/>
    <w:rsid w:val="00DF234D"/>
    <w:rsid w:val="00DF2595"/>
    <w:rsid w:val="00DF25EC"/>
    <w:rsid w:val="00DF273E"/>
    <w:rsid w:val="00DF3066"/>
    <w:rsid w:val="00DF3127"/>
    <w:rsid w:val="00DF3A62"/>
    <w:rsid w:val="00DF40AD"/>
    <w:rsid w:val="00DF4AA5"/>
    <w:rsid w:val="00DF4E6C"/>
    <w:rsid w:val="00DF50B3"/>
    <w:rsid w:val="00DF51CD"/>
    <w:rsid w:val="00DF520D"/>
    <w:rsid w:val="00DF53F7"/>
    <w:rsid w:val="00DF5C36"/>
    <w:rsid w:val="00DF5C8D"/>
    <w:rsid w:val="00DF5FA5"/>
    <w:rsid w:val="00DF6F9C"/>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98A"/>
    <w:rsid w:val="00E22FEF"/>
    <w:rsid w:val="00E235D0"/>
    <w:rsid w:val="00E2380B"/>
    <w:rsid w:val="00E23A21"/>
    <w:rsid w:val="00E24517"/>
    <w:rsid w:val="00E247A6"/>
    <w:rsid w:val="00E24972"/>
    <w:rsid w:val="00E24D9D"/>
    <w:rsid w:val="00E25590"/>
    <w:rsid w:val="00E25670"/>
    <w:rsid w:val="00E25BF9"/>
    <w:rsid w:val="00E265C8"/>
    <w:rsid w:val="00E265D1"/>
    <w:rsid w:val="00E26873"/>
    <w:rsid w:val="00E26E16"/>
    <w:rsid w:val="00E26F44"/>
    <w:rsid w:val="00E27428"/>
    <w:rsid w:val="00E276D6"/>
    <w:rsid w:val="00E27810"/>
    <w:rsid w:val="00E3003D"/>
    <w:rsid w:val="00E301CF"/>
    <w:rsid w:val="00E302E0"/>
    <w:rsid w:val="00E308BA"/>
    <w:rsid w:val="00E3130D"/>
    <w:rsid w:val="00E31DB4"/>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7CEC"/>
    <w:rsid w:val="00E67FD8"/>
    <w:rsid w:val="00E700AC"/>
    <w:rsid w:val="00E70825"/>
    <w:rsid w:val="00E71685"/>
    <w:rsid w:val="00E71F36"/>
    <w:rsid w:val="00E7264B"/>
    <w:rsid w:val="00E726D1"/>
    <w:rsid w:val="00E72A93"/>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D19"/>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37FB"/>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74E"/>
    <w:rsid w:val="00F179DC"/>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D1"/>
    <w:rsid w:val="00F54F46"/>
    <w:rsid w:val="00F55277"/>
    <w:rsid w:val="00F55726"/>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6D55"/>
    <w:rsid w:val="00F7714B"/>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615B"/>
    <w:rsid w:val="00F96265"/>
    <w:rsid w:val="00F96864"/>
    <w:rsid w:val="00F97511"/>
    <w:rsid w:val="00F97548"/>
    <w:rsid w:val="00F97F79"/>
    <w:rsid w:val="00FA0408"/>
    <w:rsid w:val="00FA063C"/>
    <w:rsid w:val="00FA0A8B"/>
    <w:rsid w:val="00FA0ABC"/>
    <w:rsid w:val="00FA1823"/>
    <w:rsid w:val="00FA2597"/>
    <w:rsid w:val="00FA46BC"/>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DA41A-3A72-4415-8C31-22FF47F5B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792</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Ericsson</cp:lastModifiedBy>
  <cp:revision>3</cp:revision>
  <dcterms:created xsi:type="dcterms:W3CDTF">2016-04-02T04:48:00Z</dcterms:created>
  <dcterms:modified xsi:type="dcterms:W3CDTF">2016-04-02T04:48:00Z</dcterms:modified>
</cp:coreProperties>
</file>