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D89" w:rsidRPr="00186B7C" w:rsidRDefault="009C596F" w:rsidP="009C596F">
      <w:pPr>
        <w:pStyle w:val="af3"/>
        <w:spacing w:line="360" w:lineRule="auto"/>
        <w:rPr>
          <w:rFonts w:ascii="Times New Roman" w:eastAsia="SimSun" w:hAnsi="Times New Roman"/>
          <w:lang w:eastAsia="zh-CN"/>
        </w:rPr>
      </w:pPr>
      <w:bookmarkStart w:id="0" w:name="OLE_LINK1"/>
      <w:bookmarkStart w:id="1" w:name="_Ref399006623"/>
      <w:bookmarkStart w:id="2" w:name="_Toc92513360"/>
      <w:bookmarkStart w:id="3" w:name="_Ref429863785"/>
      <w:r w:rsidRPr="009C596F">
        <w:rPr>
          <w:rFonts w:ascii="Times New Roman" w:eastAsia="SimSun" w:hAnsi="Times New Roman"/>
          <w:lang w:eastAsia="zh-CN"/>
        </w:rPr>
        <w:t xml:space="preserve">3GPP TSG </w:t>
      </w:r>
      <w:r w:rsidRPr="009C596F">
        <w:rPr>
          <w:rFonts w:ascii="Times New Roman" w:eastAsia="SimSun" w:hAnsi="Times New Roman" w:hint="eastAsia"/>
          <w:lang w:eastAsia="zh-CN"/>
        </w:rPr>
        <w:t>RAN</w:t>
      </w:r>
      <w:r w:rsidR="005A574F">
        <w:rPr>
          <w:rFonts w:ascii="Times New Roman" w:eastAsia="SimSun" w:hAnsi="Times New Roman"/>
          <w:lang w:eastAsia="zh-CN"/>
        </w:rPr>
        <w:t xml:space="preserve"> WG</w:t>
      </w:r>
      <w:r w:rsidRPr="009C596F">
        <w:rPr>
          <w:rFonts w:ascii="Times New Roman" w:eastAsia="SimSun" w:hAnsi="Times New Roman"/>
          <w:lang w:eastAsia="zh-CN"/>
        </w:rPr>
        <w:t>1</w:t>
      </w:r>
      <w:r w:rsidRPr="009C596F">
        <w:rPr>
          <w:rFonts w:ascii="Times New Roman" w:eastAsia="SimSun" w:hAnsi="Times New Roman" w:hint="eastAsia"/>
          <w:lang w:eastAsia="zh-CN"/>
        </w:rPr>
        <w:t xml:space="preserve"> Meeting #</w:t>
      </w:r>
      <w:r w:rsidRPr="009C596F">
        <w:rPr>
          <w:rFonts w:ascii="Times New Roman" w:eastAsia="SimSun" w:hAnsi="Times New Roman"/>
          <w:lang w:eastAsia="zh-CN"/>
        </w:rPr>
        <w:t>8</w:t>
      </w:r>
      <w:r w:rsidR="0048308A">
        <w:rPr>
          <w:rFonts w:ascii="Times New Roman" w:eastAsia="SimSun" w:hAnsi="Times New Roman"/>
          <w:lang w:eastAsia="zh-CN"/>
        </w:rPr>
        <w:t>3</w:t>
      </w:r>
      <w:r w:rsidR="00350D89">
        <w:rPr>
          <w:rFonts w:ascii="Times New Roman" w:eastAsia="SimSun" w:hAnsi="Times New Roman" w:hint="eastAsia"/>
          <w:lang w:eastAsia="zh-CN"/>
        </w:rPr>
        <w:t xml:space="preserve">   </w:t>
      </w:r>
      <w:r w:rsidR="00350D89" w:rsidRPr="00762E47">
        <w:rPr>
          <w:rFonts w:ascii="Times New Roman" w:eastAsia="SimSun" w:hAnsi="Times New Roman"/>
          <w:lang w:eastAsia="zh-CN"/>
        </w:rPr>
        <w:t xml:space="preserve">  </w:t>
      </w:r>
      <w:r w:rsidR="00350D89">
        <w:rPr>
          <w:rFonts w:ascii="Times New Roman" w:hAnsi="Times New Roman"/>
        </w:rPr>
        <w:tab/>
      </w:r>
      <w:r w:rsidR="00350D89">
        <w:rPr>
          <w:rFonts w:ascii="Times New Roman" w:hAnsi="Times New Roman"/>
        </w:rPr>
        <w:tab/>
      </w:r>
      <w:r w:rsidR="00350D89">
        <w:rPr>
          <w:rFonts w:ascii="Times New Roman" w:hAnsi="Times New Roman"/>
        </w:rPr>
        <w:tab/>
      </w:r>
      <w:r w:rsidR="00350D89">
        <w:rPr>
          <w:rFonts w:ascii="Times New Roman" w:hAnsi="Times New Roman"/>
        </w:rPr>
        <w:tab/>
      </w:r>
      <w:r w:rsidR="00350D89">
        <w:rPr>
          <w:rFonts w:ascii="Times New Roman" w:hAnsi="Times New Roman"/>
        </w:rPr>
        <w:tab/>
      </w:r>
      <w:r w:rsidR="00350D89">
        <w:rPr>
          <w:rFonts w:ascii="Times New Roman" w:hAnsi="Times New Roman"/>
        </w:rPr>
        <w:tab/>
      </w:r>
      <w:r w:rsidR="00350D89">
        <w:rPr>
          <w:rFonts w:ascii="Times New Roman" w:hAnsi="Times New Roman"/>
        </w:rPr>
        <w:tab/>
      </w:r>
      <w:r w:rsidR="00350D89">
        <w:rPr>
          <w:rFonts w:ascii="Times New Roman" w:hAnsi="Times New Roman"/>
        </w:rPr>
        <w:tab/>
      </w:r>
      <w:r w:rsidR="00350D89">
        <w:rPr>
          <w:rFonts w:ascii="Times New Roman" w:hAnsi="Times New Roman"/>
        </w:rPr>
        <w:tab/>
      </w:r>
      <w:r w:rsidR="00350D89">
        <w:rPr>
          <w:rFonts w:ascii="Times New Roman" w:hAnsi="Times New Roman"/>
        </w:rPr>
        <w:tab/>
      </w:r>
      <w:r w:rsidR="00350D89" w:rsidRPr="002A153E">
        <w:rPr>
          <w:rFonts w:ascii="Times New Roman" w:hAnsi="Times New Roman"/>
        </w:rPr>
        <w:t>R</w:t>
      </w:r>
      <w:r>
        <w:rPr>
          <w:rFonts w:ascii="Times New Roman" w:hAnsi="Times New Roman"/>
        </w:rPr>
        <w:t>1</w:t>
      </w:r>
      <w:r w:rsidR="00350D89" w:rsidRPr="002A153E">
        <w:rPr>
          <w:rFonts w:ascii="Times New Roman" w:hAnsi="Times New Roman"/>
        </w:rPr>
        <w:t>-</w:t>
      </w:r>
      <w:r w:rsidR="006A70F5">
        <w:rPr>
          <w:rFonts w:ascii="Times New Roman" w:hAnsi="Times New Roman"/>
        </w:rPr>
        <w:t>15</w:t>
      </w:r>
      <w:r w:rsidR="00BA75B5">
        <w:rPr>
          <w:rFonts w:ascii="Times New Roman" w:hAnsi="Times New Roman"/>
        </w:rPr>
        <w:t>6925</w:t>
      </w:r>
    </w:p>
    <w:p w:rsidR="00350D89" w:rsidRDefault="0048308A" w:rsidP="009C596F">
      <w:pPr>
        <w:pStyle w:val="af3"/>
        <w:pBdr>
          <w:bottom w:val="single" w:sz="6" w:space="1" w:color="auto"/>
        </w:pBdr>
        <w:spacing w:line="360" w:lineRule="auto"/>
        <w:rPr>
          <w:rFonts w:ascii="Times New Roman" w:eastAsia="SimSun" w:hAnsi="Times New Roman"/>
          <w:lang w:eastAsia="zh-CN"/>
        </w:rPr>
      </w:pPr>
      <w:r>
        <w:rPr>
          <w:rFonts w:ascii="Times New Roman" w:eastAsia="SimSun" w:hAnsi="Times New Roman"/>
          <w:lang w:eastAsia="zh-CN"/>
        </w:rPr>
        <w:t>Anaheim</w:t>
      </w:r>
      <w:r w:rsidR="009C596F">
        <w:rPr>
          <w:rFonts w:ascii="Times New Roman" w:eastAsia="SimSun" w:hAnsi="Times New Roman"/>
          <w:lang w:eastAsia="zh-CN"/>
        </w:rPr>
        <w:t xml:space="preserve"> </w:t>
      </w:r>
      <w:r>
        <w:rPr>
          <w:rFonts w:ascii="Times New Roman" w:eastAsia="SimSun" w:hAnsi="Times New Roman"/>
          <w:lang w:eastAsia="zh-CN"/>
        </w:rPr>
        <w:t>USA</w:t>
      </w:r>
      <w:r w:rsidR="009C596F">
        <w:rPr>
          <w:rFonts w:ascii="Times New Roman" w:eastAsia="SimSun" w:hAnsi="Times New Roman"/>
          <w:lang w:eastAsia="zh-CN"/>
        </w:rPr>
        <w:t xml:space="preserve">, </w:t>
      </w:r>
      <w:r>
        <w:rPr>
          <w:rFonts w:ascii="Times New Roman" w:eastAsia="SimSun" w:hAnsi="Times New Roman"/>
          <w:lang w:eastAsia="zh-CN"/>
        </w:rPr>
        <w:t>November</w:t>
      </w:r>
      <w:r w:rsidR="00350D89" w:rsidRPr="004C460C">
        <w:rPr>
          <w:rFonts w:ascii="Times New Roman" w:eastAsia="SimSun" w:hAnsi="Times New Roman"/>
          <w:lang w:eastAsia="zh-CN"/>
        </w:rPr>
        <w:t xml:space="preserve"> </w:t>
      </w:r>
      <w:r>
        <w:rPr>
          <w:rFonts w:ascii="Times New Roman" w:eastAsia="SimSun" w:hAnsi="Times New Roman"/>
          <w:lang w:eastAsia="zh-CN"/>
        </w:rPr>
        <w:t>1</w:t>
      </w:r>
      <w:r w:rsidR="009C596F">
        <w:rPr>
          <w:rFonts w:ascii="Times New Roman" w:eastAsia="SimSun" w:hAnsi="Times New Roman"/>
          <w:lang w:eastAsia="zh-CN"/>
        </w:rPr>
        <w:t>5</w:t>
      </w:r>
      <w:r w:rsidR="00350D89" w:rsidRPr="004C460C">
        <w:rPr>
          <w:rFonts w:ascii="Times New Roman" w:eastAsia="SimSun" w:hAnsi="Times New Roman"/>
          <w:lang w:eastAsia="zh-CN"/>
        </w:rPr>
        <w:t xml:space="preserve"> - </w:t>
      </w:r>
      <w:r>
        <w:rPr>
          <w:rFonts w:ascii="Times New Roman" w:eastAsia="SimSun" w:hAnsi="Times New Roman"/>
          <w:lang w:eastAsia="zh-CN"/>
        </w:rPr>
        <w:t>22</w:t>
      </w:r>
      <w:r w:rsidR="00350D89" w:rsidRPr="004C460C">
        <w:rPr>
          <w:rFonts w:ascii="Times New Roman" w:eastAsia="SimSun" w:hAnsi="Times New Roman"/>
          <w:lang w:eastAsia="zh-CN"/>
        </w:rPr>
        <w:t>, 2015</w:t>
      </w:r>
      <w:bookmarkEnd w:id="0"/>
    </w:p>
    <w:p w:rsidR="005A574F" w:rsidRDefault="005A574F" w:rsidP="005A574F">
      <w:pPr>
        <w:tabs>
          <w:tab w:val="left" w:pos="1985"/>
        </w:tabs>
        <w:spacing w:line="276" w:lineRule="auto"/>
        <w:jc w:val="both"/>
        <w:rPr>
          <w:b/>
          <w:sz w:val="22"/>
        </w:rPr>
      </w:pPr>
    </w:p>
    <w:p w:rsidR="005A574F" w:rsidRPr="00494598" w:rsidRDefault="005A574F" w:rsidP="005A574F">
      <w:pPr>
        <w:tabs>
          <w:tab w:val="left" w:pos="1985"/>
        </w:tabs>
        <w:spacing w:line="276" w:lineRule="auto"/>
        <w:jc w:val="both"/>
        <w:rPr>
          <w:rFonts w:eastAsia="SimSun"/>
          <w:b/>
          <w:sz w:val="22"/>
          <w:lang w:eastAsia="zh-CN"/>
        </w:rPr>
      </w:pPr>
      <w:r w:rsidRPr="00494598">
        <w:rPr>
          <w:b/>
          <w:sz w:val="22"/>
        </w:rPr>
        <w:t>Agen</w:t>
      </w:r>
      <w:r w:rsidRPr="00494598">
        <w:rPr>
          <w:rFonts w:eastAsia="SimSun"/>
          <w:b/>
          <w:sz w:val="22"/>
          <w:lang w:eastAsia="zh-CN"/>
        </w:rPr>
        <w:t>d</w:t>
      </w:r>
      <w:r w:rsidRPr="00494598">
        <w:rPr>
          <w:b/>
          <w:sz w:val="22"/>
        </w:rPr>
        <w:t xml:space="preserve">a Item:   </w:t>
      </w:r>
      <w:r w:rsidR="00E2616D">
        <w:rPr>
          <w:b/>
          <w:sz w:val="22"/>
        </w:rPr>
        <w:tab/>
      </w:r>
      <w:r w:rsidR="00F9494A">
        <w:rPr>
          <w:rFonts w:hint="eastAsia"/>
          <w:b/>
          <w:sz w:val="22"/>
          <w:lang w:eastAsia="zh-CN"/>
        </w:rPr>
        <w:t>6</w:t>
      </w:r>
      <w:r w:rsidRPr="00494598">
        <w:rPr>
          <w:b/>
          <w:sz w:val="22"/>
        </w:rPr>
        <w:t>.2.6.</w:t>
      </w:r>
      <w:r w:rsidR="00F9494A">
        <w:rPr>
          <w:rFonts w:hint="eastAsia"/>
          <w:b/>
          <w:sz w:val="22"/>
          <w:lang w:eastAsia="zh-CN"/>
        </w:rPr>
        <w:t>2</w:t>
      </w:r>
      <w:r w:rsidRPr="00494598">
        <w:rPr>
          <w:b/>
          <w:sz w:val="22"/>
        </w:rPr>
        <w:t>.</w:t>
      </w:r>
      <w:r w:rsidR="00F9494A">
        <w:rPr>
          <w:rFonts w:hint="eastAsia"/>
          <w:b/>
          <w:sz w:val="22"/>
          <w:lang w:eastAsia="zh-CN"/>
        </w:rPr>
        <w:t>3</w:t>
      </w:r>
    </w:p>
    <w:p w:rsidR="00350D89" w:rsidRPr="00494598" w:rsidRDefault="00350D89" w:rsidP="005A574F">
      <w:pPr>
        <w:tabs>
          <w:tab w:val="left" w:pos="1985"/>
        </w:tabs>
        <w:spacing w:line="276" w:lineRule="auto"/>
        <w:jc w:val="both"/>
        <w:rPr>
          <w:b/>
          <w:sz w:val="22"/>
        </w:rPr>
      </w:pPr>
      <w:r w:rsidRPr="00494598">
        <w:rPr>
          <w:b/>
          <w:sz w:val="22"/>
        </w:rPr>
        <w:t xml:space="preserve">Source: </w:t>
      </w:r>
      <w:r w:rsidR="005A574F" w:rsidRPr="00494598">
        <w:rPr>
          <w:b/>
          <w:sz w:val="22"/>
        </w:rPr>
        <w:t xml:space="preserve">       </w:t>
      </w:r>
      <w:r w:rsidR="00E2616D">
        <w:rPr>
          <w:b/>
          <w:sz w:val="22"/>
        </w:rPr>
        <w:tab/>
      </w:r>
      <w:proofErr w:type="spellStart"/>
      <w:r w:rsidR="009C596F" w:rsidRPr="00494598">
        <w:rPr>
          <w:b/>
          <w:sz w:val="22"/>
        </w:rPr>
        <w:t>Neul</w:t>
      </w:r>
      <w:proofErr w:type="spellEnd"/>
      <w:r w:rsidR="00142B2E" w:rsidRPr="00494598">
        <w:rPr>
          <w:b/>
          <w:sz w:val="22"/>
        </w:rPr>
        <w:t xml:space="preserve">, Huawei, </w:t>
      </w:r>
      <w:proofErr w:type="spellStart"/>
      <w:r w:rsidR="00142B2E" w:rsidRPr="00494598">
        <w:rPr>
          <w:b/>
          <w:sz w:val="22"/>
        </w:rPr>
        <w:t>Hisilicon</w:t>
      </w:r>
      <w:proofErr w:type="spellEnd"/>
    </w:p>
    <w:p w:rsidR="00350D89" w:rsidRPr="00D44BDC" w:rsidRDefault="00BF2374" w:rsidP="005A574F">
      <w:pPr>
        <w:spacing w:line="276" w:lineRule="auto"/>
        <w:ind w:left="1985" w:hanging="1985"/>
        <w:rPr>
          <w:rFonts w:eastAsia="SimSun"/>
          <w:b/>
          <w:sz w:val="22"/>
          <w:lang w:eastAsia="zh-CN"/>
        </w:rPr>
      </w:pPr>
      <w:r w:rsidRPr="00BF2374">
        <w:rPr>
          <w:rFonts w:eastAsia="SimSun"/>
          <w:b/>
          <w:sz w:val="22"/>
          <w:lang w:eastAsia="zh-CN"/>
        </w:rPr>
        <w:t xml:space="preserve">Title:          </w:t>
      </w:r>
      <w:r w:rsidRPr="00BF2374">
        <w:rPr>
          <w:rFonts w:eastAsia="SimSun"/>
          <w:b/>
          <w:sz w:val="22"/>
          <w:lang w:eastAsia="zh-CN"/>
        </w:rPr>
        <w:tab/>
        <w:t>Overall comparison of FDMA and SC-FDMA</w:t>
      </w:r>
    </w:p>
    <w:p w:rsidR="00350D89" w:rsidRPr="00494598" w:rsidRDefault="00350D89" w:rsidP="005A574F">
      <w:pPr>
        <w:pBdr>
          <w:bottom w:val="single" w:sz="6" w:space="1" w:color="auto"/>
        </w:pBdr>
        <w:tabs>
          <w:tab w:val="left" w:pos="1985"/>
        </w:tabs>
        <w:spacing w:line="276" w:lineRule="auto"/>
        <w:jc w:val="both"/>
        <w:rPr>
          <w:rFonts w:eastAsia="SimSun"/>
          <w:b/>
          <w:sz w:val="22"/>
          <w:lang w:eastAsia="zh-CN"/>
        </w:rPr>
      </w:pPr>
      <w:r w:rsidRPr="00494598">
        <w:rPr>
          <w:b/>
          <w:sz w:val="22"/>
        </w:rPr>
        <w:t>Document for:</w:t>
      </w:r>
      <w:bookmarkEnd w:id="1"/>
      <w:bookmarkEnd w:id="2"/>
      <w:r w:rsidR="005A574F" w:rsidRPr="00494598">
        <w:rPr>
          <w:b/>
          <w:sz w:val="22"/>
        </w:rPr>
        <w:t xml:space="preserve">  </w:t>
      </w:r>
      <w:r w:rsidR="00E2616D">
        <w:rPr>
          <w:b/>
          <w:sz w:val="22"/>
        </w:rPr>
        <w:tab/>
      </w:r>
      <w:r w:rsidRPr="00494598">
        <w:rPr>
          <w:rFonts w:eastAsia="SimSun" w:hint="eastAsia"/>
          <w:b/>
          <w:sz w:val="22"/>
          <w:lang w:eastAsia="zh-CN"/>
        </w:rPr>
        <w:t>Discussion</w:t>
      </w:r>
      <w:r w:rsidR="00142B2E" w:rsidRPr="00494598">
        <w:rPr>
          <w:rFonts w:eastAsia="SimSun"/>
          <w:b/>
          <w:sz w:val="22"/>
          <w:lang w:eastAsia="zh-CN"/>
        </w:rPr>
        <w:t xml:space="preserve"> and decision</w:t>
      </w:r>
    </w:p>
    <w:p w:rsidR="005A574F" w:rsidRDefault="005A574F" w:rsidP="005A574F">
      <w:pPr>
        <w:pBdr>
          <w:bottom w:val="single" w:sz="6" w:space="1" w:color="auto"/>
        </w:pBdr>
        <w:tabs>
          <w:tab w:val="left" w:pos="1985"/>
        </w:tabs>
        <w:spacing w:line="276" w:lineRule="auto"/>
        <w:jc w:val="both"/>
        <w:rPr>
          <w:rFonts w:eastAsia="SimSun"/>
          <w:sz w:val="22"/>
          <w:lang w:eastAsia="zh-CN"/>
        </w:rPr>
      </w:pPr>
    </w:p>
    <w:p w:rsidR="00350D89" w:rsidRPr="000F1603" w:rsidRDefault="00350D89" w:rsidP="00350D89">
      <w:pPr>
        <w:pStyle w:val="1"/>
        <w:keepLines w:val="0"/>
        <w:widowControl/>
        <w:numPr>
          <w:ilvl w:val="0"/>
          <w:numId w:val="8"/>
        </w:numPr>
        <w:pBdr>
          <w:top w:val="none" w:sz="0" w:space="0" w:color="auto"/>
        </w:pBdr>
        <w:spacing w:after="240"/>
        <w:rPr>
          <w:rFonts w:ascii="Times New Roman" w:hAnsi="Times New Roman"/>
          <w:b/>
          <w:sz w:val="30"/>
          <w:szCs w:val="30"/>
        </w:rPr>
      </w:pPr>
      <w:r w:rsidRPr="00494598">
        <w:rPr>
          <w:rFonts w:ascii="Times New Roman" w:hAnsi="Times New Roman" w:hint="eastAsia"/>
          <w:b/>
          <w:sz w:val="28"/>
          <w:szCs w:val="28"/>
        </w:rPr>
        <w:t>Introduction</w:t>
      </w:r>
    </w:p>
    <w:p w:rsidR="00D6611D" w:rsidRPr="005E14F3" w:rsidRDefault="00806F57" w:rsidP="000B5D46">
      <w:pPr>
        <w:spacing w:after="120"/>
        <w:jc w:val="both"/>
        <w:rPr>
          <w:sz w:val="22"/>
          <w:szCs w:val="22"/>
          <w:lang w:eastAsia="zh-CN"/>
        </w:rPr>
      </w:pPr>
      <w:r w:rsidRPr="005E14F3">
        <w:rPr>
          <w:sz w:val="22"/>
          <w:szCs w:val="22"/>
          <w:lang w:eastAsia="zh-CN"/>
        </w:rPr>
        <w:t>In RAN#69, a new WI called</w:t>
      </w:r>
      <w:r w:rsidR="00021DF6" w:rsidRPr="005E14F3">
        <w:rPr>
          <w:sz w:val="22"/>
          <w:szCs w:val="22"/>
          <w:lang w:eastAsia="zh-CN"/>
        </w:rPr>
        <w:t xml:space="preserve"> NB-</w:t>
      </w:r>
      <w:proofErr w:type="spellStart"/>
      <w:r w:rsidR="00021DF6" w:rsidRPr="005E14F3">
        <w:rPr>
          <w:sz w:val="22"/>
          <w:szCs w:val="22"/>
          <w:lang w:eastAsia="zh-CN"/>
        </w:rPr>
        <w:t>IoT</w:t>
      </w:r>
      <w:proofErr w:type="spellEnd"/>
      <w:r w:rsidR="00021DF6" w:rsidRPr="005E14F3">
        <w:rPr>
          <w:sz w:val="22"/>
          <w:szCs w:val="22"/>
          <w:lang w:eastAsia="zh-CN"/>
        </w:rPr>
        <w:t xml:space="preserve"> was created</w:t>
      </w:r>
      <w:r w:rsidR="00985993" w:rsidRPr="005E14F3">
        <w:rPr>
          <w:sz w:val="22"/>
          <w:szCs w:val="22"/>
          <w:lang w:eastAsia="zh-CN"/>
        </w:rPr>
        <w:t xml:space="preserve"> </w:t>
      </w:r>
      <w:fldSimple w:instr=" REF _Ref430609514 \n \h  \* MERGEFORMAT ">
        <w:r w:rsidR="00B57A1D" w:rsidRPr="00B57A1D">
          <w:rPr>
            <w:sz w:val="22"/>
            <w:szCs w:val="22"/>
            <w:lang w:eastAsia="zh-CN"/>
          </w:rPr>
          <w:t>[1]</w:t>
        </w:r>
      </w:fldSimple>
      <w:r w:rsidR="00D6611D" w:rsidRPr="005E14F3">
        <w:rPr>
          <w:sz w:val="22"/>
          <w:szCs w:val="22"/>
          <w:lang w:eastAsia="zh-CN"/>
        </w:rPr>
        <w:t>. T</w:t>
      </w:r>
      <w:r w:rsidR="005D4F0C">
        <w:rPr>
          <w:sz w:val="22"/>
          <w:szCs w:val="22"/>
          <w:lang w:eastAsia="zh-CN"/>
        </w:rPr>
        <w:t>wo</w:t>
      </w:r>
      <w:r w:rsidR="00D6611D" w:rsidRPr="005E14F3">
        <w:rPr>
          <w:sz w:val="22"/>
          <w:szCs w:val="22"/>
          <w:lang w:eastAsia="zh-CN"/>
        </w:rPr>
        <w:t xml:space="preserve"> </w:t>
      </w:r>
      <w:r w:rsidR="00D6611D" w:rsidRPr="005E14F3">
        <w:rPr>
          <w:rFonts w:hint="eastAsia"/>
          <w:sz w:val="22"/>
          <w:szCs w:val="22"/>
          <w:lang w:eastAsia="zh-CN"/>
        </w:rPr>
        <w:t>uplink</w:t>
      </w:r>
      <w:r w:rsidR="00DE5482" w:rsidRPr="005E14F3">
        <w:rPr>
          <w:sz w:val="22"/>
          <w:szCs w:val="22"/>
          <w:lang w:eastAsia="zh-CN"/>
        </w:rPr>
        <w:t xml:space="preserve"> NB-</w:t>
      </w:r>
      <w:proofErr w:type="spellStart"/>
      <w:r w:rsidR="00DE5482" w:rsidRPr="005E14F3">
        <w:rPr>
          <w:sz w:val="22"/>
          <w:szCs w:val="22"/>
          <w:lang w:eastAsia="zh-CN"/>
        </w:rPr>
        <w:t>IoT</w:t>
      </w:r>
      <w:proofErr w:type="spellEnd"/>
      <w:r w:rsidR="00DE5482" w:rsidRPr="005E14F3">
        <w:rPr>
          <w:sz w:val="22"/>
          <w:szCs w:val="22"/>
          <w:lang w:eastAsia="zh-CN"/>
        </w:rPr>
        <w:t xml:space="preserve"> </w:t>
      </w:r>
      <w:r w:rsidR="005E14F3" w:rsidRPr="005E14F3">
        <w:rPr>
          <w:rFonts w:hint="eastAsia"/>
          <w:sz w:val="22"/>
          <w:szCs w:val="22"/>
          <w:lang w:eastAsia="zh-CN"/>
        </w:rPr>
        <w:t>modulation scheme</w:t>
      </w:r>
      <w:r w:rsidR="005D4F0C">
        <w:rPr>
          <w:sz w:val="22"/>
          <w:szCs w:val="22"/>
          <w:lang w:eastAsia="zh-CN"/>
        </w:rPr>
        <w:t>s</w:t>
      </w:r>
      <w:r w:rsidR="005E14F3" w:rsidRPr="005E14F3">
        <w:rPr>
          <w:rFonts w:hint="eastAsia"/>
          <w:sz w:val="22"/>
          <w:szCs w:val="22"/>
          <w:lang w:eastAsia="zh-CN"/>
        </w:rPr>
        <w:t xml:space="preserve"> </w:t>
      </w:r>
      <w:r w:rsidR="00DE5482" w:rsidRPr="005E14F3">
        <w:rPr>
          <w:sz w:val="22"/>
          <w:szCs w:val="22"/>
          <w:lang w:eastAsia="zh-CN"/>
        </w:rPr>
        <w:t>should be evaluated</w:t>
      </w:r>
      <w:r w:rsidR="00D6611D" w:rsidRPr="005E14F3">
        <w:rPr>
          <w:sz w:val="22"/>
          <w:szCs w:val="22"/>
          <w:lang w:eastAsia="zh-CN"/>
        </w:rPr>
        <w:t xml:space="preserve">: </w:t>
      </w:r>
      <w:r w:rsidR="00D6611D" w:rsidRPr="005E14F3">
        <w:rPr>
          <w:rFonts w:hint="eastAsia"/>
          <w:sz w:val="22"/>
          <w:szCs w:val="22"/>
          <w:lang w:eastAsia="zh-CN"/>
        </w:rPr>
        <w:t>FDMA</w:t>
      </w:r>
      <w:r w:rsidR="00021DF6" w:rsidRPr="005E14F3">
        <w:rPr>
          <w:sz w:val="22"/>
          <w:szCs w:val="22"/>
          <w:lang w:eastAsia="zh-CN"/>
        </w:rPr>
        <w:t xml:space="preserve"> and </w:t>
      </w:r>
      <w:r w:rsidR="00D6611D" w:rsidRPr="005E14F3">
        <w:rPr>
          <w:rFonts w:hint="eastAsia"/>
          <w:sz w:val="22"/>
          <w:szCs w:val="22"/>
          <w:lang w:eastAsia="zh-CN"/>
        </w:rPr>
        <w:t>SC-FDMA</w:t>
      </w:r>
      <w:r w:rsidR="00021DF6" w:rsidRPr="005E14F3">
        <w:rPr>
          <w:sz w:val="22"/>
          <w:szCs w:val="22"/>
          <w:lang w:eastAsia="zh-CN"/>
        </w:rPr>
        <w:t xml:space="preserve">, </w:t>
      </w:r>
      <w:r w:rsidR="005B6F78">
        <w:rPr>
          <w:sz w:val="22"/>
          <w:szCs w:val="22"/>
          <w:lang w:eastAsia="zh-CN"/>
        </w:rPr>
        <w:t>derived</w:t>
      </w:r>
      <w:r w:rsidR="00021DF6" w:rsidRPr="005E14F3">
        <w:rPr>
          <w:sz w:val="22"/>
          <w:szCs w:val="22"/>
          <w:lang w:eastAsia="zh-CN"/>
        </w:rPr>
        <w:t xml:space="preserve"> from the technical report TR45.820</w:t>
      </w:r>
      <w:r w:rsidR="00985993" w:rsidRPr="005E14F3">
        <w:rPr>
          <w:sz w:val="22"/>
          <w:szCs w:val="22"/>
          <w:lang w:eastAsia="zh-CN"/>
        </w:rPr>
        <w:t xml:space="preserve"> </w:t>
      </w:r>
      <w:fldSimple w:instr=" REF _Ref430609530 \n \h  \* MERGEFORMAT ">
        <w:r w:rsidR="00B57A1D" w:rsidRPr="00B57A1D">
          <w:rPr>
            <w:sz w:val="22"/>
            <w:szCs w:val="22"/>
            <w:lang w:eastAsia="zh-CN"/>
          </w:rPr>
          <w:t>[2]</w:t>
        </w:r>
      </w:fldSimple>
      <w:r w:rsidR="00D6611D" w:rsidRPr="005E14F3">
        <w:rPr>
          <w:sz w:val="22"/>
          <w:szCs w:val="22"/>
          <w:lang w:eastAsia="zh-CN"/>
        </w:rPr>
        <w:t>.</w:t>
      </w:r>
      <w:r w:rsidR="00D6611D" w:rsidRPr="005E14F3">
        <w:rPr>
          <w:rFonts w:hint="eastAsia"/>
          <w:sz w:val="22"/>
          <w:szCs w:val="22"/>
          <w:lang w:eastAsia="zh-CN"/>
        </w:rPr>
        <w:t xml:space="preserve"> </w:t>
      </w:r>
    </w:p>
    <w:p w:rsidR="005B6F78" w:rsidRDefault="004655D0" w:rsidP="000B5D46">
      <w:pPr>
        <w:spacing w:after="120"/>
        <w:jc w:val="both"/>
        <w:rPr>
          <w:sz w:val="22"/>
          <w:szCs w:val="22"/>
          <w:lang w:eastAsia="zh-CN"/>
        </w:rPr>
      </w:pPr>
      <w:r w:rsidRPr="005E14F3">
        <w:rPr>
          <w:sz w:val="22"/>
          <w:szCs w:val="22"/>
          <w:lang w:eastAsia="zh-CN"/>
        </w:rPr>
        <w:t xml:space="preserve">In this contribution, </w:t>
      </w:r>
      <w:r w:rsidR="005B6F78">
        <w:rPr>
          <w:sz w:val="22"/>
          <w:szCs w:val="22"/>
          <w:lang w:eastAsia="zh-CN"/>
        </w:rPr>
        <w:t>we compare FDMA and SC-FDMA uplink schemes</w:t>
      </w:r>
      <w:r w:rsidR="002F6EB4">
        <w:rPr>
          <w:sz w:val="22"/>
          <w:szCs w:val="22"/>
          <w:lang w:eastAsia="zh-CN"/>
        </w:rPr>
        <w:t>’</w:t>
      </w:r>
      <w:r w:rsidR="005B6F78">
        <w:rPr>
          <w:sz w:val="22"/>
          <w:szCs w:val="22"/>
          <w:lang w:eastAsia="zh-CN"/>
        </w:rPr>
        <w:t xml:space="preserve"> performance and implementation complexity.</w:t>
      </w:r>
    </w:p>
    <w:p w:rsidR="008149E1" w:rsidRDefault="008149E1">
      <w:pPr>
        <w:rPr>
          <w:b/>
          <w:sz w:val="28"/>
          <w:szCs w:val="28"/>
          <w:lang w:eastAsia="zh-CN"/>
        </w:rPr>
      </w:pPr>
      <w:r>
        <w:rPr>
          <w:b/>
          <w:sz w:val="28"/>
          <w:szCs w:val="28"/>
          <w:lang w:eastAsia="zh-CN"/>
        </w:rPr>
        <w:br w:type="page"/>
      </w:r>
    </w:p>
    <w:p w:rsidR="005B6F78" w:rsidRDefault="005B6F78" w:rsidP="005B6F78">
      <w:pPr>
        <w:pStyle w:val="1"/>
        <w:keepLines w:val="0"/>
        <w:widowControl/>
        <w:numPr>
          <w:ilvl w:val="0"/>
          <w:numId w:val="8"/>
        </w:numPr>
        <w:pBdr>
          <w:top w:val="none" w:sz="0" w:space="0" w:color="auto"/>
        </w:pBdr>
        <w:spacing w:after="240"/>
        <w:rPr>
          <w:rFonts w:ascii="Times New Roman" w:hAnsi="Times New Roman"/>
          <w:b/>
          <w:sz w:val="28"/>
          <w:szCs w:val="28"/>
          <w:lang w:eastAsia="zh-CN"/>
        </w:rPr>
      </w:pPr>
      <w:r>
        <w:rPr>
          <w:rFonts w:ascii="Times New Roman" w:hAnsi="Times New Roman"/>
          <w:b/>
          <w:sz w:val="28"/>
          <w:szCs w:val="28"/>
          <w:lang w:eastAsia="zh-CN"/>
        </w:rPr>
        <w:lastRenderedPageBreak/>
        <w:t>Comparison</w:t>
      </w:r>
      <w:r>
        <w:rPr>
          <w:rFonts w:ascii="Times New Roman" w:hAnsi="Times New Roman" w:hint="eastAsia"/>
          <w:b/>
          <w:sz w:val="28"/>
          <w:szCs w:val="28"/>
          <w:lang w:eastAsia="zh-CN"/>
        </w:rPr>
        <w:t xml:space="preserve"> of FDMA and SC-FDMA</w:t>
      </w:r>
      <w:r>
        <w:rPr>
          <w:rFonts w:ascii="Times New Roman" w:hAnsi="Times New Roman"/>
          <w:b/>
          <w:sz w:val="28"/>
          <w:szCs w:val="28"/>
          <w:lang w:eastAsia="zh-CN"/>
        </w:rPr>
        <w:t xml:space="preserve"> uplink</w:t>
      </w:r>
    </w:p>
    <w:p w:rsidR="005B029A" w:rsidRDefault="005B029A">
      <w:pPr>
        <w:rPr>
          <w:b/>
        </w:rPr>
      </w:pPr>
    </w:p>
    <w:p w:rsidR="008011EC" w:rsidRDefault="008011EC" w:rsidP="008011EC">
      <w:pPr>
        <w:pStyle w:val="1"/>
        <w:keepLines w:val="0"/>
        <w:widowControl/>
        <w:numPr>
          <w:ilvl w:val="1"/>
          <w:numId w:val="8"/>
        </w:numPr>
        <w:pBdr>
          <w:top w:val="none" w:sz="0" w:space="0" w:color="auto"/>
        </w:pBdr>
        <w:spacing w:after="240"/>
        <w:rPr>
          <w:rFonts w:ascii="Times New Roman" w:hAnsi="Times New Roman"/>
          <w:b/>
          <w:sz w:val="28"/>
          <w:szCs w:val="28"/>
          <w:lang w:eastAsia="zh-CN"/>
        </w:rPr>
      </w:pPr>
      <w:r>
        <w:rPr>
          <w:rFonts w:ascii="Times New Roman" w:hAnsi="Times New Roman" w:hint="eastAsia"/>
          <w:b/>
          <w:sz w:val="28"/>
          <w:szCs w:val="28"/>
          <w:lang w:eastAsia="zh-CN"/>
        </w:rPr>
        <w:t>General</w:t>
      </w:r>
    </w:p>
    <w:p w:rsidR="008011EC" w:rsidRPr="00994D57" w:rsidRDefault="008011EC" w:rsidP="008011EC">
      <w:pPr>
        <w:spacing w:after="120"/>
        <w:jc w:val="both"/>
        <w:rPr>
          <w:b/>
          <w:kern w:val="2"/>
          <w:sz w:val="22"/>
          <w:lang w:eastAsia="zh-CN"/>
        </w:rPr>
      </w:pPr>
      <w:r>
        <w:rPr>
          <w:b/>
          <w:kern w:val="2"/>
          <w:sz w:val="22"/>
          <w:lang w:eastAsia="zh-CN"/>
        </w:rPr>
        <w:t xml:space="preserve">Observation 1: </w:t>
      </w:r>
      <w:r w:rsidRPr="00BF2374">
        <w:rPr>
          <w:b/>
          <w:kern w:val="2"/>
          <w:sz w:val="22"/>
          <w:lang w:eastAsia="zh-CN"/>
        </w:rPr>
        <w:t xml:space="preserve">The key advantage of FDMA is that it results in a simpler and more energy efficient UE transmitter implementation. </w:t>
      </w:r>
      <w:r>
        <w:rPr>
          <w:b/>
          <w:kern w:val="2"/>
          <w:sz w:val="22"/>
          <w:lang w:eastAsia="zh-CN"/>
        </w:rPr>
        <w:t>FDMA</w:t>
      </w:r>
      <w:r w:rsidRPr="00BF2374">
        <w:rPr>
          <w:b/>
          <w:kern w:val="2"/>
          <w:sz w:val="22"/>
          <w:lang w:eastAsia="zh-CN"/>
        </w:rPr>
        <w:t xml:space="preserve"> has lower PAPR and a lower phase modulation bandwidth. </w:t>
      </w:r>
    </w:p>
    <w:p w:rsidR="005B6F78" w:rsidRDefault="005B6F78" w:rsidP="005B6F78">
      <w:pPr>
        <w:pStyle w:val="1"/>
        <w:keepLines w:val="0"/>
        <w:widowControl/>
        <w:numPr>
          <w:ilvl w:val="1"/>
          <w:numId w:val="8"/>
        </w:numPr>
        <w:pBdr>
          <w:top w:val="none" w:sz="0" w:space="0" w:color="auto"/>
        </w:pBdr>
        <w:spacing w:after="240"/>
        <w:rPr>
          <w:rFonts w:ascii="Times New Roman" w:hAnsi="Times New Roman"/>
          <w:b/>
          <w:sz w:val="28"/>
          <w:szCs w:val="28"/>
          <w:lang w:eastAsia="zh-CN"/>
        </w:rPr>
      </w:pPr>
      <w:r>
        <w:rPr>
          <w:rFonts w:ascii="Times New Roman" w:hAnsi="Times New Roman"/>
          <w:b/>
          <w:sz w:val="28"/>
          <w:szCs w:val="28"/>
          <w:lang w:eastAsia="zh-CN"/>
        </w:rPr>
        <w:t>PAPR</w:t>
      </w:r>
    </w:p>
    <w:p w:rsidR="005B029A" w:rsidRDefault="00BC3DC5">
      <w:pPr>
        <w:rPr>
          <w:lang w:eastAsia="zh-CN"/>
        </w:rPr>
      </w:pPr>
      <w:r>
        <w:rPr>
          <w:lang w:eastAsia="zh-CN"/>
        </w:rPr>
        <w:t xml:space="preserve">PAPR of FDMA </w:t>
      </w:r>
      <w:proofErr w:type="spellStart"/>
      <w:r>
        <w:rPr>
          <w:lang w:eastAsia="zh-CN"/>
        </w:rPr>
        <w:t>vs</w:t>
      </w:r>
      <w:proofErr w:type="spellEnd"/>
      <w:r>
        <w:rPr>
          <w:lang w:eastAsia="zh-CN"/>
        </w:rPr>
        <w:t xml:space="preserve"> SC-FDMA is discussed</w:t>
      </w:r>
      <w:r w:rsidR="00E03148">
        <w:rPr>
          <w:lang w:eastAsia="zh-CN"/>
        </w:rPr>
        <w:t xml:space="preserve"> in detail</w:t>
      </w:r>
      <w:r>
        <w:rPr>
          <w:lang w:eastAsia="zh-CN"/>
        </w:rPr>
        <w:t xml:space="preserve"> in </w:t>
      </w:r>
      <w:r w:rsidR="0083594F">
        <w:rPr>
          <w:lang w:eastAsia="zh-CN"/>
        </w:rPr>
        <w:t>[6] and [7].</w:t>
      </w:r>
      <w:r w:rsidR="0016002B">
        <w:rPr>
          <w:lang w:eastAsia="zh-CN"/>
        </w:rPr>
        <w:t xml:space="preserve"> </w:t>
      </w:r>
    </w:p>
    <w:p w:rsidR="005B029A" w:rsidRDefault="005B029A">
      <w:pPr>
        <w:rPr>
          <w:lang w:eastAsia="zh-CN"/>
        </w:rPr>
      </w:pPr>
    </w:p>
    <w:p w:rsidR="005B029A" w:rsidRDefault="009D0329">
      <w:pPr>
        <w:rPr>
          <w:lang w:eastAsia="zh-CN"/>
        </w:rPr>
      </w:pPr>
      <w:r>
        <w:rPr>
          <w:noProof/>
          <w:lang w:val="en-US" w:eastAsia="zh-CN"/>
        </w:rPr>
        <w:drawing>
          <wp:inline distT="0" distB="0" distL="0" distR="0">
            <wp:extent cx="5745480" cy="1963388"/>
            <wp:effectExtent l="19050" t="0" r="762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745480" cy="1963388"/>
                    </a:xfrm>
                    <a:prstGeom prst="rect">
                      <a:avLst/>
                    </a:prstGeom>
                    <a:noFill/>
                    <a:ln w="9525">
                      <a:noFill/>
                      <a:miter lim="800000"/>
                      <a:headEnd/>
                      <a:tailEnd/>
                    </a:ln>
                  </pic:spPr>
                </pic:pic>
              </a:graphicData>
            </a:graphic>
          </wp:inline>
        </w:drawing>
      </w:r>
    </w:p>
    <w:p w:rsidR="005B029A" w:rsidRDefault="00BE0CDF">
      <w:pPr>
        <w:pStyle w:val="a9"/>
        <w:jc w:val="center"/>
        <w:rPr>
          <w:lang w:eastAsia="zh-CN"/>
        </w:rPr>
      </w:pPr>
      <w:r>
        <w:t xml:space="preserve">Figure </w:t>
      </w:r>
      <w:r w:rsidR="002B7DFD">
        <w:fldChar w:fldCharType="begin"/>
      </w:r>
      <w:r>
        <w:instrText xml:space="preserve"> SEQ Figure \* ARABIC </w:instrText>
      </w:r>
      <w:r w:rsidR="002B7DFD">
        <w:fldChar w:fldCharType="separate"/>
      </w:r>
      <w:r w:rsidR="00B57A1D">
        <w:rPr>
          <w:noProof/>
        </w:rPr>
        <w:t>1</w:t>
      </w:r>
      <w:r w:rsidR="002B7DFD">
        <w:fldChar w:fldCharType="end"/>
      </w:r>
      <w:r>
        <w:t xml:space="preserve">: TPSK amplitude </w:t>
      </w:r>
      <w:proofErr w:type="spellStart"/>
      <w:r>
        <w:t>vs</w:t>
      </w:r>
      <w:proofErr w:type="spellEnd"/>
      <w:r>
        <w:t xml:space="preserve"> time</w:t>
      </w:r>
    </w:p>
    <w:p w:rsidR="005B029A" w:rsidRDefault="005B029A">
      <w:pPr>
        <w:rPr>
          <w:lang w:eastAsia="zh-CN"/>
        </w:rPr>
      </w:pPr>
    </w:p>
    <w:p w:rsidR="005B029A" w:rsidRDefault="00197ABC">
      <w:pPr>
        <w:rPr>
          <w:b/>
          <w:sz w:val="22"/>
          <w:szCs w:val="22"/>
          <w:lang w:eastAsia="zh-CN"/>
        </w:rPr>
      </w:pPr>
      <w:r>
        <w:rPr>
          <w:b/>
          <w:sz w:val="22"/>
          <w:szCs w:val="22"/>
          <w:lang w:eastAsia="zh-CN"/>
        </w:rPr>
        <w:t>Observation</w:t>
      </w:r>
      <w:r w:rsidR="00940638">
        <w:rPr>
          <w:b/>
          <w:sz w:val="22"/>
          <w:szCs w:val="22"/>
          <w:lang w:eastAsia="zh-CN"/>
        </w:rPr>
        <w:t xml:space="preserve"> </w:t>
      </w:r>
      <w:r w:rsidR="008011EC">
        <w:rPr>
          <w:rFonts w:hint="eastAsia"/>
          <w:b/>
          <w:sz w:val="22"/>
          <w:szCs w:val="22"/>
          <w:lang w:eastAsia="zh-CN"/>
        </w:rPr>
        <w:t>2</w:t>
      </w:r>
      <w:r>
        <w:rPr>
          <w:b/>
          <w:sz w:val="22"/>
          <w:szCs w:val="22"/>
          <w:lang w:eastAsia="zh-CN"/>
        </w:rPr>
        <w:t xml:space="preserve">: </w:t>
      </w:r>
      <w:r w:rsidR="00BF2374" w:rsidRPr="00BF2374">
        <w:rPr>
          <w:b/>
          <w:sz w:val="22"/>
          <w:szCs w:val="22"/>
          <w:lang w:eastAsia="zh-CN"/>
        </w:rPr>
        <w:t>For TPSK waveforms, the low PAPR is misleading in terms of ease of implementation. This is because the dips in signal magnitude at symbol boundaries must be tracked accurately by the PA to avoid spectr</w:t>
      </w:r>
      <w:r w:rsidR="004110E5">
        <w:rPr>
          <w:b/>
          <w:sz w:val="22"/>
          <w:szCs w:val="22"/>
          <w:lang w:eastAsia="zh-CN"/>
        </w:rPr>
        <w:t>um</w:t>
      </w:r>
      <w:r w:rsidR="00BF2374" w:rsidRPr="00BF2374">
        <w:rPr>
          <w:b/>
          <w:sz w:val="22"/>
          <w:szCs w:val="22"/>
          <w:lang w:eastAsia="zh-CN"/>
        </w:rPr>
        <w:t xml:space="preserve"> splatter. This prevents the PA being operated with high efficiency in saturation.</w:t>
      </w:r>
    </w:p>
    <w:p w:rsidR="005B029A" w:rsidRDefault="005B029A">
      <w:pPr>
        <w:rPr>
          <w:lang w:eastAsia="zh-CN"/>
        </w:rPr>
      </w:pPr>
    </w:p>
    <w:p w:rsidR="005B029A" w:rsidRDefault="00051C59">
      <w:pPr>
        <w:rPr>
          <w:b/>
          <w:sz w:val="22"/>
          <w:szCs w:val="22"/>
          <w:lang w:eastAsia="zh-CN"/>
        </w:rPr>
      </w:pPr>
      <w:r>
        <w:rPr>
          <w:b/>
          <w:sz w:val="22"/>
          <w:szCs w:val="22"/>
          <w:lang w:eastAsia="zh-CN"/>
        </w:rPr>
        <w:t>Observation</w:t>
      </w:r>
      <w:r w:rsidR="00940638">
        <w:rPr>
          <w:b/>
          <w:sz w:val="22"/>
          <w:szCs w:val="22"/>
          <w:lang w:eastAsia="zh-CN"/>
        </w:rPr>
        <w:t xml:space="preserve"> </w:t>
      </w:r>
      <w:r w:rsidR="008011EC">
        <w:rPr>
          <w:rFonts w:hint="eastAsia"/>
          <w:b/>
          <w:sz w:val="22"/>
          <w:szCs w:val="22"/>
          <w:lang w:eastAsia="zh-CN"/>
        </w:rPr>
        <w:t>3</w:t>
      </w:r>
      <w:r>
        <w:rPr>
          <w:b/>
          <w:sz w:val="22"/>
          <w:szCs w:val="22"/>
          <w:lang w:eastAsia="zh-CN"/>
        </w:rPr>
        <w:t xml:space="preserve">: </w:t>
      </w:r>
      <w:r w:rsidR="00BF2374" w:rsidRPr="00BF2374">
        <w:rPr>
          <w:b/>
          <w:sz w:val="22"/>
          <w:szCs w:val="22"/>
          <w:lang w:eastAsia="zh-CN"/>
        </w:rPr>
        <w:t>While FDMA-GMSK PAPR is 0 dB for all signal bandwidths (all sub-carrier bonding factors), SC-FDMA PAPR can be as high as 6.5 dB. The worst case PAPR with FDMA is 3.8 dB when using 8PSK; however, a low cost UE may use just GMSK and can still achieve higher data rates through sub-carrier bonding, without impacting the 0 dB PAPR property.</w:t>
      </w:r>
    </w:p>
    <w:p w:rsidR="005B029A" w:rsidRDefault="005B029A">
      <w:pPr>
        <w:rPr>
          <w:lang w:eastAsia="zh-CN"/>
        </w:rPr>
      </w:pPr>
    </w:p>
    <w:p w:rsidR="005B029A" w:rsidRDefault="00051C59">
      <w:pPr>
        <w:rPr>
          <w:b/>
          <w:sz w:val="22"/>
          <w:szCs w:val="22"/>
          <w:lang w:eastAsia="zh-CN"/>
        </w:rPr>
      </w:pPr>
      <w:r>
        <w:rPr>
          <w:b/>
          <w:sz w:val="22"/>
          <w:szCs w:val="22"/>
          <w:lang w:eastAsia="zh-CN"/>
        </w:rPr>
        <w:t>Observation</w:t>
      </w:r>
      <w:r w:rsidR="00940638">
        <w:rPr>
          <w:b/>
          <w:sz w:val="22"/>
          <w:szCs w:val="22"/>
          <w:lang w:eastAsia="zh-CN"/>
        </w:rPr>
        <w:t xml:space="preserve"> </w:t>
      </w:r>
      <w:r w:rsidR="008011EC">
        <w:rPr>
          <w:rFonts w:hint="eastAsia"/>
          <w:b/>
          <w:sz w:val="22"/>
          <w:szCs w:val="22"/>
          <w:lang w:eastAsia="zh-CN"/>
        </w:rPr>
        <w:t>4</w:t>
      </w:r>
      <w:r w:rsidR="00940638">
        <w:rPr>
          <w:b/>
          <w:sz w:val="22"/>
          <w:szCs w:val="22"/>
          <w:lang w:eastAsia="zh-CN"/>
        </w:rPr>
        <w:t>:</w:t>
      </w:r>
      <w:r>
        <w:rPr>
          <w:b/>
          <w:sz w:val="22"/>
          <w:szCs w:val="22"/>
          <w:lang w:eastAsia="zh-CN"/>
        </w:rPr>
        <w:t xml:space="preserve"> </w:t>
      </w:r>
      <w:r w:rsidR="00BF2374" w:rsidRPr="00BF2374">
        <w:rPr>
          <w:b/>
          <w:sz w:val="22"/>
          <w:szCs w:val="22"/>
          <w:lang w:eastAsia="zh-CN"/>
        </w:rPr>
        <w:t>SC-FDMA PAPR grows with the modulation bandwidth (number of sub-carriers used), whereas FDMA PAPR does not vary with modulation bandwidth, because it simply scales the symbol rate in order to achieve higher data rates.</w:t>
      </w:r>
    </w:p>
    <w:p w:rsidR="005B029A" w:rsidRDefault="005B029A">
      <w:pPr>
        <w:rPr>
          <w:lang w:eastAsia="zh-CN"/>
        </w:rPr>
      </w:pPr>
    </w:p>
    <w:p w:rsidR="005B029A" w:rsidRDefault="00051C59">
      <w:pPr>
        <w:rPr>
          <w:b/>
          <w:sz w:val="22"/>
          <w:szCs w:val="22"/>
          <w:lang w:eastAsia="zh-CN"/>
        </w:rPr>
      </w:pPr>
      <w:r>
        <w:rPr>
          <w:b/>
          <w:sz w:val="22"/>
          <w:szCs w:val="22"/>
          <w:lang w:eastAsia="zh-CN"/>
        </w:rPr>
        <w:t>Observation</w:t>
      </w:r>
      <w:r w:rsidR="00940638">
        <w:rPr>
          <w:b/>
          <w:sz w:val="22"/>
          <w:szCs w:val="22"/>
          <w:lang w:eastAsia="zh-CN"/>
        </w:rPr>
        <w:t xml:space="preserve"> </w:t>
      </w:r>
      <w:r w:rsidR="008011EC">
        <w:rPr>
          <w:rFonts w:hint="eastAsia"/>
          <w:b/>
          <w:sz w:val="22"/>
          <w:szCs w:val="22"/>
          <w:lang w:eastAsia="zh-CN"/>
        </w:rPr>
        <w:t>5</w:t>
      </w:r>
      <w:r w:rsidR="00940638">
        <w:rPr>
          <w:b/>
          <w:sz w:val="22"/>
          <w:szCs w:val="22"/>
          <w:lang w:eastAsia="zh-CN"/>
        </w:rPr>
        <w:t>:</w:t>
      </w:r>
      <w:r w:rsidR="00BF2374" w:rsidRPr="00BF2374">
        <w:rPr>
          <w:b/>
          <w:sz w:val="22"/>
          <w:szCs w:val="22"/>
          <w:lang w:eastAsia="zh-CN"/>
        </w:rPr>
        <w:t xml:space="preserve"> The SC-FDMA PRACH has a high PAPR, close to 7 dB for some PRACH sequence indices, whereas the FDMA PRACH reuses the PUSCH modulation formats, so it has the same good PAPR properties.</w:t>
      </w:r>
    </w:p>
    <w:p w:rsidR="005B029A" w:rsidRDefault="005B029A">
      <w:pPr>
        <w:rPr>
          <w:lang w:eastAsia="zh-CN"/>
        </w:rPr>
      </w:pPr>
    </w:p>
    <w:p w:rsidR="00311A88" w:rsidRDefault="00EE5EF3" w:rsidP="00311A88">
      <w:pPr>
        <w:rPr>
          <w:b/>
          <w:sz w:val="22"/>
          <w:szCs w:val="22"/>
          <w:lang w:eastAsia="zh-CN"/>
        </w:rPr>
      </w:pPr>
      <w:r>
        <w:rPr>
          <w:b/>
          <w:sz w:val="22"/>
          <w:szCs w:val="22"/>
          <w:lang w:eastAsia="zh-CN"/>
        </w:rPr>
        <w:t xml:space="preserve">Observation </w:t>
      </w:r>
      <w:r w:rsidR="008011EC">
        <w:rPr>
          <w:rFonts w:hint="eastAsia"/>
          <w:b/>
          <w:sz w:val="22"/>
          <w:szCs w:val="22"/>
          <w:lang w:eastAsia="zh-CN"/>
        </w:rPr>
        <w:t>6</w:t>
      </w:r>
      <w:r w:rsidR="00311A88" w:rsidRPr="00694044">
        <w:rPr>
          <w:b/>
          <w:sz w:val="22"/>
          <w:szCs w:val="22"/>
          <w:lang w:eastAsia="zh-CN"/>
        </w:rPr>
        <w:t>:</w:t>
      </w:r>
      <w:r w:rsidR="00311A88">
        <w:rPr>
          <w:b/>
          <w:sz w:val="22"/>
          <w:szCs w:val="22"/>
          <w:lang w:eastAsia="zh-CN"/>
        </w:rPr>
        <w:t xml:space="preserve"> </w:t>
      </w:r>
      <w:r w:rsidR="00311A88" w:rsidRPr="00694044">
        <w:rPr>
          <w:b/>
          <w:sz w:val="22"/>
          <w:szCs w:val="22"/>
          <w:lang w:eastAsia="zh-CN"/>
        </w:rPr>
        <w:t xml:space="preserve">FDMA and TPSK can both achieve low PAPR, </w:t>
      </w:r>
      <w:r w:rsidR="00311A88">
        <w:rPr>
          <w:b/>
          <w:sz w:val="22"/>
          <w:szCs w:val="22"/>
          <w:lang w:eastAsia="zh-CN"/>
        </w:rPr>
        <w:t>but only</w:t>
      </w:r>
      <w:r w:rsidR="00311A88" w:rsidRPr="00694044">
        <w:rPr>
          <w:b/>
          <w:sz w:val="22"/>
          <w:szCs w:val="22"/>
          <w:lang w:eastAsia="zh-CN"/>
        </w:rPr>
        <w:t xml:space="preserve"> FDMA+GMSK </w:t>
      </w:r>
      <w:r w:rsidR="00311A88">
        <w:rPr>
          <w:b/>
          <w:sz w:val="22"/>
          <w:szCs w:val="22"/>
          <w:lang w:eastAsia="zh-CN"/>
        </w:rPr>
        <w:t>provides a genuine constant envelope waveform (exactly 0 dB PAPR), allowing the use of a saturated PA without causing spectral re</w:t>
      </w:r>
      <w:r w:rsidR="00606E49">
        <w:rPr>
          <w:b/>
          <w:sz w:val="22"/>
          <w:szCs w:val="22"/>
          <w:lang w:eastAsia="zh-CN"/>
        </w:rPr>
        <w:t>-</w:t>
      </w:r>
      <w:r w:rsidR="00311A88">
        <w:rPr>
          <w:b/>
          <w:sz w:val="22"/>
          <w:szCs w:val="22"/>
          <w:lang w:eastAsia="zh-CN"/>
        </w:rPr>
        <w:t>growth.</w:t>
      </w:r>
    </w:p>
    <w:p w:rsidR="00337851" w:rsidRDefault="00337851" w:rsidP="00311A88">
      <w:pPr>
        <w:rPr>
          <w:b/>
          <w:sz w:val="22"/>
          <w:szCs w:val="22"/>
          <w:lang w:eastAsia="zh-CN"/>
        </w:rPr>
      </w:pPr>
    </w:p>
    <w:p w:rsidR="00337851" w:rsidRPr="00337851" w:rsidRDefault="00337851" w:rsidP="00337851">
      <w:pPr>
        <w:rPr>
          <w:b/>
          <w:sz w:val="22"/>
          <w:szCs w:val="22"/>
          <w:lang w:eastAsia="zh-CN"/>
        </w:rPr>
      </w:pPr>
      <w:r>
        <w:rPr>
          <w:b/>
          <w:sz w:val="22"/>
          <w:szCs w:val="22"/>
          <w:lang w:eastAsia="zh-CN"/>
        </w:rPr>
        <w:t xml:space="preserve">Observation </w:t>
      </w:r>
      <w:r w:rsidR="008011EC">
        <w:rPr>
          <w:rFonts w:hint="eastAsia"/>
          <w:b/>
          <w:sz w:val="22"/>
          <w:szCs w:val="22"/>
          <w:lang w:eastAsia="zh-CN"/>
        </w:rPr>
        <w:t>7</w:t>
      </w:r>
      <w:r w:rsidRPr="00694044">
        <w:rPr>
          <w:b/>
          <w:sz w:val="22"/>
          <w:szCs w:val="22"/>
          <w:lang w:eastAsia="zh-CN"/>
        </w:rPr>
        <w:t>:</w:t>
      </w:r>
      <w:r>
        <w:rPr>
          <w:b/>
          <w:sz w:val="22"/>
          <w:szCs w:val="22"/>
          <w:lang w:eastAsia="zh-CN"/>
        </w:rPr>
        <w:t xml:space="preserve"> </w:t>
      </w:r>
      <w:r w:rsidRPr="00337851">
        <w:rPr>
          <w:b/>
          <w:sz w:val="22"/>
          <w:szCs w:val="22"/>
          <w:lang w:eastAsia="zh-CN"/>
        </w:rPr>
        <w:t>TPSK is not a good replacement ‘zero-PAPR’ scheme for GMSK, because it is not truly constant-envelope.</w:t>
      </w:r>
    </w:p>
    <w:p w:rsidR="00337851" w:rsidRPr="00337851" w:rsidRDefault="00337851" w:rsidP="00311A88">
      <w:pPr>
        <w:rPr>
          <w:b/>
          <w:sz w:val="22"/>
          <w:szCs w:val="22"/>
          <w:lang w:eastAsia="zh-CN"/>
        </w:rPr>
      </w:pPr>
    </w:p>
    <w:p w:rsidR="005B029A" w:rsidRDefault="005B029A">
      <w:pPr>
        <w:rPr>
          <w:lang w:eastAsia="zh-CN"/>
        </w:rPr>
      </w:pPr>
    </w:p>
    <w:p w:rsidR="00A720FD" w:rsidRDefault="00F43506">
      <w:pPr>
        <w:rPr>
          <w:b/>
          <w:sz w:val="28"/>
          <w:szCs w:val="28"/>
          <w:lang w:eastAsia="zh-CN"/>
        </w:rPr>
      </w:pPr>
      <w:r>
        <w:rPr>
          <w:b/>
          <w:sz w:val="28"/>
          <w:szCs w:val="28"/>
          <w:lang w:eastAsia="zh-CN"/>
        </w:rPr>
        <w:br w:type="page"/>
      </w:r>
    </w:p>
    <w:p w:rsidR="001A7DC3" w:rsidRDefault="00A8334B">
      <w:pPr>
        <w:pStyle w:val="1"/>
        <w:keepLines w:val="0"/>
        <w:widowControl/>
        <w:numPr>
          <w:ilvl w:val="1"/>
          <w:numId w:val="8"/>
        </w:numPr>
        <w:pBdr>
          <w:top w:val="none" w:sz="0" w:space="0" w:color="auto"/>
        </w:pBdr>
        <w:spacing w:after="240"/>
        <w:rPr>
          <w:rFonts w:ascii="Times New Roman" w:hAnsi="Times New Roman"/>
          <w:b/>
          <w:sz w:val="28"/>
          <w:szCs w:val="28"/>
          <w:lang w:eastAsia="zh-CN"/>
        </w:rPr>
      </w:pPr>
      <w:r>
        <w:rPr>
          <w:rFonts w:ascii="Times New Roman" w:hAnsi="Times New Roman"/>
          <w:b/>
          <w:sz w:val="28"/>
          <w:szCs w:val="28"/>
          <w:lang w:eastAsia="zh-CN"/>
        </w:rPr>
        <w:lastRenderedPageBreak/>
        <w:t>Interference with LTE</w:t>
      </w:r>
      <w:r w:rsidR="00F514DD">
        <w:rPr>
          <w:rFonts w:ascii="Times New Roman" w:hAnsi="Times New Roman"/>
          <w:b/>
          <w:sz w:val="28"/>
          <w:szCs w:val="28"/>
          <w:lang w:eastAsia="zh-CN"/>
        </w:rPr>
        <w:t xml:space="preserve"> </w:t>
      </w:r>
      <w:r w:rsidR="00880322">
        <w:rPr>
          <w:rFonts w:ascii="Times New Roman" w:hAnsi="Times New Roman"/>
          <w:b/>
          <w:sz w:val="28"/>
          <w:szCs w:val="28"/>
          <w:lang w:eastAsia="zh-CN"/>
        </w:rPr>
        <w:t>uplink signals</w:t>
      </w:r>
    </w:p>
    <w:p w:rsidR="005B029A" w:rsidRDefault="00BF2374">
      <w:pPr>
        <w:rPr>
          <w:sz w:val="22"/>
          <w:szCs w:val="22"/>
          <w:lang w:eastAsia="zh-CN"/>
        </w:rPr>
      </w:pPr>
      <w:r w:rsidRPr="00BF2374">
        <w:rPr>
          <w:sz w:val="22"/>
          <w:szCs w:val="22"/>
          <w:lang w:eastAsia="zh-CN"/>
        </w:rPr>
        <w:t>Both FDMA and SC-FDMA sub-carriers are aligned to a 2.5 kHz frequency grid, therefore they cannot be made orthogonal to LTE uplink transmissions in general. The two schemes are similar in this respect.</w:t>
      </w:r>
    </w:p>
    <w:p w:rsidR="005B029A" w:rsidRDefault="005B029A">
      <w:pPr>
        <w:rPr>
          <w:sz w:val="22"/>
          <w:szCs w:val="22"/>
          <w:lang w:eastAsia="zh-CN"/>
        </w:rPr>
      </w:pPr>
    </w:p>
    <w:p w:rsidR="005B029A" w:rsidRDefault="00BF2374">
      <w:pPr>
        <w:rPr>
          <w:sz w:val="22"/>
          <w:szCs w:val="22"/>
          <w:lang w:eastAsia="zh-CN"/>
        </w:rPr>
      </w:pPr>
      <w:r w:rsidRPr="00BF2374">
        <w:rPr>
          <w:sz w:val="22"/>
          <w:szCs w:val="22"/>
          <w:lang w:eastAsia="zh-CN"/>
        </w:rPr>
        <w:t>In addition to this, in the case of SC-FDMA, interference may be created due to signal discontinuities at symbol boundaries creating spectrum splatter. Note that as illustrated in</w:t>
      </w:r>
      <w:r w:rsidR="009E1B9B">
        <w:rPr>
          <w:sz w:val="22"/>
          <w:szCs w:val="22"/>
          <w:lang w:eastAsia="zh-CN"/>
        </w:rPr>
        <w:t xml:space="preserve"> </w:t>
      </w:r>
      <w:fldSimple w:instr=" REF _Ref434584588 \h  \* MERGEFORMAT ">
        <w:r w:rsidR="00B57A1D" w:rsidRPr="00B57A1D">
          <w:rPr>
            <w:sz w:val="22"/>
            <w:szCs w:val="22"/>
            <w:lang w:eastAsia="zh-CN"/>
          </w:rPr>
          <w:t>Table 1</w:t>
        </w:r>
      </w:fldSimple>
      <w:r w:rsidRPr="00BF2374">
        <w:rPr>
          <w:sz w:val="22"/>
          <w:szCs w:val="22"/>
          <w:lang w:eastAsia="zh-CN"/>
        </w:rPr>
        <w:t>, the SC-FDMA symbol boundaries cannot be perfectly aligned to LTE uplink symbol boundaries. In comparison, FDMA has no such discontinuities.</w:t>
      </w:r>
    </w:p>
    <w:p w:rsidR="005B029A" w:rsidRDefault="005B029A">
      <w:pPr>
        <w:rPr>
          <w:lang w:eastAsia="zh-CN"/>
        </w:rPr>
      </w:pPr>
    </w:p>
    <w:tbl>
      <w:tblPr>
        <w:tblW w:w="0" w:type="auto"/>
        <w:jc w:val="center"/>
        <w:tblInd w:w="392" w:type="dxa"/>
        <w:tblCellMar>
          <w:left w:w="0" w:type="dxa"/>
          <w:right w:w="0" w:type="dxa"/>
        </w:tblCellMar>
        <w:tblLook w:val="04A0"/>
      </w:tblPr>
      <w:tblGrid>
        <w:gridCol w:w="1276"/>
        <w:gridCol w:w="1238"/>
        <w:gridCol w:w="1313"/>
        <w:gridCol w:w="1418"/>
        <w:gridCol w:w="1275"/>
        <w:gridCol w:w="1276"/>
      </w:tblGrid>
      <w:tr w:rsidR="00297A86" w:rsidRPr="00475EB0" w:rsidTr="00475EB0">
        <w:trPr>
          <w:jc w:val="center"/>
        </w:trPr>
        <w:tc>
          <w:tcPr>
            <w:tcW w:w="251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7A86" w:rsidRPr="00475EB0" w:rsidRDefault="00BF2374">
            <w:pPr>
              <w:jc w:val="center"/>
              <w:rPr>
                <w:rFonts w:ascii="Calibri" w:eastAsiaTheme="minorHAnsi" w:hAnsi="Calibri"/>
                <w:sz w:val="18"/>
                <w:szCs w:val="18"/>
              </w:rPr>
            </w:pPr>
            <w:r w:rsidRPr="00BF2374">
              <w:rPr>
                <w:sz w:val="18"/>
                <w:szCs w:val="18"/>
              </w:rPr>
              <w:t xml:space="preserve">NB-LTE-style </w:t>
            </w:r>
            <w:proofErr w:type="spellStart"/>
            <w:r w:rsidRPr="00BF2374">
              <w:rPr>
                <w:sz w:val="18"/>
                <w:szCs w:val="18"/>
              </w:rPr>
              <w:t>IoT</w:t>
            </w:r>
            <w:proofErr w:type="spellEnd"/>
            <w:r w:rsidRPr="00BF2374">
              <w:rPr>
                <w:sz w:val="18"/>
                <w:szCs w:val="18"/>
              </w:rPr>
              <w:t xml:space="preserve"> UL</w:t>
            </w:r>
          </w:p>
        </w:tc>
        <w:tc>
          <w:tcPr>
            <w:tcW w:w="273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7A86" w:rsidRPr="00475EB0" w:rsidRDefault="00BF2374">
            <w:pPr>
              <w:jc w:val="center"/>
              <w:rPr>
                <w:rFonts w:ascii="Calibri" w:eastAsiaTheme="minorHAnsi" w:hAnsi="Calibri"/>
                <w:sz w:val="18"/>
                <w:szCs w:val="18"/>
              </w:rPr>
            </w:pPr>
            <w:r w:rsidRPr="00BF2374">
              <w:rPr>
                <w:sz w:val="18"/>
                <w:szCs w:val="18"/>
              </w:rPr>
              <w:t>LTE UL</w:t>
            </w:r>
          </w:p>
        </w:tc>
        <w:tc>
          <w:tcPr>
            <w:tcW w:w="255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7A86" w:rsidRPr="00475EB0" w:rsidRDefault="00BF2374">
            <w:pPr>
              <w:jc w:val="center"/>
              <w:rPr>
                <w:rFonts w:ascii="Calibri" w:eastAsiaTheme="minorHAnsi" w:hAnsi="Calibri"/>
                <w:sz w:val="18"/>
                <w:szCs w:val="18"/>
              </w:rPr>
            </w:pPr>
            <w:r w:rsidRPr="00BF2374">
              <w:rPr>
                <w:sz w:val="18"/>
                <w:szCs w:val="18"/>
              </w:rPr>
              <w:t>Difference</w:t>
            </w:r>
          </w:p>
        </w:tc>
      </w:tr>
      <w:tr w:rsidR="00297A86" w:rsidRPr="00475EB0" w:rsidTr="00475EB0">
        <w:trPr>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Boundary at end of symbol number</w:t>
            </w:r>
          </w:p>
        </w:tc>
        <w:tc>
          <w:tcPr>
            <w:tcW w:w="1238" w:type="dxa"/>
            <w:tcBorders>
              <w:top w:val="nil"/>
              <w:left w:val="nil"/>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Sample offset [samples @30.72 MHz]</w:t>
            </w:r>
          </w:p>
        </w:tc>
        <w:tc>
          <w:tcPr>
            <w:tcW w:w="1313" w:type="dxa"/>
            <w:tcBorders>
              <w:top w:val="nil"/>
              <w:left w:val="nil"/>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Boundary at end of symbol number</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Sample offset [samples @30.72 MHz]</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Samples @30.72 MHz</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us</w:t>
            </w:r>
          </w:p>
        </w:tc>
      </w:tr>
      <w:tr w:rsidR="00297A86" w:rsidRPr="00475EB0" w:rsidTr="00475EB0">
        <w:trPr>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1</w:t>
            </w:r>
          </w:p>
        </w:tc>
        <w:tc>
          <w:tcPr>
            <w:tcW w:w="1238" w:type="dxa"/>
            <w:tcBorders>
              <w:top w:val="nil"/>
              <w:left w:val="nil"/>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13248</w:t>
            </w:r>
          </w:p>
        </w:tc>
        <w:tc>
          <w:tcPr>
            <w:tcW w:w="1313" w:type="dxa"/>
            <w:tcBorders>
              <w:top w:val="nil"/>
              <w:left w:val="nil"/>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13168</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 xml:space="preserve">80 </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2.6</w:t>
            </w:r>
          </w:p>
        </w:tc>
      </w:tr>
      <w:tr w:rsidR="00297A86" w:rsidRPr="00475EB0" w:rsidTr="00475EB0">
        <w:trPr>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2</w:t>
            </w:r>
          </w:p>
        </w:tc>
        <w:tc>
          <w:tcPr>
            <w:tcW w:w="1238" w:type="dxa"/>
            <w:tcBorders>
              <w:top w:val="nil"/>
              <w:left w:val="nil"/>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26400</w:t>
            </w:r>
          </w:p>
        </w:tc>
        <w:tc>
          <w:tcPr>
            <w:tcW w:w="1313" w:type="dxa"/>
            <w:tcBorders>
              <w:top w:val="nil"/>
              <w:left w:val="nil"/>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12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26336</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64</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2.08</w:t>
            </w:r>
          </w:p>
        </w:tc>
      </w:tr>
      <w:tr w:rsidR="00297A86" w:rsidRPr="00475EB0" w:rsidTr="00475EB0">
        <w:trPr>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3</w:t>
            </w:r>
          </w:p>
        </w:tc>
        <w:tc>
          <w:tcPr>
            <w:tcW w:w="1238" w:type="dxa"/>
            <w:tcBorders>
              <w:top w:val="nil"/>
              <w:left w:val="nil"/>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39552</w:t>
            </w:r>
          </w:p>
        </w:tc>
        <w:tc>
          <w:tcPr>
            <w:tcW w:w="1313" w:type="dxa"/>
            <w:tcBorders>
              <w:top w:val="nil"/>
              <w:left w:val="nil"/>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18</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39504</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48</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1.56</w:t>
            </w:r>
          </w:p>
        </w:tc>
      </w:tr>
      <w:tr w:rsidR="00297A86" w:rsidRPr="00475EB0" w:rsidTr="00475EB0">
        <w:trPr>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4</w:t>
            </w:r>
          </w:p>
        </w:tc>
        <w:tc>
          <w:tcPr>
            <w:tcW w:w="1238" w:type="dxa"/>
            <w:tcBorders>
              <w:top w:val="nil"/>
              <w:left w:val="nil"/>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52704</w:t>
            </w:r>
          </w:p>
        </w:tc>
        <w:tc>
          <w:tcPr>
            <w:tcW w:w="1313" w:type="dxa"/>
            <w:tcBorders>
              <w:top w:val="nil"/>
              <w:left w:val="nil"/>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24</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54672</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32</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1.04</w:t>
            </w:r>
          </w:p>
        </w:tc>
      </w:tr>
      <w:tr w:rsidR="00297A86" w:rsidRPr="00475EB0" w:rsidTr="00475EB0">
        <w:trPr>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5</w:t>
            </w:r>
          </w:p>
        </w:tc>
        <w:tc>
          <w:tcPr>
            <w:tcW w:w="1238" w:type="dxa"/>
            <w:tcBorders>
              <w:top w:val="nil"/>
              <w:left w:val="nil"/>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65856</w:t>
            </w:r>
          </w:p>
        </w:tc>
        <w:tc>
          <w:tcPr>
            <w:tcW w:w="1313" w:type="dxa"/>
            <w:tcBorders>
              <w:top w:val="nil"/>
              <w:left w:val="nil"/>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30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65840</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16</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0.5</w:t>
            </w:r>
          </w:p>
        </w:tc>
      </w:tr>
      <w:tr w:rsidR="00297A86" w:rsidRPr="00475EB0" w:rsidTr="00475EB0">
        <w:trPr>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6</w:t>
            </w:r>
          </w:p>
        </w:tc>
        <w:tc>
          <w:tcPr>
            <w:tcW w:w="1238" w:type="dxa"/>
            <w:tcBorders>
              <w:top w:val="nil"/>
              <w:left w:val="nil"/>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79008</w:t>
            </w:r>
          </w:p>
        </w:tc>
        <w:tc>
          <w:tcPr>
            <w:tcW w:w="1313" w:type="dxa"/>
            <w:tcBorders>
              <w:top w:val="nil"/>
              <w:left w:val="nil"/>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36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79008</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0</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0</w:t>
            </w:r>
          </w:p>
        </w:tc>
      </w:tr>
      <w:tr w:rsidR="00297A86" w:rsidRPr="00475EB0" w:rsidTr="00475EB0">
        <w:trPr>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7</w:t>
            </w:r>
          </w:p>
        </w:tc>
        <w:tc>
          <w:tcPr>
            <w:tcW w:w="1238" w:type="dxa"/>
            <w:tcBorders>
              <w:top w:val="nil"/>
              <w:left w:val="nil"/>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92160</w:t>
            </w:r>
          </w:p>
        </w:tc>
        <w:tc>
          <w:tcPr>
            <w:tcW w:w="1313" w:type="dxa"/>
            <w:tcBorders>
              <w:top w:val="nil"/>
              <w:left w:val="nil"/>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42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92160</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0</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297A86" w:rsidRPr="00475EB0" w:rsidRDefault="00BF2374">
            <w:pPr>
              <w:rPr>
                <w:rFonts w:ascii="Calibri" w:eastAsiaTheme="minorHAnsi" w:hAnsi="Calibri"/>
                <w:sz w:val="18"/>
                <w:szCs w:val="18"/>
              </w:rPr>
            </w:pPr>
            <w:r w:rsidRPr="00BF2374">
              <w:rPr>
                <w:sz w:val="18"/>
                <w:szCs w:val="18"/>
              </w:rPr>
              <w:t>0</w:t>
            </w:r>
          </w:p>
        </w:tc>
      </w:tr>
    </w:tbl>
    <w:p w:rsidR="005B029A" w:rsidRDefault="00297A86">
      <w:pPr>
        <w:pStyle w:val="a9"/>
        <w:jc w:val="center"/>
      </w:pPr>
      <w:bookmarkStart w:id="4" w:name="_Ref434584588"/>
      <w:r>
        <w:t xml:space="preserve">Table </w:t>
      </w:r>
      <w:r w:rsidR="002B7DFD">
        <w:fldChar w:fldCharType="begin"/>
      </w:r>
      <w:r>
        <w:instrText xml:space="preserve"> SEQ Table \* ARABIC </w:instrText>
      </w:r>
      <w:r w:rsidR="002B7DFD">
        <w:fldChar w:fldCharType="separate"/>
      </w:r>
      <w:r w:rsidR="00B57A1D">
        <w:rPr>
          <w:noProof/>
        </w:rPr>
        <w:t>1</w:t>
      </w:r>
      <w:r w:rsidR="002B7DFD">
        <w:fldChar w:fldCharType="end"/>
      </w:r>
      <w:bookmarkEnd w:id="4"/>
      <w:r>
        <w:t>: Alignment of LTE and SC-FDMA NB-</w:t>
      </w:r>
      <w:proofErr w:type="spellStart"/>
      <w:r>
        <w:t>IoT</w:t>
      </w:r>
      <w:proofErr w:type="spellEnd"/>
      <w:r>
        <w:t xml:space="preserve"> uplink symbol boundaries</w:t>
      </w:r>
    </w:p>
    <w:p w:rsidR="005B029A" w:rsidRDefault="005B029A"/>
    <w:p w:rsidR="005B029A" w:rsidRDefault="005B029A"/>
    <w:p w:rsidR="004C1074" w:rsidRDefault="004C1074">
      <w:pPr>
        <w:rPr>
          <w:b/>
          <w:sz w:val="28"/>
          <w:szCs w:val="28"/>
          <w:lang w:eastAsia="zh-CN"/>
        </w:rPr>
      </w:pPr>
      <w:r>
        <w:rPr>
          <w:b/>
          <w:sz w:val="28"/>
          <w:szCs w:val="28"/>
          <w:lang w:eastAsia="zh-CN"/>
        </w:rPr>
        <w:br w:type="page"/>
      </w:r>
    </w:p>
    <w:p w:rsidR="005B6F78" w:rsidRPr="005B6F78" w:rsidRDefault="005B6F78" w:rsidP="005B6F78">
      <w:pPr>
        <w:pStyle w:val="1"/>
        <w:keepLines w:val="0"/>
        <w:widowControl/>
        <w:numPr>
          <w:ilvl w:val="1"/>
          <w:numId w:val="8"/>
        </w:numPr>
        <w:pBdr>
          <w:top w:val="none" w:sz="0" w:space="0" w:color="auto"/>
        </w:pBdr>
        <w:spacing w:after="240"/>
        <w:rPr>
          <w:rFonts w:ascii="Times New Roman" w:hAnsi="Times New Roman"/>
          <w:b/>
          <w:sz w:val="28"/>
          <w:szCs w:val="28"/>
          <w:lang w:eastAsia="zh-CN"/>
        </w:rPr>
      </w:pPr>
      <w:r>
        <w:rPr>
          <w:rFonts w:ascii="Times New Roman" w:hAnsi="Times New Roman"/>
          <w:b/>
          <w:sz w:val="28"/>
          <w:szCs w:val="28"/>
          <w:lang w:eastAsia="zh-CN"/>
        </w:rPr>
        <w:lastRenderedPageBreak/>
        <w:t xml:space="preserve">Suitability for </w:t>
      </w:r>
      <w:r w:rsidR="006D5B65">
        <w:rPr>
          <w:rFonts w:ascii="Times New Roman" w:hAnsi="Times New Roman"/>
          <w:b/>
          <w:sz w:val="28"/>
          <w:szCs w:val="28"/>
          <w:lang w:eastAsia="zh-CN"/>
        </w:rPr>
        <w:t>polar modulator</w:t>
      </w:r>
      <w:r>
        <w:rPr>
          <w:rFonts w:ascii="Times New Roman" w:hAnsi="Times New Roman"/>
          <w:b/>
          <w:sz w:val="28"/>
          <w:szCs w:val="28"/>
          <w:lang w:eastAsia="zh-CN"/>
        </w:rPr>
        <w:t xml:space="preserve"> transmitter implementation</w:t>
      </w:r>
    </w:p>
    <w:p w:rsidR="005B6F78" w:rsidRDefault="005B43C7" w:rsidP="000B5D46">
      <w:pPr>
        <w:spacing w:after="120"/>
        <w:jc w:val="both"/>
        <w:rPr>
          <w:sz w:val="22"/>
          <w:szCs w:val="22"/>
          <w:lang w:eastAsia="zh-CN"/>
        </w:rPr>
      </w:pPr>
      <w:r>
        <w:rPr>
          <w:sz w:val="22"/>
          <w:szCs w:val="22"/>
          <w:lang w:eastAsia="zh-CN"/>
        </w:rPr>
        <w:t xml:space="preserve">As discussed in [7], </w:t>
      </w:r>
      <w:r w:rsidR="00321DDA">
        <w:rPr>
          <w:sz w:val="22"/>
          <w:szCs w:val="22"/>
          <w:lang w:eastAsia="zh-CN"/>
        </w:rPr>
        <w:t>t</w:t>
      </w:r>
      <w:r w:rsidR="00BF2374" w:rsidRPr="00BF2374">
        <w:rPr>
          <w:sz w:val="22"/>
          <w:szCs w:val="22"/>
          <w:lang w:eastAsia="zh-CN"/>
        </w:rPr>
        <w:t xml:space="preserve">he trajectories of </w:t>
      </w:r>
      <w:r w:rsidR="00321DDA">
        <w:rPr>
          <w:sz w:val="22"/>
          <w:szCs w:val="22"/>
          <w:lang w:eastAsia="zh-CN"/>
        </w:rPr>
        <w:t>most</w:t>
      </w:r>
      <w:r w:rsidR="00BF2374" w:rsidRPr="00BF2374">
        <w:rPr>
          <w:sz w:val="22"/>
          <w:szCs w:val="22"/>
          <w:lang w:eastAsia="zh-CN"/>
        </w:rPr>
        <w:t xml:space="preserve"> SC-FDMA modulations have zero crossings that correspond to a hig</w:t>
      </w:r>
      <w:r w:rsidR="00B9529A">
        <w:rPr>
          <w:sz w:val="22"/>
          <w:szCs w:val="22"/>
          <w:lang w:eastAsia="zh-CN"/>
        </w:rPr>
        <w:t>h phase modulation bandwidth.</w:t>
      </w:r>
    </w:p>
    <w:p w:rsidR="0080113D" w:rsidRPr="0080113D" w:rsidRDefault="002B7DFD" w:rsidP="000B5D46">
      <w:pPr>
        <w:spacing w:after="120"/>
        <w:jc w:val="both"/>
        <w:rPr>
          <w:sz w:val="22"/>
          <w:szCs w:val="22"/>
          <w:lang w:eastAsia="zh-CN"/>
        </w:rPr>
      </w:pPr>
      <w:fldSimple w:instr=" REF _Ref434595736 \h  \* MERGEFORMAT ">
        <w:r w:rsidR="00B57A1D" w:rsidRPr="00B57A1D">
          <w:rPr>
            <w:sz w:val="22"/>
            <w:szCs w:val="22"/>
            <w:lang w:eastAsia="zh-CN"/>
          </w:rPr>
          <w:t>Figure 2</w:t>
        </w:r>
      </w:fldSimple>
      <w:r w:rsidR="0080113D">
        <w:rPr>
          <w:sz w:val="22"/>
          <w:szCs w:val="22"/>
          <w:lang w:eastAsia="zh-CN"/>
        </w:rPr>
        <w:t xml:space="preserve"> illustrates this, by comparing the </w:t>
      </w:r>
      <w:r w:rsidR="00BF2374" w:rsidRPr="00BF2374">
        <w:rPr>
          <w:sz w:val="22"/>
          <w:szCs w:val="22"/>
          <w:lang w:eastAsia="zh-CN"/>
        </w:rPr>
        <w:t>trajectories of SC-FDMA BPSK and FDMA-BPSK signals with 20 kHz bandwidth.</w:t>
      </w:r>
    </w:p>
    <w:p w:rsidR="0080113D" w:rsidRDefault="0080113D" w:rsidP="000B5D46">
      <w:pPr>
        <w:spacing w:after="120"/>
        <w:jc w:val="both"/>
        <w:rPr>
          <w:sz w:val="22"/>
          <w:szCs w:val="22"/>
          <w:lang w:eastAsia="zh-CN"/>
        </w:rPr>
      </w:pPr>
    </w:p>
    <w:tbl>
      <w:tblPr>
        <w:tblStyle w:val="a3"/>
        <w:tblW w:w="0" w:type="auto"/>
        <w:tblLook w:val="04A0"/>
      </w:tblPr>
      <w:tblGrid>
        <w:gridCol w:w="4586"/>
        <w:gridCol w:w="4678"/>
      </w:tblGrid>
      <w:tr w:rsidR="0057169E" w:rsidTr="00571929">
        <w:trPr>
          <w:trHeight w:val="4235"/>
        </w:trPr>
        <w:tc>
          <w:tcPr>
            <w:tcW w:w="4632" w:type="dxa"/>
          </w:tcPr>
          <w:p w:rsidR="0057169E" w:rsidRDefault="009D0329" w:rsidP="000B5D46">
            <w:pPr>
              <w:spacing w:after="120"/>
              <w:jc w:val="both"/>
              <w:rPr>
                <w:sz w:val="22"/>
                <w:szCs w:val="22"/>
                <w:lang w:eastAsia="zh-CN"/>
              </w:rPr>
            </w:pPr>
            <w:r>
              <w:rPr>
                <w:noProof/>
                <w:kern w:val="2"/>
                <w:lang w:val="en-US" w:eastAsia="zh-CN"/>
              </w:rPr>
              <w:drawing>
                <wp:inline distT="0" distB="0" distL="0" distR="0">
                  <wp:extent cx="2878455" cy="2156460"/>
                  <wp:effectExtent l="19050" t="0" r="0" b="0"/>
                  <wp:docPr id="8" name="Picture 4" descr="scfdma-trajectory-nointerpsc-fdma-bpsk-s--8-subcarri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fdma-trajectory-nointerpsc-fdma-bpsk-s--8-subcarrier[s]"/>
                          <pic:cNvPicPr>
                            <a:picLocks noChangeAspect="1" noChangeArrowheads="1"/>
                          </pic:cNvPicPr>
                        </pic:nvPicPr>
                        <pic:blipFill>
                          <a:blip r:embed="rId9" cstate="print"/>
                          <a:srcRect/>
                          <a:stretch>
                            <a:fillRect/>
                          </a:stretch>
                        </pic:blipFill>
                        <pic:spPr bwMode="auto">
                          <a:xfrm>
                            <a:off x="0" y="0"/>
                            <a:ext cx="2878455" cy="2156460"/>
                          </a:xfrm>
                          <a:prstGeom prst="rect">
                            <a:avLst/>
                          </a:prstGeom>
                          <a:noFill/>
                          <a:ln w="9525">
                            <a:noFill/>
                            <a:miter lim="800000"/>
                            <a:headEnd/>
                            <a:tailEnd/>
                          </a:ln>
                        </pic:spPr>
                      </pic:pic>
                    </a:graphicData>
                  </a:graphic>
                </wp:inline>
              </w:drawing>
            </w:r>
          </w:p>
        </w:tc>
        <w:tc>
          <w:tcPr>
            <w:tcW w:w="4632" w:type="dxa"/>
          </w:tcPr>
          <w:p w:rsidR="0057169E" w:rsidRDefault="009D0329" w:rsidP="000B5D46">
            <w:pPr>
              <w:spacing w:after="120"/>
              <w:jc w:val="both"/>
              <w:rPr>
                <w:sz w:val="22"/>
                <w:szCs w:val="22"/>
                <w:lang w:eastAsia="zh-CN"/>
              </w:rPr>
            </w:pPr>
            <w:r>
              <w:rPr>
                <w:noProof/>
                <w:sz w:val="22"/>
                <w:szCs w:val="22"/>
                <w:lang w:val="en-US" w:eastAsia="zh-CN"/>
              </w:rPr>
              <w:drawing>
                <wp:inline distT="0" distB="0" distL="0" distR="0">
                  <wp:extent cx="2939217" cy="2204331"/>
                  <wp:effectExtent l="19050" t="0" r="0" b="0"/>
                  <wp:docPr id="10" name="Picture 7" descr="C:\git\standards\nb-lte\bpsk.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git\standards\nb-lte\bpsk.tif"/>
                          <pic:cNvPicPr>
                            <a:picLocks noChangeAspect="1" noChangeArrowheads="1"/>
                          </pic:cNvPicPr>
                        </pic:nvPicPr>
                        <pic:blipFill>
                          <a:blip r:embed="rId10" cstate="print"/>
                          <a:srcRect/>
                          <a:stretch>
                            <a:fillRect/>
                          </a:stretch>
                        </pic:blipFill>
                        <pic:spPr bwMode="auto">
                          <a:xfrm>
                            <a:off x="0" y="0"/>
                            <a:ext cx="2943598" cy="2207617"/>
                          </a:xfrm>
                          <a:prstGeom prst="rect">
                            <a:avLst/>
                          </a:prstGeom>
                          <a:noFill/>
                          <a:ln w="9525">
                            <a:noFill/>
                            <a:miter lim="800000"/>
                            <a:headEnd/>
                            <a:tailEnd/>
                          </a:ln>
                        </pic:spPr>
                      </pic:pic>
                    </a:graphicData>
                  </a:graphic>
                </wp:inline>
              </w:drawing>
            </w:r>
          </w:p>
        </w:tc>
      </w:tr>
    </w:tbl>
    <w:p w:rsidR="005B029A" w:rsidRDefault="00571929">
      <w:pPr>
        <w:pStyle w:val="a9"/>
        <w:jc w:val="center"/>
      </w:pPr>
      <w:bookmarkStart w:id="5" w:name="_Ref434595736"/>
      <w:r>
        <w:t xml:space="preserve">Figure </w:t>
      </w:r>
      <w:r w:rsidR="002B7DFD">
        <w:fldChar w:fldCharType="begin"/>
      </w:r>
      <w:r>
        <w:instrText xml:space="preserve"> SEQ Figure \* ARABIC </w:instrText>
      </w:r>
      <w:r w:rsidR="002B7DFD">
        <w:fldChar w:fldCharType="separate"/>
      </w:r>
      <w:r w:rsidR="00B57A1D">
        <w:rPr>
          <w:noProof/>
        </w:rPr>
        <w:t>2</w:t>
      </w:r>
      <w:r w:rsidR="002B7DFD">
        <w:fldChar w:fldCharType="end"/>
      </w:r>
      <w:bookmarkEnd w:id="5"/>
      <w:r>
        <w:t xml:space="preserve">: </w:t>
      </w:r>
      <w:proofErr w:type="spellStart"/>
      <w:r>
        <w:t>Baseband</w:t>
      </w:r>
      <w:proofErr w:type="spellEnd"/>
      <w:r>
        <w:t xml:space="preserve"> trajectories of SC-FDMA BPSK and FDMA-</w:t>
      </w:r>
      <w:r w:rsidR="00266D5B">
        <w:t>pi/2-</w:t>
      </w:r>
      <w:r>
        <w:t>BPSK</w:t>
      </w:r>
      <w:r w:rsidR="000730F6">
        <w:t xml:space="preserve"> signals with 20 kHz bandwidth</w:t>
      </w:r>
    </w:p>
    <w:p w:rsidR="005B029A" w:rsidRDefault="005B029A"/>
    <w:p w:rsidR="005B029A" w:rsidRDefault="005B029A"/>
    <w:p w:rsidR="005B029A" w:rsidRDefault="005B029A"/>
    <w:p w:rsidR="008149E1" w:rsidRPr="005B6F78" w:rsidRDefault="008149E1" w:rsidP="008149E1">
      <w:pPr>
        <w:pStyle w:val="1"/>
        <w:keepLines w:val="0"/>
        <w:widowControl/>
        <w:numPr>
          <w:ilvl w:val="1"/>
          <w:numId w:val="8"/>
        </w:numPr>
        <w:pBdr>
          <w:top w:val="none" w:sz="0" w:space="0" w:color="auto"/>
        </w:pBdr>
        <w:spacing w:after="240"/>
        <w:rPr>
          <w:rFonts w:ascii="Times New Roman" w:hAnsi="Times New Roman"/>
          <w:b/>
          <w:sz w:val="28"/>
          <w:szCs w:val="28"/>
          <w:lang w:eastAsia="zh-CN"/>
        </w:rPr>
      </w:pPr>
      <w:r>
        <w:rPr>
          <w:rFonts w:ascii="Times New Roman" w:hAnsi="Times New Roman"/>
          <w:b/>
          <w:sz w:val="28"/>
          <w:szCs w:val="28"/>
          <w:lang w:eastAsia="zh-CN"/>
        </w:rPr>
        <w:t>Implementation complexity</w:t>
      </w:r>
    </w:p>
    <w:p w:rsidR="00AC26F9" w:rsidRDefault="00B6377F" w:rsidP="00E37411">
      <w:pPr>
        <w:rPr>
          <w:kern w:val="2"/>
          <w:sz w:val="22"/>
          <w:szCs w:val="22"/>
          <w:lang w:eastAsia="zh-CN"/>
        </w:rPr>
      </w:pPr>
      <w:bookmarkStart w:id="6" w:name="_Ref430701443"/>
      <w:r>
        <w:rPr>
          <w:kern w:val="2"/>
          <w:sz w:val="22"/>
          <w:szCs w:val="22"/>
          <w:lang w:eastAsia="zh-CN"/>
        </w:rPr>
        <w:t xml:space="preserve">Details of </w:t>
      </w:r>
      <w:r w:rsidR="00AC26F9">
        <w:rPr>
          <w:kern w:val="2"/>
          <w:sz w:val="22"/>
          <w:szCs w:val="22"/>
          <w:lang w:eastAsia="zh-CN"/>
        </w:rPr>
        <w:t xml:space="preserve">FDMA </w:t>
      </w:r>
      <w:r>
        <w:rPr>
          <w:kern w:val="2"/>
          <w:sz w:val="22"/>
          <w:szCs w:val="22"/>
          <w:lang w:eastAsia="zh-CN"/>
        </w:rPr>
        <w:t>uplink receiver implementation and its complexity are provided in [8].</w:t>
      </w:r>
      <w:r w:rsidR="00310235">
        <w:rPr>
          <w:kern w:val="2"/>
          <w:sz w:val="22"/>
          <w:szCs w:val="22"/>
          <w:lang w:eastAsia="zh-CN"/>
        </w:rPr>
        <w:t xml:space="preserve"> </w:t>
      </w:r>
    </w:p>
    <w:p w:rsidR="00AC26F9" w:rsidRDefault="00AC26F9" w:rsidP="00E37411">
      <w:pPr>
        <w:rPr>
          <w:kern w:val="2"/>
          <w:sz w:val="22"/>
          <w:szCs w:val="22"/>
          <w:lang w:eastAsia="zh-CN"/>
        </w:rPr>
      </w:pPr>
    </w:p>
    <w:p w:rsidR="0080113D" w:rsidRDefault="00A715F2" w:rsidP="00E37411">
      <w:pPr>
        <w:rPr>
          <w:kern w:val="2"/>
          <w:sz w:val="22"/>
          <w:lang w:eastAsia="zh-CN"/>
        </w:rPr>
      </w:pPr>
      <w:r>
        <w:rPr>
          <w:kern w:val="2"/>
          <w:sz w:val="22"/>
          <w:lang w:eastAsia="zh-CN"/>
        </w:rPr>
        <w:t xml:space="preserve">The </w:t>
      </w:r>
      <w:r w:rsidR="00AC26F9">
        <w:rPr>
          <w:rFonts w:hint="eastAsia"/>
          <w:kern w:val="2"/>
          <w:sz w:val="22"/>
          <w:lang w:eastAsia="zh-CN"/>
        </w:rPr>
        <w:t>FDMA</w:t>
      </w:r>
      <w:r>
        <w:rPr>
          <w:kern w:val="2"/>
          <w:sz w:val="22"/>
          <w:lang w:eastAsia="zh-CN"/>
        </w:rPr>
        <w:t xml:space="preserve"> receiver</w:t>
      </w:r>
      <w:r w:rsidR="00AC26F9">
        <w:rPr>
          <w:rFonts w:hint="eastAsia"/>
          <w:kern w:val="2"/>
          <w:sz w:val="22"/>
          <w:lang w:eastAsia="zh-CN"/>
        </w:rPr>
        <w:t xml:space="preserve"> can use single-tap equalization with channel tracking</w:t>
      </w:r>
      <w:r w:rsidR="00B35F21">
        <w:rPr>
          <w:kern w:val="2"/>
          <w:sz w:val="22"/>
          <w:lang w:eastAsia="zh-CN"/>
        </w:rPr>
        <w:t xml:space="preserve"> [9]</w:t>
      </w:r>
      <w:r w:rsidR="00AC26F9">
        <w:rPr>
          <w:rFonts w:hint="eastAsia"/>
          <w:kern w:val="2"/>
          <w:sz w:val="22"/>
          <w:lang w:eastAsia="zh-CN"/>
        </w:rPr>
        <w:t xml:space="preserve">, and it can use </w:t>
      </w:r>
      <w:r w:rsidR="00AC26F9">
        <w:rPr>
          <w:kern w:val="2"/>
          <w:sz w:val="22"/>
          <w:lang w:eastAsia="zh-CN"/>
        </w:rPr>
        <w:t xml:space="preserve">a </w:t>
      </w:r>
      <w:proofErr w:type="spellStart"/>
      <w:r w:rsidR="00AC26F9">
        <w:rPr>
          <w:rFonts w:hint="eastAsia"/>
          <w:kern w:val="2"/>
          <w:sz w:val="22"/>
          <w:lang w:eastAsia="zh-CN"/>
        </w:rPr>
        <w:t>polyphase</w:t>
      </w:r>
      <w:proofErr w:type="spellEnd"/>
      <w:r w:rsidR="00AC26F9">
        <w:rPr>
          <w:rFonts w:hint="eastAsia"/>
          <w:kern w:val="2"/>
          <w:sz w:val="22"/>
          <w:lang w:eastAsia="zh-CN"/>
        </w:rPr>
        <w:t xml:space="preserve"> </w:t>
      </w:r>
      <w:proofErr w:type="spellStart"/>
      <w:r w:rsidR="00AC26F9">
        <w:rPr>
          <w:rFonts w:hint="eastAsia"/>
          <w:kern w:val="2"/>
          <w:sz w:val="22"/>
          <w:lang w:eastAsia="zh-CN"/>
        </w:rPr>
        <w:t>filterbank</w:t>
      </w:r>
      <w:proofErr w:type="spellEnd"/>
      <w:r w:rsidR="00AC26F9">
        <w:rPr>
          <w:rFonts w:hint="eastAsia"/>
          <w:kern w:val="2"/>
          <w:sz w:val="22"/>
          <w:lang w:eastAsia="zh-CN"/>
        </w:rPr>
        <w:t xml:space="preserve"> to efficiently </w:t>
      </w:r>
      <w:r w:rsidR="00AC26F9">
        <w:rPr>
          <w:kern w:val="2"/>
          <w:sz w:val="22"/>
          <w:lang w:eastAsia="zh-CN"/>
        </w:rPr>
        <w:t>separate</w:t>
      </w:r>
      <w:r w:rsidR="00AC26F9">
        <w:rPr>
          <w:rFonts w:hint="eastAsia"/>
          <w:kern w:val="2"/>
          <w:sz w:val="22"/>
          <w:lang w:eastAsia="zh-CN"/>
        </w:rPr>
        <w:t xml:space="preserve"> the channel into multiple </w:t>
      </w:r>
      <w:proofErr w:type="spellStart"/>
      <w:r w:rsidR="00AC26F9">
        <w:rPr>
          <w:rFonts w:hint="eastAsia"/>
          <w:kern w:val="2"/>
          <w:sz w:val="22"/>
          <w:lang w:eastAsia="zh-CN"/>
        </w:rPr>
        <w:t>subcarriers</w:t>
      </w:r>
      <w:proofErr w:type="spellEnd"/>
      <w:r w:rsidR="00AC26F9">
        <w:rPr>
          <w:rFonts w:hint="eastAsia"/>
          <w:kern w:val="2"/>
          <w:sz w:val="22"/>
          <w:lang w:eastAsia="zh-CN"/>
        </w:rPr>
        <w:t>, which means</w:t>
      </w:r>
      <w:r w:rsidR="00933AE4">
        <w:rPr>
          <w:kern w:val="2"/>
          <w:sz w:val="22"/>
          <w:lang w:eastAsia="zh-CN"/>
        </w:rPr>
        <w:t xml:space="preserve"> that it has</w:t>
      </w:r>
      <w:r w:rsidR="00AC26F9">
        <w:rPr>
          <w:rFonts w:hint="eastAsia"/>
          <w:kern w:val="2"/>
          <w:sz w:val="22"/>
          <w:lang w:eastAsia="zh-CN"/>
        </w:rPr>
        <w:t xml:space="preserve"> a very low Base Station </w:t>
      </w:r>
      <w:r w:rsidR="00AC26F9">
        <w:rPr>
          <w:kern w:val="2"/>
          <w:sz w:val="22"/>
          <w:lang w:eastAsia="zh-CN"/>
        </w:rPr>
        <w:t xml:space="preserve">implementation </w:t>
      </w:r>
      <w:r w:rsidR="00AC26F9">
        <w:rPr>
          <w:rFonts w:hint="eastAsia"/>
          <w:kern w:val="2"/>
          <w:sz w:val="22"/>
          <w:lang w:eastAsia="zh-CN"/>
        </w:rPr>
        <w:t>complexity.</w:t>
      </w:r>
    </w:p>
    <w:bookmarkEnd w:id="6"/>
    <w:p w:rsidR="00C22718" w:rsidRPr="008011EC" w:rsidRDefault="00C22718" w:rsidP="00E37411">
      <w:pPr>
        <w:rPr>
          <w:kern w:val="2"/>
          <w:sz w:val="22"/>
          <w:lang w:eastAsia="zh-CN"/>
        </w:rPr>
      </w:pPr>
    </w:p>
    <w:p w:rsidR="00C22718" w:rsidRDefault="00C22718" w:rsidP="00E37411">
      <w:pPr>
        <w:rPr>
          <w:b/>
          <w:kern w:val="2"/>
          <w:sz w:val="22"/>
          <w:lang w:eastAsia="zh-CN"/>
        </w:rPr>
      </w:pPr>
      <w:r>
        <w:rPr>
          <w:b/>
          <w:kern w:val="2"/>
          <w:sz w:val="22"/>
          <w:lang w:eastAsia="zh-CN"/>
        </w:rPr>
        <w:t xml:space="preserve">Observation </w:t>
      </w:r>
      <w:r w:rsidR="008011EC">
        <w:rPr>
          <w:rFonts w:hint="eastAsia"/>
          <w:b/>
          <w:kern w:val="2"/>
          <w:sz w:val="22"/>
          <w:lang w:eastAsia="zh-CN"/>
        </w:rPr>
        <w:t>8</w:t>
      </w:r>
      <w:r>
        <w:rPr>
          <w:b/>
          <w:kern w:val="2"/>
          <w:sz w:val="22"/>
          <w:lang w:eastAsia="zh-CN"/>
        </w:rPr>
        <w:t xml:space="preserve">: Software update of an LTE </w:t>
      </w:r>
      <w:proofErr w:type="spellStart"/>
      <w:r>
        <w:rPr>
          <w:b/>
          <w:kern w:val="2"/>
          <w:sz w:val="22"/>
          <w:lang w:eastAsia="zh-CN"/>
        </w:rPr>
        <w:t>eNB</w:t>
      </w:r>
      <w:proofErr w:type="spellEnd"/>
      <w:r>
        <w:rPr>
          <w:b/>
          <w:kern w:val="2"/>
          <w:sz w:val="22"/>
          <w:lang w:eastAsia="zh-CN"/>
        </w:rPr>
        <w:t xml:space="preserve"> to support FDMA with GMSK and PSK is </w:t>
      </w:r>
      <w:r w:rsidR="008149E1">
        <w:rPr>
          <w:b/>
          <w:kern w:val="2"/>
          <w:sz w:val="22"/>
          <w:lang w:eastAsia="zh-CN"/>
        </w:rPr>
        <w:t xml:space="preserve">easily </w:t>
      </w:r>
      <w:r>
        <w:rPr>
          <w:b/>
          <w:kern w:val="2"/>
          <w:sz w:val="22"/>
          <w:lang w:eastAsia="zh-CN"/>
        </w:rPr>
        <w:t>feasible.</w:t>
      </w:r>
    </w:p>
    <w:p w:rsidR="00DB4601" w:rsidRDefault="00DB4601" w:rsidP="00DB4601">
      <w:pPr>
        <w:pStyle w:val="1"/>
        <w:keepLines w:val="0"/>
        <w:widowControl/>
        <w:numPr>
          <w:ilvl w:val="1"/>
          <w:numId w:val="8"/>
        </w:numPr>
        <w:pBdr>
          <w:top w:val="none" w:sz="0" w:space="0" w:color="auto"/>
        </w:pBdr>
        <w:spacing w:after="240"/>
        <w:rPr>
          <w:rFonts w:ascii="Times New Roman" w:hAnsi="Times New Roman"/>
          <w:b/>
          <w:sz w:val="28"/>
          <w:szCs w:val="28"/>
          <w:lang w:eastAsia="zh-CN"/>
        </w:rPr>
      </w:pPr>
      <w:r>
        <w:rPr>
          <w:rFonts w:ascii="Times New Roman" w:hAnsi="Times New Roman" w:hint="eastAsia"/>
          <w:b/>
          <w:sz w:val="28"/>
          <w:szCs w:val="28"/>
          <w:lang w:eastAsia="zh-CN"/>
        </w:rPr>
        <w:t>Battery life</w:t>
      </w:r>
    </w:p>
    <w:p w:rsidR="00DB4601" w:rsidRDefault="00DB4601" w:rsidP="00DB4601">
      <w:pPr>
        <w:rPr>
          <w:sz w:val="22"/>
          <w:szCs w:val="22"/>
          <w:lang w:eastAsia="zh-CN"/>
        </w:rPr>
      </w:pPr>
      <w:r>
        <w:rPr>
          <w:rFonts w:hint="eastAsia"/>
          <w:sz w:val="22"/>
          <w:szCs w:val="22"/>
          <w:lang w:eastAsia="zh-CN"/>
        </w:rPr>
        <w:t xml:space="preserve">Details can be found in </w:t>
      </w:r>
      <w:r w:rsidR="002B7DFD">
        <w:rPr>
          <w:sz w:val="22"/>
          <w:szCs w:val="22"/>
          <w:lang w:eastAsia="zh-CN"/>
        </w:rPr>
        <w:fldChar w:fldCharType="begin"/>
      </w:r>
      <w:r>
        <w:rPr>
          <w:sz w:val="22"/>
          <w:szCs w:val="22"/>
          <w:lang w:eastAsia="zh-CN"/>
        </w:rPr>
        <w:instrText xml:space="preserve"> </w:instrText>
      </w:r>
      <w:r>
        <w:rPr>
          <w:rFonts w:hint="eastAsia"/>
          <w:sz w:val="22"/>
          <w:szCs w:val="22"/>
          <w:lang w:eastAsia="zh-CN"/>
        </w:rPr>
        <w:instrText>REF _Ref434651053 \n \h</w:instrText>
      </w:r>
      <w:r>
        <w:rPr>
          <w:sz w:val="22"/>
          <w:szCs w:val="22"/>
          <w:lang w:eastAsia="zh-CN"/>
        </w:rPr>
        <w:instrText xml:space="preserve"> </w:instrText>
      </w:r>
      <w:r w:rsidR="002B7DFD">
        <w:rPr>
          <w:sz w:val="22"/>
          <w:szCs w:val="22"/>
          <w:lang w:eastAsia="zh-CN"/>
        </w:rPr>
      </w:r>
      <w:r w:rsidR="002B7DFD">
        <w:rPr>
          <w:sz w:val="22"/>
          <w:szCs w:val="22"/>
          <w:lang w:eastAsia="zh-CN"/>
        </w:rPr>
        <w:fldChar w:fldCharType="separate"/>
      </w:r>
      <w:r w:rsidR="00B57A1D">
        <w:rPr>
          <w:sz w:val="22"/>
          <w:szCs w:val="22"/>
          <w:lang w:eastAsia="zh-CN"/>
        </w:rPr>
        <w:t>[11]</w:t>
      </w:r>
      <w:r w:rsidR="002B7DFD">
        <w:rPr>
          <w:sz w:val="22"/>
          <w:szCs w:val="22"/>
          <w:lang w:eastAsia="zh-CN"/>
        </w:rPr>
        <w:fldChar w:fldCharType="end"/>
      </w:r>
      <w:r>
        <w:rPr>
          <w:rFonts w:hint="eastAsia"/>
          <w:sz w:val="22"/>
          <w:szCs w:val="22"/>
          <w:lang w:eastAsia="zh-CN"/>
        </w:rPr>
        <w:t xml:space="preserve">, </w:t>
      </w:r>
      <w:r w:rsidR="002B7DFD">
        <w:rPr>
          <w:sz w:val="22"/>
          <w:szCs w:val="22"/>
          <w:lang w:eastAsia="zh-CN"/>
        </w:rPr>
        <w:fldChar w:fldCharType="begin"/>
      </w:r>
      <w:r>
        <w:rPr>
          <w:sz w:val="22"/>
          <w:szCs w:val="22"/>
          <w:lang w:eastAsia="zh-CN"/>
        </w:rPr>
        <w:instrText xml:space="preserve"> REF _Ref434651054 \n \h </w:instrText>
      </w:r>
      <w:r w:rsidR="002B7DFD">
        <w:rPr>
          <w:sz w:val="22"/>
          <w:szCs w:val="22"/>
          <w:lang w:eastAsia="zh-CN"/>
        </w:rPr>
      </w:r>
      <w:r w:rsidR="002B7DFD">
        <w:rPr>
          <w:sz w:val="22"/>
          <w:szCs w:val="22"/>
          <w:lang w:eastAsia="zh-CN"/>
        </w:rPr>
        <w:fldChar w:fldCharType="separate"/>
      </w:r>
      <w:r w:rsidR="00B57A1D">
        <w:rPr>
          <w:sz w:val="22"/>
          <w:szCs w:val="22"/>
          <w:lang w:eastAsia="zh-CN"/>
        </w:rPr>
        <w:t>[12]</w:t>
      </w:r>
      <w:r w:rsidR="002B7DFD">
        <w:rPr>
          <w:sz w:val="22"/>
          <w:szCs w:val="22"/>
          <w:lang w:eastAsia="zh-CN"/>
        </w:rPr>
        <w:fldChar w:fldCharType="end"/>
      </w:r>
      <w:r>
        <w:rPr>
          <w:rFonts w:hint="eastAsia"/>
          <w:sz w:val="22"/>
          <w:szCs w:val="22"/>
          <w:lang w:eastAsia="zh-CN"/>
        </w:rPr>
        <w:t xml:space="preserve"> and </w:t>
      </w:r>
      <w:r w:rsidR="002B7DFD">
        <w:rPr>
          <w:sz w:val="22"/>
          <w:szCs w:val="22"/>
          <w:lang w:eastAsia="zh-CN"/>
        </w:rPr>
        <w:fldChar w:fldCharType="begin"/>
      </w:r>
      <w:r>
        <w:rPr>
          <w:sz w:val="22"/>
          <w:szCs w:val="22"/>
          <w:lang w:eastAsia="zh-CN"/>
        </w:rPr>
        <w:instrText xml:space="preserve"> REF _Ref434651055 \n \h </w:instrText>
      </w:r>
      <w:r w:rsidR="002B7DFD">
        <w:rPr>
          <w:sz w:val="22"/>
          <w:szCs w:val="22"/>
          <w:lang w:eastAsia="zh-CN"/>
        </w:rPr>
      </w:r>
      <w:r w:rsidR="002B7DFD">
        <w:rPr>
          <w:sz w:val="22"/>
          <w:szCs w:val="22"/>
          <w:lang w:eastAsia="zh-CN"/>
        </w:rPr>
        <w:fldChar w:fldCharType="separate"/>
      </w:r>
      <w:r w:rsidR="00B57A1D">
        <w:rPr>
          <w:sz w:val="22"/>
          <w:szCs w:val="22"/>
          <w:lang w:eastAsia="zh-CN"/>
        </w:rPr>
        <w:t>[13]</w:t>
      </w:r>
      <w:r w:rsidR="002B7DFD">
        <w:rPr>
          <w:sz w:val="22"/>
          <w:szCs w:val="22"/>
          <w:lang w:eastAsia="zh-CN"/>
        </w:rPr>
        <w:fldChar w:fldCharType="end"/>
      </w:r>
      <w:r>
        <w:rPr>
          <w:rFonts w:hint="eastAsia"/>
          <w:sz w:val="22"/>
          <w:szCs w:val="22"/>
          <w:lang w:eastAsia="zh-CN"/>
        </w:rPr>
        <w:t>.</w:t>
      </w:r>
    </w:p>
    <w:p w:rsidR="00DB4601" w:rsidRPr="008011EC" w:rsidRDefault="00DB4601" w:rsidP="00DB4601">
      <w:pPr>
        <w:rPr>
          <w:lang w:eastAsia="zh-CN"/>
        </w:rPr>
      </w:pPr>
    </w:p>
    <w:p w:rsidR="00DB4601" w:rsidRDefault="00DB4601" w:rsidP="00DB4601">
      <w:pPr>
        <w:rPr>
          <w:b/>
          <w:kern w:val="2"/>
          <w:sz w:val="22"/>
          <w:lang w:eastAsia="zh-CN"/>
        </w:rPr>
      </w:pPr>
      <w:r w:rsidRPr="00DB4601">
        <w:rPr>
          <w:rFonts w:hint="eastAsia"/>
          <w:b/>
          <w:kern w:val="2"/>
          <w:sz w:val="22"/>
          <w:lang w:eastAsia="zh-CN"/>
        </w:rPr>
        <w:t xml:space="preserve">Observation </w:t>
      </w:r>
      <w:r>
        <w:rPr>
          <w:rFonts w:hint="eastAsia"/>
          <w:b/>
          <w:kern w:val="2"/>
          <w:sz w:val="22"/>
          <w:lang w:eastAsia="zh-CN"/>
        </w:rPr>
        <w:t>9</w:t>
      </w:r>
      <w:r w:rsidRPr="00DB4601">
        <w:rPr>
          <w:rFonts w:hint="eastAsia"/>
          <w:b/>
          <w:kern w:val="2"/>
          <w:sz w:val="22"/>
          <w:lang w:eastAsia="zh-CN"/>
        </w:rPr>
        <w:t>: Compared with the SC-FDMA uplink, the battery life with FDMA uplink is about 25% better in extreme coverage case (164dB MCL).</w:t>
      </w:r>
    </w:p>
    <w:p w:rsidR="00DB4601" w:rsidRPr="00DB4601" w:rsidRDefault="00DB4601" w:rsidP="00DB4601">
      <w:pPr>
        <w:rPr>
          <w:b/>
          <w:kern w:val="2"/>
          <w:sz w:val="22"/>
          <w:lang w:eastAsia="zh-CN"/>
        </w:rPr>
      </w:pPr>
    </w:p>
    <w:p w:rsidR="00DB4601" w:rsidRPr="00DB4601" w:rsidRDefault="00DB4601" w:rsidP="00DB4601">
      <w:pPr>
        <w:rPr>
          <w:b/>
          <w:kern w:val="2"/>
          <w:sz w:val="22"/>
          <w:lang w:eastAsia="zh-CN"/>
        </w:rPr>
      </w:pPr>
      <w:r w:rsidRPr="00DB4601">
        <w:rPr>
          <w:rFonts w:hint="eastAsia"/>
          <w:b/>
          <w:kern w:val="2"/>
          <w:sz w:val="22"/>
          <w:lang w:eastAsia="zh-CN"/>
        </w:rPr>
        <w:t xml:space="preserve">Observation </w:t>
      </w:r>
      <w:r>
        <w:rPr>
          <w:rFonts w:hint="eastAsia"/>
          <w:b/>
          <w:kern w:val="2"/>
          <w:sz w:val="22"/>
          <w:lang w:eastAsia="zh-CN"/>
        </w:rPr>
        <w:t>10</w:t>
      </w:r>
      <w:r w:rsidRPr="00DB4601">
        <w:rPr>
          <w:rFonts w:hint="eastAsia"/>
          <w:b/>
          <w:kern w:val="2"/>
          <w:sz w:val="22"/>
          <w:lang w:eastAsia="zh-CN"/>
        </w:rPr>
        <w:t xml:space="preserve">: Since SC-FDMA draws about 20% </w:t>
      </w:r>
      <w:r w:rsidRPr="00DB4601">
        <w:rPr>
          <w:b/>
          <w:kern w:val="2"/>
          <w:sz w:val="22"/>
          <w:lang w:eastAsia="zh-CN"/>
        </w:rPr>
        <w:t>higher peak transmit</w:t>
      </w:r>
      <w:r w:rsidRPr="00DB4601">
        <w:rPr>
          <w:rFonts w:hint="eastAsia"/>
          <w:b/>
          <w:kern w:val="2"/>
          <w:sz w:val="22"/>
          <w:lang w:eastAsia="zh-CN"/>
        </w:rPr>
        <w:t xml:space="preserve"> current </w:t>
      </w:r>
      <w:r w:rsidRPr="00DB4601">
        <w:rPr>
          <w:b/>
          <w:kern w:val="2"/>
          <w:sz w:val="22"/>
          <w:lang w:eastAsia="zh-CN"/>
        </w:rPr>
        <w:t>compared with</w:t>
      </w:r>
      <w:r w:rsidRPr="00DB4601">
        <w:rPr>
          <w:rFonts w:hint="eastAsia"/>
          <w:b/>
          <w:kern w:val="2"/>
          <w:sz w:val="22"/>
          <w:lang w:eastAsia="zh-CN"/>
        </w:rPr>
        <w:t xml:space="preserve"> FDMA, the expected battery life of SC-FDMA transmission </w:t>
      </w:r>
      <w:r w:rsidRPr="00DB4601">
        <w:rPr>
          <w:b/>
          <w:kern w:val="2"/>
          <w:sz w:val="22"/>
          <w:lang w:eastAsia="zh-CN"/>
        </w:rPr>
        <w:t>may</w:t>
      </w:r>
      <w:r w:rsidRPr="00DB4601">
        <w:rPr>
          <w:rFonts w:hint="eastAsia"/>
          <w:b/>
          <w:kern w:val="2"/>
          <w:sz w:val="22"/>
          <w:lang w:eastAsia="zh-CN"/>
        </w:rPr>
        <w:t xml:space="preserve"> be </w:t>
      </w:r>
      <w:r w:rsidRPr="00DB4601">
        <w:rPr>
          <w:b/>
          <w:kern w:val="2"/>
          <w:sz w:val="22"/>
          <w:lang w:eastAsia="zh-CN"/>
        </w:rPr>
        <w:t xml:space="preserve">degraded by </w:t>
      </w:r>
      <w:r w:rsidRPr="00DB4601">
        <w:rPr>
          <w:rFonts w:hint="eastAsia"/>
          <w:b/>
          <w:kern w:val="2"/>
          <w:sz w:val="22"/>
          <w:lang w:eastAsia="zh-CN"/>
        </w:rPr>
        <w:t xml:space="preserve">much more than 20% </w:t>
      </w:r>
      <w:r w:rsidRPr="00DB4601">
        <w:rPr>
          <w:b/>
          <w:kern w:val="2"/>
          <w:sz w:val="22"/>
          <w:lang w:eastAsia="zh-CN"/>
        </w:rPr>
        <w:t>if these non-linear battery technology effects are taken into account</w:t>
      </w:r>
      <w:r w:rsidRPr="00DB4601">
        <w:rPr>
          <w:rFonts w:hint="eastAsia"/>
          <w:b/>
          <w:kern w:val="2"/>
          <w:sz w:val="22"/>
          <w:lang w:eastAsia="zh-CN"/>
        </w:rPr>
        <w:t>.</w:t>
      </w:r>
    </w:p>
    <w:p w:rsidR="00BE7632" w:rsidRDefault="00BE7632" w:rsidP="00BE7632">
      <w:pPr>
        <w:pStyle w:val="1"/>
        <w:keepLines w:val="0"/>
        <w:widowControl/>
        <w:numPr>
          <w:ilvl w:val="1"/>
          <w:numId w:val="8"/>
        </w:numPr>
        <w:pBdr>
          <w:top w:val="none" w:sz="0" w:space="0" w:color="auto"/>
        </w:pBdr>
        <w:spacing w:after="240"/>
        <w:rPr>
          <w:rFonts w:ascii="Times New Roman" w:hAnsi="Times New Roman"/>
          <w:b/>
          <w:sz w:val="28"/>
          <w:szCs w:val="28"/>
          <w:lang w:eastAsia="zh-CN"/>
        </w:rPr>
      </w:pPr>
      <w:r>
        <w:rPr>
          <w:rFonts w:ascii="Times New Roman" w:hAnsi="Times New Roman"/>
          <w:b/>
          <w:sz w:val="28"/>
          <w:szCs w:val="28"/>
          <w:lang w:eastAsia="zh-CN"/>
        </w:rPr>
        <w:t>Spectrum efficiency</w:t>
      </w:r>
    </w:p>
    <w:p w:rsidR="00BE7632" w:rsidRDefault="00BE7632" w:rsidP="00BE7632">
      <w:pPr>
        <w:rPr>
          <w:sz w:val="22"/>
          <w:szCs w:val="22"/>
          <w:lang w:eastAsia="zh-CN"/>
        </w:rPr>
      </w:pPr>
      <w:r>
        <w:rPr>
          <w:rFonts w:hint="eastAsia"/>
          <w:sz w:val="22"/>
          <w:szCs w:val="22"/>
          <w:lang w:eastAsia="zh-CN"/>
        </w:rPr>
        <w:t>Details can be found in</w:t>
      </w:r>
      <w:r w:rsidR="008011EC">
        <w:rPr>
          <w:rFonts w:hint="eastAsia"/>
          <w:sz w:val="22"/>
          <w:szCs w:val="22"/>
          <w:lang w:eastAsia="zh-CN"/>
        </w:rPr>
        <w:t xml:space="preserve"> </w:t>
      </w:r>
      <w:r w:rsidR="002B7DFD">
        <w:rPr>
          <w:sz w:val="22"/>
          <w:szCs w:val="22"/>
          <w:lang w:eastAsia="zh-CN"/>
        </w:rPr>
        <w:fldChar w:fldCharType="begin"/>
      </w:r>
      <w:r w:rsidR="008011EC">
        <w:rPr>
          <w:sz w:val="22"/>
          <w:szCs w:val="22"/>
          <w:lang w:eastAsia="zh-CN"/>
        </w:rPr>
        <w:instrText xml:space="preserve"> </w:instrText>
      </w:r>
      <w:r w:rsidR="008011EC">
        <w:rPr>
          <w:rFonts w:hint="eastAsia"/>
          <w:sz w:val="22"/>
          <w:szCs w:val="22"/>
          <w:lang w:eastAsia="zh-CN"/>
        </w:rPr>
        <w:instrText>REF _Ref434650102 \n \h</w:instrText>
      </w:r>
      <w:r w:rsidR="008011EC">
        <w:rPr>
          <w:sz w:val="22"/>
          <w:szCs w:val="22"/>
          <w:lang w:eastAsia="zh-CN"/>
        </w:rPr>
        <w:instrText xml:space="preserve"> </w:instrText>
      </w:r>
      <w:r w:rsidR="002B7DFD">
        <w:rPr>
          <w:sz w:val="22"/>
          <w:szCs w:val="22"/>
          <w:lang w:eastAsia="zh-CN"/>
        </w:rPr>
      </w:r>
      <w:r w:rsidR="002B7DFD">
        <w:rPr>
          <w:sz w:val="22"/>
          <w:szCs w:val="22"/>
          <w:lang w:eastAsia="zh-CN"/>
        </w:rPr>
        <w:fldChar w:fldCharType="separate"/>
      </w:r>
      <w:r w:rsidR="00B57A1D">
        <w:rPr>
          <w:sz w:val="22"/>
          <w:szCs w:val="22"/>
          <w:lang w:eastAsia="zh-CN"/>
        </w:rPr>
        <w:t>[14]</w:t>
      </w:r>
      <w:r w:rsidR="002B7DFD">
        <w:rPr>
          <w:sz w:val="22"/>
          <w:szCs w:val="22"/>
          <w:lang w:eastAsia="zh-CN"/>
        </w:rPr>
        <w:fldChar w:fldCharType="end"/>
      </w:r>
      <w:r>
        <w:rPr>
          <w:rFonts w:hint="eastAsia"/>
          <w:sz w:val="22"/>
          <w:szCs w:val="22"/>
          <w:lang w:eastAsia="zh-CN"/>
        </w:rPr>
        <w:t>.</w:t>
      </w:r>
    </w:p>
    <w:p w:rsidR="008E5F76" w:rsidRPr="008011EC" w:rsidRDefault="008E5F76" w:rsidP="00BE7632">
      <w:pPr>
        <w:rPr>
          <w:lang w:eastAsia="zh-CN"/>
        </w:rPr>
      </w:pPr>
    </w:p>
    <w:p w:rsidR="00BE7632" w:rsidRPr="00BE7632" w:rsidRDefault="00BE7632" w:rsidP="00BE7632">
      <w:pPr>
        <w:rPr>
          <w:b/>
          <w:kern w:val="2"/>
          <w:sz w:val="22"/>
          <w:lang w:eastAsia="zh-CN"/>
        </w:rPr>
      </w:pPr>
      <w:r w:rsidRPr="00BE7632">
        <w:rPr>
          <w:rFonts w:hint="eastAsia"/>
          <w:b/>
          <w:kern w:val="2"/>
          <w:sz w:val="22"/>
          <w:lang w:eastAsia="zh-CN"/>
        </w:rPr>
        <w:t xml:space="preserve">Observation </w:t>
      </w:r>
      <w:r w:rsidR="00DB4601">
        <w:rPr>
          <w:rFonts w:hint="eastAsia"/>
          <w:b/>
          <w:kern w:val="2"/>
          <w:sz w:val="22"/>
          <w:lang w:eastAsia="zh-CN"/>
        </w:rPr>
        <w:t>11</w:t>
      </w:r>
      <w:r w:rsidRPr="00BE7632">
        <w:rPr>
          <w:rFonts w:hint="eastAsia"/>
          <w:b/>
          <w:kern w:val="2"/>
          <w:sz w:val="22"/>
          <w:lang w:eastAsia="zh-CN"/>
        </w:rPr>
        <w:t>: FDMA with GMSK modulation has a comparable spectr</w:t>
      </w:r>
      <w:r w:rsidRPr="00BE7632">
        <w:rPr>
          <w:b/>
          <w:kern w:val="2"/>
          <w:sz w:val="22"/>
          <w:lang w:eastAsia="zh-CN"/>
        </w:rPr>
        <w:t>al</w:t>
      </w:r>
      <w:r w:rsidRPr="00BE7632">
        <w:rPr>
          <w:rFonts w:hint="eastAsia"/>
          <w:b/>
          <w:kern w:val="2"/>
          <w:sz w:val="22"/>
          <w:lang w:eastAsia="zh-CN"/>
        </w:rPr>
        <w:t xml:space="preserve"> efficiency with SC-FDMA including single-tone transmission at MCL=164/154dB whist higher spectral efficiency at MCL=144dB when uplink transmit power back-off is applied. </w:t>
      </w:r>
    </w:p>
    <w:p w:rsidR="00BE7632" w:rsidRDefault="00BE7632" w:rsidP="00BE7632">
      <w:pPr>
        <w:rPr>
          <w:lang w:eastAsia="zh-CN"/>
        </w:rPr>
      </w:pPr>
    </w:p>
    <w:p w:rsidR="008011EC" w:rsidRDefault="008011EC" w:rsidP="008011EC">
      <w:pPr>
        <w:pStyle w:val="1"/>
        <w:keepLines w:val="0"/>
        <w:widowControl/>
        <w:numPr>
          <w:ilvl w:val="1"/>
          <w:numId w:val="8"/>
        </w:numPr>
        <w:pBdr>
          <w:top w:val="none" w:sz="0" w:space="0" w:color="auto"/>
        </w:pBdr>
        <w:spacing w:after="240"/>
        <w:rPr>
          <w:rFonts w:ascii="Times New Roman" w:hAnsi="Times New Roman"/>
          <w:b/>
          <w:sz w:val="28"/>
          <w:szCs w:val="28"/>
          <w:lang w:eastAsia="zh-CN"/>
        </w:rPr>
      </w:pPr>
      <w:r>
        <w:rPr>
          <w:rFonts w:ascii="Times New Roman" w:hAnsi="Times New Roman" w:hint="eastAsia"/>
          <w:b/>
          <w:sz w:val="28"/>
          <w:szCs w:val="28"/>
          <w:lang w:eastAsia="zh-CN"/>
        </w:rPr>
        <w:t>Capacity</w:t>
      </w:r>
    </w:p>
    <w:p w:rsidR="00EF787D" w:rsidRPr="00EF787D" w:rsidRDefault="00EF787D" w:rsidP="00EF787D">
      <w:pPr>
        <w:rPr>
          <w:sz w:val="22"/>
          <w:szCs w:val="22"/>
          <w:lang w:eastAsia="zh-CN"/>
        </w:rPr>
      </w:pPr>
      <w:r w:rsidRPr="00EF787D">
        <w:rPr>
          <w:sz w:val="22"/>
          <w:szCs w:val="22"/>
          <w:lang w:eastAsia="zh-CN"/>
        </w:rPr>
        <w:t>T</w:t>
      </w:r>
      <w:r w:rsidRPr="00EF787D">
        <w:rPr>
          <w:rFonts w:hint="eastAsia"/>
          <w:sz w:val="22"/>
          <w:szCs w:val="22"/>
          <w:lang w:eastAsia="zh-CN"/>
        </w:rPr>
        <w:t>he FDMA based uplink solution can achieve higher capacity than the SC-FDMA based uplink solution.</w:t>
      </w:r>
      <w:r w:rsidRPr="00EF787D">
        <w:rPr>
          <w:sz w:val="22"/>
          <w:szCs w:val="22"/>
          <w:lang w:eastAsia="zh-CN"/>
        </w:rPr>
        <w:t xml:space="preserve"> </w:t>
      </w:r>
      <w:r w:rsidRPr="00EF787D">
        <w:rPr>
          <w:rFonts w:hint="eastAsia"/>
          <w:sz w:val="22"/>
          <w:szCs w:val="22"/>
          <w:lang w:eastAsia="zh-CN"/>
        </w:rPr>
        <w:t xml:space="preserve">One of the reasons is the data rate decrease </w:t>
      </w:r>
      <w:r w:rsidR="00EA4F97">
        <w:rPr>
          <w:rFonts w:hint="eastAsia"/>
          <w:sz w:val="22"/>
          <w:szCs w:val="22"/>
          <w:lang w:eastAsia="zh-CN"/>
        </w:rPr>
        <w:t xml:space="preserve">for SC-FDMA </w:t>
      </w:r>
      <w:r w:rsidRPr="00EF787D">
        <w:rPr>
          <w:rFonts w:hint="eastAsia"/>
          <w:sz w:val="22"/>
          <w:szCs w:val="22"/>
          <w:lang w:eastAsia="zh-CN"/>
        </w:rPr>
        <w:t>when p</w:t>
      </w:r>
      <w:r w:rsidRPr="00EF787D">
        <w:rPr>
          <w:sz w:val="22"/>
          <w:szCs w:val="22"/>
          <w:lang w:eastAsia="zh-CN"/>
        </w:rPr>
        <w:t xml:space="preserve">ower back-off </w:t>
      </w:r>
      <w:r w:rsidRPr="00EF787D">
        <w:rPr>
          <w:rFonts w:hint="eastAsia"/>
          <w:sz w:val="22"/>
          <w:szCs w:val="22"/>
          <w:lang w:eastAsia="zh-CN"/>
        </w:rPr>
        <w:t xml:space="preserve">is taken into account, as shown in </w:t>
      </w:r>
      <w:fldSimple w:instr=" REF _Ref434657734 \h  \* MERGEFORMAT ">
        <w:r w:rsidRPr="00EF787D">
          <w:rPr>
            <w:sz w:val="22"/>
            <w:szCs w:val="22"/>
            <w:lang w:eastAsia="zh-CN"/>
          </w:rPr>
          <w:t>Figure 3</w:t>
        </w:r>
      </w:fldSimple>
      <w:r w:rsidRPr="00EF787D">
        <w:rPr>
          <w:rFonts w:hint="eastAsia"/>
          <w:sz w:val="22"/>
          <w:szCs w:val="22"/>
          <w:lang w:eastAsia="zh-CN"/>
        </w:rPr>
        <w:t>.</w:t>
      </w:r>
      <w:r w:rsidR="00EA4F97">
        <w:rPr>
          <w:rFonts w:hint="eastAsia"/>
          <w:sz w:val="22"/>
          <w:szCs w:val="22"/>
          <w:lang w:eastAsia="zh-CN"/>
        </w:rPr>
        <w:t xml:space="preserve"> Another reason is the high resource occupation for SC-FDMA in the random access process.</w:t>
      </w:r>
    </w:p>
    <w:p w:rsidR="00B57A1D" w:rsidRPr="00EA4F97" w:rsidRDefault="00B57A1D" w:rsidP="008011EC">
      <w:pPr>
        <w:rPr>
          <w:lang w:eastAsia="zh-CN"/>
        </w:rPr>
      </w:pPr>
    </w:p>
    <w:p w:rsidR="00B57A1D" w:rsidRDefault="00B57A1D" w:rsidP="00B57A1D">
      <w:pPr>
        <w:jc w:val="center"/>
        <w:rPr>
          <w:lang w:eastAsia="zh-CN"/>
        </w:rPr>
      </w:pPr>
      <w:r w:rsidRPr="00B57A1D">
        <w:rPr>
          <w:noProof/>
          <w:lang w:val="en-US" w:eastAsia="zh-CN"/>
        </w:rPr>
        <w:drawing>
          <wp:inline distT="0" distB="0" distL="0" distR="0">
            <wp:extent cx="4677255" cy="3322101"/>
            <wp:effectExtent l="0" t="0" r="0" b="0"/>
            <wp:docPr id="2" name="对象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805930" cy="5110857"/>
                      <a:chOff x="5389245" y="914400"/>
                      <a:chExt cx="6805930" cy="5110857"/>
                    </a:xfrm>
                  </a:grpSpPr>
                  <a:sp>
                    <a:nvSpPr>
                      <a:cNvPr id="55" name="矩形 54"/>
                      <a:cNvSpPr/>
                    </a:nvSpPr>
                    <a:spPr>
                      <a:xfrm>
                        <a:off x="9439275" y="1838325"/>
                        <a:ext cx="1123950" cy="3543300"/>
                      </a:xfrm>
                      <a:prstGeom prst="rect">
                        <a:avLst/>
                      </a:prstGeom>
                      <a:solidFill>
                        <a:srgbClr val="C00000">
                          <a:alpha val="15000"/>
                        </a:srgbClr>
                      </a:solidFill>
                      <a:ln>
                        <a:noFill/>
                      </a:ln>
                    </a:spPr>
                    <a:txSp>
                      <a:txBody>
                        <a:bodyPr wrap="square" rtlCol="0" anchor="ctr">
                          <a:noAutofit/>
                        </a:bodyPr>
                        <a:lstStyle>
                          <a:defPPr>
                            <a:defRPr lang="zh-CN"/>
                          </a:defPPr>
                          <a:lvl1pPr algn="l" rtl="0" fontAlgn="base">
                            <a:spcBef>
                              <a:spcPct val="0"/>
                            </a:spcBef>
                            <a:spcAft>
                              <a:spcPct val="0"/>
                            </a:spcAft>
                            <a:defRPr b="1" kern="1200">
                              <a:solidFill>
                                <a:schemeClr val="tx1"/>
                              </a:solidFill>
                              <a:latin typeface="Arial" pitchFamily="34" charset="0"/>
                              <a:ea typeface="宋体" pitchFamily="2" charset="-122"/>
                              <a:cs typeface="+mn-cs"/>
                            </a:defRPr>
                          </a:lvl1pPr>
                          <a:lvl2pPr marL="455613" indent="1588" algn="l" rtl="0" fontAlgn="base">
                            <a:spcBef>
                              <a:spcPct val="0"/>
                            </a:spcBef>
                            <a:spcAft>
                              <a:spcPct val="0"/>
                            </a:spcAft>
                            <a:defRPr b="1" kern="1200">
                              <a:solidFill>
                                <a:schemeClr val="tx1"/>
                              </a:solidFill>
                              <a:latin typeface="Arial" pitchFamily="34" charset="0"/>
                              <a:ea typeface="宋体" pitchFamily="2" charset="-122"/>
                              <a:cs typeface="+mn-cs"/>
                            </a:defRPr>
                          </a:lvl2pPr>
                          <a:lvl3pPr marL="912813" indent="1588" algn="l" rtl="0" fontAlgn="base">
                            <a:spcBef>
                              <a:spcPct val="0"/>
                            </a:spcBef>
                            <a:spcAft>
                              <a:spcPct val="0"/>
                            </a:spcAft>
                            <a:defRPr b="1" kern="1200">
                              <a:solidFill>
                                <a:schemeClr val="tx1"/>
                              </a:solidFill>
                              <a:latin typeface="Arial" pitchFamily="34" charset="0"/>
                              <a:ea typeface="宋体" pitchFamily="2" charset="-122"/>
                              <a:cs typeface="+mn-cs"/>
                            </a:defRPr>
                          </a:lvl3pPr>
                          <a:lvl4pPr marL="1370013" indent="1588" algn="l" rtl="0" fontAlgn="base">
                            <a:spcBef>
                              <a:spcPct val="0"/>
                            </a:spcBef>
                            <a:spcAft>
                              <a:spcPct val="0"/>
                            </a:spcAft>
                            <a:defRPr b="1" kern="1200">
                              <a:solidFill>
                                <a:schemeClr val="tx1"/>
                              </a:solidFill>
                              <a:latin typeface="Arial" pitchFamily="34" charset="0"/>
                              <a:ea typeface="宋体" pitchFamily="2" charset="-122"/>
                              <a:cs typeface="+mn-cs"/>
                            </a:defRPr>
                          </a:lvl4pPr>
                          <a:lvl5pPr marL="1827213" indent="1588" algn="l" rtl="0" fontAlgn="base">
                            <a:spcBef>
                              <a:spcPct val="0"/>
                            </a:spcBef>
                            <a:spcAft>
                              <a:spcPct val="0"/>
                            </a:spcAft>
                            <a:defRPr b="1" kern="1200">
                              <a:solidFill>
                                <a:schemeClr val="tx1"/>
                              </a:solidFill>
                              <a:latin typeface="Arial" pitchFamily="34" charset="0"/>
                              <a:ea typeface="宋体" pitchFamily="2" charset="-122"/>
                              <a:cs typeface="+mn-cs"/>
                            </a:defRPr>
                          </a:lvl5pPr>
                          <a:lvl6pPr marL="2286000" algn="l" defTabSz="914400" rtl="0" eaLnBrk="1" latinLnBrk="0" hangingPunct="1">
                            <a:defRPr b="1" kern="1200">
                              <a:solidFill>
                                <a:schemeClr val="tx1"/>
                              </a:solidFill>
                              <a:latin typeface="Arial" pitchFamily="34" charset="0"/>
                              <a:ea typeface="宋体" pitchFamily="2" charset="-122"/>
                              <a:cs typeface="+mn-cs"/>
                            </a:defRPr>
                          </a:lvl6pPr>
                          <a:lvl7pPr marL="2743200" algn="l" defTabSz="914400" rtl="0" eaLnBrk="1" latinLnBrk="0" hangingPunct="1">
                            <a:defRPr b="1" kern="1200">
                              <a:solidFill>
                                <a:schemeClr val="tx1"/>
                              </a:solidFill>
                              <a:latin typeface="Arial" pitchFamily="34" charset="0"/>
                              <a:ea typeface="宋体" pitchFamily="2" charset="-122"/>
                              <a:cs typeface="+mn-cs"/>
                            </a:defRPr>
                          </a:lvl7pPr>
                          <a:lvl8pPr marL="3200400" algn="l" defTabSz="914400" rtl="0" eaLnBrk="1" latinLnBrk="0" hangingPunct="1">
                            <a:defRPr b="1" kern="1200">
                              <a:solidFill>
                                <a:schemeClr val="tx1"/>
                              </a:solidFill>
                              <a:latin typeface="Arial" pitchFamily="34" charset="0"/>
                              <a:ea typeface="宋体" pitchFamily="2" charset="-122"/>
                              <a:cs typeface="+mn-cs"/>
                            </a:defRPr>
                          </a:lvl8pPr>
                          <a:lvl9pPr marL="3657600" algn="l" defTabSz="914400" rtl="0" eaLnBrk="1" latinLnBrk="0" hangingPunct="1">
                            <a:defRPr b="1" kern="1200">
                              <a:solidFill>
                                <a:schemeClr val="tx1"/>
                              </a:solidFill>
                              <a:latin typeface="Arial" pitchFamily="34" charset="0"/>
                              <a:ea typeface="宋体" pitchFamily="2" charset="-122"/>
                              <a:cs typeface="+mn-cs"/>
                            </a:defRPr>
                          </a:lvl9pPr>
                        </a:lstStyle>
                        <a:p>
                          <a:pPr marL="182563" indent="-182563" algn="ctr">
                            <a:lnSpc>
                              <a:spcPct val="120000"/>
                            </a:lnSpc>
                            <a:buClr>
                              <a:srgbClr val="C00000"/>
                            </a:buClr>
                            <a:buSzPct val="60000"/>
                          </a:pPr>
                          <a:endParaRPr lang="zh-CN" altLang="en-US" sz="1600" b="0" dirty="0" smtClean="0"/>
                        </a:p>
                      </a:txBody>
                      <a:useSpRect/>
                    </a:txSp>
                  </a:sp>
                  <a:cxnSp>
                    <a:nvCxnSpPr>
                      <a:cNvPr id="13" name="直接箭头连接符 12"/>
                      <a:cNvCxnSpPr/>
                    </a:nvCxnSpPr>
                    <a:spPr bwMode="auto">
                      <a:xfrm flipV="1">
                        <a:off x="6018963" y="5375868"/>
                        <a:ext cx="4762918" cy="30145"/>
                      </a:xfrm>
                      <a:prstGeom prst="straightConnector1">
                        <a:avLst/>
                      </a:prstGeom>
                      <a:noFill/>
                      <a:ln w="6350" cap="flat" cmpd="sng" algn="ctr">
                        <a:solidFill>
                          <a:schemeClr val="bg1">
                            <a:lumMod val="65000"/>
                          </a:schemeClr>
                        </a:solidFill>
                        <a:prstDash val="solid"/>
                        <a:round/>
                        <a:headEnd type="none" w="med" len="med"/>
                        <a:tailEnd type="arrow"/>
                      </a:ln>
                      <a:effectLst/>
                    </a:spPr>
                  </a:cxnSp>
                  <a:cxnSp>
                    <a:nvCxnSpPr>
                      <a:cNvPr id="19" name="直接箭头连接符 18"/>
                      <a:cNvCxnSpPr/>
                    </a:nvCxnSpPr>
                    <a:spPr bwMode="auto">
                      <a:xfrm flipV="1">
                        <a:off x="6018963" y="1386673"/>
                        <a:ext cx="0" cy="4019340"/>
                      </a:xfrm>
                      <a:prstGeom prst="straightConnector1">
                        <a:avLst/>
                      </a:prstGeom>
                      <a:noFill/>
                      <a:ln w="6350" cap="flat" cmpd="sng" algn="ctr">
                        <a:solidFill>
                          <a:schemeClr val="bg1">
                            <a:lumMod val="65000"/>
                          </a:schemeClr>
                        </a:solidFill>
                        <a:prstDash val="solid"/>
                        <a:round/>
                        <a:headEnd type="none" w="med" len="med"/>
                        <a:tailEnd type="arrow"/>
                      </a:ln>
                      <a:effectLst/>
                    </a:spPr>
                  </a:cxnSp>
                  <a:sp>
                    <a:nvSpPr>
                      <a:cNvPr id="31" name="TextBox 30"/>
                      <a:cNvSpPr txBox="1"/>
                    </a:nvSpPr>
                    <a:spPr>
                      <a:xfrm>
                        <a:off x="6531506" y="1978501"/>
                        <a:ext cx="631904" cy="307777"/>
                      </a:xfrm>
                      <a:prstGeom prst="rect">
                        <a:avLst/>
                      </a:prstGeom>
                      <a:noFill/>
                    </a:spPr>
                    <a:txSp>
                      <a:txBody>
                        <a:bodyPr wrap="none" rtlCol="0">
                          <a:spAutoFit/>
                        </a:bodyPr>
                        <a:lstStyle>
                          <a:defPPr>
                            <a:defRPr lang="zh-CN"/>
                          </a:defPPr>
                          <a:lvl1pPr algn="l" rtl="0" fontAlgn="base">
                            <a:spcBef>
                              <a:spcPct val="0"/>
                            </a:spcBef>
                            <a:spcAft>
                              <a:spcPct val="0"/>
                            </a:spcAft>
                            <a:defRPr b="1" kern="1200">
                              <a:solidFill>
                                <a:schemeClr val="tx1"/>
                              </a:solidFill>
                              <a:latin typeface="Arial" pitchFamily="34" charset="0"/>
                              <a:ea typeface="宋体" pitchFamily="2" charset="-122"/>
                              <a:cs typeface="+mn-cs"/>
                            </a:defRPr>
                          </a:lvl1pPr>
                          <a:lvl2pPr marL="455613" indent="1588" algn="l" rtl="0" fontAlgn="base">
                            <a:spcBef>
                              <a:spcPct val="0"/>
                            </a:spcBef>
                            <a:spcAft>
                              <a:spcPct val="0"/>
                            </a:spcAft>
                            <a:defRPr b="1" kern="1200">
                              <a:solidFill>
                                <a:schemeClr val="tx1"/>
                              </a:solidFill>
                              <a:latin typeface="Arial" pitchFamily="34" charset="0"/>
                              <a:ea typeface="宋体" pitchFamily="2" charset="-122"/>
                              <a:cs typeface="+mn-cs"/>
                            </a:defRPr>
                          </a:lvl2pPr>
                          <a:lvl3pPr marL="912813" indent="1588" algn="l" rtl="0" fontAlgn="base">
                            <a:spcBef>
                              <a:spcPct val="0"/>
                            </a:spcBef>
                            <a:spcAft>
                              <a:spcPct val="0"/>
                            </a:spcAft>
                            <a:defRPr b="1" kern="1200">
                              <a:solidFill>
                                <a:schemeClr val="tx1"/>
                              </a:solidFill>
                              <a:latin typeface="Arial" pitchFamily="34" charset="0"/>
                              <a:ea typeface="宋体" pitchFamily="2" charset="-122"/>
                              <a:cs typeface="+mn-cs"/>
                            </a:defRPr>
                          </a:lvl3pPr>
                          <a:lvl4pPr marL="1370013" indent="1588" algn="l" rtl="0" fontAlgn="base">
                            <a:spcBef>
                              <a:spcPct val="0"/>
                            </a:spcBef>
                            <a:spcAft>
                              <a:spcPct val="0"/>
                            </a:spcAft>
                            <a:defRPr b="1" kern="1200">
                              <a:solidFill>
                                <a:schemeClr val="tx1"/>
                              </a:solidFill>
                              <a:latin typeface="Arial" pitchFamily="34" charset="0"/>
                              <a:ea typeface="宋体" pitchFamily="2" charset="-122"/>
                              <a:cs typeface="+mn-cs"/>
                            </a:defRPr>
                          </a:lvl4pPr>
                          <a:lvl5pPr marL="1827213" indent="1588" algn="l" rtl="0" fontAlgn="base">
                            <a:spcBef>
                              <a:spcPct val="0"/>
                            </a:spcBef>
                            <a:spcAft>
                              <a:spcPct val="0"/>
                            </a:spcAft>
                            <a:defRPr b="1" kern="1200">
                              <a:solidFill>
                                <a:schemeClr val="tx1"/>
                              </a:solidFill>
                              <a:latin typeface="Arial" pitchFamily="34" charset="0"/>
                              <a:ea typeface="宋体" pitchFamily="2" charset="-122"/>
                              <a:cs typeface="+mn-cs"/>
                            </a:defRPr>
                          </a:lvl5pPr>
                          <a:lvl6pPr marL="2286000" algn="l" defTabSz="914400" rtl="0" eaLnBrk="1" latinLnBrk="0" hangingPunct="1">
                            <a:defRPr b="1" kern="1200">
                              <a:solidFill>
                                <a:schemeClr val="tx1"/>
                              </a:solidFill>
                              <a:latin typeface="Arial" pitchFamily="34" charset="0"/>
                              <a:ea typeface="宋体" pitchFamily="2" charset="-122"/>
                              <a:cs typeface="+mn-cs"/>
                            </a:defRPr>
                          </a:lvl6pPr>
                          <a:lvl7pPr marL="2743200" algn="l" defTabSz="914400" rtl="0" eaLnBrk="1" latinLnBrk="0" hangingPunct="1">
                            <a:defRPr b="1" kern="1200">
                              <a:solidFill>
                                <a:schemeClr val="tx1"/>
                              </a:solidFill>
                              <a:latin typeface="Arial" pitchFamily="34" charset="0"/>
                              <a:ea typeface="宋体" pitchFamily="2" charset="-122"/>
                              <a:cs typeface="+mn-cs"/>
                            </a:defRPr>
                          </a:lvl7pPr>
                          <a:lvl8pPr marL="3200400" algn="l" defTabSz="914400" rtl="0" eaLnBrk="1" latinLnBrk="0" hangingPunct="1">
                            <a:defRPr b="1" kern="1200">
                              <a:solidFill>
                                <a:schemeClr val="tx1"/>
                              </a:solidFill>
                              <a:latin typeface="Arial" pitchFamily="34" charset="0"/>
                              <a:ea typeface="宋体" pitchFamily="2" charset="-122"/>
                              <a:cs typeface="+mn-cs"/>
                            </a:defRPr>
                          </a:lvl8pPr>
                          <a:lvl9pPr marL="3657600" algn="l" defTabSz="914400" rtl="0" eaLnBrk="1" latinLnBrk="0" hangingPunct="1">
                            <a:defRPr b="1" kern="1200">
                              <a:solidFill>
                                <a:schemeClr val="tx1"/>
                              </a:solidFill>
                              <a:latin typeface="Arial" pitchFamily="34" charset="0"/>
                              <a:ea typeface="宋体" pitchFamily="2" charset="-122"/>
                              <a:cs typeface="+mn-cs"/>
                            </a:defRPr>
                          </a:lvl9pPr>
                        </a:lstStyle>
                        <a:p>
                          <a:pPr indent="-179388">
                            <a:spcAft>
                              <a:spcPts val="600"/>
                            </a:spcAft>
                            <a:buClr>
                              <a:schemeClr val="tx2"/>
                            </a:buClr>
                            <a:buSzPct val="75000"/>
                          </a:pPr>
                          <a:r>
                            <a:rPr lang="en-US" altLang="zh-CN" sz="1400" b="0" dirty="0" smtClean="0">
                              <a:cs typeface="Arial" pitchFamily="34" charset="0"/>
                            </a:rPr>
                            <a:t>1tone</a:t>
                          </a:r>
                          <a:endParaRPr lang="zh-CN" altLang="en-US" sz="1400" b="0" dirty="0" err="1" smtClean="0">
                            <a:cs typeface="Arial" pitchFamily="34" charset="0"/>
                          </a:endParaRPr>
                        </a:p>
                      </a:txBody>
                      <a:useSpRect/>
                    </a:txSp>
                  </a:sp>
                  <a:sp>
                    <a:nvSpPr>
                      <a:cNvPr id="43" name="TextBox 42"/>
                      <a:cNvSpPr txBox="1"/>
                    </a:nvSpPr>
                    <a:spPr>
                      <a:xfrm>
                        <a:off x="5389245" y="914400"/>
                        <a:ext cx="920445" cy="600164"/>
                      </a:xfrm>
                      <a:prstGeom prst="rect">
                        <a:avLst/>
                      </a:prstGeom>
                      <a:noFill/>
                    </a:spPr>
                    <a:txSp>
                      <a:txBody>
                        <a:bodyPr wrap="none" rtlCol="0">
                          <a:spAutoFit/>
                        </a:bodyPr>
                        <a:lstStyle>
                          <a:defPPr>
                            <a:defRPr lang="zh-CN"/>
                          </a:defPPr>
                          <a:lvl1pPr algn="l" rtl="0" fontAlgn="base">
                            <a:spcBef>
                              <a:spcPct val="0"/>
                            </a:spcBef>
                            <a:spcAft>
                              <a:spcPct val="0"/>
                            </a:spcAft>
                            <a:defRPr b="1" kern="1200">
                              <a:solidFill>
                                <a:schemeClr val="tx1"/>
                              </a:solidFill>
                              <a:latin typeface="Arial" pitchFamily="34" charset="0"/>
                              <a:ea typeface="宋体" pitchFamily="2" charset="-122"/>
                              <a:cs typeface="+mn-cs"/>
                            </a:defRPr>
                          </a:lvl1pPr>
                          <a:lvl2pPr marL="455613" indent="1588" algn="l" rtl="0" fontAlgn="base">
                            <a:spcBef>
                              <a:spcPct val="0"/>
                            </a:spcBef>
                            <a:spcAft>
                              <a:spcPct val="0"/>
                            </a:spcAft>
                            <a:defRPr b="1" kern="1200">
                              <a:solidFill>
                                <a:schemeClr val="tx1"/>
                              </a:solidFill>
                              <a:latin typeface="Arial" pitchFamily="34" charset="0"/>
                              <a:ea typeface="宋体" pitchFamily="2" charset="-122"/>
                              <a:cs typeface="+mn-cs"/>
                            </a:defRPr>
                          </a:lvl2pPr>
                          <a:lvl3pPr marL="912813" indent="1588" algn="l" rtl="0" fontAlgn="base">
                            <a:spcBef>
                              <a:spcPct val="0"/>
                            </a:spcBef>
                            <a:spcAft>
                              <a:spcPct val="0"/>
                            </a:spcAft>
                            <a:defRPr b="1" kern="1200">
                              <a:solidFill>
                                <a:schemeClr val="tx1"/>
                              </a:solidFill>
                              <a:latin typeface="Arial" pitchFamily="34" charset="0"/>
                              <a:ea typeface="宋体" pitchFamily="2" charset="-122"/>
                              <a:cs typeface="+mn-cs"/>
                            </a:defRPr>
                          </a:lvl3pPr>
                          <a:lvl4pPr marL="1370013" indent="1588" algn="l" rtl="0" fontAlgn="base">
                            <a:spcBef>
                              <a:spcPct val="0"/>
                            </a:spcBef>
                            <a:spcAft>
                              <a:spcPct val="0"/>
                            </a:spcAft>
                            <a:defRPr b="1" kern="1200">
                              <a:solidFill>
                                <a:schemeClr val="tx1"/>
                              </a:solidFill>
                              <a:latin typeface="Arial" pitchFamily="34" charset="0"/>
                              <a:ea typeface="宋体" pitchFamily="2" charset="-122"/>
                              <a:cs typeface="+mn-cs"/>
                            </a:defRPr>
                          </a:lvl4pPr>
                          <a:lvl5pPr marL="1827213" indent="1588" algn="l" rtl="0" fontAlgn="base">
                            <a:spcBef>
                              <a:spcPct val="0"/>
                            </a:spcBef>
                            <a:spcAft>
                              <a:spcPct val="0"/>
                            </a:spcAft>
                            <a:defRPr b="1" kern="1200">
                              <a:solidFill>
                                <a:schemeClr val="tx1"/>
                              </a:solidFill>
                              <a:latin typeface="Arial" pitchFamily="34" charset="0"/>
                              <a:ea typeface="宋体" pitchFamily="2" charset="-122"/>
                              <a:cs typeface="+mn-cs"/>
                            </a:defRPr>
                          </a:lvl5pPr>
                          <a:lvl6pPr marL="2286000" algn="l" defTabSz="914400" rtl="0" eaLnBrk="1" latinLnBrk="0" hangingPunct="1">
                            <a:defRPr b="1" kern="1200">
                              <a:solidFill>
                                <a:schemeClr val="tx1"/>
                              </a:solidFill>
                              <a:latin typeface="Arial" pitchFamily="34" charset="0"/>
                              <a:ea typeface="宋体" pitchFamily="2" charset="-122"/>
                              <a:cs typeface="+mn-cs"/>
                            </a:defRPr>
                          </a:lvl6pPr>
                          <a:lvl7pPr marL="2743200" algn="l" defTabSz="914400" rtl="0" eaLnBrk="1" latinLnBrk="0" hangingPunct="1">
                            <a:defRPr b="1" kern="1200">
                              <a:solidFill>
                                <a:schemeClr val="tx1"/>
                              </a:solidFill>
                              <a:latin typeface="Arial" pitchFamily="34" charset="0"/>
                              <a:ea typeface="宋体" pitchFamily="2" charset="-122"/>
                              <a:cs typeface="+mn-cs"/>
                            </a:defRPr>
                          </a:lvl7pPr>
                          <a:lvl8pPr marL="3200400" algn="l" defTabSz="914400" rtl="0" eaLnBrk="1" latinLnBrk="0" hangingPunct="1">
                            <a:defRPr b="1" kern="1200">
                              <a:solidFill>
                                <a:schemeClr val="tx1"/>
                              </a:solidFill>
                              <a:latin typeface="Arial" pitchFamily="34" charset="0"/>
                              <a:ea typeface="宋体" pitchFamily="2" charset="-122"/>
                              <a:cs typeface="+mn-cs"/>
                            </a:defRPr>
                          </a:lvl8pPr>
                          <a:lvl9pPr marL="3657600" algn="l" defTabSz="914400" rtl="0" eaLnBrk="1" latinLnBrk="0" hangingPunct="1">
                            <a:defRPr b="1" kern="1200">
                              <a:solidFill>
                                <a:schemeClr val="tx1"/>
                              </a:solidFill>
                              <a:latin typeface="Arial" pitchFamily="34" charset="0"/>
                              <a:ea typeface="宋体" pitchFamily="2" charset="-122"/>
                              <a:cs typeface="+mn-cs"/>
                            </a:defRPr>
                          </a:lvl9pPr>
                        </a:lstStyle>
                        <a:p>
                          <a:pPr indent="-179388">
                            <a:spcAft>
                              <a:spcPts val="600"/>
                            </a:spcAft>
                            <a:buClr>
                              <a:schemeClr val="tx2"/>
                            </a:buClr>
                            <a:buSzPct val="75000"/>
                          </a:pPr>
                          <a:r>
                            <a:rPr lang="en-US" altLang="zh-CN" sz="1400" b="0" dirty="0" smtClean="0">
                              <a:cs typeface="Arial" pitchFamily="34" charset="0"/>
                            </a:rPr>
                            <a:t>Data rate</a:t>
                          </a:r>
                        </a:p>
                        <a:p>
                          <a:pPr indent="-179388" algn="ctr">
                            <a:spcAft>
                              <a:spcPts val="600"/>
                            </a:spcAft>
                            <a:buClr>
                              <a:schemeClr val="tx2"/>
                            </a:buClr>
                            <a:buSzPct val="75000"/>
                          </a:pPr>
                          <a:r>
                            <a:rPr lang="en-US" altLang="zh-CN" sz="1400" b="0" dirty="0" smtClean="0">
                              <a:cs typeface="Arial" pitchFamily="34" charset="0"/>
                            </a:rPr>
                            <a:t>(kbps)</a:t>
                          </a:r>
                          <a:endParaRPr lang="zh-CN" altLang="en-US" sz="1400" b="0" dirty="0" err="1" smtClean="0">
                            <a:cs typeface="Arial" pitchFamily="34" charset="0"/>
                          </a:endParaRPr>
                        </a:p>
                      </a:txBody>
                      <a:useSpRect/>
                    </a:txSp>
                  </a:sp>
                  <a:sp>
                    <a:nvSpPr>
                      <a:cNvPr id="44" name="TextBox 43"/>
                      <a:cNvSpPr txBox="1"/>
                    </a:nvSpPr>
                    <a:spPr>
                      <a:xfrm>
                        <a:off x="10138787" y="5415568"/>
                        <a:ext cx="614271" cy="600164"/>
                      </a:xfrm>
                      <a:prstGeom prst="rect">
                        <a:avLst/>
                      </a:prstGeom>
                      <a:noFill/>
                    </a:spPr>
                    <a:txSp>
                      <a:txBody>
                        <a:bodyPr wrap="none" rtlCol="0">
                          <a:spAutoFit/>
                        </a:bodyPr>
                        <a:lstStyle>
                          <a:defPPr>
                            <a:defRPr lang="zh-CN"/>
                          </a:defPPr>
                          <a:lvl1pPr algn="l" rtl="0" fontAlgn="base">
                            <a:spcBef>
                              <a:spcPct val="0"/>
                            </a:spcBef>
                            <a:spcAft>
                              <a:spcPct val="0"/>
                            </a:spcAft>
                            <a:defRPr b="1" kern="1200">
                              <a:solidFill>
                                <a:schemeClr val="tx1"/>
                              </a:solidFill>
                              <a:latin typeface="Arial" pitchFamily="34" charset="0"/>
                              <a:ea typeface="宋体" pitchFamily="2" charset="-122"/>
                              <a:cs typeface="+mn-cs"/>
                            </a:defRPr>
                          </a:lvl1pPr>
                          <a:lvl2pPr marL="455613" indent="1588" algn="l" rtl="0" fontAlgn="base">
                            <a:spcBef>
                              <a:spcPct val="0"/>
                            </a:spcBef>
                            <a:spcAft>
                              <a:spcPct val="0"/>
                            </a:spcAft>
                            <a:defRPr b="1" kern="1200">
                              <a:solidFill>
                                <a:schemeClr val="tx1"/>
                              </a:solidFill>
                              <a:latin typeface="Arial" pitchFamily="34" charset="0"/>
                              <a:ea typeface="宋体" pitchFamily="2" charset="-122"/>
                              <a:cs typeface="+mn-cs"/>
                            </a:defRPr>
                          </a:lvl2pPr>
                          <a:lvl3pPr marL="912813" indent="1588" algn="l" rtl="0" fontAlgn="base">
                            <a:spcBef>
                              <a:spcPct val="0"/>
                            </a:spcBef>
                            <a:spcAft>
                              <a:spcPct val="0"/>
                            </a:spcAft>
                            <a:defRPr b="1" kern="1200">
                              <a:solidFill>
                                <a:schemeClr val="tx1"/>
                              </a:solidFill>
                              <a:latin typeface="Arial" pitchFamily="34" charset="0"/>
                              <a:ea typeface="宋体" pitchFamily="2" charset="-122"/>
                              <a:cs typeface="+mn-cs"/>
                            </a:defRPr>
                          </a:lvl3pPr>
                          <a:lvl4pPr marL="1370013" indent="1588" algn="l" rtl="0" fontAlgn="base">
                            <a:spcBef>
                              <a:spcPct val="0"/>
                            </a:spcBef>
                            <a:spcAft>
                              <a:spcPct val="0"/>
                            </a:spcAft>
                            <a:defRPr b="1" kern="1200">
                              <a:solidFill>
                                <a:schemeClr val="tx1"/>
                              </a:solidFill>
                              <a:latin typeface="Arial" pitchFamily="34" charset="0"/>
                              <a:ea typeface="宋体" pitchFamily="2" charset="-122"/>
                              <a:cs typeface="+mn-cs"/>
                            </a:defRPr>
                          </a:lvl4pPr>
                          <a:lvl5pPr marL="1827213" indent="1588" algn="l" rtl="0" fontAlgn="base">
                            <a:spcBef>
                              <a:spcPct val="0"/>
                            </a:spcBef>
                            <a:spcAft>
                              <a:spcPct val="0"/>
                            </a:spcAft>
                            <a:defRPr b="1" kern="1200">
                              <a:solidFill>
                                <a:schemeClr val="tx1"/>
                              </a:solidFill>
                              <a:latin typeface="Arial" pitchFamily="34" charset="0"/>
                              <a:ea typeface="宋体" pitchFamily="2" charset="-122"/>
                              <a:cs typeface="+mn-cs"/>
                            </a:defRPr>
                          </a:lvl5pPr>
                          <a:lvl6pPr marL="2286000" algn="l" defTabSz="914400" rtl="0" eaLnBrk="1" latinLnBrk="0" hangingPunct="1">
                            <a:defRPr b="1" kern="1200">
                              <a:solidFill>
                                <a:schemeClr val="tx1"/>
                              </a:solidFill>
                              <a:latin typeface="Arial" pitchFamily="34" charset="0"/>
                              <a:ea typeface="宋体" pitchFamily="2" charset="-122"/>
                              <a:cs typeface="+mn-cs"/>
                            </a:defRPr>
                          </a:lvl6pPr>
                          <a:lvl7pPr marL="2743200" algn="l" defTabSz="914400" rtl="0" eaLnBrk="1" latinLnBrk="0" hangingPunct="1">
                            <a:defRPr b="1" kern="1200">
                              <a:solidFill>
                                <a:schemeClr val="tx1"/>
                              </a:solidFill>
                              <a:latin typeface="Arial" pitchFamily="34" charset="0"/>
                              <a:ea typeface="宋体" pitchFamily="2" charset="-122"/>
                              <a:cs typeface="+mn-cs"/>
                            </a:defRPr>
                          </a:lvl7pPr>
                          <a:lvl8pPr marL="3200400" algn="l" defTabSz="914400" rtl="0" eaLnBrk="1" latinLnBrk="0" hangingPunct="1">
                            <a:defRPr b="1" kern="1200">
                              <a:solidFill>
                                <a:schemeClr val="tx1"/>
                              </a:solidFill>
                              <a:latin typeface="Arial" pitchFamily="34" charset="0"/>
                              <a:ea typeface="宋体" pitchFamily="2" charset="-122"/>
                              <a:cs typeface="+mn-cs"/>
                            </a:defRPr>
                          </a:lvl8pPr>
                          <a:lvl9pPr marL="3657600" algn="l" defTabSz="914400" rtl="0" eaLnBrk="1" latinLnBrk="0" hangingPunct="1">
                            <a:defRPr b="1" kern="1200">
                              <a:solidFill>
                                <a:schemeClr val="tx1"/>
                              </a:solidFill>
                              <a:latin typeface="Arial" pitchFamily="34" charset="0"/>
                              <a:ea typeface="宋体" pitchFamily="2" charset="-122"/>
                              <a:cs typeface="+mn-cs"/>
                            </a:defRPr>
                          </a:lvl9pPr>
                        </a:lstStyle>
                        <a:p>
                          <a:pPr indent="-179388">
                            <a:spcAft>
                              <a:spcPts val="600"/>
                            </a:spcAft>
                            <a:buClr>
                              <a:schemeClr val="tx2"/>
                            </a:buClr>
                            <a:buSzPct val="75000"/>
                          </a:pPr>
                          <a:r>
                            <a:rPr lang="en-US" altLang="zh-CN" sz="1400" b="0" dirty="0" smtClean="0">
                              <a:cs typeface="Arial" pitchFamily="34" charset="0"/>
                            </a:rPr>
                            <a:t>MCL</a:t>
                          </a:r>
                        </a:p>
                        <a:p>
                          <a:pPr indent="-179388">
                            <a:spcAft>
                              <a:spcPts val="600"/>
                            </a:spcAft>
                            <a:buClr>
                              <a:schemeClr val="tx2"/>
                            </a:buClr>
                            <a:buSzPct val="75000"/>
                          </a:pPr>
                          <a:r>
                            <a:rPr lang="en-US" altLang="zh-CN" sz="1400" b="0" dirty="0" smtClean="0">
                              <a:cs typeface="Arial" pitchFamily="34" charset="0"/>
                            </a:rPr>
                            <a:t>SINR</a:t>
                          </a:r>
                          <a:endParaRPr lang="zh-CN" altLang="en-US" sz="1400" b="0" dirty="0" err="1" smtClean="0">
                            <a:cs typeface="Arial" pitchFamily="34" charset="0"/>
                          </a:endParaRPr>
                        </a:p>
                      </a:txBody>
                      <a:useSpRect/>
                    </a:txSp>
                  </a:sp>
                  <a:sp>
                    <a:nvSpPr>
                      <a:cNvPr id="45" name="TextBox 44"/>
                      <a:cNvSpPr txBox="1"/>
                    </a:nvSpPr>
                    <a:spPr>
                      <a:xfrm>
                        <a:off x="10553700" y="4276725"/>
                        <a:ext cx="1603375" cy="538609"/>
                      </a:xfrm>
                      <a:prstGeom prst="rect">
                        <a:avLst/>
                      </a:prstGeom>
                      <a:noFill/>
                    </a:spPr>
                    <a:txSp>
                      <a:txBody>
                        <a:bodyPr wrap="square" rtlCol="0">
                          <a:spAutoFit/>
                        </a:bodyPr>
                        <a:lstStyle>
                          <a:defPPr>
                            <a:defRPr lang="zh-CN"/>
                          </a:defPPr>
                          <a:lvl1pPr algn="l" rtl="0" fontAlgn="base">
                            <a:spcBef>
                              <a:spcPct val="0"/>
                            </a:spcBef>
                            <a:spcAft>
                              <a:spcPct val="0"/>
                            </a:spcAft>
                            <a:defRPr b="1" kern="1200">
                              <a:solidFill>
                                <a:schemeClr val="tx1"/>
                              </a:solidFill>
                              <a:latin typeface="Arial" pitchFamily="34" charset="0"/>
                              <a:ea typeface="宋体" pitchFamily="2" charset="-122"/>
                              <a:cs typeface="+mn-cs"/>
                            </a:defRPr>
                          </a:lvl1pPr>
                          <a:lvl2pPr marL="455613" indent="1588" algn="l" rtl="0" fontAlgn="base">
                            <a:spcBef>
                              <a:spcPct val="0"/>
                            </a:spcBef>
                            <a:spcAft>
                              <a:spcPct val="0"/>
                            </a:spcAft>
                            <a:defRPr b="1" kern="1200">
                              <a:solidFill>
                                <a:schemeClr val="tx1"/>
                              </a:solidFill>
                              <a:latin typeface="Arial" pitchFamily="34" charset="0"/>
                              <a:ea typeface="宋体" pitchFamily="2" charset="-122"/>
                              <a:cs typeface="+mn-cs"/>
                            </a:defRPr>
                          </a:lvl2pPr>
                          <a:lvl3pPr marL="912813" indent="1588" algn="l" rtl="0" fontAlgn="base">
                            <a:spcBef>
                              <a:spcPct val="0"/>
                            </a:spcBef>
                            <a:spcAft>
                              <a:spcPct val="0"/>
                            </a:spcAft>
                            <a:defRPr b="1" kern="1200">
                              <a:solidFill>
                                <a:schemeClr val="tx1"/>
                              </a:solidFill>
                              <a:latin typeface="Arial" pitchFamily="34" charset="0"/>
                              <a:ea typeface="宋体" pitchFamily="2" charset="-122"/>
                              <a:cs typeface="+mn-cs"/>
                            </a:defRPr>
                          </a:lvl3pPr>
                          <a:lvl4pPr marL="1370013" indent="1588" algn="l" rtl="0" fontAlgn="base">
                            <a:spcBef>
                              <a:spcPct val="0"/>
                            </a:spcBef>
                            <a:spcAft>
                              <a:spcPct val="0"/>
                            </a:spcAft>
                            <a:defRPr b="1" kern="1200">
                              <a:solidFill>
                                <a:schemeClr val="tx1"/>
                              </a:solidFill>
                              <a:latin typeface="Arial" pitchFamily="34" charset="0"/>
                              <a:ea typeface="宋体" pitchFamily="2" charset="-122"/>
                              <a:cs typeface="+mn-cs"/>
                            </a:defRPr>
                          </a:lvl4pPr>
                          <a:lvl5pPr marL="1827213" indent="1588" algn="l" rtl="0" fontAlgn="base">
                            <a:spcBef>
                              <a:spcPct val="0"/>
                            </a:spcBef>
                            <a:spcAft>
                              <a:spcPct val="0"/>
                            </a:spcAft>
                            <a:defRPr b="1" kern="1200">
                              <a:solidFill>
                                <a:schemeClr val="tx1"/>
                              </a:solidFill>
                              <a:latin typeface="Arial" pitchFamily="34" charset="0"/>
                              <a:ea typeface="宋体" pitchFamily="2" charset="-122"/>
                              <a:cs typeface="+mn-cs"/>
                            </a:defRPr>
                          </a:lvl5pPr>
                          <a:lvl6pPr marL="2286000" algn="l" defTabSz="914400" rtl="0" eaLnBrk="1" latinLnBrk="0" hangingPunct="1">
                            <a:defRPr b="1" kern="1200">
                              <a:solidFill>
                                <a:schemeClr val="tx1"/>
                              </a:solidFill>
                              <a:latin typeface="Arial" pitchFamily="34" charset="0"/>
                              <a:ea typeface="宋体" pitchFamily="2" charset="-122"/>
                              <a:cs typeface="+mn-cs"/>
                            </a:defRPr>
                          </a:lvl6pPr>
                          <a:lvl7pPr marL="2743200" algn="l" defTabSz="914400" rtl="0" eaLnBrk="1" latinLnBrk="0" hangingPunct="1">
                            <a:defRPr b="1" kern="1200">
                              <a:solidFill>
                                <a:schemeClr val="tx1"/>
                              </a:solidFill>
                              <a:latin typeface="Arial" pitchFamily="34" charset="0"/>
                              <a:ea typeface="宋体" pitchFamily="2" charset="-122"/>
                              <a:cs typeface="+mn-cs"/>
                            </a:defRPr>
                          </a:lvl7pPr>
                          <a:lvl8pPr marL="3200400" algn="l" defTabSz="914400" rtl="0" eaLnBrk="1" latinLnBrk="0" hangingPunct="1">
                            <a:defRPr b="1" kern="1200">
                              <a:solidFill>
                                <a:schemeClr val="tx1"/>
                              </a:solidFill>
                              <a:latin typeface="Arial" pitchFamily="34" charset="0"/>
                              <a:ea typeface="宋体" pitchFamily="2" charset="-122"/>
                              <a:cs typeface="+mn-cs"/>
                            </a:defRPr>
                          </a:lvl8pPr>
                          <a:lvl9pPr marL="3657600" algn="l" defTabSz="914400" rtl="0" eaLnBrk="1" latinLnBrk="0" hangingPunct="1">
                            <a:defRPr b="1" kern="1200">
                              <a:solidFill>
                                <a:schemeClr val="tx1"/>
                              </a:solidFill>
                              <a:latin typeface="Arial" pitchFamily="34" charset="0"/>
                              <a:ea typeface="宋体" pitchFamily="2" charset="-122"/>
                              <a:cs typeface="+mn-cs"/>
                            </a:defRPr>
                          </a:lvl9pPr>
                        </a:lstStyle>
                        <a:p>
                          <a:pPr indent="-179388">
                            <a:spcAft>
                              <a:spcPts val="600"/>
                            </a:spcAft>
                            <a:buClr>
                              <a:schemeClr val="tx2"/>
                            </a:buClr>
                            <a:buSzPct val="75000"/>
                          </a:pPr>
                          <a:r>
                            <a:rPr lang="en-US" altLang="zh-CN" sz="1200" b="0" i="1" dirty="0" smtClean="0">
                              <a:cs typeface="Arial" pitchFamily="34" charset="0"/>
                            </a:rPr>
                            <a:t>Power back-off  (PB) </a:t>
                          </a:r>
                          <a:endParaRPr lang="en-US" altLang="zh-CN" sz="1200" b="0" i="1" dirty="0" smtClean="0">
                            <a:cs typeface="Arial" pitchFamily="34" charset="0"/>
                          </a:endParaRPr>
                        </a:p>
                        <a:p>
                          <a:pPr indent="-179388">
                            <a:spcAft>
                              <a:spcPts val="600"/>
                            </a:spcAft>
                            <a:buClr>
                              <a:schemeClr val="tx2"/>
                            </a:buClr>
                            <a:buSzPct val="75000"/>
                          </a:pPr>
                          <a:r>
                            <a:rPr lang="en-US" altLang="zh-CN" sz="1200" b="0" i="1" dirty="0" smtClean="0">
                              <a:cs typeface="Arial" pitchFamily="34" charset="0"/>
                            </a:rPr>
                            <a:t>according </a:t>
                          </a:r>
                          <a:r>
                            <a:rPr lang="en-US" altLang="zh-CN" sz="1200" b="0" i="1" dirty="0" smtClean="0">
                              <a:cs typeface="Arial" pitchFamily="34" charset="0"/>
                            </a:rPr>
                            <a:t>to PAPR</a:t>
                          </a:r>
                          <a:endParaRPr lang="zh-CN" altLang="en-US" sz="1200" b="0" i="1" dirty="0" err="1" smtClean="0">
                            <a:cs typeface="Arial" pitchFamily="34" charset="0"/>
                          </a:endParaRPr>
                        </a:p>
                      </a:txBody>
                      <a:useSpRect/>
                    </a:txSp>
                  </a:sp>
                  <a:sp>
                    <a:nvSpPr>
                      <a:cNvPr id="48" name="矩形 47"/>
                      <a:cNvSpPr/>
                    </a:nvSpPr>
                    <a:spPr>
                      <a:xfrm>
                        <a:off x="6343650" y="1838325"/>
                        <a:ext cx="990076" cy="3543300"/>
                      </a:xfrm>
                      <a:prstGeom prst="rect">
                        <a:avLst/>
                      </a:prstGeom>
                      <a:solidFill>
                        <a:srgbClr val="FFFF00">
                          <a:alpha val="15000"/>
                        </a:srgbClr>
                      </a:solidFill>
                      <a:ln>
                        <a:noFill/>
                      </a:ln>
                    </a:spPr>
                    <a:txSp>
                      <a:txBody>
                        <a:bodyPr wrap="square" rtlCol="0" anchor="ctr">
                          <a:noAutofit/>
                        </a:bodyPr>
                        <a:lstStyle>
                          <a:defPPr>
                            <a:defRPr lang="zh-CN"/>
                          </a:defPPr>
                          <a:lvl1pPr algn="l" rtl="0" fontAlgn="base">
                            <a:spcBef>
                              <a:spcPct val="0"/>
                            </a:spcBef>
                            <a:spcAft>
                              <a:spcPct val="0"/>
                            </a:spcAft>
                            <a:defRPr b="1" kern="1200">
                              <a:solidFill>
                                <a:schemeClr val="tx1"/>
                              </a:solidFill>
                              <a:latin typeface="Arial" pitchFamily="34" charset="0"/>
                              <a:ea typeface="宋体" pitchFamily="2" charset="-122"/>
                              <a:cs typeface="+mn-cs"/>
                            </a:defRPr>
                          </a:lvl1pPr>
                          <a:lvl2pPr marL="455613" indent="1588" algn="l" rtl="0" fontAlgn="base">
                            <a:spcBef>
                              <a:spcPct val="0"/>
                            </a:spcBef>
                            <a:spcAft>
                              <a:spcPct val="0"/>
                            </a:spcAft>
                            <a:defRPr b="1" kern="1200">
                              <a:solidFill>
                                <a:schemeClr val="tx1"/>
                              </a:solidFill>
                              <a:latin typeface="Arial" pitchFamily="34" charset="0"/>
                              <a:ea typeface="宋体" pitchFamily="2" charset="-122"/>
                              <a:cs typeface="+mn-cs"/>
                            </a:defRPr>
                          </a:lvl2pPr>
                          <a:lvl3pPr marL="912813" indent="1588" algn="l" rtl="0" fontAlgn="base">
                            <a:spcBef>
                              <a:spcPct val="0"/>
                            </a:spcBef>
                            <a:spcAft>
                              <a:spcPct val="0"/>
                            </a:spcAft>
                            <a:defRPr b="1" kern="1200">
                              <a:solidFill>
                                <a:schemeClr val="tx1"/>
                              </a:solidFill>
                              <a:latin typeface="Arial" pitchFamily="34" charset="0"/>
                              <a:ea typeface="宋体" pitchFamily="2" charset="-122"/>
                              <a:cs typeface="+mn-cs"/>
                            </a:defRPr>
                          </a:lvl3pPr>
                          <a:lvl4pPr marL="1370013" indent="1588" algn="l" rtl="0" fontAlgn="base">
                            <a:spcBef>
                              <a:spcPct val="0"/>
                            </a:spcBef>
                            <a:spcAft>
                              <a:spcPct val="0"/>
                            </a:spcAft>
                            <a:defRPr b="1" kern="1200">
                              <a:solidFill>
                                <a:schemeClr val="tx1"/>
                              </a:solidFill>
                              <a:latin typeface="Arial" pitchFamily="34" charset="0"/>
                              <a:ea typeface="宋体" pitchFamily="2" charset="-122"/>
                              <a:cs typeface="+mn-cs"/>
                            </a:defRPr>
                          </a:lvl4pPr>
                          <a:lvl5pPr marL="1827213" indent="1588" algn="l" rtl="0" fontAlgn="base">
                            <a:spcBef>
                              <a:spcPct val="0"/>
                            </a:spcBef>
                            <a:spcAft>
                              <a:spcPct val="0"/>
                            </a:spcAft>
                            <a:defRPr b="1" kern="1200">
                              <a:solidFill>
                                <a:schemeClr val="tx1"/>
                              </a:solidFill>
                              <a:latin typeface="Arial" pitchFamily="34" charset="0"/>
                              <a:ea typeface="宋体" pitchFamily="2" charset="-122"/>
                              <a:cs typeface="+mn-cs"/>
                            </a:defRPr>
                          </a:lvl5pPr>
                          <a:lvl6pPr marL="2286000" algn="l" defTabSz="914400" rtl="0" eaLnBrk="1" latinLnBrk="0" hangingPunct="1">
                            <a:defRPr b="1" kern="1200">
                              <a:solidFill>
                                <a:schemeClr val="tx1"/>
                              </a:solidFill>
                              <a:latin typeface="Arial" pitchFamily="34" charset="0"/>
                              <a:ea typeface="宋体" pitchFamily="2" charset="-122"/>
                              <a:cs typeface="+mn-cs"/>
                            </a:defRPr>
                          </a:lvl6pPr>
                          <a:lvl7pPr marL="2743200" algn="l" defTabSz="914400" rtl="0" eaLnBrk="1" latinLnBrk="0" hangingPunct="1">
                            <a:defRPr b="1" kern="1200">
                              <a:solidFill>
                                <a:schemeClr val="tx1"/>
                              </a:solidFill>
                              <a:latin typeface="Arial" pitchFamily="34" charset="0"/>
                              <a:ea typeface="宋体" pitchFamily="2" charset="-122"/>
                              <a:cs typeface="+mn-cs"/>
                            </a:defRPr>
                          </a:lvl7pPr>
                          <a:lvl8pPr marL="3200400" algn="l" defTabSz="914400" rtl="0" eaLnBrk="1" latinLnBrk="0" hangingPunct="1">
                            <a:defRPr b="1" kern="1200">
                              <a:solidFill>
                                <a:schemeClr val="tx1"/>
                              </a:solidFill>
                              <a:latin typeface="Arial" pitchFamily="34" charset="0"/>
                              <a:ea typeface="宋体" pitchFamily="2" charset="-122"/>
                              <a:cs typeface="+mn-cs"/>
                            </a:defRPr>
                          </a:lvl8pPr>
                          <a:lvl9pPr marL="3657600" algn="l" defTabSz="914400" rtl="0" eaLnBrk="1" latinLnBrk="0" hangingPunct="1">
                            <a:defRPr b="1" kern="1200">
                              <a:solidFill>
                                <a:schemeClr val="tx1"/>
                              </a:solidFill>
                              <a:latin typeface="Arial" pitchFamily="34" charset="0"/>
                              <a:ea typeface="宋体" pitchFamily="2" charset="-122"/>
                              <a:cs typeface="+mn-cs"/>
                            </a:defRPr>
                          </a:lvl9pPr>
                        </a:lstStyle>
                        <a:p>
                          <a:pPr marL="182563" indent="-182563" algn="ctr">
                            <a:lnSpc>
                              <a:spcPct val="120000"/>
                            </a:lnSpc>
                            <a:buClr>
                              <a:srgbClr val="C00000"/>
                            </a:buClr>
                            <a:buSzPct val="60000"/>
                          </a:pPr>
                          <a:endParaRPr lang="zh-CN" altLang="en-US" sz="1600" b="0" dirty="0" smtClean="0"/>
                        </a:p>
                      </a:txBody>
                      <a:useSpRect/>
                    </a:txSp>
                  </a:sp>
                  <a:sp>
                    <a:nvSpPr>
                      <a:cNvPr id="51" name="矩形 50"/>
                      <a:cNvSpPr/>
                    </a:nvSpPr>
                    <a:spPr>
                      <a:xfrm>
                        <a:off x="7343775" y="1838325"/>
                        <a:ext cx="789867" cy="3543300"/>
                      </a:xfrm>
                      <a:prstGeom prst="rect">
                        <a:avLst/>
                      </a:prstGeom>
                      <a:solidFill>
                        <a:srgbClr val="00B0F0">
                          <a:alpha val="15000"/>
                        </a:srgbClr>
                      </a:solidFill>
                      <a:ln>
                        <a:noFill/>
                      </a:ln>
                    </a:spPr>
                    <a:txSp>
                      <a:txBody>
                        <a:bodyPr wrap="square" rtlCol="0" anchor="ctr">
                          <a:noAutofit/>
                        </a:bodyPr>
                        <a:lstStyle>
                          <a:defPPr>
                            <a:defRPr lang="zh-CN"/>
                          </a:defPPr>
                          <a:lvl1pPr algn="l" rtl="0" fontAlgn="base">
                            <a:spcBef>
                              <a:spcPct val="0"/>
                            </a:spcBef>
                            <a:spcAft>
                              <a:spcPct val="0"/>
                            </a:spcAft>
                            <a:defRPr b="1" kern="1200">
                              <a:solidFill>
                                <a:schemeClr val="tx1"/>
                              </a:solidFill>
                              <a:latin typeface="Arial" pitchFamily="34" charset="0"/>
                              <a:ea typeface="宋体" pitchFamily="2" charset="-122"/>
                              <a:cs typeface="+mn-cs"/>
                            </a:defRPr>
                          </a:lvl1pPr>
                          <a:lvl2pPr marL="455613" indent="1588" algn="l" rtl="0" fontAlgn="base">
                            <a:spcBef>
                              <a:spcPct val="0"/>
                            </a:spcBef>
                            <a:spcAft>
                              <a:spcPct val="0"/>
                            </a:spcAft>
                            <a:defRPr b="1" kern="1200">
                              <a:solidFill>
                                <a:schemeClr val="tx1"/>
                              </a:solidFill>
                              <a:latin typeface="Arial" pitchFamily="34" charset="0"/>
                              <a:ea typeface="宋体" pitchFamily="2" charset="-122"/>
                              <a:cs typeface="+mn-cs"/>
                            </a:defRPr>
                          </a:lvl2pPr>
                          <a:lvl3pPr marL="912813" indent="1588" algn="l" rtl="0" fontAlgn="base">
                            <a:spcBef>
                              <a:spcPct val="0"/>
                            </a:spcBef>
                            <a:spcAft>
                              <a:spcPct val="0"/>
                            </a:spcAft>
                            <a:defRPr b="1" kern="1200">
                              <a:solidFill>
                                <a:schemeClr val="tx1"/>
                              </a:solidFill>
                              <a:latin typeface="Arial" pitchFamily="34" charset="0"/>
                              <a:ea typeface="宋体" pitchFamily="2" charset="-122"/>
                              <a:cs typeface="+mn-cs"/>
                            </a:defRPr>
                          </a:lvl3pPr>
                          <a:lvl4pPr marL="1370013" indent="1588" algn="l" rtl="0" fontAlgn="base">
                            <a:spcBef>
                              <a:spcPct val="0"/>
                            </a:spcBef>
                            <a:spcAft>
                              <a:spcPct val="0"/>
                            </a:spcAft>
                            <a:defRPr b="1" kern="1200">
                              <a:solidFill>
                                <a:schemeClr val="tx1"/>
                              </a:solidFill>
                              <a:latin typeface="Arial" pitchFamily="34" charset="0"/>
                              <a:ea typeface="宋体" pitchFamily="2" charset="-122"/>
                              <a:cs typeface="+mn-cs"/>
                            </a:defRPr>
                          </a:lvl4pPr>
                          <a:lvl5pPr marL="1827213" indent="1588" algn="l" rtl="0" fontAlgn="base">
                            <a:spcBef>
                              <a:spcPct val="0"/>
                            </a:spcBef>
                            <a:spcAft>
                              <a:spcPct val="0"/>
                            </a:spcAft>
                            <a:defRPr b="1" kern="1200">
                              <a:solidFill>
                                <a:schemeClr val="tx1"/>
                              </a:solidFill>
                              <a:latin typeface="Arial" pitchFamily="34" charset="0"/>
                              <a:ea typeface="宋体" pitchFamily="2" charset="-122"/>
                              <a:cs typeface="+mn-cs"/>
                            </a:defRPr>
                          </a:lvl5pPr>
                          <a:lvl6pPr marL="2286000" algn="l" defTabSz="914400" rtl="0" eaLnBrk="1" latinLnBrk="0" hangingPunct="1">
                            <a:defRPr b="1" kern="1200">
                              <a:solidFill>
                                <a:schemeClr val="tx1"/>
                              </a:solidFill>
                              <a:latin typeface="Arial" pitchFamily="34" charset="0"/>
                              <a:ea typeface="宋体" pitchFamily="2" charset="-122"/>
                              <a:cs typeface="+mn-cs"/>
                            </a:defRPr>
                          </a:lvl6pPr>
                          <a:lvl7pPr marL="2743200" algn="l" defTabSz="914400" rtl="0" eaLnBrk="1" latinLnBrk="0" hangingPunct="1">
                            <a:defRPr b="1" kern="1200">
                              <a:solidFill>
                                <a:schemeClr val="tx1"/>
                              </a:solidFill>
                              <a:latin typeface="Arial" pitchFamily="34" charset="0"/>
                              <a:ea typeface="宋体" pitchFamily="2" charset="-122"/>
                              <a:cs typeface="+mn-cs"/>
                            </a:defRPr>
                          </a:lvl7pPr>
                          <a:lvl8pPr marL="3200400" algn="l" defTabSz="914400" rtl="0" eaLnBrk="1" latinLnBrk="0" hangingPunct="1">
                            <a:defRPr b="1" kern="1200">
                              <a:solidFill>
                                <a:schemeClr val="tx1"/>
                              </a:solidFill>
                              <a:latin typeface="Arial" pitchFamily="34" charset="0"/>
                              <a:ea typeface="宋体" pitchFamily="2" charset="-122"/>
                              <a:cs typeface="+mn-cs"/>
                            </a:defRPr>
                          </a:lvl8pPr>
                          <a:lvl9pPr marL="3657600" algn="l" defTabSz="914400" rtl="0" eaLnBrk="1" latinLnBrk="0" hangingPunct="1">
                            <a:defRPr b="1" kern="1200">
                              <a:solidFill>
                                <a:schemeClr val="tx1"/>
                              </a:solidFill>
                              <a:latin typeface="Arial" pitchFamily="34" charset="0"/>
                              <a:ea typeface="宋体" pitchFamily="2" charset="-122"/>
                              <a:cs typeface="+mn-cs"/>
                            </a:defRPr>
                          </a:lvl9pPr>
                        </a:lstStyle>
                        <a:p>
                          <a:pPr marL="182563" indent="-182563" algn="ctr">
                            <a:lnSpc>
                              <a:spcPct val="120000"/>
                            </a:lnSpc>
                            <a:buClr>
                              <a:srgbClr val="C00000"/>
                            </a:buClr>
                            <a:buSzPct val="60000"/>
                          </a:pPr>
                          <a:endParaRPr lang="zh-CN" altLang="en-US" sz="1600" b="0" dirty="0" smtClean="0"/>
                        </a:p>
                      </a:txBody>
                      <a:useSpRect/>
                    </a:txSp>
                  </a:sp>
                  <a:sp>
                    <a:nvSpPr>
                      <a:cNvPr id="52" name="矩形 51"/>
                      <a:cNvSpPr/>
                    </a:nvSpPr>
                    <a:spPr>
                      <a:xfrm>
                        <a:off x="8138431" y="1838325"/>
                        <a:ext cx="432000" cy="3543300"/>
                      </a:xfrm>
                      <a:prstGeom prst="rect">
                        <a:avLst/>
                      </a:prstGeom>
                      <a:solidFill>
                        <a:srgbClr val="0070C0">
                          <a:alpha val="15000"/>
                        </a:srgbClr>
                      </a:solidFill>
                      <a:ln>
                        <a:noFill/>
                      </a:ln>
                    </a:spPr>
                    <a:txSp>
                      <a:txBody>
                        <a:bodyPr wrap="square" rtlCol="0" anchor="ctr">
                          <a:noAutofit/>
                        </a:bodyPr>
                        <a:lstStyle>
                          <a:defPPr>
                            <a:defRPr lang="zh-CN"/>
                          </a:defPPr>
                          <a:lvl1pPr algn="l" rtl="0" fontAlgn="base">
                            <a:spcBef>
                              <a:spcPct val="0"/>
                            </a:spcBef>
                            <a:spcAft>
                              <a:spcPct val="0"/>
                            </a:spcAft>
                            <a:defRPr b="1" kern="1200">
                              <a:solidFill>
                                <a:schemeClr val="tx1"/>
                              </a:solidFill>
                              <a:latin typeface="Arial" pitchFamily="34" charset="0"/>
                              <a:ea typeface="宋体" pitchFamily="2" charset="-122"/>
                              <a:cs typeface="+mn-cs"/>
                            </a:defRPr>
                          </a:lvl1pPr>
                          <a:lvl2pPr marL="455613" indent="1588" algn="l" rtl="0" fontAlgn="base">
                            <a:spcBef>
                              <a:spcPct val="0"/>
                            </a:spcBef>
                            <a:spcAft>
                              <a:spcPct val="0"/>
                            </a:spcAft>
                            <a:defRPr b="1" kern="1200">
                              <a:solidFill>
                                <a:schemeClr val="tx1"/>
                              </a:solidFill>
                              <a:latin typeface="Arial" pitchFamily="34" charset="0"/>
                              <a:ea typeface="宋体" pitchFamily="2" charset="-122"/>
                              <a:cs typeface="+mn-cs"/>
                            </a:defRPr>
                          </a:lvl2pPr>
                          <a:lvl3pPr marL="912813" indent="1588" algn="l" rtl="0" fontAlgn="base">
                            <a:spcBef>
                              <a:spcPct val="0"/>
                            </a:spcBef>
                            <a:spcAft>
                              <a:spcPct val="0"/>
                            </a:spcAft>
                            <a:defRPr b="1" kern="1200">
                              <a:solidFill>
                                <a:schemeClr val="tx1"/>
                              </a:solidFill>
                              <a:latin typeface="Arial" pitchFamily="34" charset="0"/>
                              <a:ea typeface="宋体" pitchFamily="2" charset="-122"/>
                              <a:cs typeface="+mn-cs"/>
                            </a:defRPr>
                          </a:lvl3pPr>
                          <a:lvl4pPr marL="1370013" indent="1588" algn="l" rtl="0" fontAlgn="base">
                            <a:spcBef>
                              <a:spcPct val="0"/>
                            </a:spcBef>
                            <a:spcAft>
                              <a:spcPct val="0"/>
                            </a:spcAft>
                            <a:defRPr b="1" kern="1200">
                              <a:solidFill>
                                <a:schemeClr val="tx1"/>
                              </a:solidFill>
                              <a:latin typeface="Arial" pitchFamily="34" charset="0"/>
                              <a:ea typeface="宋体" pitchFamily="2" charset="-122"/>
                              <a:cs typeface="+mn-cs"/>
                            </a:defRPr>
                          </a:lvl4pPr>
                          <a:lvl5pPr marL="1827213" indent="1588" algn="l" rtl="0" fontAlgn="base">
                            <a:spcBef>
                              <a:spcPct val="0"/>
                            </a:spcBef>
                            <a:spcAft>
                              <a:spcPct val="0"/>
                            </a:spcAft>
                            <a:defRPr b="1" kern="1200">
                              <a:solidFill>
                                <a:schemeClr val="tx1"/>
                              </a:solidFill>
                              <a:latin typeface="Arial" pitchFamily="34" charset="0"/>
                              <a:ea typeface="宋体" pitchFamily="2" charset="-122"/>
                              <a:cs typeface="+mn-cs"/>
                            </a:defRPr>
                          </a:lvl5pPr>
                          <a:lvl6pPr marL="2286000" algn="l" defTabSz="914400" rtl="0" eaLnBrk="1" latinLnBrk="0" hangingPunct="1">
                            <a:defRPr b="1" kern="1200">
                              <a:solidFill>
                                <a:schemeClr val="tx1"/>
                              </a:solidFill>
                              <a:latin typeface="Arial" pitchFamily="34" charset="0"/>
                              <a:ea typeface="宋体" pitchFamily="2" charset="-122"/>
                              <a:cs typeface="+mn-cs"/>
                            </a:defRPr>
                          </a:lvl6pPr>
                          <a:lvl7pPr marL="2743200" algn="l" defTabSz="914400" rtl="0" eaLnBrk="1" latinLnBrk="0" hangingPunct="1">
                            <a:defRPr b="1" kern="1200">
                              <a:solidFill>
                                <a:schemeClr val="tx1"/>
                              </a:solidFill>
                              <a:latin typeface="Arial" pitchFamily="34" charset="0"/>
                              <a:ea typeface="宋体" pitchFamily="2" charset="-122"/>
                              <a:cs typeface="+mn-cs"/>
                            </a:defRPr>
                          </a:lvl7pPr>
                          <a:lvl8pPr marL="3200400" algn="l" defTabSz="914400" rtl="0" eaLnBrk="1" latinLnBrk="0" hangingPunct="1">
                            <a:defRPr b="1" kern="1200">
                              <a:solidFill>
                                <a:schemeClr val="tx1"/>
                              </a:solidFill>
                              <a:latin typeface="Arial" pitchFamily="34" charset="0"/>
                              <a:ea typeface="宋体" pitchFamily="2" charset="-122"/>
                              <a:cs typeface="+mn-cs"/>
                            </a:defRPr>
                          </a:lvl8pPr>
                          <a:lvl9pPr marL="3657600" algn="l" defTabSz="914400" rtl="0" eaLnBrk="1" latinLnBrk="0" hangingPunct="1">
                            <a:defRPr b="1" kern="1200">
                              <a:solidFill>
                                <a:schemeClr val="tx1"/>
                              </a:solidFill>
                              <a:latin typeface="Arial" pitchFamily="34" charset="0"/>
                              <a:ea typeface="宋体" pitchFamily="2" charset="-122"/>
                              <a:cs typeface="+mn-cs"/>
                            </a:defRPr>
                          </a:lvl9pPr>
                        </a:lstStyle>
                        <a:p>
                          <a:pPr marL="182563" indent="-182563" algn="ctr">
                            <a:lnSpc>
                              <a:spcPct val="120000"/>
                            </a:lnSpc>
                            <a:buClr>
                              <a:srgbClr val="C00000"/>
                            </a:buClr>
                            <a:buSzPct val="60000"/>
                          </a:pPr>
                          <a:endParaRPr lang="zh-CN" altLang="en-US" sz="1600" b="0" dirty="0" smtClean="0"/>
                        </a:p>
                      </a:txBody>
                      <a:useSpRect/>
                    </a:txSp>
                  </a:sp>
                  <a:sp>
                    <a:nvSpPr>
                      <a:cNvPr id="53" name="矩形 52"/>
                      <a:cNvSpPr/>
                    </a:nvSpPr>
                    <a:spPr>
                      <a:xfrm>
                        <a:off x="8575220" y="1838325"/>
                        <a:ext cx="432000" cy="3543300"/>
                      </a:xfrm>
                      <a:prstGeom prst="rect">
                        <a:avLst/>
                      </a:prstGeom>
                      <a:solidFill>
                        <a:srgbClr val="002060">
                          <a:alpha val="15000"/>
                        </a:srgbClr>
                      </a:solidFill>
                      <a:ln>
                        <a:noFill/>
                      </a:ln>
                    </a:spPr>
                    <a:txSp>
                      <a:txBody>
                        <a:bodyPr wrap="square" rtlCol="0" anchor="ctr">
                          <a:noAutofit/>
                        </a:bodyPr>
                        <a:lstStyle>
                          <a:defPPr>
                            <a:defRPr lang="zh-CN"/>
                          </a:defPPr>
                          <a:lvl1pPr algn="l" rtl="0" fontAlgn="base">
                            <a:spcBef>
                              <a:spcPct val="0"/>
                            </a:spcBef>
                            <a:spcAft>
                              <a:spcPct val="0"/>
                            </a:spcAft>
                            <a:defRPr b="1" kern="1200">
                              <a:solidFill>
                                <a:schemeClr val="tx1"/>
                              </a:solidFill>
                              <a:latin typeface="Arial" pitchFamily="34" charset="0"/>
                              <a:ea typeface="宋体" pitchFamily="2" charset="-122"/>
                              <a:cs typeface="+mn-cs"/>
                            </a:defRPr>
                          </a:lvl1pPr>
                          <a:lvl2pPr marL="455613" indent="1588" algn="l" rtl="0" fontAlgn="base">
                            <a:spcBef>
                              <a:spcPct val="0"/>
                            </a:spcBef>
                            <a:spcAft>
                              <a:spcPct val="0"/>
                            </a:spcAft>
                            <a:defRPr b="1" kern="1200">
                              <a:solidFill>
                                <a:schemeClr val="tx1"/>
                              </a:solidFill>
                              <a:latin typeface="Arial" pitchFamily="34" charset="0"/>
                              <a:ea typeface="宋体" pitchFamily="2" charset="-122"/>
                              <a:cs typeface="+mn-cs"/>
                            </a:defRPr>
                          </a:lvl2pPr>
                          <a:lvl3pPr marL="912813" indent="1588" algn="l" rtl="0" fontAlgn="base">
                            <a:spcBef>
                              <a:spcPct val="0"/>
                            </a:spcBef>
                            <a:spcAft>
                              <a:spcPct val="0"/>
                            </a:spcAft>
                            <a:defRPr b="1" kern="1200">
                              <a:solidFill>
                                <a:schemeClr val="tx1"/>
                              </a:solidFill>
                              <a:latin typeface="Arial" pitchFamily="34" charset="0"/>
                              <a:ea typeface="宋体" pitchFamily="2" charset="-122"/>
                              <a:cs typeface="+mn-cs"/>
                            </a:defRPr>
                          </a:lvl3pPr>
                          <a:lvl4pPr marL="1370013" indent="1588" algn="l" rtl="0" fontAlgn="base">
                            <a:spcBef>
                              <a:spcPct val="0"/>
                            </a:spcBef>
                            <a:spcAft>
                              <a:spcPct val="0"/>
                            </a:spcAft>
                            <a:defRPr b="1" kern="1200">
                              <a:solidFill>
                                <a:schemeClr val="tx1"/>
                              </a:solidFill>
                              <a:latin typeface="Arial" pitchFamily="34" charset="0"/>
                              <a:ea typeface="宋体" pitchFamily="2" charset="-122"/>
                              <a:cs typeface="+mn-cs"/>
                            </a:defRPr>
                          </a:lvl4pPr>
                          <a:lvl5pPr marL="1827213" indent="1588" algn="l" rtl="0" fontAlgn="base">
                            <a:spcBef>
                              <a:spcPct val="0"/>
                            </a:spcBef>
                            <a:spcAft>
                              <a:spcPct val="0"/>
                            </a:spcAft>
                            <a:defRPr b="1" kern="1200">
                              <a:solidFill>
                                <a:schemeClr val="tx1"/>
                              </a:solidFill>
                              <a:latin typeface="Arial" pitchFamily="34" charset="0"/>
                              <a:ea typeface="宋体" pitchFamily="2" charset="-122"/>
                              <a:cs typeface="+mn-cs"/>
                            </a:defRPr>
                          </a:lvl5pPr>
                          <a:lvl6pPr marL="2286000" algn="l" defTabSz="914400" rtl="0" eaLnBrk="1" latinLnBrk="0" hangingPunct="1">
                            <a:defRPr b="1" kern="1200">
                              <a:solidFill>
                                <a:schemeClr val="tx1"/>
                              </a:solidFill>
                              <a:latin typeface="Arial" pitchFamily="34" charset="0"/>
                              <a:ea typeface="宋体" pitchFamily="2" charset="-122"/>
                              <a:cs typeface="+mn-cs"/>
                            </a:defRPr>
                          </a:lvl6pPr>
                          <a:lvl7pPr marL="2743200" algn="l" defTabSz="914400" rtl="0" eaLnBrk="1" latinLnBrk="0" hangingPunct="1">
                            <a:defRPr b="1" kern="1200">
                              <a:solidFill>
                                <a:schemeClr val="tx1"/>
                              </a:solidFill>
                              <a:latin typeface="Arial" pitchFamily="34" charset="0"/>
                              <a:ea typeface="宋体" pitchFamily="2" charset="-122"/>
                              <a:cs typeface="+mn-cs"/>
                            </a:defRPr>
                          </a:lvl7pPr>
                          <a:lvl8pPr marL="3200400" algn="l" defTabSz="914400" rtl="0" eaLnBrk="1" latinLnBrk="0" hangingPunct="1">
                            <a:defRPr b="1" kern="1200">
                              <a:solidFill>
                                <a:schemeClr val="tx1"/>
                              </a:solidFill>
                              <a:latin typeface="Arial" pitchFamily="34" charset="0"/>
                              <a:ea typeface="宋体" pitchFamily="2" charset="-122"/>
                              <a:cs typeface="+mn-cs"/>
                            </a:defRPr>
                          </a:lvl8pPr>
                          <a:lvl9pPr marL="3657600" algn="l" defTabSz="914400" rtl="0" eaLnBrk="1" latinLnBrk="0" hangingPunct="1">
                            <a:defRPr b="1" kern="1200">
                              <a:solidFill>
                                <a:schemeClr val="tx1"/>
                              </a:solidFill>
                              <a:latin typeface="Arial" pitchFamily="34" charset="0"/>
                              <a:ea typeface="宋体" pitchFamily="2" charset="-122"/>
                              <a:cs typeface="+mn-cs"/>
                            </a:defRPr>
                          </a:lvl9pPr>
                        </a:lstStyle>
                        <a:p>
                          <a:pPr marL="182563" indent="-182563" algn="ctr">
                            <a:lnSpc>
                              <a:spcPct val="120000"/>
                            </a:lnSpc>
                            <a:buClr>
                              <a:srgbClr val="C00000"/>
                            </a:buClr>
                            <a:buSzPct val="60000"/>
                          </a:pPr>
                          <a:endParaRPr lang="zh-CN" altLang="en-US" sz="1600" b="0" dirty="0" smtClean="0"/>
                        </a:p>
                      </a:txBody>
                      <a:useSpRect/>
                    </a:txSp>
                  </a:sp>
                  <a:sp>
                    <a:nvSpPr>
                      <a:cNvPr id="54" name="矩形 53"/>
                      <a:cNvSpPr/>
                    </a:nvSpPr>
                    <a:spPr>
                      <a:xfrm>
                        <a:off x="9012009" y="1838325"/>
                        <a:ext cx="432000" cy="3543300"/>
                      </a:xfrm>
                      <a:prstGeom prst="rect">
                        <a:avLst/>
                      </a:prstGeom>
                      <a:solidFill>
                        <a:srgbClr val="7030A0">
                          <a:alpha val="15000"/>
                        </a:srgbClr>
                      </a:solidFill>
                      <a:ln>
                        <a:noFill/>
                      </a:ln>
                    </a:spPr>
                    <a:txSp>
                      <a:txBody>
                        <a:bodyPr wrap="square" rtlCol="0" anchor="ctr">
                          <a:noAutofit/>
                        </a:bodyPr>
                        <a:lstStyle>
                          <a:defPPr>
                            <a:defRPr lang="zh-CN"/>
                          </a:defPPr>
                          <a:lvl1pPr algn="l" rtl="0" fontAlgn="base">
                            <a:spcBef>
                              <a:spcPct val="0"/>
                            </a:spcBef>
                            <a:spcAft>
                              <a:spcPct val="0"/>
                            </a:spcAft>
                            <a:defRPr b="1" kern="1200">
                              <a:solidFill>
                                <a:schemeClr val="tx1"/>
                              </a:solidFill>
                              <a:latin typeface="Arial" pitchFamily="34" charset="0"/>
                              <a:ea typeface="宋体" pitchFamily="2" charset="-122"/>
                              <a:cs typeface="+mn-cs"/>
                            </a:defRPr>
                          </a:lvl1pPr>
                          <a:lvl2pPr marL="455613" indent="1588" algn="l" rtl="0" fontAlgn="base">
                            <a:spcBef>
                              <a:spcPct val="0"/>
                            </a:spcBef>
                            <a:spcAft>
                              <a:spcPct val="0"/>
                            </a:spcAft>
                            <a:defRPr b="1" kern="1200">
                              <a:solidFill>
                                <a:schemeClr val="tx1"/>
                              </a:solidFill>
                              <a:latin typeface="Arial" pitchFamily="34" charset="0"/>
                              <a:ea typeface="宋体" pitchFamily="2" charset="-122"/>
                              <a:cs typeface="+mn-cs"/>
                            </a:defRPr>
                          </a:lvl2pPr>
                          <a:lvl3pPr marL="912813" indent="1588" algn="l" rtl="0" fontAlgn="base">
                            <a:spcBef>
                              <a:spcPct val="0"/>
                            </a:spcBef>
                            <a:spcAft>
                              <a:spcPct val="0"/>
                            </a:spcAft>
                            <a:defRPr b="1" kern="1200">
                              <a:solidFill>
                                <a:schemeClr val="tx1"/>
                              </a:solidFill>
                              <a:latin typeface="Arial" pitchFamily="34" charset="0"/>
                              <a:ea typeface="宋体" pitchFamily="2" charset="-122"/>
                              <a:cs typeface="+mn-cs"/>
                            </a:defRPr>
                          </a:lvl3pPr>
                          <a:lvl4pPr marL="1370013" indent="1588" algn="l" rtl="0" fontAlgn="base">
                            <a:spcBef>
                              <a:spcPct val="0"/>
                            </a:spcBef>
                            <a:spcAft>
                              <a:spcPct val="0"/>
                            </a:spcAft>
                            <a:defRPr b="1" kern="1200">
                              <a:solidFill>
                                <a:schemeClr val="tx1"/>
                              </a:solidFill>
                              <a:latin typeface="Arial" pitchFamily="34" charset="0"/>
                              <a:ea typeface="宋体" pitchFamily="2" charset="-122"/>
                              <a:cs typeface="+mn-cs"/>
                            </a:defRPr>
                          </a:lvl4pPr>
                          <a:lvl5pPr marL="1827213" indent="1588" algn="l" rtl="0" fontAlgn="base">
                            <a:spcBef>
                              <a:spcPct val="0"/>
                            </a:spcBef>
                            <a:spcAft>
                              <a:spcPct val="0"/>
                            </a:spcAft>
                            <a:defRPr b="1" kern="1200">
                              <a:solidFill>
                                <a:schemeClr val="tx1"/>
                              </a:solidFill>
                              <a:latin typeface="Arial" pitchFamily="34" charset="0"/>
                              <a:ea typeface="宋体" pitchFamily="2" charset="-122"/>
                              <a:cs typeface="+mn-cs"/>
                            </a:defRPr>
                          </a:lvl5pPr>
                          <a:lvl6pPr marL="2286000" algn="l" defTabSz="914400" rtl="0" eaLnBrk="1" latinLnBrk="0" hangingPunct="1">
                            <a:defRPr b="1" kern="1200">
                              <a:solidFill>
                                <a:schemeClr val="tx1"/>
                              </a:solidFill>
                              <a:latin typeface="Arial" pitchFamily="34" charset="0"/>
                              <a:ea typeface="宋体" pitchFamily="2" charset="-122"/>
                              <a:cs typeface="+mn-cs"/>
                            </a:defRPr>
                          </a:lvl6pPr>
                          <a:lvl7pPr marL="2743200" algn="l" defTabSz="914400" rtl="0" eaLnBrk="1" latinLnBrk="0" hangingPunct="1">
                            <a:defRPr b="1" kern="1200">
                              <a:solidFill>
                                <a:schemeClr val="tx1"/>
                              </a:solidFill>
                              <a:latin typeface="Arial" pitchFamily="34" charset="0"/>
                              <a:ea typeface="宋体" pitchFamily="2" charset="-122"/>
                              <a:cs typeface="+mn-cs"/>
                            </a:defRPr>
                          </a:lvl7pPr>
                          <a:lvl8pPr marL="3200400" algn="l" defTabSz="914400" rtl="0" eaLnBrk="1" latinLnBrk="0" hangingPunct="1">
                            <a:defRPr b="1" kern="1200">
                              <a:solidFill>
                                <a:schemeClr val="tx1"/>
                              </a:solidFill>
                              <a:latin typeface="Arial" pitchFamily="34" charset="0"/>
                              <a:ea typeface="宋体" pitchFamily="2" charset="-122"/>
                              <a:cs typeface="+mn-cs"/>
                            </a:defRPr>
                          </a:lvl8pPr>
                          <a:lvl9pPr marL="3657600" algn="l" defTabSz="914400" rtl="0" eaLnBrk="1" latinLnBrk="0" hangingPunct="1">
                            <a:defRPr b="1" kern="1200">
                              <a:solidFill>
                                <a:schemeClr val="tx1"/>
                              </a:solidFill>
                              <a:latin typeface="Arial" pitchFamily="34" charset="0"/>
                              <a:ea typeface="宋体" pitchFamily="2" charset="-122"/>
                              <a:cs typeface="+mn-cs"/>
                            </a:defRPr>
                          </a:lvl9pPr>
                        </a:lstStyle>
                        <a:p>
                          <a:pPr marL="182563" indent="-182563" algn="ctr">
                            <a:lnSpc>
                              <a:spcPct val="120000"/>
                            </a:lnSpc>
                            <a:buClr>
                              <a:srgbClr val="C00000"/>
                            </a:buClr>
                            <a:buSzPct val="60000"/>
                          </a:pPr>
                          <a:endParaRPr lang="zh-CN" altLang="en-US" sz="1600" b="0" dirty="0" smtClean="0"/>
                        </a:p>
                      </a:txBody>
                      <a:useSpRect/>
                    </a:txSp>
                  </a:sp>
                  <a:sp>
                    <a:nvSpPr>
                      <a:cNvPr id="56" name="TextBox 55"/>
                      <a:cNvSpPr txBox="1"/>
                    </a:nvSpPr>
                    <a:spPr>
                      <a:xfrm>
                        <a:off x="7474447" y="1978222"/>
                        <a:ext cx="284052" cy="307777"/>
                      </a:xfrm>
                      <a:prstGeom prst="rect">
                        <a:avLst/>
                      </a:prstGeom>
                      <a:noFill/>
                    </a:spPr>
                    <a:txSp>
                      <a:txBody>
                        <a:bodyPr wrap="none" rtlCol="0">
                          <a:spAutoFit/>
                        </a:bodyPr>
                        <a:lstStyle>
                          <a:defPPr>
                            <a:defRPr lang="zh-CN"/>
                          </a:defPPr>
                          <a:lvl1pPr algn="l" rtl="0" fontAlgn="base">
                            <a:spcBef>
                              <a:spcPct val="0"/>
                            </a:spcBef>
                            <a:spcAft>
                              <a:spcPct val="0"/>
                            </a:spcAft>
                            <a:defRPr b="1" kern="1200">
                              <a:solidFill>
                                <a:schemeClr val="tx1"/>
                              </a:solidFill>
                              <a:latin typeface="Arial" pitchFamily="34" charset="0"/>
                              <a:ea typeface="宋体" pitchFamily="2" charset="-122"/>
                              <a:cs typeface="+mn-cs"/>
                            </a:defRPr>
                          </a:lvl1pPr>
                          <a:lvl2pPr marL="455613" indent="1588" algn="l" rtl="0" fontAlgn="base">
                            <a:spcBef>
                              <a:spcPct val="0"/>
                            </a:spcBef>
                            <a:spcAft>
                              <a:spcPct val="0"/>
                            </a:spcAft>
                            <a:defRPr b="1" kern="1200">
                              <a:solidFill>
                                <a:schemeClr val="tx1"/>
                              </a:solidFill>
                              <a:latin typeface="Arial" pitchFamily="34" charset="0"/>
                              <a:ea typeface="宋体" pitchFamily="2" charset="-122"/>
                              <a:cs typeface="+mn-cs"/>
                            </a:defRPr>
                          </a:lvl2pPr>
                          <a:lvl3pPr marL="912813" indent="1588" algn="l" rtl="0" fontAlgn="base">
                            <a:spcBef>
                              <a:spcPct val="0"/>
                            </a:spcBef>
                            <a:spcAft>
                              <a:spcPct val="0"/>
                            </a:spcAft>
                            <a:defRPr b="1" kern="1200">
                              <a:solidFill>
                                <a:schemeClr val="tx1"/>
                              </a:solidFill>
                              <a:latin typeface="Arial" pitchFamily="34" charset="0"/>
                              <a:ea typeface="宋体" pitchFamily="2" charset="-122"/>
                              <a:cs typeface="+mn-cs"/>
                            </a:defRPr>
                          </a:lvl3pPr>
                          <a:lvl4pPr marL="1370013" indent="1588" algn="l" rtl="0" fontAlgn="base">
                            <a:spcBef>
                              <a:spcPct val="0"/>
                            </a:spcBef>
                            <a:spcAft>
                              <a:spcPct val="0"/>
                            </a:spcAft>
                            <a:defRPr b="1" kern="1200">
                              <a:solidFill>
                                <a:schemeClr val="tx1"/>
                              </a:solidFill>
                              <a:latin typeface="Arial" pitchFamily="34" charset="0"/>
                              <a:ea typeface="宋体" pitchFamily="2" charset="-122"/>
                              <a:cs typeface="+mn-cs"/>
                            </a:defRPr>
                          </a:lvl4pPr>
                          <a:lvl5pPr marL="1827213" indent="1588" algn="l" rtl="0" fontAlgn="base">
                            <a:spcBef>
                              <a:spcPct val="0"/>
                            </a:spcBef>
                            <a:spcAft>
                              <a:spcPct val="0"/>
                            </a:spcAft>
                            <a:defRPr b="1" kern="1200">
                              <a:solidFill>
                                <a:schemeClr val="tx1"/>
                              </a:solidFill>
                              <a:latin typeface="Arial" pitchFamily="34" charset="0"/>
                              <a:ea typeface="宋体" pitchFamily="2" charset="-122"/>
                              <a:cs typeface="+mn-cs"/>
                            </a:defRPr>
                          </a:lvl5pPr>
                          <a:lvl6pPr marL="2286000" algn="l" defTabSz="914400" rtl="0" eaLnBrk="1" latinLnBrk="0" hangingPunct="1">
                            <a:defRPr b="1" kern="1200">
                              <a:solidFill>
                                <a:schemeClr val="tx1"/>
                              </a:solidFill>
                              <a:latin typeface="Arial" pitchFamily="34" charset="0"/>
                              <a:ea typeface="宋体" pitchFamily="2" charset="-122"/>
                              <a:cs typeface="+mn-cs"/>
                            </a:defRPr>
                          </a:lvl6pPr>
                          <a:lvl7pPr marL="2743200" algn="l" defTabSz="914400" rtl="0" eaLnBrk="1" latinLnBrk="0" hangingPunct="1">
                            <a:defRPr b="1" kern="1200">
                              <a:solidFill>
                                <a:schemeClr val="tx1"/>
                              </a:solidFill>
                              <a:latin typeface="Arial" pitchFamily="34" charset="0"/>
                              <a:ea typeface="宋体" pitchFamily="2" charset="-122"/>
                              <a:cs typeface="+mn-cs"/>
                            </a:defRPr>
                          </a:lvl7pPr>
                          <a:lvl8pPr marL="3200400" algn="l" defTabSz="914400" rtl="0" eaLnBrk="1" latinLnBrk="0" hangingPunct="1">
                            <a:defRPr b="1" kern="1200">
                              <a:solidFill>
                                <a:schemeClr val="tx1"/>
                              </a:solidFill>
                              <a:latin typeface="Arial" pitchFamily="34" charset="0"/>
                              <a:ea typeface="宋体" pitchFamily="2" charset="-122"/>
                              <a:cs typeface="+mn-cs"/>
                            </a:defRPr>
                          </a:lvl8pPr>
                          <a:lvl9pPr marL="3657600" algn="l" defTabSz="914400" rtl="0" eaLnBrk="1" latinLnBrk="0" hangingPunct="1">
                            <a:defRPr b="1" kern="1200">
                              <a:solidFill>
                                <a:schemeClr val="tx1"/>
                              </a:solidFill>
                              <a:latin typeface="Arial" pitchFamily="34" charset="0"/>
                              <a:ea typeface="宋体" pitchFamily="2" charset="-122"/>
                              <a:cs typeface="+mn-cs"/>
                            </a:defRPr>
                          </a:lvl9pPr>
                        </a:lstStyle>
                        <a:p>
                          <a:pPr indent="-179388">
                            <a:spcAft>
                              <a:spcPts val="600"/>
                            </a:spcAft>
                            <a:buClr>
                              <a:schemeClr val="tx2"/>
                            </a:buClr>
                            <a:buSzPct val="75000"/>
                          </a:pPr>
                          <a:r>
                            <a:rPr lang="en-US" altLang="zh-CN" sz="1400" b="0" dirty="0" smtClean="0">
                              <a:cs typeface="Arial" pitchFamily="34" charset="0"/>
                            </a:rPr>
                            <a:t>2</a:t>
                          </a:r>
                          <a:endParaRPr lang="zh-CN" altLang="en-US" sz="1400" b="0" dirty="0" err="1" smtClean="0">
                            <a:cs typeface="Arial" pitchFamily="34" charset="0"/>
                          </a:endParaRPr>
                        </a:p>
                      </a:txBody>
                      <a:useSpRect/>
                    </a:txSp>
                  </a:sp>
                  <a:sp>
                    <a:nvSpPr>
                      <a:cNvPr id="57" name="TextBox 56"/>
                      <a:cNvSpPr txBox="1"/>
                    </a:nvSpPr>
                    <a:spPr>
                      <a:xfrm>
                        <a:off x="8167027" y="1978223"/>
                        <a:ext cx="284052" cy="307777"/>
                      </a:xfrm>
                      <a:prstGeom prst="rect">
                        <a:avLst/>
                      </a:prstGeom>
                      <a:noFill/>
                    </a:spPr>
                    <a:txSp>
                      <a:txBody>
                        <a:bodyPr wrap="none" rtlCol="0">
                          <a:spAutoFit/>
                        </a:bodyPr>
                        <a:lstStyle>
                          <a:defPPr>
                            <a:defRPr lang="zh-CN"/>
                          </a:defPPr>
                          <a:lvl1pPr algn="l" rtl="0" fontAlgn="base">
                            <a:spcBef>
                              <a:spcPct val="0"/>
                            </a:spcBef>
                            <a:spcAft>
                              <a:spcPct val="0"/>
                            </a:spcAft>
                            <a:defRPr b="1" kern="1200">
                              <a:solidFill>
                                <a:schemeClr val="tx1"/>
                              </a:solidFill>
                              <a:latin typeface="Arial" pitchFamily="34" charset="0"/>
                              <a:ea typeface="宋体" pitchFamily="2" charset="-122"/>
                              <a:cs typeface="+mn-cs"/>
                            </a:defRPr>
                          </a:lvl1pPr>
                          <a:lvl2pPr marL="455613" indent="1588" algn="l" rtl="0" fontAlgn="base">
                            <a:spcBef>
                              <a:spcPct val="0"/>
                            </a:spcBef>
                            <a:spcAft>
                              <a:spcPct val="0"/>
                            </a:spcAft>
                            <a:defRPr b="1" kern="1200">
                              <a:solidFill>
                                <a:schemeClr val="tx1"/>
                              </a:solidFill>
                              <a:latin typeface="Arial" pitchFamily="34" charset="0"/>
                              <a:ea typeface="宋体" pitchFamily="2" charset="-122"/>
                              <a:cs typeface="+mn-cs"/>
                            </a:defRPr>
                          </a:lvl2pPr>
                          <a:lvl3pPr marL="912813" indent="1588" algn="l" rtl="0" fontAlgn="base">
                            <a:spcBef>
                              <a:spcPct val="0"/>
                            </a:spcBef>
                            <a:spcAft>
                              <a:spcPct val="0"/>
                            </a:spcAft>
                            <a:defRPr b="1" kern="1200">
                              <a:solidFill>
                                <a:schemeClr val="tx1"/>
                              </a:solidFill>
                              <a:latin typeface="Arial" pitchFamily="34" charset="0"/>
                              <a:ea typeface="宋体" pitchFamily="2" charset="-122"/>
                              <a:cs typeface="+mn-cs"/>
                            </a:defRPr>
                          </a:lvl3pPr>
                          <a:lvl4pPr marL="1370013" indent="1588" algn="l" rtl="0" fontAlgn="base">
                            <a:spcBef>
                              <a:spcPct val="0"/>
                            </a:spcBef>
                            <a:spcAft>
                              <a:spcPct val="0"/>
                            </a:spcAft>
                            <a:defRPr b="1" kern="1200">
                              <a:solidFill>
                                <a:schemeClr val="tx1"/>
                              </a:solidFill>
                              <a:latin typeface="Arial" pitchFamily="34" charset="0"/>
                              <a:ea typeface="宋体" pitchFamily="2" charset="-122"/>
                              <a:cs typeface="+mn-cs"/>
                            </a:defRPr>
                          </a:lvl4pPr>
                          <a:lvl5pPr marL="1827213" indent="1588" algn="l" rtl="0" fontAlgn="base">
                            <a:spcBef>
                              <a:spcPct val="0"/>
                            </a:spcBef>
                            <a:spcAft>
                              <a:spcPct val="0"/>
                            </a:spcAft>
                            <a:defRPr b="1" kern="1200">
                              <a:solidFill>
                                <a:schemeClr val="tx1"/>
                              </a:solidFill>
                              <a:latin typeface="Arial" pitchFamily="34" charset="0"/>
                              <a:ea typeface="宋体" pitchFamily="2" charset="-122"/>
                              <a:cs typeface="+mn-cs"/>
                            </a:defRPr>
                          </a:lvl5pPr>
                          <a:lvl6pPr marL="2286000" algn="l" defTabSz="914400" rtl="0" eaLnBrk="1" latinLnBrk="0" hangingPunct="1">
                            <a:defRPr b="1" kern="1200">
                              <a:solidFill>
                                <a:schemeClr val="tx1"/>
                              </a:solidFill>
                              <a:latin typeface="Arial" pitchFamily="34" charset="0"/>
                              <a:ea typeface="宋体" pitchFamily="2" charset="-122"/>
                              <a:cs typeface="+mn-cs"/>
                            </a:defRPr>
                          </a:lvl6pPr>
                          <a:lvl7pPr marL="2743200" algn="l" defTabSz="914400" rtl="0" eaLnBrk="1" latinLnBrk="0" hangingPunct="1">
                            <a:defRPr b="1" kern="1200">
                              <a:solidFill>
                                <a:schemeClr val="tx1"/>
                              </a:solidFill>
                              <a:latin typeface="Arial" pitchFamily="34" charset="0"/>
                              <a:ea typeface="宋体" pitchFamily="2" charset="-122"/>
                              <a:cs typeface="+mn-cs"/>
                            </a:defRPr>
                          </a:lvl7pPr>
                          <a:lvl8pPr marL="3200400" algn="l" defTabSz="914400" rtl="0" eaLnBrk="1" latinLnBrk="0" hangingPunct="1">
                            <a:defRPr b="1" kern="1200">
                              <a:solidFill>
                                <a:schemeClr val="tx1"/>
                              </a:solidFill>
                              <a:latin typeface="Arial" pitchFamily="34" charset="0"/>
                              <a:ea typeface="宋体" pitchFamily="2" charset="-122"/>
                              <a:cs typeface="+mn-cs"/>
                            </a:defRPr>
                          </a:lvl8pPr>
                          <a:lvl9pPr marL="3657600" algn="l" defTabSz="914400" rtl="0" eaLnBrk="1" latinLnBrk="0" hangingPunct="1">
                            <a:defRPr b="1" kern="1200">
                              <a:solidFill>
                                <a:schemeClr val="tx1"/>
                              </a:solidFill>
                              <a:latin typeface="Arial" pitchFamily="34" charset="0"/>
                              <a:ea typeface="宋体" pitchFamily="2" charset="-122"/>
                              <a:cs typeface="+mn-cs"/>
                            </a:defRPr>
                          </a:lvl9pPr>
                        </a:lstStyle>
                        <a:p>
                          <a:pPr indent="-179388">
                            <a:spcAft>
                              <a:spcPts val="600"/>
                            </a:spcAft>
                            <a:buClr>
                              <a:schemeClr val="tx2"/>
                            </a:buClr>
                            <a:buSzPct val="75000"/>
                          </a:pPr>
                          <a:r>
                            <a:rPr lang="en-US" altLang="zh-CN" sz="1400" b="0" dirty="0" smtClean="0">
                              <a:cs typeface="Arial" pitchFamily="34" charset="0"/>
                            </a:rPr>
                            <a:t>4</a:t>
                          </a:r>
                          <a:endParaRPr lang="zh-CN" altLang="en-US" sz="1400" b="0" dirty="0" err="1" smtClean="0">
                            <a:cs typeface="Arial" pitchFamily="34" charset="0"/>
                          </a:endParaRPr>
                        </a:p>
                      </a:txBody>
                      <a:useSpRect/>
                    </a:txSp>
                  </a:sp>
                  <a:sp>
                    <a:nvSpPr>
                      <a:cNvPr id="58" name="TextBox 57"/>
                      <a:cNvSpPr txBox="1"/>
                    </a:nvSpPr>
                    <a:spPr>
                      <a:xfrm>
                        <a:off x="8611143" y="1978223"/>
                        <a:ext cx="284052" cy="307777"/>
                      </a:xfrm>
                      <a:prstGeom prst="rect">
                        <a:avLst/>
                      </a:prstGeom>
                      <a:noFill/>
                    </a:spPr>
                    <a:txSp>
                      <a:txBody>
                        <a:bodyPr wrap="none" rtlCol="0">
                          <a:spAutoFit/>
                        </a:bodyPr>
                        <a:lstStyle>
                          <a:defPPr>
                            <a:defRPr lang="zh-CN"/>
                          </a:defPPr>
                          <a:lvl1pPr algn="l" rtl="0" fontAlgn="base">
                            <a:spcBef>
                              <a:spcPct val="0"/>
                            </a:spcBef>
                            <a:spcAft>
                              <a:spcPct val="0"/>
                            </a:spcAft>
                            <a:defRPr b="1" kern="1200">
                              <a:solidFill>
                                <a:schemeClr val="tx1"/>
                              </a:solidFill>
                              <a:latin typeface="Arial" pitchFamily="34" charset="0"/>
                              <a:ea typeface="宋体" pitchFamily="2" charset="-122"/>
                              <a:cs typeface="+mn-cs"/>
                            </a:defRPr>
                          </a:lvl1pPr>
                          <a:lvl2pPr marL="455613" indent="1588" algn="l" rtl="0" fontAlgn="base">
                            <a:spcBef>
                              <a:spcPct val="0"/>
                            </a:spcBef>
                            <a:spcAft>
                              <a:spcPct val="0"/>
                            </a:spcAft>
                            <a:defRPr b="1" kern="1200">
                              <a:solidFill>
                                <a:schemeClr val="tx1"/>
                              </a:solidFill>
                              <a:latin typeface="Arial" pitchFamily="34" charset="0"/>
                              <a:ea typeface="宋体" pitchFamily="2" charset="-122"/>
                              <a:cs typeface="+mn-cs"/>
                            </a:defRPr>
                          </a:lvl2pPr>
                          <a:lvl3pPr marL="912813" indent="1588" algn="l" rtl="0" fontAlgn="base">
                            <a:spcBef>
                              <a:spcPct val="0"/>
                            </a:spcBef>
                            <a:spcAft>
                              <a:spcPct val="0"/>
                            </a:spcAft>
                            <a:defRPr b="1" kern="1200">
                              <a:solidFill>
                                <a:schemeClr val="tx1"/>
                              </a:solidFill>
                              <a:latin typeface="Arial" pitchFamily="34" charset="0"/>
                              <a:ea typeface="宋体" pitchFamily="2" charset="-122"/>
                              <a:cs typeface="+mn-cs"/>
                            </a:defRPr>
                          </a:lvl3pPr>
                          <a:lvl4pPr marL="1370013" indent="1588" algn="l" rtl="0" fontAlgn="base">
                            <a:spcBef>
                              <a:spcPct val="0"/>
                            </a:spcBef>
                            <a:spcAft>
                              <a:spcPct val="0"/>
                            </a:spcAft>
                            <a:defRPr b="1" kern="1200">
                              <a:solidFill>
                                <a:schemeClr val="tx1"/>
                              </a:solidFill>
                              <a:latin typeface="Arial" pitchFamily="34" charset="0"/>
                              <a:ea typeface="宋体" pitchFamily="2" charset="-122"/>
                              <a:cs typeface="+mn-cs"/>
                            </a:defRPr>
                          </a:lvl4pPr>
                          <a:lvl5pPr marL="1827213" indent="1588" algn="l" rtl="0" fontAlgn="base">
                            <a:spcBef>
                              <a:spcPct val="0"/>
                            </a:spcBef>
                            <a:spcAft>
                              <a:spcPct val="0"/>
                            </a:spcAft>
                            <a:defRPr b="1" kern="1200">
                              <a:solidFill>
                                <a:schemeClr val="tx1"/>
                              </a:solidFill>
                              <a:latin typeface="Arial" pitchFamily="34" charset="0"/>
                              <a:ea typeface="宋体" pitchFamily="2" charset="-122"/>
                              <a:cs typeface="+mn-cs"/>
                            </a:defRPr>
                          </a:lvl5pPr>
                          <a:lvl6pPr marL="2286000" algn="l" defTabSz="914400" rtl="0" eaLnBrk="1" latinLnBrk="0" hangingPunct="1">
                            <a:defRPr b="1" kern="1200">
                              <a:solidFill>
                                <a:schemeClr val="tx1"/>
                              </a:solidFill>
                              <a:latin typeface="Arial" pitchFamily="34" charset="0"/>
                              <a:ea typeface="宋体" pitchFamily="2" charset="-122"/>
                              <a:cs typeface="+mn-cs"/>
                            </a:defRPr>
                          </a:lvl6pPr>
                          <a:lvl7pPr marL="2743200" algn="l" defTabSz="914400" rtl="0" eaLnBrk="1" latinLnBrk="0" hangingPunct="1">
                            <a:defRPr b="1" kern="1200">
                              <a:solidFill>
                                <a:schemeClr val="tx1"/>
                              </a:solidFill>
                              <a:latin typeface="Arial" pitchFamily="34" charset="0"/>
                              <a:ea typeface="宋体" pitchFamily="2" charset="-122"/>
                              <a:cs typeface="+mn-cs"/>
                            </a:defRPr>
                          </a:lvl7pPr>
                          <a:lvl8pPr marL="3200400" algn="l" defTabSz="914400" rtl="0" eaLnBrk="1" latinLnBrk="0" hangingPunct="1">
                            <a:defRPr b="1" kern="1200">
                              <a:solidFill>
                                <a:schemeClr val="tx1"/>
                              </a:solidFill>
                              <a:latin typeface="Arial" pitchFamily="34" charset="0"/>
                              <a:ea typeface="宋体" pitchFamily="2" charset="-122"/>
                              <a:cs typeface="+mn-cs"/>
                            </a:defRPr>
                          </a:lvl8pPr>
                          <a:lvl9pPr marL="3657600" algn="l" defTabSz="914400" rtl="0" eaLnBrk="1" latinLnBrk="0" hangingPunct="1">
                            <a:defRPr b="1" kern="1200">
                              <a:solidFill>
                                <a:schemeClr val="tx1"/>
                              </a:solidFill>
                              <a:latin typeface="Arial" pitchFamily="34" charset="0"/>
                              <a:ea typeface="宋体" pitchFamily="2" charset="-122"/>
                              <a:cs typeface="+mn-cs"/>
                            </a:defRPr>
                          </a:lvl9pPr>
                        </a:lstStyle>
                        <a:p>
                          <a:pPr indent="-179388">
                            <a:spcAft>
                              <a:spcPts val="600"/>
                            </a:spcAft>
                            <a:buClr>
                              <a:schemeClr val="tx2"/>
                            </a:buClr>
                            <a:buSzPct val="75000"/>
                          </a:pPr>
                          <a:r>
                            <a:rPr lang="en-US" altLang="zh-CN" sz="1400" b="0" dirty="0" smtClean="0">
                              <a:cs typeface="Arial" pitchFamily="34" charset="0"/>
                            </a:rPr>
                            <a:t>8</a:t>
                          </a:r>
                          <a:endParaRPr lang="zh-CN" altLang="en-US" sz="1400" b="0" dirty="0" err="1" smtClean="0">
                            <a:cs typeface="Arial" pitchFamily="34" charset="0"/>
                          </a:endParaRPr>
                        </a:p>
                      </a:txBody>
                      <a:useSpRect/>
                    </a:txSp>
                  </a:sp>
                  <a:sp>
                    <a:nvSpPr>
                      <a:cNvPr id="59" name="TextBox 58"/>
                      <a:cNvSpPr txBox="1"/>
                    </a:nvSpPr>
                    <a:spPr>
                      <a:xfrm>
                        <a:off x="8998109" y="1978223"/>
                        <a:ext cx="383438" cy="307777"/>
                      </a:xfrm>
                      <a:prstGeom prst="rect">
                        <a:avLst/>
                      </a:prstGeom>
                      <a:noFill/>
                    </a:spPr>
                    <a:txSp>
                      <a:txBody>
                        <a:bodyPr wrap="none" rtlCol="0">
                          <a:spAutoFit/>
                        </a:bodyPr>
                        <a:lstStyle>
                          <a:defPPr>
                            <a:defRPr lang="zh-CN"/>
                          </a:defPPr>
                          <a:lvl1pPr algn="l" rtl="0" fontAlgn="base">
                            <a:spcBef>
                              <a:spcPct val="0"/>
                            </a:spcBef>
                            <a:spcAft>
                              <a:spcPct val="0"/>
                            </a:spcAft>
                            <a:defRPr b="1" kern="1200">
                              <a:solidFill>
                                <a:schemeClr val="tx1"/>
                              </a:solidFill>
                              <a:latin typeface="Arial" pitchFamily="34" charset="0"/>
                              <a:ea typeface="宋体" pitchFamily="2" charset="-122"/>
                              <a:cs typeface="+mn-cs"/>
                            </a:defRPr>
                          </a:lvl1pPr>
                          <a:lvl2pPr marL="455613" indent="1588" algn="l" rtl="0" fontAlgn="base">
                            <a:spcBef>
                              <a:spcPct val="0"/>
                            </a:spcBef>
                            <a:spcAft>
                              <a:spcPct val="0"/>
                            </a:spcAft>
                            <a:defRPr b="1" kern="1200">
                              <a:solidFill>
                                <a:schemeClr val="tx1"/>
                              </a:solidFill>
                              <a:latin typeface="Arial" pitchFamily="34" charset="0"/>
                              <a:ea typeface="宋体" pitchFamily="2" charset="-122"/>
                              <a:cs typeface="+mn-cs"/>
                            </a:defRPr>
                          </a:lvl2pPr>
                          <a:lvl3pPr marL="912813" indent="1588" algn="l" rtl="0" fontAlgn="base">
                            <a:spcBef>
                              <a:spcPct val="0"/>
                            </a:spcBef>
                            <a:spcAft>
                              <a:spcPct val="0"/>
                            </a:spcAft>
                            <a:defRPr b="1" kern="1200">
                              <a:solidFill>
                                <a:schemeClr val="tx1"/>
                              </a:solidFill>
                              <a:latin typeface="Arial" pitchFamily="34" charset="0"/>
                              <a:ea typeface="宋体" pitchFamily="2" charset="-122"/>
                              <a:cs typeface="+mn-cs"/>
                            </a:defRPr>
                          </a:lvl3pPr>
                          <a:lvl4pPr marL="1370013" indent="1588" algn="l" rtl="0" fontAlgn="base">
                            <a:spcBef>
                              <a:spcPct val="0"/>
                            </a:spcBef>
                            <a:spcAft>
                              <a:spcPct val="0"/>
                            </a:spcAft>
                            <a:defRPr b="1" kern="1200">
                              <a:solidFill>
                                <a:schemeClr val="tx1"/>
                              </a:solidFill>
                              <a:latin typeface="Arial" pitchFamily="34" charset="0"/>
                              <a:ea typeface="宋体" pitchFamily="2" charset="-122"/>
                              <a:cs typeface="+mn-cs"/>
                            </a:defRPr>
                          </a:lvl4pPr>
                          <a:lvl5pPr marL="1827213" indent="1588" algn="l" rtl="0" fontAlgn="base">
                            <a:spcBef>
                              <a:spcPct val="0"/>
                            </a:spcBef>
                            <a:spcAft>
                              <a:spcPct val="0"/>
                            </a:spcAft>
                            <a:defRPr b="1" kern="1200">
                              <a:solidFill>
                                <a:schemeClr val="tx1"/>
                              </a:solidFill>
                              <a:latin typeface="Arial" pitchFamily="34" charset="0"/>
                              <a:ea typeface="宋体" pitchFamily="2" charset="-122"/>
                              <a:cs typeface="+mn-cs"/>
                            </a:defRPr>
                          </a:lvl5pPr>
                          <a:lvl6pPr marL="2286000" algn="l" defTabSz="914400" rtl="0" eaLnBrk="1" latinLnBrk="0" hangingPunct="1">
                            <a:defRPr b="1" kern="1200">
                              <a:solidFill>
                                <a:schemeClr val="tx1"/>
                              </a:solidFill>
                              <a:latin typeface="Arial" pitchFamily="34" charset="0"/>
                              <a:ea typeface="宋体" pitchFamily="2" charset="-122"/>
                              <a:cs typeface="+mn-cs"/>
                            </a:defRPr>
                          </a:lvl6pPr>
                          <a:lvl7pPr marL="2743200" algn="l" defTabSz="914400" rtl="0" eaLnBrk="1" latinLnBrk="0" hangingPunct="1">
                            <a:defRPr b="1" kern="1200">
                              <a:solidFill>
                                <a:schemeClr val="tx1"/>
                              </a:solidFill>
                              <a:latin typeface="Arial" pitchFamily="34" charset="0"/>
                              <a:ea typeface="宋体" pitchFamily="2" charset="-122"/>
                              <a:cs typeface="+mn-cs"/>
                            </a:defRPr>
                          </a:lvl7pPr>
                          <a:lvl8pPr marL="3200400" algn="l" defTabSz="914400" rtl="0" eaLnBrk="1" latinLnBrk="0" hangingPunct="1">
                            <a:defRPr b="1" kern="1200">
                              <a:solidFill>
                                <a:schemeClr val="tx1"/>
                              </a:solidFill>
                              <a:latin typeface="Arial" pitchFamily="34" charset="0"/>
                              <a:ea typeface="宋体" pitchFamily="2" charset="-122"/>
                              <a:cs typeface="+mn-cs"/>
                            </a:defRPr>
                          </a:lvl8pPr>
                          <a:lvl9pPr marL="3657600" algn="l" defTabSz="914400" rtl="0" eaLnBrk="1" latinLnBrk="0" hangingPunct="1">
                            <a:defRPr b="1" kern="1200">
                              <a:solidFill>
                                <a:schemeClr val="tx1"/>
                              </a:solidFill>
                              <a:latin typeface="Arial" pitchFamily="34" charset="0"/>
                              <a:ea typeface="宋体" pitchFamily="2" charset="-122"/>
                              <a:cs typeface="+mn-cs"/>
                            </a:defRPr>
                          </a:lvl9pPr>
                        </a:lstStyle>
                        <a:p>
                          <a:pPr indent="-179388">
                            <a:spcAft>
                              <a:spcPts val="600"/>
                            </a:spcAft>
                            <a:buClr>
                              <a:schemeClr val="tx2"/>
                            </a:buClr>
                            <a:buSzPct val="75000"/>
                          </a:pPr>
                          <a:r>
                            <a:rPr lang="en-US" altLang="zh-CN" sz="1400" b="0" dirty="0" smtClean="0">
                              <a:cs typeface="Arial" pitchFamily="34" charset="0"/>
                            </a:rPr>
                            <a:t>16</a:t>
                          </a:r>
                          <a:endParaRPr lang="zh-CN" altLang="en-US" sz="1400" b="0" dirty="0" err="1" smtClean="0">
                            <a:cs typeface="Arial" pitchFamily="34" charset="0"/>
                          </a:endParaRPr>
                        </a:p>
                      </a:txBody>
                      <a:useSpRect/>
                    </a:txSp>
                  </a:sp>
                  <a:sp>
                    <a:nvSpPr>
                      <a:cNvPr id="60" name="TextBox 59"/>
                      <a:cNvSpPr txBox="1"/>
                    </a:nvSpPr>
                    <a:spPr>
                      <a:xfrm>
                        <a:off x="9436836" y="1978223"/>
                        <a:ext cx="383438" cy="307777"/>
                      </a:xfrm>
                      <a:prstGeom prst="rect">
                        <a:avLst/>
                      </a:prstGeom>
                      <a:noFill/>
                    </a:spPr>
                    <a:txSp>
                      <a:txBody>
                        <a:bodyPr wrap="none" rtlCol="0">
                          <a:spAutoFit/>
                        </a:bodyPr>
                        <a:lstStyle>
                          <a:defPPr>
                            <a:defRPr lang="zh-CN"/>
                          </a:defPPr>
                          <a:lvl1pPr algn="l" rtl="0" fontAlgn="base">
                            <a:spcBef>
                              <a:spcPct val="0"/>
                            </a:spcBef>
                            <a:spcAft>
                              <a:spcPct val="0"/>
                            </a:spcAft>
                            <a:defRPr b="1" kern="1200">
                              <a:solidFill>
                                <a:schemeClr val="tx1"/>
                              </a:solidFill>
                              <a:latin typeface="Arial" pitchFamily="34" charset="0"/>
                              <a:ea typeface="宋体" pitchFamily="2" charset="-122"/>
                              <a:cs typeface="+mn-cs"/>
                            </a:defRPr>
                          </a:lvl1pPr>
                          <a:lvl2pPr marL="455613" indent="1588" algn="l" rtl="0" fontAlgn="base">
                            <a:spcBef>
                              <a:spcPct val="0"/>
                            </a:spcBef>
                            <a:spcAft>
                              <a:spcPct val="0"/>
                            </a:spcAft>
                            <a:defRPr b="1" kern="1200">
                              <a:solidFill>
                                <a:schemeClr val="tx1"/>
                              </a:solidFill>
                              <a:latin typeface="Arial" pitchFamily="34" charset="0"/>
                              <a:ea typeface="宋体" pitchFamily="2" charset="-122"/>
                              <a:cs typeface="+mn-cs"/>
                            </a:defRPr>
                          </a:lvl2pPr>
                          <a:lvl3pPr marL="912813" indent="1588" algn="l" rtl="0" fontAlgn="base">
                            <a:spcBef>
                              <a:spcPct val="0"/>
                            </a:spcBef>
                            <a:spcAft>
                              <a:spcPct val="0"/>
                            </a:spcAft>
                            <a:defRPr b="1" kern="1200">
                              <a:solidFill>
                                <a:schemeClr val="tx1"/>
                              </a:solidFill>
                              <a:latin typeface="Arial" pitchFamily="34" charset="0"/>
                              <a:ea typeface="宋体" pitchFamily="2" charset="-122"/>
                              <a:cs typeface="+mn-cs"/>
                            </a:defRPr>
                          </a:lvl3pPr>
                          <a:lvl4pPr marL="1370013" indent="1588" algn="l" rtl="0" fontAlgn="base">
                            <a:spcBef>
                              <a:spcPct val="0"/>
                            </a:spcBef>
                            <a:spcAft>
                              <a:spcPct val="0"/>
                            </a:spcAft>
                            <a:defRPr b="1" kern="1200">
                              <a:solidFill>
                                <a:schemeClr val="tx1"/>
                              </a:solidFill>
                              <a:latin typeface="Arial" pitchFamily="34" charset="0"/>
                              <a:ea typeface="宋体" pitchFamily="2" charset="-122"/>
                              <a:cs typeface="+mn-cs"/>
                            </a:defRPr>
                          </a:lvl4pPr>
                          <a:lvl5pPr marL="1827213" indent="1588" algn="l" rtl="0" fontAlgn="base">
                            <a:spcBef>
                              <a:spcPct val="0"/>
                            </a:spcBef>
                            <a:spcAft>
                              <a:spcPct val="0"/>
                            </a:spcAft>
                            <a:defRPr b="1" kern="1200">
                              <a:solidFill>
                                <a:schemeClr val="tx1"/>
                              </a:solidFill>
                              <a:latin typeface="Arial" pitchFamily="34" charset="0"/>
                              <a:ea typeface="宋体" pitchFamily="2" charset="-122"/>
                              <a:cs typeface="+mn-cs"/>
                            </a:defRPr>
                          </a:lvl5pPr>
                          <a:lvl6pPr marL="2286000" algn="l" defTabSz="914400" rtl="0" eaLnBrk="1" latinLnBrk="0" hangingPunct="1">
                            <a:defRPr b="1" kern="1200">
                              <a:solidFill>
                                <a:schemeClr val="tx1"/>
                              </a:solidFill>
                              <a:latin typeface="Arial" pitchFamily="34" charset="0"/>
                              <a:ea typeface="宋体" pitchFamily="2" charset="-122"/>
                              <a:cs typeface="+mn-cs"/>
                            </a:defRPr>
                          </a:lvl6pPr>
                          <a:lvl7pPr marL="2743200" algn="l" defTabSz="914400" rtl="0" eaLnBrk="1" latinLnBrk="0" hangingPunct="1">
                            <a:defRPr b="1" kern="1200">
                              <a:solidFill>
                                <a:schemeClr val="tx1"/>
                              </a:solidFill>
                              <a:latin typeface="Arial" pitchFamily="34" charset="0"/>
                              <a:ea typeface="宋体" pitchFamily="2" charset="-122"/>
                              <a:cs typeface="+mn-cs"/>
                            </a:defRPr>
                          </a:lvl7pPr>
                          <a:lvl8pPr marL="3200400" algn="l" defTabSz="914400" rtl="0" eaLnBrk="1" latinLnBrk="0" hangingPunct="1">
                            <a:defRPr b="1" kern="1200">
                              <a:solidFill>
                                <a:schemeClr val="tx1"/>
                              </a:solidFill>
                              <a:latin typeface="Arial" pitchFamily="34" charset="0"/>
                              <a:ea typeface="宋体" pitchFamily="2" charset="-122"/>
                              <a:cs typeface="+mn-cs"/>
                            </a:defRPr>
                          </a:lvl8pPr>
                          <a:lvl9pPr marL="3657600" algn="l" defTabSz="914400" rtl="0" eaLnBrk="1" latinLnBrk="0" hangingPunct="1">
                            <a:defRPr b="1" kern="1200">
                              <a:solidFill>
                                <a:schemeClr val="tx1"/>
                              </a:solidFill>
                              <a:latin typeface="Arial" pitchFamily="34" charset="0"/>
                              <a:ea typeface="宋体" pitchFamily="2" charset="-122"/>
                              <a:cs typeface="+mn-cs"/>
                            </a:defRPr>
                          </a:lvl9pPr>
                        </a:lstStyle>
                        <a:p>
                          <a:pPr indent="-179388">
                            <a:spcAft>
                              <a:spcPts val="600"/>
                            </a:spcAft>
                            <a:buClr>
                              <a:schemeClr val="tx2"/>
                            </a:buClr>
                            <a:buSzPct val="75000"/>
                          </a:pPr>
                          <a:r>
                            <a:rPr lang="en-US" altLang="zh-CN" sz="1400" b="0" dirty="0" smtClean="0">
                              <a:cs typeface="Arial" pitchFamily="34" charset="0"/>
                            </a:rPr>
                            <a:t>32</a:t>
                          </a:r>
                          <a:endParaRPr lang="zh-CN" altLang="en-US" sz="1400" b="0" dirty="0" err="1" smtClean="0">
                            <a:cs typeface="Arial" pitchFamily="34" charset="0"/>
                          </a:endParaRPr>
                        </a:p>
                      </a:txBody>
                      <a:useSpRect/>
                    </a:txSp>
                  </a:sp>
                  <a:sp>
                    <a:nvSpPr>
                      <a:cNvPr id="63" name="TextBox 62"/>
                      <a:cNvSpPr txBox="1"/>
                    </a:nvSpPr>
                    <a:spPr>
                      <a:xfrm>
                        <a:off x="8738612" y="5425093"/>
                        <a:ext cx="532518" cy="600164"/>
                      </a:xfrm>
                      <a:prstGeom prst="rect">
                        <a:avLst/>
                      </a:prstGeom>
                      <a:noFill/>
                    </a:spPr>
                    <a:txSp>
                      <a:txBody>
                        <a:bodyPr wrap="none" rtlCol="0">
                          <a:spAutoFit/>
                        </a:bodyPr>
                        <a:lstStyle>
                          <a:defPPr>
                            <a:defRPr lang="zh-CN"/>
                          </a:defPPr>
                          <a:lvl1pPr algn="l" rtl="0" fontAlgn="base">
                            <a:spcBef>
                              <a:spcPct val="0"/>
                            </a:spcBef>
                            <a:spcAft>
                              <a:spcPct val="0"/>
                            </a:spcAft>
                            <a:defRPr b="1" kern="1200">
                              <a:solidFill>
                                <a:schemeClr val="tx1"/>
                              </a:solidFill>
                              <a:latin typeface="Arial" pitchFamily="34" charset="0"/>
                              <a:ea typeface="宋体" pitchFamily="2" charset="-122"/>
                              <a:cs typeface="+mn-cs"/>
                            </a:defRPr>
                          </a:lvl1pPr>
                          <a:lvl2pPr marL="455613" indent="1588" algn="l" rtl="0" fontAlgn="base">
                            <a:spcBef>
                              <a:spcPct val="0"/>
                            </a:spcBef>
                            <a:spcAft>
                              <a:spcPct val="0"/>
                            </a:spcAft>
                            <a:defRPr b="1" kern="1200">
                              <a:solidFill>
                                <a:schemeClr val="tx1"/>
                              </a:solidFill>
                              <a:latin typeface="Arial" pitchFamily="34" charset="0"/>
                              <a:ea typeface="宋体" pitchFamily="2" charset="-122"/>
                              <a:cs typeface="+mn-cs"/>
                            </a:defRPr>
                          </a:lvl2pPr>
                          <a:lvl3pPr marL="912813" indent="1588" algn="l" rtl="0" fontAlgn="base">
                            <a:spcBef>
                              <a:spcPct val="0"/>
                            </a:spcBef>
                            <a:spcAft>
                              <a:spcPct val="0"/>
                            </a:spcAft>
                            <a:defRPr b="1" kern="1200">
                              <a:solidFill>
                                <a:schemeClr val="tx1"/>
                              </a:solidFill>
                              <a:latin typeface="Arial" pitchFamily="34" charset="0"/>
                              <a:ea typeface="宋体" pitchFamily="2" charset="-122"/>
                              <a:cs typeface="+mn-cs"/>
                            </a:defRPr>
                          </a:lvl3pPr>
                          <a:lvl4pPr marL="1370013" indent="1588" algn="l" rtl="0" fontAlgn="base">
                            <a:spcBef>
                              <a:spcPct val="0"/>
                            </a:spcBef>
                            <a:spcAft>
                              <a:spcPct val="0"/>
                            </a:spcAft>
                            <a:defRPr b="1" kern="1200">
                              <a:solidFill>
                                <a:schemeClr val="tx1"/>
                              </a:solidFill>
                              <a:latin typeface="Arial" pitchFamily="34" charset="0"/>
                              <a:ea typeface="宋体" pitchFamily="2" charset="-122"/>
                              <a:cs typeface="+mn-cs"/>
                            </a:defRPr>
                          </a:lvl4pPr>
                          <a:lvl5pPr marL="1827213" indent="1588" algn="l" rtl="0" fontAlgn="base">
                            <a:spcBef>
                              <a:spcPct val="0"/>
                            </a:spcBef>
                            <a:spcAft>
                              <a:spcPct val="0"/>
                            </a:spcAft>
                            <a:defRPr b="1" kern="1200">
                              <a:solidFill>
                                <a:schemeClr val="tx1"/>
                              </a:solidFill>
                              <a:latin typeface="Arial" pitchFamily="34" charset="0"/>
                              <a:ea typeface="宋体" pitchFamily="2" charset="-122"/>
                              <a:cs typeface="+mn-cs"/>
                            </a:defRPr>
                          </a:lvl5pPr>
                          <a:lvl6pPr marL="2286000" algn="l" defTabSz="914400" rtl="0" eaLnBrk="1" latinLnBrk="0" hangingPunct="1">
                            <a:defRPr b="1" kern="1200">
                              <a:solidFill>
                                <a:schemeClr val="tx1"/>
                              </a:solidFill>
                              <a:latin typeface="Arial" pitchFamily="34" charset="0"/>
                              <a:ea typeface="宋体" pitchFamily="2" charset="-122"/>
                              <a:cs typeface="+mn-cs"/>
                            </a:defRPr>
                          </a:lvl6pPr>
                          <a:lvl7pPr marL="2743200" algn="l" defTabSz="914400" rtl="0" eaLnBrk="1" latinLnBrk="0" hangingPunct="1">
                            <a:defRPr b="1" kern="1200">
                              <a:solidFill>
                                <a:schemeClr val="tx1"/>
                              </a:solidFill>
                              <a:latin typeface="Arial" pitchFamily="34" charset="0"/>
                              <a:ea typeface="宋体" pitchFamily="2" charset="-122"/>
                              <a:cs typeface="+mn-cs"/>
                            </a:defRPr>
                          </a:lvl7pPr>
                          <a:lvl8pPr marL="3200400" algn="l" defTabSz="914400" rtl="0" eaLnBrk="1" latinLnBrk="0" hangingPunct="1">
                            <a:defRPr b="1" kern="1200">
                              <a:solidFill>
                                <a:schemeClr val="tx1"/>
                              </a:solidFill>
                              <a:latin typeface="Arial" pitchFamily="34" charset="0"/>
                              <a:ea typeface="宋体" pitchFamily="2" charset="-122"/>
                              <a:cs typeface="+mn-cs"/>
                            </a:defRPr>
                          </a:lvl8pPr>
                          <a:lvl9pPr marL="3657600" algn="l" defTabSz="914400" rtl="0" eaLnBrk="1" latinLnBrk="0" hangingPunct="1">
                            <a:defRPr b="1" kern="1200">
                              <a:solidFill>
                                <a:schemeClr val="tx1"/>
                              </a:solidFill>
                              <a:latin typeface="Arial" pitchFamily="34" charset="0"/>
                              <a:ea typeface="宋体" pitchFamily="2" charset="-122"/>
                              <a:cs typeface="+mn-cs"/>
                            </a:defRPr>
                          </a:lvl9pPr>
                        </a:lstStyle>
                        <a:p>
                          <a:pPr indent="-179388">
                            <a:spcAft>
                              <a:spcPts val="600"/>
                            </a:spcAft>
                            <a:buClr>
                              <a:schemeClr val="tx2"/>
                            </a:buClr>
                            <a:buSzPct val="75000"/>
                          </a:pPr>
                          <a:r>
                            <a:rPr lang="en-US" altLang="zh-CN" sz="1400" b="0" dirty="0" smtClean="0">
                              <a:cs typeface="Arial" pitchFamily="34" charset="0"/>
                            </a:rPr>
                            <a:t>144</a:t>
                          </a:r>
                        </a:p>
                        <a:p>
                          <a:pPr indent="-179388">
                            <a:spcAft>
                              <a:spcPts val="600"/>
                            </a:spcAft>
                            <a:buClr>
                              <a:schemeClr val="tx2"/>
                            </a:buClr>
                            <a:buSzPct val="75000"/>
                          </a:pPr>
                          <a:r>
                            <a:rPr lang="en-US" altLang="zh-CN" sz="1400" b="0" dirty="0" smtClean="0">
                              <a:cs typeface="Arial" pitchFamily="34" charset="0"/>
                            </a:rPr>
                            <a:t>16.0</a:t>
                          </a:r>
                          <a:endParaRPr lang="zh-CN" altLang="en-US" sz="1400" b="0" dirty="0" err="1" smtClean="0">
                            <a:cs typeface="Arial" pitchFamily="34" charset="0"/>
                          </a:endParaRPr>
                        </a:p>
                      </a:txBody>
                      <a:useSpRect/>
                    </a:txSp>
                  </a:sp>
                  <a:sp>
                    <a:nvSpPr>
                      <a:cNvPr id="64" name="TextBox 63"/>
                      <a:cNvSpPr txBox="1"/>
                    </a:nvSpPr>
                    <a:spPr>
                      <a:xfrm>
                        <a:off x="7324149" y="5425093"/>
                        <a:ext cx="482824" cy="600164"/>
                      </a:xfrm>
                      <a:prstGeom prst="rect">
                        <a:avLst/>
                      </a:prstGeom>
                      <a:noFill/>
                    </a:spPr>
                    <a:txSp>
                      <a:txBody>
                        <a:bodyPr wrap="none" rtlCol="0">
                          <a:spAutoFit/>
                        </a:bodyPr>
                        <a:lstStyle>
                          <a:defPPr>
                            <a:defRPr lang="zh-CN"/>
                          </a:defPPr>
                          <a:lvl1pPr algn="l" rtl="0" fontAlgn="base">
                            <a:spcBef>
                              <a:spcPct val="0"/>
                            </a:spcBef>
                            <a:spcAft>
                              <a:spcPct val="0"/>
                            </a:spcAft>
                            <a:defRPr b="1" kern="1200">
                              <a:solidFill>
                                <a:schemeClr val="tx1"/>
                              </a:solidFill>
                              <a:latin typeface="Arial" pitchFamily="34" charset="0"/>
                              <a:ea typeface="宋体" pitchFamily="2" charset="-122"/>
                              <a:cs typeface="+mn-cs"/>
                            </a:defRPr>
                          </a:lvl1pPr>
                          <a:lvl2pPr marL="455613" indent="1588" algn="l" rtl="0" fontAlgn="base">
                            <a:spcBef>
                              <a:spcPct val="0"/>
                            </a:spcBef>
                            <a:spcAft>
                              <a:spcPct val="0"/>
                            </a:spcAft>
                            <a:defRPr b="1" kern="1200">
                              <a:solidFill>
                                <a:schemeClr val="tx1"/>
                              </a:solidFill>
                              <a:latin typeface="Arial" pitchFamily="34" charset="0"/>
                              <a:ea typeface="宋体" pitchFamily="2" charset="-122"/>
                              <a:cs typeface="+mn-cs"/>
                            </a:defRPr>
                          </a:lvl2pPr>
                          <a:lvl3pPr marL="912813" indent="1588" algn="l" rtl="0" fontAlgn="base">
                            <a:spcBef>
                              <a:spcPct val="0"/>
                            </a:spcBef>
                            <a:spcAft>
                              <a:spcPct val="0"/>
                            </a:spcAft>
                            <a:defRPr b="1" kern="1200">
                              <a:solidFill>
                                <a:schemeClr val="tx1"/>
                              </a:solidFill>
                              <a:latin typeface="Arial" pitchFamily="34" charset="0"/>
                              <a:ea typeface="宋体" pitchFamily="2" charset="-122"/>
                              <a:cs typeface="+mn-cs"/>
                            </a:defRPr>
                          </a:lvl3pPr>
                          <a:lvl4pPr marL="1370013" indent="1588" algn="l" rtl="0" fontAlgn="base">
                            <a:spcBef>
                              <a:spcPct val="0"/>
                            </a:spcBef>
                            <a:spcAft>
                              <a:spcPct val="0"/>
                            </a:spcAft>
                            <a:defRPr b="1" kern="1200">
                              <a:solidFill>
                                <a:schemeClr val="tx1"/>
                              </a:solidFill>
                              <a:latin typeface="Arial" pitchFamily="34" charset="0"/>
                              <a:ea typeface="宋体" pitchFamily="2" charset="-122"/>
                              <a:cs typeface="+mn-cs"/>
                            </a:defRPr>
                          </a:lvl4pPr>
                          <a:lvl5pPr marL="1827213" indent="1588" algn="l" rtl="0" fontAlgn="base">
                            <a:spcBef>
                              <a:spcPct val="0"/>
                            </a:spcBef>
                            <a:spcAft>
                              <a:spcPct val="0"/>
                            </a:spcAft>
                            <a:defRPr b="1" kern="1200">
                              <a:solidFill>
                                <a:schemeClr val="tx1"/>
                              </a:solidFill>
                              <a:latin typeface="Arial" pitchFamily="34" charset="0"/>
                              <a:ea typeface="宋体" pitchFamily="2" charset="-122"/>
                              <a:cs typeface="+mn-cs"/>
                            </a:defRPr>
                          </a:lvl5pPr>
                          <a:lvl6pPr marL="2286000" algn="l" defTabSz="914400" rtl="0" eaLnBrk="1" latinLnBrk="0" hangingPunct="1">
                            <a:defRPr b="1" kern="1200">
                              <a:solidFill>
                                <a:schemeClr val="tx1"/>
                              </a:solidFill>
                              <a:latin typeface="Arial" pitchFamily="34" charset="0"/>
                              <a:ea typeface="宋体" pitchFamily="2" charset="-122"/>
                              <a:cs typeface="+mn-cs"/>
                            </a:defRPr>
                          </a:lvl6pPr>
                          <a:lvl7pPr marL="2743200" algn="l" defTabSz="914400" rtl="0" eaLnBrk="1" latinLnBrk="0" hangingPunct="1">
                            <a:defRPr b="1" kern="1200">
                              <a:solidFill>
                                <a:schemeClr val="tx1"/>
                              </a:solidFill>
                              <a:latin typeface="Arial" pitchFamily="34" charset="0"/>
                              <a:ea typeface="宋体" pitchFamily="2" charset="-122"/>
                              <a:cs typeface="+mn-cs"/>
                            </a:defRPr>
                          </a:lvl7pPr>
                          <a:lvl8pPr marL="3200400" algn="l" defTabSz="914400" rtl="0" eaLnBrk="1" latinLnBrk="0" hangingPunct="1">
                            <a:defRPr b="1" kern="1200">
                              <a:solidFill>
                                <a:schemeClr val="tx1"/>
                              </a:solidFill>
                              <a:latin typeface="Arial" pitchFamily="34" charset="0"/>
                              <a:ea typeface="宋体" pitchFamily="2" charset="-122"/>
                              <a:cs typeface="+mn-cs"/>
                            </a:defRPr>
                          </a:lvl8pPr>
                          <a:lvl9pPr marL="3657600" algn="l" defTabSz="914400" rtl="0" eaLnBrk="1" latinLnBrk="0" hangingPunct="1">
                            <a:defRPr b="1" kern="1200">
                              <a:solidFill>
                                <a:schemeClr val="tx1"/>
                              </a:solidFill>
                              <a:latin typeface="Arial" pitchFamily="34" charset="0"/>
                              <a:ea typeface="宋体" pitchFamily="2" charset="-122"/>
                              <a:cs typeface="+mn-cs"/>
                            </a:defRPr>
                          </a:lvl9pPr>
                        </a:lstStyle>
                        <a:p>
                          <a:pPr indent="-179388">
                            <a:spcAft>
                              <a:spcPts val="600"/>
                            </a:spcAft>
                            <a:buClr>
                              <a:schemeClr val="tx2"/>
                            </a:buClr>
                            <a:buSzPct val="75000"/>
                          </a:pPr>
                          <a:r>
                            <a:rPr lang="en-US" altLang="zh-CN" sz="1400" b="0" dirty="0" smtClean="0">
                              <a:cs typeface="Arial" pitchFamily="34" charset="0"/>
                            </a:rPr>
                            <a:t>154</a:t>
                          </a:r>
                        </a:p>
                        <a:p>
                          <a:pPr indent="-179388">
                            <a:spcAft>
                              <a:spcPts val="600"/>
                            </a:spcAft>
                            <a:buClr>
                              <a:schemeClr val="tx2"/>
                            </a:buClr>
                            <a:buSzPct val="75000"/>
                          </a:pPr>
                          <a:r>
                            <a:rPr lang="en-US" altLang="zh-CN" sz="1400" b="0" dirty="0" smtClean="0">
                              <a:cs typeface="Arial" pitchFamily="34" charset="0"/>
                            </a:rPr>
                            <a:t>6.0</a:t>
                          </a:r>
                          <a:endParaRPr lang="zh-CN" altLang="en-US" sz="1400" b="0" dirty="0" err="1" smtClean="0">
                            <a:cs typeface="Arial" pitchFamily="34" charset="0"/>
                          </a:endParaRPr>
                        </a:p>
                      </a:txBody>
                      <a:useSpRect/>
                    </a:txSp>
                  </a:sp>
                  <a:sp>
                    <a:nvSpPr>
                      <a:cNvPr id="65" name="TextBox 64"/>
                      <a:cNvSpPr txBox="1"/>
                    </a:nvSpPr>
                    <a:spPr>
                      <a:xfrm>
                        <a:off x="6157337" y="5425093"/>
                        <a:ext cx="492443" cy="600164"/>
                      </a:xfrm>
                      <a:prstGeom prst="rect">
                        <a:avLst/>
                      </a:prstGeom>
                      <a:noFill/>
                    </a:spPr>
                    <a:txSp>
                      <a:txBody>
                        <a:bodyPr wrap="none" rtlCol="0">
                          <a:spAutoFit/>
                        </a:bodyPr>
                        <a:lstStyle>
                          <a:defPPr>
                            <a:defRPr lang="zh-CN"/>
                          </a:defPPr>
                          <a:lvl1pPr algn="l" rtl="0" fontAlgn="base">
                            <a:spcBef>
                              <a:spcPct val="0"/>
                            </a:spcBef>
                            <a:spcAft>
                              <a:spcPct val="0"/>
                            </a:spcAft>
                            <a:defRPr b="1" kern="1200">
                              <a:solidFill>
                                <a:schemeClr val="tx1"/>
                              </a:solidFill>
                              <a:latin typeface="Arial" pitchFamily="34" charset="0"/>
                              <a:ea typeface="宋体" pitchFamily="2" charset="-122"/>
                              <a:cs typeface="+mn-cs"/>
                            </a:defRPr>
                          </a:lvl1pPr>
                          <a:lvl2pPr marL="455613" indent="1588" algn="l" rtl="0" fontAlgn="base">
                            <a:spcBef>
                              <a:spcPct val="0"/>
                            </a:spcBef>
                            <a:spcAft>
                              <a:spcPct val="0"/>
                            </a:spcAft>
                            <a:defRPr b="1" kern="1200">
                              <a:solidFill>
                                <a:schemeClr val="tx1"/>
                              </a:solidFill>
                              <a:latin typeface="Arial" pitchFamily="34" charset="0"/>
                              <a:ea typeface="宋体" pitchFamily="2" charset="-122"/>
                              <a:cs typeface="+mn-cs"/>
                            </a:defRPr>
                          </a:lvl2pPr>
                          <a:lvl3pPr marL="912813" indent="1588" algn="l" rtl="0" fontAlgn="base">
                            <a:spcBef>
                              <a:spcPct val="0"/>
                            </a:spcBef>
                            <a:spcAft>
                              <a:spcPct val="0"/>
                            </a:spcAft>
                            <a:defRPr b="1" kern="1200">
                              <a:solidFill>
                                <a:schemeClr val="tx1"/>
                              </a:solidFill>
                              <a:latin typeface="Arial" pitchFamily="34" charset="0"/>
                              <a:ea typeface="宋体" pitchFamily="2" charset="-122"/>
                              <a:cs typeface="+mn-cs"/>
                            </a:defRPr>
                          </a:lvl3pPr>
                          <a:lvl4pPr marL="1370013" indent="1588" algn="l" rtl="0" fontAlgn="base">
                            <a:spcBef>
                              <a:spcPct val="0"/>
                            </a:spcBef>
                            <a:spcAft>
                              <a:spcPct val="0"/>
                            </a:spcAft>
                            <a:defRPr b="1" kern="1200">
                              <a:solidFill>
                                <a:schemeClr val="tx1"/>
                              </a:solidFill>
                              <a:latin typeface="Arial" pitchFamily="34" charset="0"/>
                              <a:ea typeface="宋体" pitchFamily="2" charset="-122"/>
                              <a:cs typeface="+mn-cs"/>
                            </a:defRPr>
                          </a:lvl4pPr>
                          <a:lvl5pPr marL="1827213" indent="1588" algn="l" rtl="0" fontAlgn="base">
                            <a:spcBef>
                              <a:spcPct val="0"/>
                            </a:spcBef>
                            <a:spcAft>
                              <a:spcPct val="0"/>
                            </a:spcAft>
                            <a:defRPr b="1" kern="1200">
                              <a:solidFill>
                                <a:schemeClr val="tx1"/>
                              </a:solidFill>
                              <a:latin typeface="Arial" pitchFamily="34" charset="0"/>
                              <a:ea typeface="宋体" pitchFamily="2" charset="-122"/>
                              <a:cs typeface="+mn-cs"/>
                            </a:defRPr>
                          </a:lvl5pPr>
                          <a:lvl6pPr marL="2286000" algn="l" defTabSz="914400" rtl="0" eaLnBrk="1" latinLnBrk="0" hangingPunct="1">
                            <a:defRPr b="1" kern="1200">
                              <a:solidFill>
                                <a:schemeClr val="tx1"/>
                              </a:solidFill>
                              <a:latin typeface="Arial" pitchFamily="34" charset="0"/>
                              <a:ea typeface="宋体" pitchFamily="2" charset="-122"/>
                              <a:cs typeface="+mn-cs"/>
                            </a:defRPr>
                          </a:lvl6pPr>
                          <a:lvl7pPr marL="2743200" algn="l" defTabSz="914400" rtl="0" eaLnBrk="1" latinLnBrk="0" hangingPunct="1">
                            <a:defRPr b="1" kern="1200">
                              <a:solidFill>
                                <a:schemeClr val="tx1"/>
                              </a:solidFill>
                              <a:latin typeface="Arial" pitchFamily="34" charset="0"/>
                              <a:ea typeface="宋体" pitchFamily="2" charset="-122"/>
                              <a:cs typeface="+mn-cs"/>
                            </a:defRPr>
                          </a:lvl7pPr>
                          <a:lvl8pPr marL="3200400" algn="l" defTabSz="914400" rtl="0" eaLnBrk="1" latinLnBrk="0" hangingPunct="1">
                            <a:defRPr b="1" kern="1200">
                              <a:solidFill>
                                <a:schemeClr val="tx1"/>
                              </a:solidFill>
                              <a:latin typeface="Arial" pitchFamily="34" charset="0"/>
                              <a:ea typeface="宋体" pitchFamily="2" charset="-122"/>
                              <a:cs typeface="+mn-cs"/>
                            </a:defRPr>
                          </a:lvl8pPr>
                          <a:lvl9pPr marL="3657600" algn="l" defTabSz="914400" rtl="0" eaLnBrk="1" latinLnBrk="0" hangingPunct="1">
                            <a:defRPr b="1" kern="1200">
                              <a:solidFill>
                                <a:schemeClr val="tx1"/>
                              </a:solidFill>
                              <a:latin typeface="Arial" pitchFamily="34" charset="0"/>
                              <a:ea typeface="宋体" pitchFamily="2" charset="-122"/>
                              <a:cs typeface="+mn-cs"/>
                            </a:defRPr>
                          </a:lvl9pPr>
                        </a:lstStyle>
                        <a:p>
                          <a:pPr indent="-179388">
                            <a:spcAft>
                              <a:spcPts val="600"/>
                            </a:spcAft>
                            <a:buClr>
                              <a:schemeClr val="tx2"/>
                            </a:buClr>
                            <a:buSzPct val="75000"/>
                          </a:pPr>
                          <a:r>
                            <a:rPr lang="en-US" altLang="zh-CN" sz="1400" b="0" dirty="0" smtClean="0">
                              <a:cs typeface="Arial" pitchFamily="34" charset="0"/>
                            </a:rPr>
                            <a:t>164</a:t>
                          </a:r>
                        </a:p>
                        <a:p>
                          <a:pPr indent="-179388">
                            <a:spcAft>
                              <a:spcPts val="600"/>
                            </a:spcAft>
                            <a:buClr>
                              <a:schemeClr val="tx2"/>
                            </a:buClr>
                            <a:buSzPct val="75000"/>
                          </a:pPr>
                          <a:r>
                            <a:rPr lang="en-US" altLang="zh-CN" sz="1400" b="0" dirty="0" smtClean="0">
                              <a:cs typeface="Arial" pitchFamily="34" charset="0"/>
                            </a:rPr>
                            <a:t>-4.0</a:t>
                          </a:r>
                          <a:endParaRPr lang="zh-CN" altLang="en-US" sz="1400" b="0" dirty="0" err="1" smtClean="0">
                            <a:cs typeface="Arial" pitchFamily="34" charset="0"/>
                          </a:endParaRPr>
                        </a:p>
                      </a:txBody>
                      <a:useSpRect/>
                    </a:txSp>
                  </a:sp>
                  <a:sp>
                    <a:nvSpPr>
                      <a:cNvPr id="69" name="TextBox 68"/>
                      <a:cNvSpPr txBox="1"/>
                    </a:nvSpPr>
                    <a:spPr>
                      <a:xfrm>
                        <a:off x="5719187" y="4631729"/>
                        <a:ext cx="284052" cy="307777"/>
                      </a:xfrm>
                      <a:prstGeom prst="rect">
                        <a:avLst/>
                      </a:prstGeom>
                      <a:noFill/>
                    </a:spPr>
                    <a:txSp>
                      <a:txBody>
                        <a:bodyPr wrap="none" rtlCol="0">
                          <a:spAutoFit/>
                        </a:bodyPr>
                        <a:lstStyle>
                          <a:defPPr>
                            <a:defRPr lang="zh-CN"/>
                          </a:defPPr>
                          <a:lvl1pPr algn="l" rtl="0" fontAlgn="base">
                            <a:spcBef>
                              <a:spcPct val="0"/>
                            </a:spcBef>
                            <a:spcAft>
                              <a:spcPct val="0"/>
                            </a:spcAft>
                            <a:defRPr b="1" kern="1200">
                              <a:solidFill>
                                <a:schemeClr val="tx1"/>
                              </a:solidFill>
                              <a:latin typeface="Arial" pitchFamily="34" charset="0"/>
                              <a:ea typeface="宋体" pitchFamily="2" charset="-122"/>
                              <a:cs typeface="+mn-cs"/>
                            </a:defRPr>
                          </a:lvl1pPr>
                          <a:lvl2pPr marL="455613" indent="1588" algn="l" rtl="0" fontAlgn="base">
                            <a:spcBef>
                              <a:spcPct val="0"/>
                            </a:spcBef>
                            <a:spcAft>
                              <a:spcPct val="0"/>
                            </a:spcAft>
                            <a:defRPr b="1" kern="1200">
                              <a:solidFill>
                                <a:schemeClr val="tx1"/>
                              </a:solidFill>
                              <a:latin typeface="Arial" pitchFamily="34" charset="0"/>
                              <a:ea typeface="宋体" pitchFamily="2" charset="-122"/>
                              <a:cs typeface="+mn-cs"/>
                            </a:defRPr>
                          </a:lvl2pPr>
                          <a:lvl3pPr marL="912813" indent="1588" algn="l" rtl="0" fontAlgn="base">
                            <a:spcBef>
                              <a:spcPct val="0"/>
                            </a:spcBef>
                            <a:spcAft>
                              <a:spcPct val="0"/>
                            </a:spcAft>
                            <a:defRPr b="1" kern="1200">
                              <a:solidFill>
                                <a:schemeClr val="tx1"/>
                              </a:solidFill>
                              <a:latin typeface="Arial" pitchFamily="34" charset="0"/>
                              <a:ea typeface="宋体" pitchFamily="2" charset="-122"/>
                              <a:cs typeface="+mn-cs"/>
                            </a:defRPr>
                          </a:lvl3pPr>
                          <a:lvl4pPr marL="1370013" indent="1588" algn="l" rtl="0" fontAlgn="base">
                            <a:spcBef>
                              <a:spcPct val="0"/>
                            </a:spcBef>
                            <a:spcAft>
                              <a:spcPct val="0"/>
                            </a:spcAft>
                            <a:defRPr b="1" kern="1200">
                              <a:solidFill>
                                <a:schemeClr val="tx1"/>
                              </a:solidFill>
                              <a:latin typeface="Arial" pitchFamily="34" charset="0"/>
                              <a:ea typeface="宋体" pitchFamily="2" charset="-122"/>
                              <a:cs typeface="+mn-cs"/>
                            </a:defRPr>
                          </a:lvl4pPr>
                          <a:lvl5pPr marL="1827213" indent="1588" algn="l" rtl="0" fontAlgn="base">
                            <a:spcBef>
                              <a:spcPct val="0"/>
                            </a:spcBef>
                            <a:spcAft>
                              <a:spcPct val="0"/>
                            </a:spcAft>
                            <a:defRPr b="1" kern="1200">
                              <a:solidFill>
                                <a:schemeClr val="tx1"/>
                              </a:solidFill>
                              <a:latin typeface="Arial" pitchFamily="34" charset="0"/>
                              <a:ea typeface="宋体" pitchFamily="2" charset="-122"/>
                              <a:cs typeface="+mn-cs"/>
                            </a:defRPr>
                          </a:lvl5pPr>
                          <a:lvl6pPr marL="2286000" algn="l" defTabSz="914400" rtl="0" eaLnBrk="1" latinLnBrk="0" hangingPunct="1">
                            <a:defRPr b="1" kern="1200">
                              <a:solidFill>
                                <a:schemeClr val="tx1"/>
                              </a:solidFill>
                              <a:latin typeface="Arial" pitchFamily="34" charset="0"/>
                              <a:ea typeface="宋体" pitchFamily="2" charset="-122"/>
                              <a:cs typeface="+mn-cs"/>
                            </a:defRPr>
                          </a:lvl6pPr>
                          <a:lvl7pPr marL="2743200" algn="l" defTabSz="914400" rtl="0" eaLnBrk="1" latinLnBrk="0" hangingPunct="1">
                            <a:defRPr b="1" kern="1200">
                              <a:solidFill>
                                <a:schemeClr val="tx1"/>
                              </a:solidFill>
                              <a:latin typeface="Arial" pitchFamily="34" charset="0"/>
                              <a:ea typeface="宋体" pitchFamily="2" charset="-122"/>
                              <a:cs typeface="+mn-cs"/>
                            </a:defRPr>
                          </a:lvl7pPr>
                          <a:lvl8pPr marL="3200400" algn="l" defTabSz="914400" rtl="0" eaLnBrk="1" latinLnBrk="0" hangingPunct="1">
                            <a:defRPr b="1" kern="1200">
                              <a:solidFill>
                                <a:schemeClr val="tx1"/>
                              </a:solidFill>
                              <a:latin typeface="Arial" pitchFamily="34" charset="0"/>
                              <a:ea typeface="宋体" pitchFamily="2" charset="-122"/>
                              <a:cs typeface="+mn-cs"/>
                            </a:defRPr>
                          </a:lvl8pPr>
                          <a:lvl9pPr marL="3657600" algn="l" defTabSz="914400" rtl="0" eaLnBrk="1" latinLnBrk="0" hangingPunct="1">
                            <a:defRPr b="1" kern="1200">
                              <a:solidFill>
                                <a:schemeClr val="tx1"/>
                              </a:solidFill>
                              <a:latin typeface="Arial" pitchFamily="34" charset="0"/>
                              <a:ea typeface="宋体" pitchFamily="2" charset="-122"/>
                              <a:cs typeface="+mn-cs"/>
                            </a:defRPr>
                          </a:lvl9pPr>
                        </a:lstStyle>
                        <a:p>
                          <a:pPr indent="-179388">
                            <a:spcAft>
                              <a:spcPts val="600"/>
                            </a:spcAft>
                            <a:buClr>
                              <a:schemeClr val="tx2"/>
                            </a:buClr>
                            <a:buSzPct val="75000"/>
                          </a:pPr>
                          <a:r>
                            <a:rPr lang="en-US" altLang="zh-CN" sz="1400" b="0" dirty="0" smtClean="0">
                              <a:cs typeface="Arial" pitchFamily="34" charset="0"/>
                            </a:rPr>
                            <a:t>1</a:t>
                          </a:r>
                          <a:endParaRPr lang="zh-CN" altLang="en-US" sz="1400" b="0" dirty="0" err="1" smtClean="0">
                            <a:cs typeface="Arial" pitchFamily="34" charset="0"/>
                          </a:endParaRPr>
                        </a:p>
                      </a:txBody>
                      <a:useSpRect/>
                    </a:txSp>
                  </a:sp>
                  <a:sp>
                    <a:nvSpPr>
                      <a:cNvPr id="70" name="TextBox 69"/>
                      <a:cNvSpPr txBox="1"/>
                    </a:nvSpPr>
                    <a:spPr>
                      <a:xfrm>
                        <a:off x="5662037" y="3593504"/>
                        <a:ext cx="383438" cy="307777"/>
                      </a:xfrm>
                      <a:prstGeom prst="rect">
                        <a:avLst/>
                      </a:prstGeom>
                      <a:noFill/>
                    </a:spPr>
                    <a:txSp>
                      <a:txBody>
                        <a:bodyPr wrap="none" rtlCol="0">
                          <a:spAutoFit/>
                        </a:bodyPr>
                        <a:lstStyle>
                          <a:defPPr>
                            <a:defRPr lang="zh-CN"/>
                          </a:defPPr>
                          <a:lvl1pPr algn="l" rtl="0" fontAlgn="base">
                            <a:spcBef>
                              <a:spcPct val="0"/>
                            </a:spcBef>
                            <a:spcAft>
                              <a:spcPct val="0"/>
                            </a:spcAft>
                            <a:defRPr b="1" kern="1200">
                              <a:solidFill>
                                <a:schemeClr val="tx1"/>
                              </a:solidFill>
                              <a:latin typeface="Arial" pitchFamily="34" charset="0"/>
                              <a:ea typeface="宋体" pitchFamily="2" charset="-122"/>
                              <a:cs typeface="+mn-cs"/>
                            </a:defRPr>
                          </a:lvl1pPr>
                          <a:lvl2pPr marL="455613" indent="1588" algn="l" rtl="0" fontAlgn="base">
                            <a:spcBef>
                              <a:spcPct val="0"/>
                            </a:spcBef>
                            <a:spcAft>
                              <a:spcPct val="0"/>
                            </a:spcAft>
                            <a:defRPr b="1" kern="1200">
                              <a:solidFill>
                                <a:schemeClr val="tx1"/>
                              </a:solidFill>
                              <a:latin typeface="Arial" pitchFamily="34" charset="0"/>
                              <a:ea typeface="宋体" pitchFamily="2" charset="-122"/>
                              <a:cs typeface="+mn-cs"/>
                            </a:defRPr>
                          </a:lvl2pPr>
                          <a:lvl3pPr marL="912813" indent="1588" algn="l" rtl="0" fontAlgn="base">
                            <a:spcBef>
                              <a:spcPct val="0"/>
                            </a:spcBef>
                            <a:spcAft>
                              <a:spcPct val="0"/>
                            </a:spcAft>
                            <a:defRPr b="1" kern="1200">
                              <a:solidFill>
                                <a:schemeClr val="tx1"/>
                              </a:solidFill>
                              <a:latin typeface="Arial" pitchFamily="34" charset="0"/>
                              <a:ea typeface="宋体" pitchFamily="2" charset="-122"/>
                              <a:cs typeface="+mn-cs"/>
                            </a:defRPr>
                          </a:lvl3pPr>
                          <a:lvl4pPr marL="1370013" indent="1588" algn="l" rtl="0" fontAlgn="base">
                            <a:spcBef>
                              <a:spcPct val="0"/>
                            </a:spcBef>
                            <a:spcAft>
                              <a:spcPct val="0"/>
                            </a:spcAft>
                            <a:defRPr b="1" kern="1200">
                              <a:solidFill>
                                <a:schemeClr val="tx1"/>
                              </a:solidFill>
                              <a:latin typeface="Arial" pitchFamily="34" charset="0"/>
                              <a:ea typeface="宋体" pitchFamily="2" charset="-122"/>
                              <a:cs typeface="+mn-cs"/>
                            </a:defRPr>
                          </a:lvl4pPr>
                          <a:lvl5pPr marL="1827213" indent="1588" algn="l" rtl="0" fontAlgn="base">
                            <a:spcBef>
                              <a:spcPct val="0"/>
                            </a:spcBef>
                            <a:spcAft>
                              <a:spcPct val="0"/>
                            </a:spcAft>
                            <a:defRPr b="1" kern="1200">
                              <a:solidFill>
                                <a:schemeClr val="tx1"/>
                              </a:solidFill>
                              <a:latin typeface="Arial" pitchFamily="34" charset="0"/>
                              <a:ea typeface="宋体" pitchFamily="2" charset="-122"/>
                              <a:cs typeface="+mn-cs"/>
                            </a:defRPr>
                          </a:lvl5pPr>
                          <a:lvl6pPr marL="2286000" algn="l" defTabSz="914400" rtl="0" eaLnBrk="1" latinLnBrk="0" hangingPunct="1">
                            <a:defRPr b="1" kern="1200">
                              <a:solidFill>
                                <a:schemeClr val="tx1"/>
                              </a:solidFill>
                              <a:latin typeface="Arial" pitchFamily="34" charset="0"/>
                              <a:ea typeface="宋体" pitchFamily="2" charset="-122"/>
                              <a:cs typeface="+mn-cs"/>
                            </a:defRPr>
                          </a:lvl6pPr>
                          <a:lvl7pPr marL="2743200" algn="l" defTabSz="914400" rtl="0" eaLnBrk="1" latinLnBrk="0" hangingPunct="1">
                            <a:defRPr b="1" kern="1200">
                              <a:solidFill>
                                <a:schemeClr val="tx1"/>
                              </a:solidFill>
                              <a:latin typeface="Arial" pitchFamily="34" charset="0"/>
                              <a:ea typeface="宋体" pitchFamily="2" charset="-122"/>
                              <a:cs typeface="+mn-cs"/>
                            </a:defRPr>
                          </a:lvl7pPr>
                          <a:lvl8pPr marL="3200400" algn="l" defTabSz="914400" rtl="0" eaLnBrk="1" latinLnBrk="0" hangingPunct="1">
                            <a:defRPr b="1" kern="1200">
                              <a:solidFill>
                                <a:schemeClr val="tx1"/>
                              </a:solidFill>
                              <a:latin typeface="Arial" pitchFamily="34" charset="0"/>
                              <a:ea typeface="宋体" pitchFamily="2" charset="-122"/>
                              <a:cs typeface="+mn-cs"/>
                            </a:defRPr>
                          </a:lvl8pPr>
                          <a:lvl9pPr marL="3657600" algn="l" defTabSz="914400" rtl="0" eaLnBrk="1" latinLnBrk="0" hangingPunct="1">
                            <a:defRPr b="1" kern="1200">
                              <a:solidFill>
                                <a:schemeClr val="tx1"/>
                              </a:solidFill>
                              <a:latin typeface="Arial" pitchFamily="34" charset="0"/>
                              <a:ea typeface="宋体" pitchFamily="2" charset="-122"/>
                              <a:cs typeface="+mn-cs"/>
                            </a:defRPr>
                          </a:lvl9pPr>
                        </a:lstStyle>
                        <a:p>
                          <a:pPr indent="-179388">
                            <a:spcAft>
                              <a:spcPts val="600"/>
                            </a:spcAft>
                            <a:buClr>
                              <a:schemeClr val="tx2"/>
                            </a:buClr>
                            <a:buSzPct val="75000"/>
                          </a:pPr>
                          <a:r>
                            <a:rPr lang="en-US" altLang="zh-CN" sz="1400" b="0" dirty="0" smtClean="0">
                              <a:cs typeface="Arial" pitchFamily="34" charset="0"/>
                            </a:rPr>
                            <a:t>10</a:t>
                          </a:r>
                          <a:endParaRPr lang="zh-CN" altLang="en-US" sz="1400" b="0" dirty="0" err="1" smtClean="0">
                            <a:cs typeface="Arial" pitchFamily="34" charset="0"/>
                          </a:endParaRPr>
                        </a:p>
                      </a:txBody>
                      <a:useSpRect/>
                    </a:txSp>
                  </a:sp>
                  <a:sp>
                    <a:nvSpPr>
                      <a:cNvPr id="71" name="TextBox 70"/>
                      <a:cNvSpPr txBox="1"/>
                    </a:nvSpPr>
                    <a:spPr>
                      <a:xfrm>
                        <a:off x="5576312" y="2536229"/>
                        <a:ext cx="482824" cy="307777"/>
                      </a:xfrm>
                      <a:prstGeom prst="rect">
                        <a:avLst/>
                      </a:prstGeom>
                      <a:noFill/>
                    </a:spPr>
                    <a:txSp>
                      <a:txBody>
                        <a:bodyPr wrap="none" rtlCol="0">
                          <a:spAutoFit/>
                        </a:bodyPr>
                        <a:lstStyle>
                          <a:defPPr>
                            <a:defRPr lang="zh-CN"/>
                          </a:defPPr>
                          <a:lvl1pPr algn="l" rtl="0" fontAlgn="base">
                            <a:spcBef>
                              <a:spcPct val="0"/>
                            </a:spcBef>
                            <a:spcAft>
                              <a:spcPct val="0"/>
                            </a:spcAft>
                            <a:defRPr b="1" kern="1200">
                              <a:solidFill>
                                <a:schemeClr val="tx1"/>
                              </a:solidFill>
                              <a:latin typeface="Arial" pitchFamily="34" charset="0"/>
                              <a:ea typeface="宋体" pitchFamily="2" charset="-122"/>
                              <a:cs typeface="+mn-cs"/>
                            </a:defRPr>
                          </a:lvl1pPr>
                          <a:lvl2pPr marL="455613" indent="1588" algn="l" rtl="0" fontAlgn="base">
                            <a:spcBef>
                              <a:spcPct val="0"/>
                            </a:spcBef>
                            <a:spcAft>
                              <a:spcPct val="0"/>
                            </a:spcAft>
                            <a:defRPr b="1" kern="1200">
                              <a:solidFill>
                                <a:schemeClr val="tx1"/>
                              </a:solidFill>
                              <a:latin typeface="Arial" pitchFamily="34" charset="0"/>
                              <a:ea typeface="宋体" pitchFamily="2" charset="-122"/>
                              <a:cs typeface="+mn-cs"/>
                            </a:defRPr>
                          </a:lvl2pPr>
                          <a:lvl3pPr marL="912813" indent="1588" algn="l" rtl="0" fontAlgn="base">
                            <a:spcBef>
                              <a:spcPct val="0"/>
                            </a:spcBef>
                            <a:spcAft>
                              <a:spcPct val="0"/>
                            </a:spcAft>
                            <a:defRPr b="1" kern="1200">
                              <a:solidFill>
                                <a:schemeClr val="tx1"/>
                              </a:solidFill>
                              <a:latin typeface="Arial" pitchFamily="34" charset="0"/>
                              <a:ea typeface="宋体" pitchFamily="2" charset="-122"/>
                              <a:cs typeface="+mn-cs"/>
                            </a:defRPr>
                          </a:lvl3pPr>
                          <a:lvl4pPr marL="1370013" indent="1588" algn="l" rtl="0" fontAlgn="base">
                            <a:spcBef>
                              <a:spcPct val="0"/>
                            </a:spcBef>
                            <a:spcAft>
                              <a:spcPct val="0"/>
                            </a:spcAft>
                            <a:defRPr b="1" kern="1200">
                              <a:solidFill>
                                <a:schemeClr val="tx1"/>
                              </a:solidFill>
                              <a:latin typeface="Arial" pitchFamily="34" charset="0"/>
                              <a:ea typeface="宋体" pitchFamily="2" charset="-122"/>
                              <a:cs typeface="+mn-cs"/>
                            </a:defRPr>
                          </a:lvl4pPr>
                          <a:lvl5pPr marL="1827213" indent="1588" algn="l" rtl="0" fontAlgn="base">
                            <a:spcBef>
                              <a:spcPct val="0"/>
                            </a:spcBef>
                            <a:spcAft>
                              <a:spcPct val="0"/>
                            </a:spcAft>
                            <a:defRPr b="1" kern="1200">
                              <a:solidFill>
                                <a:schemeClr val="tx1"/>
                              </a:solidFill>
                              <a:latin typeface="Arial" pitchFamily="34" charset="0"/>
                              <a:ea typeface="宋体" pitchFamily="2" charset="-122"/>
                              <a:cs typeface="+mn-cs"/>
                            </a:defRPr>
                          </a:lvl5pPr>
                          <a:lvl6pPr marL="2286000" algn="l" defTabSz="914400" rtl="0" eaLnBrk="1" latinLnBrk="0" hangingPunct="1">
                            <a:defRPr b="1" kern="1200">
                              <a:solidFill>
                                <a:schemeClr val="tx1"/>
                              </a:solidFill>
                              <a:latin typeface="Arial" pitchFamily="34" charset="0"/>
                              <a:ea typeface="宋体" pitchFamily="2" charset="-122"/>
                              <a:cs typeface="+mn-cs"/>
                            </a:defRPr>
                          </a:lvl6pPr>
                          <a:lvl7pPr marL="2743200" algn="l" defTabSz="914400" rtl="0" eaLnBrk="1" latinLnBrk="0" hangingPunct="1">
                            <a:defRPr b="1" kern="1200">
                              <a:solidFill>
                                <a:schemeClr val="tx1"/>
                              </a:solidFill>
                              <a:latin typeface="Arial" pitchFamily="34" charset="0"/>
                              <a:ea typeface="宋体" pitchFamily="2" charset="-122"/>
                              <a:cs typeface="+mn-cs"/>
                            </a:defRPr>
                          </a:lvl7pPr>
                          <a:lvl8pPr marL="3200400" algn="l" defTabSz="914400" rtl="0" eaLnBrk="1" latinLnBrk="0" hangingPunct="1">
                            <a:defRPr b="1" kern="1200">
                              <a:solidFill>
                                <a:schemeClr val="tx1"/>
                              </a:solidFill>
                              <a:latin typeface="Arial" pitchFamily="34" charset="0"/>
                              <a:ea typeface="宋体" pitchFamily="2" charset="-122"/>
                              <a:cs typeface="+mn-cs"/>
                            </a:defRPr>
                          </a:lvl8pPr>
                          <a:lvl9pPr marL="3657600" algn="l" defTabSz="914400" rtl="0" eaLnBrk="1" latinLnBrk="0" hangingPunct="1">
                            <a:defRPr b="1" kern="1200">
                              <a:solidFill>
                                <a:schemeClr val="tx1"/>
                              </a:solidFill>
                              <a:latin typeface="Arial" pitchFamily="34" charset="0"/>
                              <a:ea typeface="宋体" pitchFamily="2" charset="-122"/>
                              <a:cs typeface="+mn-cs"/>
                            </a:defRPr>
                          </a:lvl9pPr>
                        </a:lstStyle>
                        <a:p>
                          <a:pPr indent="-179388">
                            <a:spcAft>
                              <a:spcPts val="600"/>
                            </a:spcAft>
                            <a:buClr>
                              <a:schemeClr val="tx2"/>
                            </a:buClr>
                            <a:buSzPct val="75000"/>
                          </a:pPr>
                          <a:r>
                            <a:rPr lang="en-US" altLang="zh-CN" sz="1400" b="0" dirty="0" smtClean="0">
                              <a:cs typeface="Arial" pitchFamily="34" charset="0"/>
                            </a:rPr>
                            <a:t>100</a:t>
                          </a:r>
                          <a:endParaRPr lang="zh-CN" altLang="en-US" sz="1400" b="0" dirty="0" err="1" smtClean="0">
                            <a:cs typeface="Arial" pitchFamily="34" charset="0"/>
                          </a:endParaRPr>
                        </a:p>
                      </a:txBody>
                      <a:useSpRect/>
                    </a:txSp>
                  </a:sp>
                  <a:cxnSp>
                    <a:nvCxnSpPr>
                      <a:cNvPr id="77" name="直接连接符 76"/>
                      <a:cNvCxnSpPr/>
                    </a:nvCxnSpPr>
                    <a:spPr bwMode="auto">
                      <a:xfrm flipV="1">
                        <a:off x="6129495" y="2895600"/>
                        <a:ext cx="2765700" cy="2269255"/>
                      </a:xfrm>
                      <a:prstGeom prst="line">
                        <a:avLst/>
                      </a:prstGeom>
                      <a:noFill/>
                      <a:ln w="38100" cap="flat" cmpd="sng" algn="ctr">
                        <a:solidFill>
                          <a:srgbClr val="C00000"/>
                        </a:solidFill>
                        <a:prstDash val="solid"/>
                        <a:round/>
                        <a:headEnd type="none" w="med" len="med"/>
                        <a:tailEnd type="none" w="med" len="med"/>
                      </a:ln>
                      <a:effectLst/>
                    </a:spPr>
                  </a:cxnSp>
                  <a:cxnSp>
                    <a:nvCxnSpPr>
                      <a:cNvPr id="83" name="直接连接符 82"/>
                      <a:cNvCxnSpPr/>
                    </a:nvCxnSpPr>
                    <a:spPr bwMode="auto">
                      <a:xfrm flipV="1">
                        <a:off x="7387590" y="3903077"/>
                        <a:ext cx="737235" cy="592724"/>
                      </a:xfrm>
                      <a:prstGeom prst="line">
                        <a:avLst/>
                      </a:prstGeom>
                      <a:noFill/>
                      <a:ln w="3175" cap="flat" cmpd="sng" algn="ctr">
                        <a:solidFill>
                          <a:srgbClr val="00B050"/>
                        </a:solidFill>
                        <a:prstDash val="solid"/>
                        <a:round/>
                        <a:headEnd type="none" w="med" len="med"/>
                        <a:tailEnd type="none" w="med" len="med"/>
                      </a:ln>
                      <a:effectLst/>
                    </a:spPr>
                  </a:cxnSp>
                  <a:cxnSp>
                    <a:nvCxnSpPr>
                      <a:cNvPr id="85" name="直接连接符 84"/>
                      <a:cNvCxnSpPr/>
                    </a:nvCxnSpPr>
                    <a:spPr bwMode="auto">
                      <a:xfrm flipV="1">
                        <a:off x="8134350" y="3733800"/>
                        <a:ext cx="428625" cy="352425"/>
                      </a:xfrm>
                      <a:prstGeom prst="line">
                        <a:avLst/>
                      </a:prstGeom>
                      <a:noFill/>
                      <a:ln w="3175" cap="flat" cmpd="sng" algn="ctr">
                        <a:solidFill>
                          <a:srgbClr val="00B050"/>
                        </a:solidFill>
                        <a:prstDash val="solid"/>
                        <a:round/>
                        <a:headEnd type="none" w="med" len="med"/>
                        <a:tailEnd type="none" w="med" len="med"/>
                      </a:ln>
                      <a:effectLst/>
                    </a:spPr>
                  </a:cxnSp>
                  <a:cxnSp>
                    <a:nvCxnSpPr>
                      <a:cNvPr id="86" name="直接连接符 85"/>
                      <a:cNvCxnSpPr/>
                    </a:nvCxnSpPr>
                    <a:spPr bwMode="auto">
                      <a:xfrm flipV="1">
                        <a:off x="8572500" y="3463290"/>
                        <a:ext cx="428625" cy="352425"/>
                      </a:xfrm>
                      <a:prstGeom prst="line">
                        <a:avLst/>
                      </a:prstGeom>
                      <a:noFill/>
                      <a:ln w="3175" cap="flat" cmpd="sng" algn="ctr">
                        <a:solidFill>
                          <a:srgbClr val="00B050"/>
                        </a:solidFill>
                        <a:prstDash val="solid"/>
                        <a:round/>
                        <a:headEnd type="none" w="med" len="med"/>
                        <a:tailEnd type="none" w="med" len="med"/>
                      </a:ln>
                      <a:effectLst/>
                    </a:spPr>
                  </a:cxnSp>
                  <a:cxnSp>
                    <a:nvCxnSpPr>
                      <a:cNvPr id="94" name="直接箭头连接符 93"/>
                      <a:cNvCxnSpPr/>
                    </a:nvCxnSpPr>
                    <a:spPr bwMode="auto">
                      <a:xfrm>
                        <a:off x="7591425" y="3968948"/>
                        <a:ext cx="664368" cy="0"/>
                      </a:xfrm>
                      <a:prstGeom prst="straightConnector1">
                        <a:avLst/>
                      </a:prstGeom>
                      <a:noFill/>
                      <a:ln w="3175" cap="flat" cmpd="sng" algn="ctr">
                        <a:solidFill>
                          <a:schemeClr val="accent2">
                            <a:lumMod val="50000"/>
                          </a:schemeClr>
                        </a:solidFill>
                        <a:prstDash val="solid"/>
                        <a:round/>
                        <a:headEnd type="triangle" w="med" len="med"/>
                        <a:tailEnd type="triangle" w="med" len="med"/>
                      </a:ln>
                      <a:effectLst/>
                    </a:spPr>
                  </a:cxnSp>
                  <a:sp>
                    <a:nvSpPr>
                      <a:cNvPr id="99" name="TextBox 98"/>
                      <a:cNvSpPr txBox="1"/>
                    </a:nvSpPr>
                    <a:spPr>
                      <a:xfrm>
                        <a:off x="10571164" y="3382368"/>
                        <a:ext cx="1190625" cy="661720"/>
                      </a:xfrm>
                      <a:prstGeom prst="rect">
                        <a:avLst/>
                      </a:prstGeom>
                      <a:noFill/>
                    </a:spPr>
                    <a:txSp>
                      <a:txBody>
                        <a:bodyPr wrap="square" rtlCol="0">
                          <a:spAutoFit/>
                        </a:bodyPr>
                        <a:lstStyle>
                          <a:defPPr>
                            <a:defRPr lang="zh-CN"/>
                          </a:defPPr>
                          <a:lvl1pPr algn="l" rtl="0" fontAlgn="base">
                            <a:spcBef>
                              <a:spcPct val="0"/>
                            </a:spcBef>
                            <a:spcAft>
                              <a:spcPct val="0"/>
                            </a:spcAft>
                            <a:defRPr b="1" kern="1200">
                              <a:solidFill>
                                <a:schemeClr val="tx1"/>
                              </a:solidFill>
                              <a:latin typeface="Arial" pitchFamily="34" charset="0"/>
                              <a:ea typeface="宋体" pitchFamily="2" charset="-122"/>
                              <a:cs typeface="+mn-cs"/>
                            </a:defRPr>
                          </a:lvl1pPr>
                          <a:lvl2pPr marL="455613" indent="1588" algn="l" rtl="0" fontAlgn="base">
                            <a:spcBef>
                              <a:spcPct val="0"/>
                            </a:spcBef>
                            <a:spcAft>
                              <a:spcPct val="0"/>
                            </a:spcAft>
                            <a:defRPr b="1" kern="1200">
                              <a:solidFill>
                                <a:schemeClr val="tx1"/>
                              </a:solidFill>
                              <a:latin typeface="Arial" pitchFamily="34" charset="0"/>
                              <a:ea typeface="宋体" pitchFamily="2" charset="-122"/>
                              <a:cs typeface="+mn-cs"/>
                            </a:defRPr>
                          </a:lvl2pPr>
                          <a:lvl3pPr marL="912813" indent="1588" algn="l" rtl="0" fontAlgn="base">
                            <a:spcBef>
                              <a:spcPct val="0"/>
                            </a:spcBef>
                            <a:spcAft>
                              <a:spcPct val="0"/>
                            </a:spcAft>
                            <a:defRPr b="1" kern="1200">
                              <a:solidFill>
                                <a:schemeClr val="tx1"/>
                              </a:solidFill>
                              <a:latin typeface="Arial" pitchFamily="34" charset="0"/>
                              <a:ea typeface="宋体" pitchFamily="2" charset="-122"/>
                              <a:cs typeface="+mn-cs"/>
                            </a:defRPr>
                          </a:lvl3pPr>
                          <a:lvl4pPr marL="1370013" indent="1588" algn="l" rtl="0" fontAlgn="base">
                            <a:spcBef>
                              <a:spcPct val="0"/>
                            </a:spcBef>
                            <a:spcAft>
                              <a:spcPct val="0"/>
                            </a:spcAft>
                            <a:defRPr b="1" kern="1200">
                              <a:solidFill>
                                <a:schemeClr val="tx1"/>
                              </a:solidFill>
                              <a:latin typeface="Arial" pitchFamily="34" charset="0"/>
                              <a:ea typeface="宋体" pitchFamily="2" charset="-122"/>
                              <a:cs typeface="+mn-cs"/>
                            </a:defRPr>
                          </a:lvl4pPr>
                          <a:lvl5pPr marL="1827213" indent="1588" algn="l" rtl="0" fontAlgn="base">
                            <a:spcBef>
                              <a:spcPct val="0"/>
                            </a:spcBef>
                            <a:spcAft>
                              <a:spcPct val="0"/>
                            </a:spcAft>
                            <a:defRPr b="1" kern="1200">
                              <a:solidFill>
                                <a:schemeClr val="tx1"/>
                              </a:solidFill>
                              <a:latin typeface="Arial" pitchFamily="34" charset="0"/>
                              <a:ea typeface="宋体" pitchFamily="2" charset="-122"/>
                              <a:cs typeface="+mn-cs"/>
                            </a:defRPr>
                          </a:lvl5pPr>
                          <a:lvl6pPr marL="2286000" algn="l" defTabSz="914400" rtl="0" eaLnBrk="1" latinLnBrk="0" hangingPunct="1">
                            <a:defRPr b="1" kern="1200">
                              <a:solidFill>
                                <a:schemeClr val="tx1"/>
                              </a:solidFill>
                              <a:latin typeface="Arial" pitchFamily="34" charset="0"/>
                              <a:ea typeface="宋体" pitchFamily="2" charset="-122"/>
                              <a:cs typeface="+mn-cs"/>
                            </a:defRPr>
                          </a:lvl6pPr>
                          <a:lvl7pPr marL="2743200" algn="l" defTabSz="914400" rtl="0" eaLnBrk="1" latinLnBrk="0" hangingPunct="1">
                            <a:defRPr b="1" kern="1200">
                              <a:solidFill>
                                <a:schemeClr val="tx1"/>
                              </a:solidFill>
                              <a:latin typeface="Arial" pitchFamily="34" charset="0"/>
                              <a:ea typeface="宋体" pitchFamily="2" charset="-122"/>
                              <a:cs typeface="+mn-cs"/>
                            </a:defRPr>
                          </a:lvl7pPr>
                          <a:lvl8pPr marL="3200400" algn="l" defTabSz="914400" rtl="0" eaLnBrk="1" latinLnBrk="0" hangingPunct="1">
                            <a:defRPr b="1" kern="1200">
                              <a:solidFill>
                                <a:schemeClr val="tx1"/>
                              </a:solidFill>
                              <a:latin typeface="Arial" pitchFamily="34" charset="0"/>
                              <a:ea typeface="宋体" pitchFamily="2" charset="-122"/>
                              <a:cs typeface="+mn-cs"/>
                            </a:defRPr>
                          </a:lvl8pPr>
                          <a:lvl9pPr marL="3657600" algn="l" defTabSz="914400" rtl="0" eaLnBrk="1" latinLnBrk="0" hangingPunct="1">
                            <a:defRPr b="1" kern="1200">
                              <a:solidFill>
                                <a:schemeClr val="tx1"/>
                              </a:solidFill>
                              <a:latin typeface="Arial" pitchFamily="34" charset="0"/>
                              <a:ea typeface="宋体" pitchFamily="2" charset="-122"/>
                              <a:cs typeface="+mn-cs"/>
                            </a:defRPr>
                          </a:lvl9pPr>
                        </a:lstStyle>
                        <a:p>
                          <a:pPr indent="-179388">
                            <a:spcAft>
                              <a:spcPts val="600"/>
                            </a:spcAft>
                            <a:buClr>
                              <a:schemeClr val="tx2"/>
                            </a:buClr>
                            <a:buSzPct val="75000"/>
                          </a:pPr>
                          <a:r>
                            <a:rPr lang="en-US" altLang="zh-CN" sz="1600" i="1" dirty="0" smtClean="0">
                              <a:solidFill>
                                <a:srgbClr val="C00000"/>
                              </a:solidFill>
                              <a:cs typeface="Arial" pitchFamily="34" charset="0"/>
                            </a:rPr>
                            <a:t>-FDMA</a:t>
                          </a:r>
                        </a:p>
                        <a:p>
                          <a:pPr indent="-179388">
                            <a:spcAft>
                              <a:spcPts val="600"/>
                            </a:spcAft>
                            <a:buClr>
                              <a:schemeClr val="tx2"/>
                            </a:buClr>
                            <a:buSzPct val="75000"/>
                          </a:pPr>
                          <a:r>
                            <a:rPr lang="en-US" altLang="zh-CN" sz="1600" i="1" dirty="0" smtClean="0">
                              <a:solidFill>
                                <a:srgbClr val="0070C0"/>
                              </a:solidFill>
                              <a:cs typeface="Arial" pitchFamily="34" charset="0"/>
                            </a:rPr>
                            <a:t>-SC-FDMA</a:t>
                          </a:r>
                          <a:endParaRPr lang="zh-CN" altLang="en-US" sz="1600" i="1" dirty="0" err="1" smtClean="0">
                            <a:solidFill>
                              <a:srgbClr val="0070C0"/>
                            </a:solidFill>
                            <a:cs typeface="Arial" pitchFamily="34" charset="0"/>
                          </a:endParaRPr>
                        </a:p>
                      </a:txBody>
                      <a:useSpRect/>
                    </a:txSp>
                  </a:sp>
                  <a:cxnSp>
                    <a:nvCxnSpPr>
                      <a:cNvPr id="100" name="直接箭头连接符 99"/>
                      <a:cNvCxnSpPr/>
                    </a:nvCxnSpPr>
                    <a:spPr bwMode="auto">
                      <a:xfrm>
                        <a:off x="8027988" y="3616523"/>
                        <a:ext cx="773113" cy="0"/>
                      </a:xfrm>
                      <a:prstGeom prst="straightConnector1">
                        <a:avLst/>
                      </a:prstGeom>
                      <a:noFill/>
                      <a:ln w="3175" cap="flat" cmpd="sng" algn="ctr">
                        <a:solidFill>
                          <a:schemeClr val="accent2">
                            <a:lumMod val="50000"/>
                          </a:schemeClr>
                        </a:solidFill>
                        <a:prstDash val="solid"/>
                        <a:round/>
                        <a:headEnd type="triangle" w="med" len="med"/>
                        <a:tailEnd type="triangle" w="med" len="med"/>
                      </a:ln>
                      <a:effectLst/>
                    </a:spPr>
                  </a:cxnSp>
                  <a:cxnSp>
                    <a:nvCxnSpPr>
                      <a:cNvPr id="67" name="直接箭头连接符 66"/>
                      <a:cNvCxnSpPr/>
                    </a:nvCxnSpPr>
                    <a:spPr bwMode="auto">
                      <a:xfrm>
                        <a:off x="7258660" y="4200525"/>
                        <a:ext cx="489926" cy="0"/>
                      </a:xfrm>
                      <a:prstGeom prst="straightConnector1">
                        <a:avLst/>
                      </a:prstGeom>
                      <a:noFill/>
                      <a:ln w="3175" cap="flat" cmpd="sng" algn="ctr">
                        <a:solidFill>
                          <a:schemeClr val="accent2">
                            <a:lumMod val="50000"/>
                          </a:schemeClr>
                        </a:solidFill>
                        <a:prstDash val="solid"/>
                        <a:round/>
                        <a:headEnd type="triangle" w="med" len="med"/>
                        <a:tailEnd type="triangle" w="med" len="med"/>
                      </a:ln>
                      <a:effectLst/>
                    </a:spPr>
                  </a:cxnSp>
                  <a:cxnSp>
                    <a:nvCxnSpPr>
                      <a:cNvPr id="75" name="直接连接符 74"/>
                      <a:cNvCxnSpPr/>
                    </a:nvCxnSpPr>
                    <a:spPr bwMode="auto">
                      <a:xfrm>
                        <a:off x="8895195" y="2895600"/>
                        <a:ext cx="1668030" cy="0"/>
                      </a:xfrm>
                      <a:prstGeom prst="line">
                        <a:avLst/>
                      </a:prstGeom>
                      <a:noFill/>
                      <a:ln w="38100" cap="flat" cmpd="sng" algn="ctr">
                        <a:solidFill>
                          <a:srgbClr val="C00000"/>
                        </a:solidFill>
                        <a:prstDash val="solid"/>
                        <a:round/>
                        <a:headEnd type="none" w="med" len="med"/>
                        <a:tailEnd type="none" w="med" len="med"/>
                      </a:ln>
                      <a:effectLst/>
                    </a:spPr>
                  </a:cxnSp>
                  <a:cxnSp>
                    <a:nvCxnSpPr>
                      <a:cNvPr id="80" name="直接连接符 79"/>
                      <a:cNvCxnSpPr/>
                    </a:nvCxnSpPr>
                    <a:spPr bwMode="auto">
                      <a:xfrm flipV="1">
                        <a:off x="8895195" y="1920081"/>
                        <a:ext cx="1243592" cy="975520"/>
                      </a:xfrm>
                      <a:prstGeom prst="line">
                        <a:avLst/>
                      </a:prstGeom>
                      <a:noFill/>
                      <a:ln w="38100" cap="flat" cmpd="sng" algn="ctr">
                        <a:solidFill>
                          <a:srgbClr val="C00000"/>
                        </a:solidFill>
                        <a:prstDash val="sysDash"/>
                        <a:round/>
                        <a:headEnd type="none" w="med" len="med"/>
                        <a:tailEnd type="none" w="med" len="med"/>
                      </a:ln>
                      <a:effectLst/>
                    </a:spPr>
                  </a:cxnSp>
                  <a:sp>
                    <a:nvSpPr>
                      <a:cNvPr id="73" name="TextBox 72"/>
                      <a:cNvSpPr txBox="1"/>
                    </a:nvSpPr>
                    <a:spPr>
                      <a:xfrm>
                        <a:off x="7201510" y="3976681"/>
                        <a:ext cx="761747" cy="246221"/>
                      </a:xfrm>
                      <a:prstGeom prst="rect">
                        <a:avLst/>
                      </a:prstGeom>
                      <a:noFill/>
                    </a:spPr>
                    <a:txSp>
                      <a:txBody>
                        <a:bodyPr wrap="none" rtlCol="0">
                          <a:spAutoFit/>
                        </a:bodyPr>
                        <a:lstStyle>
                          <a:defPPr>
                            <a:defRPr lang="zh-CN"/>
                          </a:defPPr>
                          <a:lvl1pPr algn="l" rtl="0" fontAlgn="base">
                            <a:spcBef>
                              <a:spcPct val="0"/>
                            </a:spcBef>
                            <a:spcAft>
                              <a:spcPct val="0"/>
                            </a:spcAft>
                            <a:defRPr b="1" kern="1200">
                              <a:solidFill>
                                <a:schemeClr val="tx1"/>
                              </a:solidFill>
                              <a:latin typeface="Arial" pitchFamily="34" charset="0"/>
                              <a:ea typeface="宋体" pitchFamily="2" charset="-122"/>
                              <a:cs typeface="+mn-cs"/>
                            </a:defRPr>
                          </a:lvl1pPr>
                          <a:lvl2pPr marL="455613" indent="1588" algn="l" rtl="0" fontAlgn="base">
                            <a:spcBef>
                              <a:spcPct val="0"/>
                            </a:spcBef>
                            <a:spcAft>
                              <a:spcPct val="0"/>
                            </a:spcAft>
                            <a:defRPr b="1" kern="1200">
                              <a:solidFill>
                                <a:schemeClr val="tx1"/>
                              </a:solidFill>
                              <a:latin typeface="Arial" pitchFamily="34" charset="0"/>
                              <a:ea typeface="宋体" pitchFamily="2" charset="-122"/>
                              <a:cs typeface="+mn-cs"/>
                            </a:defRPr>
                          </a:lvl2pPr>
                          <a:lvl3pPr marL="912813" indent="1588" algn="l" rtl="0" fontAlgn="base">
                            <a:spcBef>
                              <a:spcPct val="0"/>
                            </a:spcBef>
                            <a:spcAft>
                              <a:spcPct val="0"/>
                            </a:spcAft>
                            <a:defRPr b="1" kern="1200">
                              <a:solidFill>
                                <a:schemeClr val="tx1"/>
                              </a:solidFill>
                              <a:latin typeface="Arial" pitchFamily="34" charset="0"/>
                              <a:ea typeface="宋体" pitchFamily="2" charset="-122"/>
                              <a:cs typeface="+mn-cs"/>
                            </a:defRPr>
                          </a:lvl3pPr>
                          <a:lvl4pPr marL="1370013" indent="1588" algn="l" rtl="0" fontAlgn="base">
                            <a:spcBef>
                              <a:spcPct val="0"/>
                            </a:spcBef>
                            <a:spcAft>
                              <a:spcPct val="0"/>
                            </a:spcAft>
                            <a:defRPr b="1" kern="1200">
                              <a:solidFill>
                                <a:schemeClr val="tx1"/>
                              </a:solidFill>
                              <a:latin typeface="Arial" pitchFamily="34" charset="0"/>
                              <a:ea typeface="宋体" pitchFamily="2" charset="-122"/>
                              <a:cs typeface="+mn-cs"/>
                            </a:defRPr>
                          </a:lvl4pPr>
                          <a:lvl5pPr marL="1827213" indent="1588" algn="l" rtl="0" fontAlgn="base">
                            <a:spcBef>
                              <a:spcPct val="0"/>
                            </a:spcBef>
                            <a:spcAft>
                              <a:spcPct val="0"/>
                            </a:spcAft>
                            <a:defRPr b="1" kern="1200">
                              <a:solidFill>
                                <a:schemeClr val="tx1"/>
                              </a:solidFill>
                              <a:latin typeface="Arial" pitchFamily="34" charset="0"/>
                              <a:ea typeface="宋体" pitchFamily="2" charset="-122"/>
                              <a:cs typeface="+mn-cs"/>
                            </a:defRPr>
                          </a:lvl5pPr>
                          <a:lvl6pPr marL="2286000" algn="l" defTabSz="914400" rtl="0" eaLnBrk="1" latinLnBrk="0" hangingPunct="1">
                            <a:defRPr b="1" kern="1200">
                              <a:solidFill>
                                <a:schemeClr val="tx1"/>
                              </a:solidFill>
                              <a:latin typeface="Arial" pitchFamily="34" charset="0"/>
                              <a:ea typeface="宋体" pitchFamily="2" charset="-122"/>
                              <a:cs typeface="+mn-cs"/>
                            </a:defRPr>
                          </a:lvl6pPr>
                          <a:lvl7pPr marL="2743200" algn="l" defTabSz="914400" rtl="0" eaLnBrk="1" latinLnBrk="0" hangingPunct="1">
                            <a:defRPr b="1" kern="1200">
                              <a:solidFill>
                                <a:schemeClr val="tx1"/>
                              </a:solidFill>
                              <a:latin typeface="Arial" pitchFamily="34" charset="0"/>
                              <a:ea typeface="宋体" pitchFamily="2" charset="-122"/>
                              <a:cs typeface="+mn-cs"/>
                            </a:defRPr>
                          </a:lvl7pPr>
                          <a:lvl8pPr marL="3200400" algn="l" defTabSz="914400" rtl="0" eaLnBrk="1" latinLnBrk="0" hangingPunct="1">
                            <a:defRPr b="1" kern="1200">
                              <a:solidFill>
                                <a:schemeClr val="tx1"/>
                              </a:solidFill>
                              <a:latin typeface="Arial" pitchFamily="34" charset="0"/>
                              <a:ea typeface="宋体" pitchFamily="2" charset="-122"/>
                              <a:cs typeface="+mn-cs"/>
                            </a:defRPr>
                          </a:lvl8pPr>
                          <a:lvl9pPr marL="3657600" algn="l" defTabSz="914400" rtl="0" eaLnBrk="1" latinLnBrk="0" hangingPunct="1">
                            <a:defRPr b="1" kern="1200">
                              <a:solidFill>
                                <a:schemeClr val="tx1"/>
                              </a:solidFill>
                              <a:latin typeface="Arial" pitchFamily="34" charset="0"/>
                              <a:ea typeface="宋体" pitchFamily="2" charset="-122"/>
                              <a:cs typeface="+mn-cs"/>
                            </a:defRPr>
                          </a:lvl9pPr>
                        </a:lstStyle>
                        <a:p>
                          <a:pPr indent="-179388">
                            <a:spcAft>
                              <a:spcPts val="600"/>
                            </a:spcAft>
                            <a:buClr>
                              <a:schemeClr val="tx2"/>
                            </a:buClr>
                            <a:buSzPct val="75000"/>
                          </a:pPr>
                          <a:r>
                            <a:rPr lang="en-US" altLang="zh-CN" sz="1000" b="0" dirty="0" smtClean="0">
                              <a:cs typeface="Arial" pitchFamily="34" charset="0"/>
                            </a:rPr>
                            <a:t>PB=3.4dB</a:t>
                          </a:r>
                          <a:endParaRPr lang="zh-CN" altLang="en-US" sz="1000" b="0" dirty="0" err="1" smtClean="0">
                            <a:cs typeface="Arial" pitchFamily="34" charset="0"/>
                          </a:endParaRPr>
                        </a:p>
                      </a:txBody>
                      <a:useSpRect/>
                    </a:txSp>
                  </a:sp>
                  <a:sp>
                    <a:nvSpPr>
                      <a:cNvPr id="92" name="TextBox 91"/>
                      <a:cNvSpPr txBox="1"/>
                    </a:nvSpPr>
                    <a:spPr>
                      <a:xfrm>
                        <a:off x="7591425" y="3703962"/>
                        <a:ext cx="824265" cy="261610"/>
                      </a:xfrm>
                      <a:prstGeom prst="rect">
                        <a:avLst/>
                      </a:prstGeom>
                      <a:noFill/>
                    </a:spPr>
                    <a:txSp>
                      <a:txBody>
                        <a:bodyPr wrap="none" rtlCol="0">
                          <a:spAutoFit/>
                        </a:bodyPr>
                        <a:lstStyle>
                          <a:defPPr>
                            <a:defRPr lang="zh-CN"/>
                          </a:defPPr>
                          <a:lvl1pPr algn="l" rtl="0" fontAlgn="base">
                            <a:spcBef>
                              <a:spcPct val="0"/>
                            </a:spcBef>
                            <a:spcAft>
                              <a:spcPct val="0"/>
                            </a:spcAft>
                            <a:defRPr b="1" kern="1200">
                              <a:solidFill>
                                <a:schemeClr val="tx1"/>
                              </a:solidFill>
                              <a:latin typeface="Arial" pitchFamily="34" charset="0"/>
                              <a:ea typeface="宋体" pitchFamily="2" charset="-122"/>
                              <a:cs typeface="+mn-cs"/>
                            </a:defRPr>
                          </a:lvl1pPr>
                          <a:lvl2pPr marL="455613" indent="1588" algn="l" rtl="0" fontAlgn="base">
                            <a:spcBef>
                              <a:spcPct val="0"/>
                            </a:spcBef>
                            <a:spcAft>
                              <a:spcPct val="0"/>
                            </a:spcAft>
                            <a:defRPr b="1" kern="1200">
                              <a:solidFill>
                                <a:schemeClr val="tx1"/>
                              </a:solidFill>
                              <a:latin typeface="Arial" pitchFamily="34" charset="0"/>
                              <a:ea typeface="宋体" pitchFamily="2" charset="-122"/>
                              <a:cs typeface="+mn-cs"/>
                            </a:defRPr>
                          </a:lvl2pPr>
                          <a:lvl3pPr marL="912813" indent="1588" algn="l" rtl="0" fontAlgn="base">
                            <a:spcBef>
                              <a:spcPct val="0"/>
                            </a:spcBef>
                            <a:spcAft>
                              <a:spcPct val="0"/>
                            </a:spcAft>
                            <a:defRPr b="1" kern="1200">
                              <a:solidFill>
                                <a:schemeClr val="tx1"/>
                              </a:solidFill>
                              <a:latin typeface="Arial" pitchFamily="34" charset="0"/>
                              <a:ea typeface="宋体" pitchFamily="2" charset="-122"/>
                              <a:cs typeface="+mn-cs"/>
                            </a:defRPr>
                          </a:lvl3pPr>
                          <a:lvl4pPr marL="1370013" indent="1588" algn="l" rtl="0" fontAlgn="base">
                            <a:spcBef>
                              <a:spcPct val="0"/>
                            </a:spcBef>
                            <a:spcAft>
                              <a:spcPct val="0"/>
                            </a:spcAft>
                            <a:defRPr b="1" kern="1200">
                              <a:solidFill>
                                <a:schemeClr val="tx1"/>
                              </a:solidFill>
                              <a:latin typeface="Arial" pitchFamily="34" charset="0"/>
                              <a:ea typeface="宋体" pitchFamily="2" charset="-122"/>
                              <a:cs typeface="+mn-cs"/>
                            </a:defRPr>
                          </a:lvl4pPr>
                          <a:lvl5pPr marL="1827213" indent="1588" algn="l" rtl="0" fontAlgn="base">
                            <a:spcBef>
                              <a:spcPct val="0"/>
                            </a:spcBef>
                            <a:spcAft>
                              <a:spcPct val="0"/>
                            </a:spcAft>
                            <a:defRPr b="1" kern="1200">
                              <a:solidFill>
                                <a:schemeClr val="tx1"/>
                              </a:solidFill>
                              <a:latin typeface="Arial" pitchFamily="34" charset="0"/>
                              <a:ea typeface="宋体" pitchFamily="2" charset="-122"/>
                              <a:cs typeface="+mn-cs"/>
                            </a:defRPr>
                          </a:lvl5pPr>
                          <a:lvl6pPr marL="2286000" algn="l" defTabSz="914400" rtl="0" eaLnBrk="1" latinLnBrk="0" hangingPunct="1">
                            <a:defRPr b="1" kern="1200">
                              <a:solidFill>
                                <a:schemeClr val="tx1"/>
                              </a:solidFill>
                              <a:latin typeface="Arial" pitchFamily="34" charset="0"/>
                              <a:ea typeface="宋体" pitchFamily="2" charset="-122"/>
                              <a:cs typeface="+mn-cs"/>
                            </a:defRPr>
                          </a:lvl6pPr>
                          <a:lvl7pPr marL="2743200" algn="l" defTabSz="914400" rtl="0" eaLnBrk="1" latinLnBrk="0" hangingPunct="1">
                            <a:defRPr b="1" kern="1200">
                              <a:solidFill>
                                <a:schemeClr val="tx1"/>
                              </a:solidFill>
                              <a:latin typeface="Arial" pitchFamily="34" charset="0"/>
                              <a:ea typeface="宋体" pitchFamily="2" charset="-122"/>
                              <a:cs typeface="+mn-cs"/>
                            </a:defRPr>
                          </a:lvl7pPr>
                          <a:lvl8pPr marL="3200400" algn="l" defTabSz="914400" rtl="0" eaLnBrk="1" latinLnBrk="0" hangingPunct="1">
                            <a:defRPr b="1" kern="1200">
                              <a:solidFill>
                                <a:schemeClr val="tx1"/>
                              </a:solidFill>
                              <a:latin typeface="Arial" pitchFamily="34" charset="0"/>
                              <a:ea typeface="宋体" pitchFamily="2" charset="-122"/>
                              <a:cs typeface="+mn-cs"/>
                            </a:defRPr>
                          </a:lvl8pPr>
                          <a:lvl9pPr marL="3657600" algn="l" defTabSz="914400" rtl="0" eaLnBrk="1" latinLnBrk="0" hangingPunct="1">
                            <a:defRPr b="1" kern="1200">
                              <a:solidFill>
                                <a:schemeClr val="tx1"/>
                              </a:solidFill>
                              <a:latin typeface="Arial" pitchFamily="34" charset="0"/>
                              <a:ea typeface="宋体" pitchFamily="2" charset="-122"/>
                              <a:cs typeface="+mn-cs"/>
                            </a:defRPr>
                          </a:lvl9pPr>
                        </a:lstStyle>
                        <a:p>
                          <a:pPr indent="-179388">
                            <a:spcAft>
                              <a:spcPts val="600"/>
                            </a:spcAft>
                            <a:buClr>
                              <a:schemeClr val="tx2"/>
                            </a:buClr>
                            <a:buSzPct val="75000"/>
                          </a:pPr>
                          <a:r>
                            <a:rPr lang="en-US" altLang="zh-CN" sz="1050" b="0" dirty="0" smtClean="0">
                              <a:cs typeface="Arial" pitchFamily="34" charset="0"/>
                            </a:rPr>
                            <a:t>PB=5.0dB</a:t>
                          </a:r>
                          <a:endParaRPr lang="zh-CN" altLang="en-US" sz="1050" b="0" dirty="0" err="1" smtClean="0">
                            <a:cs typeface="Arial" pitchFamily="34" charset="0"/>
                          </a:endParaRPr>
                        </a:p>
                      </a:txBody>
                      <a:useSpRect/>
                    </a:txSp>
                  </a:sp>
                  <a:sp>
                    <a:nvSpPr>
                      <a:cNvPr id="102" name="TextBox 101"/>
                      <a:cNvSpPr txBox="1"/>
                    </a:nvSpPr>
                    <a:spPr>
                      <a:xfrm>
                        <a:off x="8113072" y="3370302"/>
                        <a:ext cx="761747" cy="246221"/>
                      </a:xfrm>
                      <a:prstGeom prst="rect">
                        <a:avLst/>
                      </a:prstGeom>
                      <a:noFill/>
                    </a:spPr>
                    <a:txSp>
                      <a:txBody>
                        <a:bodyPr wrap="none" rtlCol="0">
                          <a:spAutoFit/>
                        </a:bodyPr>
                        <a:lstStyle>
                          <a:defPPr>
                            <a:defRPr lang="zh-CN"/>
                          </a:defPPr>
                          <a:lvl1pPr algn="l" rtl="0" fontAlgn="base">
                            <a:spcBef>
                              <a:spcPct val="0"/>
                            </a:spcBef>
                            <a:spcAft>
                              <a:spcPct val="0"/>
                            </a:spcAft>
                            <a:defRPr b="1" kern="1200">
                              <a:solidFill>
                                <a:schemeClr val="tx1"/>
                              </a:solidFill>
                              <a:latin typeface="Arial" pitchFamily="34" charset="0"/>
                              <a:ea typeface="宋体" pitchFamily="2" charset="-122"/>
                              <a:cs typeface="+mn-cs"/>
                            </a:defRPr>
                          </a:lvl1pPr>
                          <a:lvl2pPr marL="455613" indent="1588" algn="l" rtl="0" fontAlgn="base">
                            <a:spcBef>
                              <a:spcPct val="0"/>
                            </a:spcBef>
                            <a:spcAft>
                              <a:spcPct val="0"/>
                            </a:spcAft>
                            <a:defRPr b="1" kern="1200">
                              <a:solidFill>
                                <a:schemeClr val="tx1"/>
                              </a:solidFill>
                              <a:latin typeface="Arial" pitchFamily="34" charset="0"/>
                              <a:ea typeface="宋体" pitchFamily="2" charset="-122"/>
                              <a:cs typeface="+mn-cs"/>
                            </a:defRPr>
                          </a:lvl2pPr>
                          <a:lvl3pPr marL="912813" indent="1588" algn="l" rtl="0" fontAlgn="base">
                            <a:spcBef>
                              <a:spcPct val="0"/>
                            </a:spcBef>
                            <a:spcAft>
                              <a:spcPct val="0"/>
                            </a:spcAft>
                            <a:defRPr b="1" kern="1200">
                              <a:solidFill>
                                <a:schemeClr val="tx1"/>
                              </a:solidFill>
                              <a:latin typeface="Arial" pitchFamily="34" charset="0"/>
                              <a:ea typeface="宋体" pitchFamily="2" charset="-122"/>
                              <a:cs typeface="+mn-cs"/>
                            </a:defRPr>
                          </a:lvl3pPr>
                          <a:lvl4pPr marL="1370013" indent="1588" algn="l" rtl="0" fontAlgn="base">
                            <a:spcBef>
                              <a:spcPct val="0"/>
                            </a:spcBef>
                            <a:spcAft>
                              <a:spcPct val="0"/>
                            </a:spcAft>
                            <a:defRPr b="1" kern="1200">
                              <a:solidFill>
                                <a:schemeClr val="tx1"/>
                              </a:solidFill>
                              <a:latin typeface="Arial" pitchFamily="34" charset="0"/>
                              <a:ea typeface="宋体" pitchFamily="2" charset="-122"/>
                              <a:cs typeface="+mn-cs"/>
                            </a:defRPr>
                          </a:lvl4pPr>
                          <a:lvl5pPr marL="1827213" indent="1588" algn="l" rtl="0" fontAlgn="base">
                            <a:spcBef>
                              <a:spcPct val="0"/>
                            </a:spcBef>
                            <a:spcAft>
                              <a:spcPct val="0"/>
                            </a:spcAft>
                            <a:defRPr b="1" kern="1200">
                              <a:solidFill>
                                <a:schemeClr val="tx1"/>
                              </a:solidFill>
                              <a:latin typeface="Arial" pitchFamily="34" charset="0"/>
                              <a:ea typeface="宋体" pitchFamily="2" charset="-122"/>
                              <a:cs typeface="+mn-cs"/>
                            </a:defRPr>
                          </a:lvl5pPr>
                          <a:lvl6pPr marL="2286000" algn="l" defTabSz="914400" rtl="0" eaLnBrk="1" latinLnBrk="0" hangingPunct="1">
                            <a:defRPr b="1" kern="1200">
                              <a:solidFill>
                                <a:schemeClr val="tx1"/>
                              </a:solidFill>
                              <a:latin typeface="Arial" pitchFamily="34" charset="0"/>
                              <a:ea typeface="宋体" pitchFamily="2" charset="-122"/>
                              <a:cs typeface="+mn-cs"/>
                            </a:defRPr>
                          </a:lvl6pPr>
                          <a:lvl7pPr marL="2743200" algn="l" defTabSz="914400" rtl="0" eaLnBrk="1" latinLnBrk="0" hangingPunct="1">
                            <a:defRPr b="1" kern="1200">
                              <a:solidFill>
                                <a:schemeClr val="tx1"/>
                              </a:solidFill>
                              <a:latin typeface="Arial" pitchFamily="34" charset="0"/>
                              <a:ea typeface="宋体" pitchFamily="2" charset="-122"/>
                              <a:cs typeface="+mn-cs"/>
                            </a:defRPr>
                          </a:lvl7pPr>
                          <a:lvl8pPr marL="3200400" algn="l" defTabSz="914400" rtl="0" eaLnBrk="1" latinLnBrk="0" hangingPunct="1">
                            <a:defRPr b="1" kern="1200">
                              <a:solidFill>
                                <a:schemeClr val="tx1"/>
                              </a:solidFill>
                              <a:latin typeface="Arial" pitchFamily="34" charset="0"/>
                              <a:ea typeface="宋体" pitchFamily="2" charset="-122"/>
                              <a:cs typeface="+mn-cs"/>
                            </a:defRPr>
                          </a:lvl8pPr>
                          <a:lvl9pPr marL="3657600" algn="l" defTabSz="914400" rtl="0" eaLnBrk="1" latinLnBrk="0" hangingPunct="1">
                            <a:defRPr b="1" kern="1200">
                              <a:solidFill>
                                <a:schemeClr val="tx1"/>
                              </a:solidFill>
                              <a:latin typeface="Arial" pitchFamily="34" charset="0"/>
                              <a:ea typeface="宋体" pitchFamily="2" charset="-122"/>
                              <a:cs typeface="+mn-cs"/>
                            </a:defRPr>
                          </a:lvl9pPr>
                        </a:lstStyle>
                        <a:p>
                          <a:pPr indent="-179388">
                            <a:spcAft>
                              <a:spcPts val="600"/>
                            </a:spcAft>
                            <a:buClr>
                              <a:schemeClr val="tx2"/>
                            </a:buClr>
                            <a:buSzPct val="75000"/>
                          </a:pPr>
                          <a:r>
                            <a:rPr lang="en-US" altLang="zh-CN" sz="1000" b="0" dirty="0" smtClean="0">
                              <a:cs typeface="Arial" pitchFamily="34" charset="0"/>
                            </a:rPr>
                            <a:t>PB=5.8dB</a:t>
                          </a:r>
                          <a:endParaRPr lang="zh-CN" altLang="en-US" sz="1000" b="0" dirty="0" err="1" smtClean="0">
                            <a:cs typeface="Arial" pitchFamily="34" charset="0"/>
                          </a:endParaRPr>
                        </a:p>
                      </a:txBody>
                      <a:useSpRect/>
                    </a:txSp>
                  </a:sp>
                  <a:sp>
                    <a:nvSpPr>
                      <a:cNvPr id="101" name="TextBox 100"/>
                      <a:cNvSpPr txBox="1"/>
                    </a:nvSpPr>
                    <a:spPr>
                      <a:xfrm>
                        <a:off x="10591800" y="2529155"/>
                        <a:ext cx="1603375" cy="477054"/>
                      </a:xfrm>
                      <a:prstGeom prst="rect">
                        <a:avLst/>
                      </a:prstGeom>
                      <a:noFill/>
                    </a:spPr>
                    <a:txSp>
                      <a:txBody>
                        <a:bodyPr wrap="square" rtlCol="0">
                          <a:spAutoFit/>
                        </a:bodyPr>
                        <a:lstStyle>
                          <a:defPPr>
                            <a:defRPr lang="zh-CN"/>
                          </a:defPPr>
                          <a:lvl1pPr algn="l" rtl="0" fontAlgn="base">
                            <a:spcBef>
                              <a:spcPct val="0"/>
                            </a:spcBef>
                            <a:spcAft>
                              <a:spcPct val="0"/>
                            </a:spcAft>
                            <a:defRPr b="1" kern="1200">
                              <a:solidFill>
                                <a:schemeClr val="tx1"/>
                              </a:solidFill>
                              <a:latin typeface="Arial" pitchFamily="34" charset="0"/>
                              <a:ea typeface="宋体" pitchFamily="2" charset="-122"/>
                              <a:cs typeface="+mn-cs"/>
                            </a:defRPr>
                          </a:lvl1pPr>
                          <a:lvl2pPr marL="455613" indent="1588" algn="l" rtl="0" fontAlgn="base">
                            <a:spcBef>
                              <a:spcPct val="0"/>
                            </a:spcBef>
                            <a:spcAft>
                              <a:spcPct val="0"/>
                            </a:spcAft>
                            <a:defRPr b="1" kern="1200">
                              <a:solidFill>
                                <a:schemeClr val="tx1"/>
                              </a:solidFill>
                              <a:latin typeface="Arial" pitchFamily="34" charset="0"/>
                              <a:ea typeface="宋体" pitchFamily="2" charset="-122"/>
                              <a:cs typeface="+mn-cs"/>
                            </a:defRPr>
                          </a:lvl2pPr>
                          <a:lvl3pPr marL="912813" indent="1588" algn="l" rtl="0" fontAlgn="base">
                            <a:spcBef>
                              <a:spcPct val="0"/>
                            </a:spcBef>
                            <a:spcAft>
                              <a:spcPct val="0"/>
                            </a:spcAft>
                            <a:defRPr b="1" kern="1200">
                              <a:solidFill>
                                <a:schemeClr val="tx1"/>
                              </a:solidFill>
                              <a:latin typeface="Arial" pitchFamily="34" charset="0"/>
                              <a:ea typeface="宋体" pitchFamily="2" charset="-122"/>
                              <a:cs typeface="+mn-cs"/>
                            </a:defRPr>
                          </a:lvl3pPr>
                          <a:lvl4pPr marL="1370013" indent="1588" algn="l" rtl="0" fontAlgn="base">
                            <a:spcBef>
                              <a:spcPct val="0"/>
                            </a:spcBef>
                            <a:spcAft>
                              <a:spcPct val="0"/>
                            </a:spcAft>
                            <a:defRPr b="1" kern="1200">
                              <a:solidFill>
                                <a:schemeClr val="tx1"/>
                              </a:solidFill>
                              <a:latin typeface="Arial" pitchFamily="34" charset="0"/>
                              <a:ea typeface="宋体" pitchFamily="2" charset="-122"/>
                              <a:cs typeface="+mn-cs"/>
                            </a:defRPr>
                          </a:lvl4pPr>
                          <a:lvl5pPr marL="1827213" indent="1588" algn="l" rtl="0" fontAlgn="base">
                            <a:spcBef>
                              <a:spcPct val="0"/>
                            </a:spcBef>
                            <a:spcAft>
                              <a:spcPct val="0"/>
                            </a:spcAft>
                            <a:defRPr b="1" kern="1200">
                              <a:solidFill>
                                <a:schemeClr val="tx1"/>
                              </a:solidFill>
                              <a:latin typeface="Arial" pitchFamily="34" charset="0"/>
                              <a:ea typeface="宋体" pitchFamily="2" charset="-122"/>
                              <a:cs typeface="+mn-cs"/>
                            </a:defRPr>
                          </a:lvl5pPr>
                          <a:lvl6pPr marL="2286000" algn="l" defTabSz="914400" rtl="0" eaLnBrk="1" latinLnBrk="0" hangingPunct="1">
                            <a:defRPr b="1" kern="1200">
                              <a:solidFill>
                                <a:schemeClr val="tx1"/>
                              </a:solidFill>
                              <a:latin typeface="Arial" pitchFamily="34" charset="0"/>
                              <a:ea typeface="宋体" pitchFamily="2" charset="-122"/>
                              <a:cs typeface="+mn-cs"/>
                            </a:defRPr>
                          </a:lvl6pPr>
                          <a:lvl7pPr marL="2743200" algn="l" defTabSz="914400" rtl="0" eaLnBrk="1" latinLnBrk="0" hangingPunct="1">
                            <a:defRPr b="1" kern="1200">
                              <a:solidFill>
                                <a:schemeClr val="tx1"/>
                              </a:solidFill>
                              <a:latin typeface="Arial" pitchFamily="34" charset="0"/>
                              <a:ea typeface="宋体" pitchFamily="2" charset="-122"/>
                              <a:cs typeface="+mn-cs"/>
                            </a:defRPr>
                          </a:lvl7pPr>
                          <a:lvl8pPr marL="3200400" algn="l" defTabSz="914400" rtl="0" eaLnBrk="1" latinLnBrk="0" hangingPunct="1">
                            <a:defRPr b="1" kern="1200">
                              <a:solidFill>
                                <a:schemeClr val="tx1"/>
                              </a:solidFill>
                              <a:latin typeface="Arial" pitchFamily="34" charset="0"/>
                              <a:ea typeface="宋体" pitchFamily="2" charset="-122"/>
                              <a:cs typeface="+mn-cs"/>
                            </a:defRPr>
                          </a:lvl8pPr>
                          <a:lvl9pPr marL="3657600" algn="l" defTabSz="914400" rtl="0" eaLnBrk="1" latinLnBrk="0" hangingPunct="1">
                            <a:defRPr b="1" kern="1200">
                              <a:solidFill>
                                <a:schemeClr val="tx1"/>
                              </a:solidFill>
                              <a:latin typeface="Arial" pitchFamily="34" charset="0"/>
                              <a:ea typeface="宋体" pitchFamily="2" charset="-122"/>
                              <a:cs typeface="+mn-cs"/>
                            </a:defRPr>
                          </a:lvl9pPr>
                        </a:lstStyle>
                        <a:p>
                          <a:pPr indent="-179388">
                            <a:spcAft>
                              <a:spcPts val="600"/>
                            </a:spcAft>
                            <a:buClr>
                              <a:schemeClr val="tx2"/>
                            </a:buClr>
                            <a:buSzPct val="75000"/>
                          </a:pPr>
                          <a:r>
                            <a:rPr lang="en-US" altLang="zh-CN" sz="1000" dirty="0" smtClean="0">
                              <a:solidFill>
                                <a:srgbClr val="0070C0"/>
                              </a:solidFill>
                              <a:cs typeface="Arial" pitchFamily="34" charset="0"/>
                            </a:rPr>
                            <a:t>95kbps (8PSK@40kHz)</a:t>
                          </a:r>
                          <a:endParaRPr lang="zh-CN" altLang="en-US" sz="1000" dirty="0" smtClean="0">
                            <a:solidFill>
                              <a:srgbClr val="0070C0"/>
                            </a:solidFill>
                            <a:cs typeface="Arial" pitchFamily="34" charset="0"/>
                          </a:endParaRPr>
                        </a:p>
                        <a:p>
                          <a:pPr indent="-179388">
                            <a:spcAft>
                              <a:spcPts val="600"/>
                            </a:spcAft>
                            <a:buClr>
                              <a:schemeClr val="tx2"/>
                            </a:buClr>
                            <a:buSzPct val="75000"/>
                          </a:pPr>
                          <a:r>
                            <a:rPr lang="en-US" altLang="zh-CN" sz="1000" dirty="0" smtClean="0">
                              <a:solidFill>
                                <a:srgbClr val="C00000"/>
                              </a:solidFill>
                              <a:cs typeface="Arial" pitchFamily="34" charset="0"/>
                            </a:rPr>
                            <a:t>67kbps (8PSK@40kHz)</a:t>
                          </a:r>
                        </a:p>
                      </a:txBody>
                      <a:useSpRect/>
                    </a:txSp>
                  </a:sp>
                  <a:cxnSp>
                    <a:nvCxnSpPr>
                      <a:cNvPr id="61" name="直接连接符 60"/>
                      <a:cNvCxnSpPr/>
                    </a:nvCxnSpPr>
                    <a:spPr bwMode="auto">
                      <a:xfrm flipV="1">
                        <a:off x="6157337" y="4276725"/>
                        <a:ext cx="1176389" cy="989728"/>
                      </a:xfrm>
                      <a:prstGeom prst="line">
                        <a:avLst/>
                      </a:prstGeom>
                      <a:noFill/>
                      <a:ln w="38100" cap="flat" cmpd="sng" algn="ctr">
                        <a:solidFill>
                          <a:srgbClr val="0070C0"/>
                        </a:solidFill>
                        <a:prstDash val="solid"/>
                        <a:round/>
                        <a:headEnd type="none" w="med" len="med"/>
                        <a:tailEnd type="none" w="med" len="med"/>
                      </a:ln>
                      <a:effectLst/>
                    </a:spPr>
                  </a:cxnSp>
                  <a:cxnSp>
                    <a:nvCxnSpPr>
                      <a:cNvPr id="72" name="直接连接符 71"/>
                      <a:cNvCxnSpPr/>
                    </a:nvCxnSpPr>
                    <a:spPr bwMode="auto">
                      <a:xfrm>
                        <a:off x="7324149" y="4276725"/>
                        <a:ext cx="329187" cy="0"/>
                      </a:xfrm>
                      <a:prstGeom prst="line">
                        <a:avLst/>
                      </a:prstGeom>
                      <a:noFill/>
                      <a:ln w="38100" cap="flat" cmpd="sng" algn="ctr">
                        <a:solidFill>
                          <a:srgbClr val="0070C0"/>
                        </a:solidFill>
                        <a:prstDash val="solid"/>
                        <a:round/>
                        <a:headEnd type="none" w="med" len="med"/>
                        <a:tailEnd type="none" w="med" len="med"/>
                      </a:ln>
                      <a:effectLst/>
                    </a:spPr>
                  </a:cxnSp>
                  <a:cxnSp>
                    <a:nvCxnSpPr>
                      <a:cNvPr id="76" name="直接连接符 75"/>
                      <a:cNvCxnSpPr/>
                    </a:nvCxnSpPr>
                    <a:spPr bwMode="auto">
                      <a:xfrm flipV="1">
                        <a:off x="7653336" y="3903077"/>
                        <a:ext cx="513691" cy="373648"/>
                      </a:xfrm>
                      <a:prstGeom prst="line">
                        <a:avLst/>
                      </a:prstGeom>
                      <a:noFill/>
                      <a:ln w="38100" cap="flat" cmpd="sng" algn="ctr">
                        <a:solidFill>
                          <a:srgbClr val="0070C0"/>
                        </a:solidFill>
                        <a:prstDash val="solid"/>
                        <a:round/>
                        <a:headEnd type="none" w="med" len="med"/>
                        <a:tailEnd type="none" w="med" len="med"/>
                      </a:ln>
                      <a:effectLst/>
                    </a:spPr>
                  </a:cxnSp>
                  <a:cxnSp>
                    <a:nvCxnSpPr>
                      <a:cNvPr id="79" name="直接连接符 78"/>
                      <a:cNvCxnSpPr/>
                    </a:nvCxnSpPr>
                    <a:spPr bwMode="auto">
                      <a:xfrm>
                        <a:off x="8138431" y="3901281"/>
                        <a:ext cx="277259" cy="0"/>
                      </a:xfrm>
                      <a:prstGeom prst="line">
                        <a:avLst/>
                      </a:prstGeom>
                      <a:noFill/>
                      <a:ln w="38100" cap="flat" cmpd="sng" algn="ctr">
                        <a:solidFill>
                          <a:srgbClr val="0070C0"/>
                        </a:solidFill>
                        <a:prstDash val="solid"/>
                        <a:round/>
                        <a:headEnd type="none" w="med" len="med"/>
                        <a:tailEnd type="none" w="med" len="med"/>
                      </a:ln>
                      <a:effectLst/>
                    </a:spPr>
                  </a:cxnSp>
                  <a:cxnSp>
                    <a:nvCxnSpPr>
                      <a:cNvPr id="89" name="直接连接符 88"/>
                      <a:cNvCxnSpPr/>
                    </a:nvCxnSpPr>
                    <a:spPr bwMode="auto">
                      <a:xfrm flipV="1">
                        <a:off x="8381504" y="3733800"/>
                        <a:ext cx="193716" cy="167481"/>
                      </a:xfrm>
                      <a:prstGeom prst="line">
                        <a:avLst/>
                      </a:prstGeom>
                      <a:noFill/>
                      <a:ln w="38100" cap="flat" cmpd="sng" algn="ctr">
                        <a:solidFill>
                          <a:srgbClr val="0070C0"/>
                        </a:solidFill>
                        <a:prstDash val="solid"/>
                        <a:round/>
                        <a:headEnd type="none" w="med" len="med"/>
                        <a:tailEnd type="none" w="med" len="med"/>
                      </a:ln>
                      <a:effectLst/>
                    </a:spPr>
                  </a:cxnSp>
                  <a:cxnSp>
                    <a:nvCxnSpPr>
                      <a:cNvPr id="93" name="直接连接符 92"/>
                      <a:cNvCxnSpPr/>
                    </a:nvCxnSpPr>
                    <a:spPr bwMode="auto">
                      <a:xfrm flipV="1">
                        <a:off x="8638349" y="3463290"/>
                        <a:ext cx="381826" cy="292726"/>
                      </a:xfrm>
                      <a:prstGeom prst="line">
                        <a:avLst/>
                      </a:prstGeom>
                      <a:noFill/>
                      <a:ln w="38100" cap="flat" cmpd="sng" algn="ctr">
                        <a:solidFill>
                          <a:srgbClr val="0070C0"/>
                        </a:solidFill>
                        <a:prstDash val="solid"/>
                        <a:round/>
                        <a:headEnd type="none" w="med" len="med"/>
                        <a:tailEnd type="none" w="med" len="med"/>
                      </a:ln>
                      <a:effectLst/>
                    </a:spPr>
                  </a:cxnSp>
                  <a:cxnSp>
                    <a:nvCxnSpPr>
                      <a:cNvPr id="98" name="直接连接符 97"/>
                      <a:cNvCxnSpPr/>
                    </a:nvCxnSpPr>
                    <a:spPr bwMode="auto">
                      <a:xfrm>
                        <a:off x="8570431" y="3754220"/>
                        <a:ext cx="67918" cy="1796"/>
                      </a:xfrm>
                      <a:prstGeom prst="line">
                        <a:avLst/>
                      </a:prstGeom>
                      <a:noFill/>
                      <a:ln w="38100" cap="flat" cmpd="sng" algn="ctr">
                        <a:solidFill>
                          <a:srgbClr val="0070C0"/>
                        </a:solidFill>
                        <a:prstDash val="solid"/>
                        <a:round/>
                        <a:headEnd type="none" w="med" len="med"/>
                        <a:tailEnd type="none" w="med" len="med"/>
                      </a:ln>
                      <a:effectLst/>
                    </a:spPr>
                  </a:cxnSp>
                  <a:cxnSp>
                    <a:nvCxnSpPr>
                      <a:cNvPr id="106" name="直接连接符 105"/>
                      <a:cNvCxnSpPr/>
                    </a:nvCxnSpPr>
                    <a:spPr bwMode="auto">
                      <a:xfrm flipV="1">
                        <a:off x="9124701" y="3190875"/>
                        <a:ext cx="333624" cy="301125"/>
                      </a:xfrm>
                      <a:prstGeom prst="line">
                        <a:avLst/>
                      </a:prstGeom>
                      <a:noFill/>
                      <a:ln w="38100" cap="flat" cmpd="sng" algn="ctr">
                        <a:solidFill>
                          <a:srgbClr val="0070C0"/>
                        </a:solidFill>
                        <a:prstDash val="solid"/>
                        <a:round/>
                        <a:headEnd type="none" w="med" len="med"/>
                        <a:tailEnd type="none" w="med" len="med"/>
                      </a:ln>
                      <a:effectLst/>
                    </a:spPr>
                  </a:cxnSp>
                  <a:cxnSp>
                    <a:nvCxnSpPr>
                      <a:cNvPr id="112" name="直接连接符 111"/>
                      <a:cNvCxnSpPr/>
                    </a:nvCxnSpPr>
                    <a:spPr bwMode="auto">
                      <a:xfrm flipV="1">
                        <a:off x="9594850" y="2730500"/>
                        <a:ext cx="543937" cy="460376"/>
                      </a:xfrm>
                      <a:prstGeom prst="line">
                        <a:avLst/>
                      </a:prstGeom>
                      <a:noFill/>
                      <a:ln w="38100" cap="flat" cmpd="sng" algn="ctr">
                        <a:solidFill>
                          <a:srgbClr val="0070C0"/>
                        </a:solidFill>
                        <a:prstDash val="solid"/>
                        <a:round/>
                        <a:headEnd type="none" w="med" len="med"/>
                        <a:tailEnd type="none" w="med" len="med"/>
                      </a:ln>
                      <a:effectLst/>
                    </a:spPr>
                  </a:cxnSp>
                  <a:cxnSp>
                    <a:nvCxnSpPr>
                      <a:cNvPr id="115" name="直接连接符 114"/>
                      <a:cNvCxnSpPr/>
                    </a:nvCxnSpPr>
                    <a:spPr bwMode="auto">
                      <a:xfrm>
                        <a:off x="9444009" y="3190875"/>
                        <a:ext cx="150841" cy="0"/>
                      </a:xfrm>
                      <a:prstGeom prst="line">
                        <a:avLst/>
                      </a:prstGeom>
                      <a:noFill/>
                      <a:ln w="38100" cap="flat" cmpd="sng" algn="ctr">
                        <a:solidFill>
                          <a:srgbClr val="0070C0"/>
                        </a:solidFill>
                        <a:prstDash val="solid"/>
                        <a:round/>
                        <a:headEnd type="none" w="med" len="med"/>
                        <a:tailEnd type="none" w="med" len="med"/>
                      </a:ln>
                      <a:effectLst/>
                    </a:spPr>
                  </a:cxnSp>
                  <a:cxnSp>
                    <a:nvCxnSpPr>
                      <a:cNvPr id="118" name="直接连接符 117"/>
                      <a:cNvCxnSpPr/>
                    </a:nvCxnSpPr>
                    <a:spPr bwMode="auto">
                      <a:xfrm>
                        <a:off x="9012009" y="3463290"/>
                        <a:ext cx="112692" cy="0"/>
                      </a:xfrm>
                      <a:prstGeom prst="line">
                        <a:avLst/>
                      </a:prstGeom>
                      <a:noFill/>
                      <a:ln w="38100" cap="flat" cmpd="sng" algn="ctr">
                        <a:solidFill>
                          <a:srgbClr val="0070C0"/>
                        </a:solidFill>
                        <a:prstDash val="solid"/>
                        <a:round/>
                        <a:headEnd type="none" w="med" len="med"/>
                        <a:tailEnd type="none" w="med" len="med"/>
                      </a:ln>
                      <a:effectLst/>
                    </a:spPr>
                  </a:cxnSp>
                  <a:cxnSp>
                    <a:nvCxnSpPr>
                      <a:cNvPr id="121" name="直接连接符 120"/>
                      <a:cNvCxnSpPr/>
                    </a:nvCxnSpPr>
                    <a:spPr bwMode="auto">
                      <a:xfrm flipV="1">
                        <a:off x="10138787" y="2374900"/>
                        <a:ext cx="424438" cy="355600"/>
                      </a:xfrm>
                      <a:prstGeom prst="line">
                        <a:avLst/>
                      </a:prstGeom>
                      <a:noFill/>
                      <a:ln w="38100" cap="flat" cmpd="sng" algn="ctr">
                        <a:solidFill>
                          <a:srgbClr val="0070C0"/>
                        </a:solidFill>
                        <a:prstDash val="sysDash"/>
                        <a:round/>
                        <a:headEnd type="none" w="med" len="med"/>
                        <a:tailEnd type="none" w="med" len="med"/>
                      </a:ln>
                      <a:effectLst/>
                    </a:spPr>
                  </a:cxnSp>
                  <a:cxnSp>
                    <a:nvCxnSpPr>
                      <a:cNvPr id="123" name="直接连接符 122"/>
                      <a:cNvCxnSpPr/>
                    </a:nvCxnSpPr>
                    <a:spPr bwMode="auto">
                      <a:xfrm>
                        <a:off x="10234038" y="2647950"/>
                        <a:ext cx="329187" cy="0"/>
                      </a:xfrm>
                      <a:prstGeom prst="line">
                        <a:avLst/>
                      </a:prstGeom>
                      <a:noFill/>
                      <a:ln w="38100" cap="flat" cmpd="sng" algn="ctr">
                        <a:solidFill>
                          <a:srgbClr val="0070C0"/>
                        </a:solidFill>
                        <a:prstDash val="solid"/>
                        <a:round/>
                        <a:headEnd type="none" w="med" len="med"/>
                        <a:tailEnd type="none" w="med" len="med"/>
                      </a:ln>
                      <a:effectLst/>
                    </a:spPr>
                  </a:cxnSp>
                </lc:lockedCanvas>
              </a:graphicData>
            </a:graphic>
          </wp:inline>
        </w:drawing>
      </w:r>
    </w:p>
    <w:p w:rsidR="00B57A1D" w:rsidRDefault="00B57A1D" w:rsidP="00B57A1D">
      <w:pPr>
        <w:pStyle w:val="a9"/>
        <w:jc w:val="center"/>
      </w:pPr>
      <w:bookmarkStart w:id="7" w:name="_Ref434657734"/>
      <w:r>
        <w:t xml:space="preserve">Figure </w:t>
      </w:r>
      <w:r w:rsidR="002B7DFD">
        <w:fldChar w:fldCharType="begin"/>
      </w:r>
      <w:r>
        <w:instrText xml:space="preserve"> SEQ Figure \* ARABIC </w:instrText>
      </w:r>
      <w:r w:rsidR="002B7DFD">
        <w:fldChar w:fldCharType="separate"/>
      </w:r>
      <w:r>
        <w:rPr>
          <w:noProof/>
        </w:rPr>
        <w:t>3</w:t>
      </w:r>
      <w:r w:rsidR="002B7DFD">
        <w:fldChar w:fldCharType="end"/>
      </w:r>
      <w:bookmarkEnd w:id="7"/>
      <w:r>
        <w:t xml:space="preserve">: </w:t>
      </w:r>
      <w:r>
        <w:rPr>
          <w:rFonts w:hint="eastAsia"/>
          <w:lang w:eastAsia="zh-CN"/>
        </w:rPr>
        <w:t>Comparison of data rate between FDMA and SC-FDMA</w:t>
      </w:r>
    </w:p>
    <w:p w:rsidR="00B57A1D" w:rsidRDefault="00B57A1D" w:rsidP="008011EC">
      <w:pPr>
        <w:rPr>
          <w:lang w:eastAsia="zh-CN"/>
        </w:rPr>
      </w:pPr>
    </w:p>
    <w:p w:rsidR="00EF787D" w:rsidRDefault="00EF787D" w:rsidP="00EF787D">
      <w:pPr>
        <w:rPr>
          <w:sz w:val="22"/>
          <w:szCs w:val="22"/>
          <w:lang w:eastAsia="zh-CN"/>
        </w:rPr>
      </w:pPr>
      <w:r>
        <w:rPr>
          <w:rFonts w:hint="eastAsia"/>
          <w:sz w:val="22"/>
          <w:szCs w:val="22"/>
          <w:lang w:eastAsia="zh-CN"/>
        </w:rPr>
        <w:t xml:space="preserve">Detail simulation results can be found in </w:t>
      </w:r>
      <w:r w:rsidR="002B7DFD">
        <w:rPr>
          <w:sz w:val="22"/>
          <w:szCs w:val="22"/>
          <w:lang w:eastAsia="zh-CN"/>
        </w:rPr>
        <w:fldChar w:fldCharType="begin"/>
      </w:r>
      <w:r>
        <w:rPr>
          <w:sz w:val="22"/>
          <w:szCs w:val="22"/>
          <w:lang w:eastAsia="zh-CN"/>
        </w:rPr>
        <w:instrText xml:space="preserve"> </w:instrText>
      </w:r>
      <w:r>
        <w:rPr>
          <w:rFonts w:hint="eastAsia"/>
          <w:sz w:val="22"/>
          <w:szCs w:val="22"/>
          <w:lang w:eastAsia="zh-CN"/>
        </w:rPr>
        <w:instrText>REF _Ref434650108 \n \h</w:instrText>
      </w:r>
      <w:r>
        <w:rPr>
          <w:sz w:val="22"/>
          <w:szCs w:val="22"/>
          <w:lang w:eastAsia="zh-CN"/>
        </w:rPr>
        <w:instrText xml:space="preserve"> </w:instrText>
      </w:r>
      <w:r w:rsidR="002B7DFD">
        <w:rPr>
          <w:sz w:val="22"/>
          <w:szCs w:val="22"/>
          <w:lang w:eastAsia="zh-CN"/>
        </w:rPr>
      </w:r>
      <w:r w:rsidR="002B7DFD">
        <w:rPr>
          <w:sz w:val="22"/>
          <w:szCs w:val="22"/>
          <w:lang w:eastAsia="zh-CN"/>
        </w:rPr>
        <w:fldChar w:fldCharType="separate"/>
      </w:r>
      <w:r>
        <w:rPr>
          <w:sz w:val="22"/>
          <w:szCs w:val="22"/>
          <w:lang w:eastAsia="zh-CN"/>
        </w:rPr>
        <w:t>[15]</w:t>
      </w:r>
      <w:r w:rsidR="002B7DFD">
        <w:rPr>
          <w:sz w:val="22"/>
          <w:szCs w:val="22"/>
          <w:lang w:eastAsia="zh-CN"/>
        </w:rPr>
        <w:fldChar w:fldCharType="end"/>
      </w:r>
      <w:r>
        <w:rPr>
          <w:rFonts w:hint="eastAsia"/>
          <w:sz w:val="22"/>
          <w:szCs w:val="22"/>
          <w:lang w:eastAsia="zh-CN"/>
        </w:rPr>
        <w:t xml:space="preserve">, </w:t>
      </w:r>
      <w:r w:rsidR="002B7DFD">
        <w:rPr>
          <w:sz w:val="22"/>
          <w:szCs w:val="22"/>
          <w:lang w:eastAsia="zh-CN"/>
        </w:rPr>
        <w:fldChar w:fldCharType="begin"/>
      </w:r>
      <w:r>
        <w:rPr>
          <w:sz w:val="22"/>
          <w:szCs w:val="22"/>
          <w:lang w:eastAsia="zh-CN"/>
        </w:rPr>
        <w:instrText xml:space="preserve"> </w:instrText>
      </w:r>
      <w:r>
        <w:rPr>
          <w:rFonts w:hint="eastAsia"/>
          <w:sz w:val="22"/>
          <w:szCs w:val="22"/>
          <w:lang w:eastAsia="zh-CN"/>
        </w:rPr>
        <w:instrText>REF _Ref434650124 \n \h</w:instrText>
      </w:r>
      <w:r>
        <w:rPr>
          <w:sz w:val="22"/>
          <w:szCs w:val="22"/>
          <w:lang w:eastAsia="zh-CN"/>
        </w:rPr>
        <w:instrText xml:space="preserve"> </w:instrText>
      </w:r>
      <w:r w:rsidR="002B7DFD">
        <w:rPr>
          <w:sz w:val="22"/>
          <w:szCs w:val="22"/>
          <w:lang w:eastAsia="zh-CN"/>
        </w:rPr>
      </w:r>
      <w:r w:rsidR="002B7DFD">
        <w:rPr>
          <w:sz w:val="22"/>
          <w:szCs w:val="22"/>
          <w:lang w:eastAsia="zh-CN"/>
        </w:rPr>
        <w:fldChar w:fldCharType="separate"/>
      </w:r>
      <w:r>
        <w:rPr>
          <w:sz w:val="22"/>
          <w:szCs w:val="22"/>
          <w:lang w:eastAsia="zh-CN"/>
        </w:rPr>
        <w:t>[16]</w:t>
      </w:r>
      <w:r w:rsidR="002B7DFD">
        <w:rPr>
          <w:sz w:val="22"/>
          <w:szCs w:val="22"/>
          <w:lang w:eastAsia="zh-CN"/>
        </w:rPr>
        <w:fldChar w:fldCharType="end"/>
      </w:r>
      <w:r>
        <w:rPr>
          <w:rFonts w:hint="eastAsia"/>
          <w:sz w:val="22"/>
          <w:szCs w:val="22"/>
          <w:lang w:eastAsia="zh-CN"/>
        </w:rPr>
        <w:t xml:space="preserve"> and </w:t>
      </w:r>
      <w:r w:rsidR="002B7DFD">
        <w:rPr>
          <w:sz w:val="22"/>
          <w:szCs w:val="22"/>
          <w:lang w:eastAsia="zh-CN"/>
        </w:rPr>
        <w:fldChar w:fldCharType="begin"/>
      </w:r>
      <w:r>
        <w:rPr>
          <w:sz w:val="22"/>
          <w:szCs w:val="22"/>
          <w:lang w:eastAsia="zh-CN"/>
        </w:rPr>
        <w:instrText xml:space="preserve"> </w:instrText>
      </w:r>
      <w:r>
        <w:rPr>
          <w:rFonts w:hint="eastAsia"/>
          <w:sz w:val="22"/>
          <w:szCs w:val="22"/>
          <w:lang w:eastAsia="zh-CN"/>
        </w:rPr>
        <w:instrText>REF _Ref434650128 \n \h</w:instrText>
      </w:r>
      <w:r>
        <w:rPr>
          <w:sz w:val="22"/>
          <w:szCs w:val="22"/>
          <w:lang w:eastAsia="zh-CN"/>
        </w:rPr>
        <w:instrText xml:space="preserve"> </w:instrText>
      </w:r>
      <w:r w:rsidR="002B7DFD">
        <w:rPr>
          <w:sz w:val="22"/>
          <w:szCs w:val="22"/>
          <w:lang w:eastAsia="zh-CN"/>
        </w:rPr>
      </w:r>
      <w:r w:rsidR="002B7DFD">
        <w:rPr>
          <w:sz w:val="22"/>
          <w:szCs w:val="22"/>
          <w:lang w:eastAsia="zh-CN"/>
        </w:rPr>
        <w:fldChar w:fldCharType="separate"/>
      </w:r>
      <w:r>
        <w:rPr>
          <w:sz w:val="22"/>
          <w:szCs w:val="22"/>
          <w:lang w:eastAsia="zh-CN"/>
        </w:rPr>
        <w:t>[17]</w:t>
      </w:r>
      <w:r w:rsidR="002B7DFD">
        <w:rPr>
          <w:sz w:val="22"/>
          <w:szCs w:val="22"/>
          <w:lang w:eastAsia="zh-CN"/>
        </w:rPr>
        <w:fldChar w:fldCharType="end"/>
      </w:r>
      <w:r>
        <w:rPr>
          <w:rFonts w:hint="eastAsia"/>
          <w:sz w:val="22"/>
          <w:szCs w:val="22"/>
          <w:lang w:eastAsia="zh-CN"/>
        </w:rPr>
        <w:t>.</w:t>
      </w:r>
    </w:p>
    <w:p w:rsidR="00EF787D" w:rsidRPr="00EF787D" w:rsidRDefault="00EF787D" w:rsidP="008011EC">
      <w:pPr>
        <w:rPr>
          <w:lang w:eastAsia="zh-CN"/>
        </w:rPr>
      </w:pPr>
    </w:p>
    <w:p w:rsidR="008011EC" w:rsidRPr="008011EC" w:rsidRDefault="008011EC" w:rsidP="008011EC">
      <w:pPr>
        <w:rPr>
          <w:b/>
          <w:kern w:val="2"/>
          <w:sz w:val="22"/>
          <w:lang w:eastAsia="zh-CN"/>
        </w:rPr>
      </w:pPr>
      <w:r w:rsidRPr="008011EC">
        <w:rPr>
          <w:rFonts w:hint="eastAsia"/>
          <w:b/>
          <w:kern w:val="2"/>
          <w:sz w:val="22"/>
          <w:lang w:eastAsia="zh-CN"/>
        </w:rPr>
        <w:t>Observation</w:t>
      </w:r>
      <w:r>
        <w:rPr>
          <w:rFonts w:hint="eastAsia"/>
          <w:b/>
          <w:kern w:val="2"/>
          <w:sz w:val="22"/>
          <w:lang w:eastAsia="zh-CN"/>
        </w:rPr>
        <w:t xml:space="preserve"> 1</w:t>
      </w:r>
      <w:r w:rsidR="00DB4601">
        <w:rPr>
          <w:rFonts w:hint="eastAsia"/>
          <w:b/>
          <w:kern w:val="2"/>
          <w:sz w:val="22"/>
          <w:lang w:eastAsia="zh-CN"/>
        </w:rPr>
        <w:t>2</w:t>
      </w:r>
      <w:r w:rsidRPr="008011EC">
        <w:rPr>
          <w:rFonts w:hint="eastAsia"/>
          <w:b/>
          <w:kern w:val="2"/>
          <w:sz w:val="22"/>
          <w:lang w:eastAsia="zh-CN"/>
        </w:rPr>
        <w:t xml:space="preserve">: The FDMA based uplink solution with an introduction of a </w:t>
      </w:r>
      <w:proofErr w:type="gramStart"/>
      <w:r w:rsidRPr="008011EC">
        <w:rPr>
          <w:rFonts w:hint="eastAsia"/>
          <w:b/>
          <w:kern w:val="2"/>
          <w:sz w:val="22"/>
          <w:lang w:eastAsia="zh-CN"/>
        </w:rPr>
        <w:t>2.5kHz</w:t>
      </w:r>
      <w:proofErr w:type="gramEnd"/>
      <w:r w:rsidRPr="008011EC">
        <w:rPr>
          <w:rFonts w:hint="eastAsia"/>
          <w:b/>
          <w:kern w:val="2"/>
          <w:sz w:val="22"/>
          <w:lang w:eastAsia="zh-CN"/>
        </w:rPr>
        <w:t xml:space="preserve"> sub-channel spacing achieves higher capacity </w:t>
      </w:r>
      <w:r w:rsidRPr="008011EC">
        <w:rPr>
          <w:b/>
          <w:kern w:val="2"/>
          <w:sz w:val="22"/>
          <w:lang w:eastAsia="zh-CN"/>
        </w:rPr>
        <w:t>and lower UL report failure probability</w:t>
      </w:r>
      <w:r w:rsidRPr="008011EC">
        <w:rPr>
          <w:rFonts w:hint="eastAsia"/>
          <w:b/>
          <w:kern w:val="2"/>
          <w:sz w:val="22"/>
          <w:lang w:eastAsia="zh-CN"/>
        </w:rPr>
        <w:t xml:space="preserve"> than the SC-FDMA based uplink solution in standalone</w:t>
      </w:r>
      <w:r>
        <w:rPr>
          <w:rFonts w:hint="eastAsia"/>
          <w:b/>
          <w:kern w:val="2"/>
          <w:sz w:val="22"/>
          <w:lang w:eastAsia="zh-CN"/>
        </w:rPr>
        <w:t>, guard-band and in-band</w:t>
      </w:r>
      <w:r w:rsidRPr="008011EC">
        <w:rPr>
          <w:rFonts w:hint="eastAsia"/>
          <w:b/>
          <w:kern w:val="2"/>
          <w:sz w:val="22"/>
          <w:lang w:eastAsia="zh-CN"/>
        </w:rPr>
        <w:t xml:space="preserve"> operation mode.</w:t>
      </w:r>
    </w:p>
    <w:p w:rsidR="008011EC" w:rsidRPr="008011EC" w:rsidRDefault="008011EC" w:rsidP="00BE7632">
      <w:pPr>
        <w:rPr>
          <w:lang w:eastAsia="zh-CN"/>
        </w:rPr>
      </w:pPr>
    </w:p>
    <w:p w:rsidR="00675715" w:rsidRDefault="00675715">
      <w:pPr>
        <w:rPr>
          <w:b/>
          <w:sz w:val="28"/>
          <w:szCs w:val="28"/>
        </w:rPr>
      </w:pPr>
      <w:r>
        <w:rPr>
          <w:b/>
          <w:sz w:val="28"/>
          <w:szCs w:val="28"/>
        </w:rPr>
        <w:br w:type="page"/>
      </w:r>
    </w:p>
    <w:p w:rsidR="00B63853" w:rsidRPr="003A542B" w:rsidRDefault="00064E8D" w:rsidP="000E39D1">
      <w:pPr>
        <w:pStyle w:val="1"/>
        <w:keepLines w:val="0"/>
        <w:widowControl/>
        <w:numPr>
          <w:ilvl w:val="0"/>
          <w:numId w:val="8"/>
        </w:numPr>
        <w:pBdr>
          <w:top w:val="none" w:sz="0" w:space="0" w:color="auto"/>
        </w:pBdr>
        <w:spacing w:after="240"/>
        <w:rPr>
          <w:rFonts w:ascii="Times New Roman" w:hAnsi="Times New Roman"/>
          <w:b/>
          <w:sz w:val="28"/>
          <w:szCs w:val="28"/>
        </w:rPr>
      </w:pPr>
      <w:r>
        <w:rPr>
          <w:rFonts w:ascii="Times New Roman" w:hAnsi="Times New Roman"/>
          <w:b/>
          <w:sz w:val="28"/>
          <w:szCs w:val="28"/>
        </w:rPr>
        <w:lastRenderedPageBreak/>
        <w:t>Conclusions</w:t>
      </w:r>
    </w:p>
    <w:p w:rsidR="005E1FE5" w:rsidRDefault="00DD4D87" w:rsidP="00D532E6">
      <w:pPr>
        <w:spacing w:after="120"/>
        <w:jc w:val="both"/>
        <w:rPr>
          <w:sz w:val="22"/>
          <w:szCs w:val="22"/>
          <w:lang w:eastAsia="zh-CN"/>
        </w:rPr>
      </w:pPr>
      <w:r>
        <w:rPr>
          <w:rFonts w:hint="eastAsia"/>
          <w:sz w:val="22"/>
          <w:szCs w:val="22"/>
          <w:lang w:eastAsia="zh-CN"/>
        </w:rPr>
        <w:t xml:space="preserve">This document </w:t>
      </w:r>
      <w:r w:rsidR="009A22D9">
        <w:rPr>
          <w:sz w:val="22"/>
          <w:szCs w:val="22"/>
          <w:lang w:eastAsia="zh-CN"/>
        </w:rPr>
        <w:t>compares the FDMA and SC-FDMA uplink schemes proposed for NB-</w:t>
      </w:r>
      <w:proofErr w:type="spellStart"/>
      <w:r w:rsidR="009A22D9">
        <w:rPr>
          <w:sz w:val="22"/>
          <w:szCs w:val="22"/>
          <w:lang w:eastAsia="zh-CN"/>
        </w:rPr>
        <w:t>IoT</w:t>
      </w:r>
      <w:proofErr w:type="spellEnd"/>
      <w:r w:rsidR="009A22D9">
        <w:rPr>
          <w:sz w:val="22"/>
          <w:szCs w:val="22"/>
          <w:lang w:eastAsia="zh-CN"/>
        </w:rPr>
        <w:t>.</w:t>
      </w:r>
    </w:p>
    <w:p w:rsidR="00AC26F9" w:rsidRDefault="00994D57" w:rsidP="00D532E6">
      <w:pPr>
        <w:spacing w:after="120"/>
        <w:jc w:val="both"/>
        <w:rPr>
          <w:b/>
          <w:kern w:val="2"/>
          <w:sz w:val="22"/>
          <w:lang w:eastAsia="zh-CN"/>
        </w:rPr>
      </w:pPr>
      <w:r>
        <w:rPr>
          <w:b/>
          <w:kern w:val="2"/>
          <w:sz w:val="22"/>
          <w:lang w:eastAsia="zh-CN"/>
        </w:rPr>
        <w:t xml:space="preserve">Observation 1: </w:t>
      </w:r>
      <w:r w:rsidR="00BF2374" w:rsidRPr="00BF2374">
        <w:rPr>
          <w:b/>
          <w:kern w:val="2"/>
          <w:sz w:val="22"/>
          <w:lang w:eastAsia="zh-CN"/>
        </w:rPr>
        <w:t xml:space="preserve">The key advantage of FDMA is that it results in a simpler and more energy efficient UE transmitter implementation. </w:t>
      </w:r>
      <w:r w:rsidR="008A7DE8">
        <w:rPr>
          <w:b/>
          <w:kern w:val="2"/>
          <w:sz w:val="22"/>
          <w:lang w:eastAsia="zh-CN"/>
        </w:rPr>
        <w:t>FDMA</w:t>
      </w:r>
      <w:r w:rsidR="00BF2374" w:rsidRPr="00BF2374">
        <w:rPr>
          <w:b/>
          <w:kern w:val="2"/>
          <w:sz w:val="22"/>
          <w:lang w:eastAsia="zh-CN"/>
        </w:rPr>
        <w:t xml:space="preserve"> has lower PAPR and a lower phase modulation bandwidth. </w:t>
      </w:r>
    </w:p>
    <w:p w:rsidR="008011EC" w:rsidRDefault="008011EC" w:rsidP="008011EC">
      <w:pPr>
        <w:rPr>
          <w:b/>
          <w:sz w:val="22"/>
          <w:szCs w:val="22"/>
          <w:lang w:eastAsia="zh-CN"/>
        </w:rPr>
      </w:pPr>
      <w:r>
        <w:rPr>
          <w:b/>
          <w:sz w:val="22"/>
          <w:szCs w:val="22"/>
          <w:lang w:eastAsia="zh-CN"/>
        </w:rPr>
        <w:t xml:space="preserve">Observation </w:t>
      </w:r>
      <w:r>
        <w:rPr>
          <w:rFonts w:hint="eastAsia"/>
          <w:b/>
          <w:sz w:val="22"/>
          <w:szCs w:val="22"/>
          <w:lang w:eastAsia="zh-CN"/>
        </w:rPr>
        <w:t>2</w:t>
      </w:r>
      <w:r>
        <w:rPr>
          <w:b/>
          <w:sz w:val="22"/>
          <w:szCs w:val="22"/>
          <w:lang w:eastAsia="zh-CN"/>
        </w:rPr>
        <w:t xml:space="preserve">: </w:t>
      </w:r>
      <w:r w:rsidRPr="00BF2374">
        <w:rPr>
          <w:b/>
          <w:sz w:val="22"/>
          <w:szCs w:val="22"/>
          <w:lang w:eastAsia="zh-CN"/>
        </w:rPr>
        <w:t>For TPSK waveforms, the low PAPR is misleading in terms of ease of implementation. This is because the dips in signal magnitude at symbol boundaries must be tracked accurately by the PA to avoid spectr</w:t>
      </w:r>
      <w:r>
        <w:rPr>
          <w:b/>
          <w:sz w:val="22"/>
          <w:szCs w:val="22"/>
          <w:lang w:eastAsia="zh-CN"/>
        </w:rPr>
        <w:t>um</w:t>
      </w:r>
      <w:r w:rsidRPr="00BF2374">
        <w:rPr>
          <w:b/>
          <w:sz w:val="22"/>
          <w:szCs w:val="22"/>
          <w:lang w:eastAsia="zh-CN"/>
        </w:rPr>
        <w:t xml:space="preserve"> splatter. This prevents the PA being operated with high efficiency in saturation.</w:t>
      </w:r>
    </w:p>
    <w:p w:rsidR="008011EC" w:rsidRDefault="008011EC" w:rsidP="008011EC">
      <w:pPr>
        <w:rPr>
          <w:lang w:eastAsia="zh-CN"/>
        </w:rPr>
      </w:pPr>
    </w:p>
    <w:p w:rsidR="008011EC" w:rsidRDefault="008011EC" w:rsidP="008011EC">
      <w:pPr>
        <w:rPr>
          <w:b/>
          <w:sz w:val="22"/>
          <w:szCs w:val="22"/>
          <w:lang w:eastAsia="zh-CN"/>
        </w:rPr>
      </w:pPr>
      <w:r>
        <w:rPr>
          <w:b/>
          <w:sz w:val="22"/>
          <w:szCs w:val="22"/>
          <w:lang w:eastAsia="zh-CN"/>
        </w:rPr>
        <w:t xml:space="preserve">Observation </w:t>
      </w:r>
      <w:r>
        <w:rPr>
          <w:rFonts w:hint="eastAsia"/>
          <w:b/>
          <w:sz w:val="22"/>
          <w:szCs w:val="22"/>
          <w:lang w:eastAsia="zh-CN"/>
        </w:rPr>
        <w:t>3</w:t>
      </w:r>
      <w:r>
        <w:rPr>
          <w:b/>
          <w:sz w:val="22"/>
          <w:szCs w:val="22"/>
          <w:lang w:eastAsia="zh-CN"/>
        </w:rPr>
        <w:t xml:space="preserve">: </w:t>
      </w:r>
      <w:r w:rsidRPr="00BF2374">
        <w:rPr>
          <w:b/>
          <w:sz w:val="22"/>
          <w:szCs w:val="22"/>
          <w:lang w:eastAsia="zh-CN"/>
        </w:rPr>
        <w:t>While FDMA-GMSK PAPR is 0 dB for all signal bandwidths (all sub-carrier bonding factors), SC-FDMA PAPR can be as high as 6.5 dB. The worst case PAPR with FDMA is 3.8 dB when using 8PSK; however, a low cost UE may use just GMSK and can still achieve higher data rates through sub-carrier bonding, without impacting the 0 dB PAPR property.</w:t>
      </w:r>
    </w:p>
    <w:p w:rsidR="008011EC" w:rsidRDefault="008011EC" w:rsidP="008011EC">
      <w:pPr>
        <w:rPr>
          <w:lang w:eastAsia="zh-CN"/>
        </w:rPr>
      </w:pPr>
    </w:p>
    <w:p w:rsidR="008011EC" w:rsidRDefault="008011EC" w:rsidP="008011EC">
      <w:pPr>
        <w:rPr>
          <w:b/>
          <w:sz w:val="22"/>
          <w:szCs w:val="22"/>
          <w:lang w:eastAsia="zh-CN"/>
        </w:rPr>
      </w:pPr>
      <w:r>
        <w:rPr>
          <w:b/>
          <w:sz w:val="22"/>
          <w:szCs w:val="22"/>
          <w:lang w:eastAsia="zh-CN"/>
        </w:rPr>
        <w:t xml:space="preserve">Observation </w:t>
      </w:r>
      <w:r>
        <w:rPr>
          <w:rFonts w:hint="eastAsia"/>
          <w:b/>
          <w:sz w:val="22"/>
          <w:szCs w:val="22"/>
          <w:lang w:eastAsia="zh-CN"/>
        </w:rPr>
        <w:t>4</w:t>
      </w:r>
      <w:r>
        <w:rPr>
          <w:b/>
          <w:sz w:val="22"/>
          <w:szCs w:val="22"/>
          <w:lang w:eastAsia="zh-CN"/>
        </w:rPr>
        <w:t xml:space="preserve">: </w:t>
      </w:r>
      <w:r w:rsidRPr="00BF2374">
        <w:rPr>
          <w:b/>
          <w:sz w:val="22"/>
          <w:szCs w:val="22"/>
          <w:lang w:eastAsia="zh-CN"/>
        </w:rPr>
        <w:t>SC-FDMA PAPR grows with the modulation bandwidth (number of sub-carriers used), whereas FDMA PAPR does not vary with modulation bandwidth, because it simply scales the symbol rate in order to achieve higher data rates.</w:t>
      </w:r>
    </w:p>
    <w:p w:rsidR="008011EC" w:rsidRDefault="008011EC" w:rsidP="008011EC">
      <w:pPr>
        <w:rPr>
          <w:lang w:eastAsia="zh-CN"/>
        </w:rPr>
      </w:pPr>
    </w:p>
    <w:p w:rsidR="008011EC" w:rsidRDefault="008011EC" w:rsidP="008011EC">
      <w:pPr>
        <w:rPr>
          <w:b/>
          <w:sz w:val="22"/>
          <w:szCs w:val="22"/>
          <w:lang w:eastAsia="zh-CN"/>
        </w:rPr>
      </w:pPr>
      <w:r>
        <w:rPr>
          <w:b/>
          <w:sz w:val="22"/>
          <w:szCs w:val="22"/>
          <w:lang w:eastAsia="zh-CN"/>
        </w:rPr>
        <w:t xml:space="preserve">Observation </w:t>
      </w:r>
      <w:r>
        <w:rPr>
          <w:rFonts w:hint="eastAsia"/>
          <w:b/>
          <w:sz w:val="22"/>
          <w:szCs w:val="22"/>
          <w:lang w:eastAsia="zh-CN"/>
        </w:rPr>
        <w:t>5</w:t>
      </w:r>
      <w:r>
        <w:rPr>
          <w:b/>
          <w:sz w:val="22"/>
          <w:szCs w:val="22"/>
          <w:lang w:eastAsia="zh-CN"/>
        </w:rPr>
        <w:t>:</w:t>
      </w:r>
      <w:r w:rsidRPr="00BF2374">
        <w:rPr>
          <w:b/>
          <w:sz w:val="22"/>
          <w:szCs w:val="22"/>
          <w:lang w:eastAsia="zh-CN"/>
        </w:rPr>
        <w:t xml:space="preserve"> The SC-FDMA PRACH has a high PAPR, close to 7 dB for some PRACH sequence indices, whereas the FDMA PRACH reuses the PUSCH modulation formats, so it has the same good PAPR properties.</w:t>
      </w:r>
    </w:p>
    <w:p w:rsidR="008011EC" w:rsidRDefault="008011EC" w:rsidP="008011EC">
      <w:pPr>
        <w:rPr>
          <w:lang w:eastAsia="zh-CN"/>
        </w:rPr>
      </w:pPr>
    </w:p>
    <w:p w:rsidR="008011EC" w:rsidRDefault="008011EC" w:rsidP="008011EC">
      <w:pPr>
        <w:rPr>
          <w:b/>
          <w:sz w:val="22"/>
          <w:szCs w:val="22"/>
          <w:lang w:eastAsia="zh-CN"/>
        </w:rPr>
      </w:pPr>
      <w:r>
        <w:rPr>
          <w:b/>
          <w:sz w:val="22"/>
          <w:szCs w:val="22"/>
          <w:lang w:eastAsia="zh-CN"/>
        </w:rPr>
        <w:t xml:space="preserve">Observation </w:t>
      </w:r>
      <w:r>
        <w:rPr>
          <w:rFonts w:hint="eastAsia"/>
          <w:b/>
          <w:sz w:val="22"/>
          <w:szCs w:val="22"/>
          <w:lang w:eastAsia="zh-CN"/>
        </w:rPr>
        <w:t>6</w:t>
      </w:r>
      <w:r w:rsidRPr="00694044">
        <w:rPr>
          <w:b/>
          <w:sz w:val="22"/>
          <w:szCs w:val="22"/>
          <w:lang w:eastAsia="zh-CN"/>
        </w:rPr>
        <w:t>:</w:t>
      </w:r>
      <w:r>
        <w:rPr>
          <w:b/>
          <w:sz w:val="22"/>
          <w:szCs w:val="22"/>
          <w:lang w:eastAsia="zh-CN"/>
        </w:rPr>
        <w:t xml:space="preserve"> </w:t>
      </w:r>
      <w:r w:rsidRPr="00694044">
        <w:rPr>
          <w:b/>
          <w:sz w:val="22"/>
          <w:szCs w:val="22"/>
          <w:lang w:eastAsia="zh-CN"/>
        </w:rPr>
        <w:t xml:space="preserve">FDMA and TPSK can both achieve low PAPR, </w:t>
      </w:r>
      <w:r>
        <w:rPr>
          <w:b/>
          <w:sz w:val="22"/>
          <w:szCs w:val="22"/>
          <w:lang w:eastAsia="zh-CN"/>
        </w:rPr>
        <w:t>but only</w:t>
      </w:r>
      <w:r w:rsidRPr="00694044">
        <w:rPr>
          <w:b/>
          <w:sz w:val="22"/>
          <w:szCs w:val="22"/>
          <w:lang w:eastAsia="zh-CN"/>
        </w:rPr>
        <w:t xml:space="preserve"> FDMA+GMSK </w:t>
      </w:r>
      <w:r>
        <w:rPr>
          <w:b/>
          <w:sz w:val="22"/>
          <w:szCs w:val="22"/>
          <w:lang w:eastAsia="zh-CN"/>
        </w:rPr>
        <w:t>provides a genuine constant envelope waveform (exactly 0 dB PAPR), allowing the use of a saturated PA without causing spectral re-growth.</w:t>
      </w:r>
    </w:p>
    <w:p w:rsidR="008011EC" w:rsidRDefault="008011EC" w:rsidP="008011EC">
      <w:pPr>
        <w:rPr>
          <w:b/>
          <w:sz w:val="22"/>
          <w:szCs w:val="22"/>
          <w:lang w:eastAsia="zh-CN"/>
        </w:rPr>
      </w:pPr>
    </w:p>
    <w:p w:rsidR="008011EC" w:rsidRDefault="008011EC" w:rsidP="008011EC">
      <w:pPr>
        <w:rPr>
          <w:b/>
          <w:sz w:val="22"/>
          <w:szCs w:val="22"/>
          <w:lang w:eastAsia="zh-CN"/>
        </w:rPr>
      </w:pPr>
      <w:r>
        <w:rPr>
          <w:b/>
          <w:sz w:val="22"/>
          <w:szCs w:val="22"/>
          <w:lang w:eastAsia="zh-CN"/>
        </w:rPr>
        <w:t xml:space="preserve">Observation </w:t>
      </w:r>
      <w:r>
        <w:rPr>
          <w:rFonts w:hint="eastAsia"/>
          <w:b/>
          <w:sz w:val="22"/>
          <w:szCs w:val="22"/>
          <w:lang w:eastAsia="zh-CN"/>
        </w:rPr>
        <w:t>7</w:t>
      </w:r>
      <w:r w:rsidRPr="00694044">
        <w:rPr>
          <w:b/>
          <w:sz w:val="22"/>
          <w:szCs w:val="22"/>
          <w:lang w:eastAsia="zh-CN"/>
        </w:rPr>
        <w:t>:</w:t>
      </w:r>
      <w:r>
        <w:rPr>
          <w:b/>
          <w:sz w:val="22"/>
          <w:szCs w:val="22"/>
          <w:lang w:eastAsia="zh-CN"/>
        </w:rPr>
        <w:t xml:space="preserve"> </w:t>
      </w:r>
      <w:r w:rsidRPr="00337851">
        <w:rPr>
          <w:b/>
          <w:sz w:val="22"/>
          <w:szCs w:val="22"/>
          <w:lang w:eastAsia="zh-CN"/>
        </w:rPr>
        <w:t>TPSK is not a good replacement ‘zero-PAPR’ scheme for GMSK, because it is not truly constant-envelope.</w:t>
      </w:r>
    </w:p>
    <w:p w:rsidR="008011EC" w:rsidRPr="00337851" w:rsidRDefault="008011EC" w:rsidP="008011EC">
      <w:pPr>
        <w:rPr>
          <w:b/>
          <w:sz w:val="22"/>
          <w:szCs w:val="22"/>
          <w:lang w:eastAsia="zh-CN"/>
        </w:rPr>
      </w:pPr>
    </w:p>
    <w:p w:rsidR="008011EC" w:rsidRDefault="008011EC" w:rsidP="008011EC">
      <w:pPr>
        <w:spacing w:after="120"/>
        <w:jc w:val="both"/>
        <w:rPr>
          <w:b/>
          <w:kern w:val="2"/>
          <w:sz w:val="22"/>
          <w:lang w:eastAsia="zh-CN"/>
        </w:rPr>
      </w:pPr>
      <w:r w:rsidRPr="008011EC">
        <w:rPr>
          <w:b/>
          <w:kern w:val="2"/>
          <w:sz w:val="22"/>
          <w:lang w:eastAsia="zh-CN"/>
        </w:rPr>
        <w:t xml:space="preserve">Observation 8: Software update of an LTE </w:t>
      </w:r>
      <w:proofErr w:type="spellStart"/>
      <w:r w:rsidRPr="008011EC">
        <w:rPr>
          <w:b/>
          <w:kern w:val="2"/>
          <w:sz w:val="22"/>
          <w:lang w:eastAsia="zh-CN"/>
        </w:rPr>
        <w:t>eNB</w:t>
      </w:r>
      <w:proofErr w:type="spellEnd"/>
      <w:r w:rsidRPr="008011EC">
        <w:rPr>
          <w:b/>
          <w:kern w:val="2"/>
          <w:sz w:val="22"/>
          <w:lang w:eastAsia="zh-CN"/>
        </w:rPr>
        <w:t xml:space="preserve"> to support FDMA with GMSK and PSK is easily feasible.</w:t>
      </w:r>
    </w:p>
    <w:p w:rsidR="00DB4601" w:rsidRDefault="00DB4601" w:rsidP="00DB4601">
      <w:pPr>
        <w:rPr>
          <w:b/>
          <w:kern w:val="2"/>
          <w:sz w:val="22"/>
          <w:lang w:eastAsia="zh-CN"/>
        </w:rPr>
      </w:pPr>
      <w:r w:rsidRPr="00DB4601">
        <w:rPr>
          <w:rFonts w:hint="eastAsia"/>
          <w:b/>
          <w:kern w:val="2"/>
          <w:sz w:val="22"/>
          <w:lang w:eastAsia="zh-CN"/>
        </w:rPr>
        <w:t xml:space="preserve">Observation </w:t>
      </w:r>
      <w:r>
        <w:rPr>
          <w:rFonts w:hint="eastAsia"/>
          <w:b/>
          <w:kern w:val="2"/>
          <w:sz w:val="22"/>
          <w:lang w:eastAsia="zh-CN"/>
        </w:rPr>
        <w:t>9</w:t>
      </w:r>
      <w:r w:rsidRPr="00DB4601">
        <w:rPr>
          <w:rFonts w:hint="eastAsia"/>
          <w:b/>
          <w:kern w:val="2"/>
          <w:sz w:val="22"/>
          <w:lang w:eastAsia="zh-CN"/>
        </w:rPr>
        <w:t>: Compared with the SC-FDMA uplink, the battery life with FDMA uplink is about 25% better in extreme coverage case (164dB MCL).</w:t>
      </w:r>
    </w:p>
    <w:p w:rsidR="00DB4601" w:rsidRPr="00DB4601" w:rsidRDefault="00DB4601" w:rsidP="00DB4601">
      <w:pPr>
        <w:rPr>
          <w:b/>
          <w:kern w:val="2"/>
          <w:sz w:val="22"/>
          <w:lang w:eastAsia="zh-CN"/>
        </w:rPr>
      </w:pPr>
    </w:p>
    <w:p w:rsidR="00DB4601" w:rsidRPr="00DB4601" w:rsidRDefault="00DB4601" w:rsidP="00DB4601">
      <w:pPr>
        <w:rPr>
          <w:b/>
          <w:kern w:val="2"/>
          <w:sz w:val="22"/>
          <w:lang w:eastAsia="zh-CN"/>
        </w:rPr>
      </w:pPr>
      <w:r w:rsidRPr="00DB4601">
        <w:rPr>
          <w:rFonts w:hint="eastAsia"/>
          <w:b/>
          <w:kern w:val="2"/>
          <w:sz w:val="22"/>
          <w:lang w:eastAsia="zh-CN"/>
        </w:rPr>
        <w:t xml:space="preserve">Observation </w:t>
      </w:r>
      <w:r>
        <w:rPr>
          <w:rFonts w:hint="eastAsia"/>
          <w:b/>
          <w:kern w:val="2"/>
          <w:sz w:val="22"/>
          <w:lang w:eastAsia="zh-CN"/>
        </w:rPr>
        <w:t>10</w:t>
      </w:r>
      <w:r w:rsidRPr="00DB4601">
        <w:rPr>
          <w:rFonts w:hint="eastAsia"/>
          <w:b/>
          <w:kern w:val="2"/>
          <w:sz w:val="22"/>
          <w:lang w:eastAsia="zh-CN"/>
        </w:rPr>
        <w:t xml:space="preserve">: Since SC-FDMA draws about 20% </w:t>
      </w:r>
      <w:r w:rsidRPr="00DB4601">
        <w:rPr>
          <w:b/>
          <w:kern w:val="2"/>
          <w:sz w:val="22"/>
          <w:lang w:eastAsia="zh-CN"/>
        </w:rPr>
        <w:t>higher peak transmit</w:t>
      </w:r>
      <w:r w:rsidRPr="00DB4601">
        <w:rPr>
          <w:rFonts w:hint="eastAsia"/>
          <w:b/>
          <w:kern w:val="2"/>
          <w:sz w:val="22"/>
          <w:lang w:eastAsia="zh-CN"/>
        </w:rPr>
        <w:t xml:space="preserve"> current </w:t>
      </w:r>
      <w:r w:rsidRPr="00DB4601">
        <w:rPr>
          <w:b/>
          <w:kern w:val="2"/>
          <w:sz w:val="22"/>
          <w:lang w:eastAsia="zh-CN"/>
        </w:rPr>
        <w:t>compared with</w:t>
      </w:r>
      <w:r w:rsidRPr="00DB4601">
        <w:rPr>
          <w:rFonts w:hint="eastAsia"/>
          <w:b/>
          <w:kern w:val="2"/>
          <w:sz w:val="22"/>
          <w:lang w:eastAsia="zh-CN"/>
        </w:rPr>
        <w:t xml:space="preserve"> FDMA, the expected battery life of SC-FDMA transmission </w:t>
      </w:r>
      <w:r w:rsidRPr="00DB4601">
        <w:rPr>
          <w:b/>
          <w:kern w:val="2"/>
          <w:sz w:val="22"/>
          <w:lang w:eastAsia="zh-CN"/>
        </w:rPr>
        <w:t>may</w:t>
      </w:r>
      <w:r w:rsidRPr="00DB4601">
        <w:rPr>
          <w:rFonts w:hint="eastAsia"/>
          <w:b/>
          <w:kern w:val="2"/>
          <w:sz w:val="22"/>
          <w:lang w:eastAsia="zh-CN"/>
        </w:rPr>
        <w:t xml:space="preserve"> be </w:t>
      </w:r>
      <w:r w:rsidRPr="00DB4601">
        <w:rPr>
          <w:b/>
          <w:kern w:val="2"/>
          <w:sz w:val="22"/>
          <w:lang w:eastAsia="zh-CN"/>
        </w:rPr>
        <w:t xml:space="preserve">degraded by </w:t>
      </w:r>
      <w:r w:rsidRPr="00DB4601">
        <w:rPr>
          <w:rFonts w:hint="eastAsia"/>
          <w:b/>
          <w:kern w:val="2"/>
          <w:sz w:val="22"/>
          <w:lang w:eastAsia="zh-CN"/>
        </w:rPr>
        <w:t xml:space="preserve">much more than 20% </w:t>
      </w:r>
      <w:r w:rsidRPr="00DB4601">
        <w:rPr>
          <w:b/>
          <w:kern w:val="2"/>
          <w:sz w:val="22"/>
          <w:lang w:eastAsia="zh-CN"/>
        </w:rPr>
        <w:t>if these non-linear battery technology effects are taken into account</w:t>
      </w:r>
      <w:r w:rsidRPr="00DB4601">
        <w:rPr>
          <w:rFonts w:hint="eastAsia"/>
          <w:b/>
          <w:kern w:val="2"/>
          <w:sz w:val="22"/>
          <w:lang w:eastAsia="zh-CN"/>
        </w:rPr>
        <w:t>.</w:t>
      </w:r>
    </w:p>
    <w:p w:rsidR="008011EC" w:rsidRPr="00DB4601" w:rsidRDefault="008011EC" w:rsidP="008011EC">
      <w:pPr>
        <w:spacing w:after="120"/>
        <w:jc w:val="both"/>
        <w:rPr>
          <w:b/>
          <w:kern w:val="2"/>
          <w:sz w:val="22"/>
          <w:lang w:eastAsia="zh-CN"/>
        </w:rPr>
      </w:pPr>
    </w:p>
    <w:p w:rsidR="008011EC" w:rsidRDefault="008011EC" w:rsidP="008011EC">
      <w:pPr>
        <w:spacing w:after="120"/>
        <w:jc w:val="both"/>
        <w:rPr>
          <w:b/>
          <w:kern w:val="2"/>
          <w:sz w:val="22"/>
          <w:lang w:eastAsia="zh-CN"/>
        </w:rPr>
      </w:pPr>
      <w:r w:rsidRPr="008011EC">
        <w:rPr>
          <w:b/>
          <w:kern w:val="2"/>
          <w:sz w:val="22"/>
          <w:lang w:eastAsia="zh-CN"/>
        </w:rPr>
        <w:t xml:space="preserve">Observation </w:t>
      </w:r>
      <w:r w:rsidR="00DB4601">
        <w:rPr>
          <w:rFonts w:hint="eastAsia"/>
          <w:b/>
          <w:kern w:val="2"/>
          <w:sz w:val="22"/>
          <w:lang w:eastAsia="zh-CN"/>
        </w:rPr>
        <w:t>11</w:t>
      </w:r>
      <w:r w:rsidRPr="008011EC">
        <w:rPr>
          <w:b/>
          <w:kern w:val="2"/>
          <w:sz w:val="22"/>
          <w:lang w:eastAsia="zh-CN"/>
        </w:rPr>
        <w:t xml:space="preserve">: FDMA with GMSK modulation has a comparable spectral efficiency with SC-FDMA including single-tone transmission at MCL=164/154dB whist higher spectral efficiency at MCL=144dB when uplink transmit power back-off is applied. </w:t>
      </w:r>
    </w:p>
    <w:p w:rsidR="008011EC" w:rsidRPr="005825DE" w:rsidRDefault="008011EC" w:rsidP="008011EC">
      <w:pPr>
        <w:spacing w:after="120"/>
        <w:jc w:val="both"/>
        <w:rPr>
          <w:b/>
          <w:kern w:val="2"/>
          <w:sz w:val="22"/>
          <w:lang w:eastAsia="zh-CN"/>
        </w:rPr>
      </w:pPr>
    </w:p>
    <w:p w:rsidR="008011EC" w:rsidRPr="008011EC" w:rsidRDefault="008011EC" w:rsidP="008011EC">
      <w:pPr>
        <w:spacing w:after="120"/>
        <w:jc w:val="both"/>
        <w:rPr>
          <w:b/>
          <w:kern w:val="2"/>
          <w:sz w:val="22"/>
          <w:lang w:eastAsia="zh-CN"/>
        </w:rPr>
      </w:pPr>
      <w:r w:rsidRPr="008011EC">
        <w:rPr>
          <w:b/>
          <w:kern w:val="2"/>
          <w:sz w:val="22"/>
          <w:lang w:eastAsia="zh-CN"/>
        </w:rPr>
        <w:t>Observation 1</w:t>
      </w:r>
      <w:r w:rsidR="00DB4601">
        <w:rPr>
          <w:rFonts w:hint="eastAsia"/>
          <w:b/>
          <w:kern w:val="2"/>
          <w:sz w:val="22"/>
          <w:lang w:eastAsia="zh-CN"/>
        </w:rPr>
        <w:t>2</w:t>
      </w:r>
      <w:r w:rsidRPr="008011EC">
        <w:rPr>
          <w:b/>
          <w:kern w:val="2"/>
          <w:sz w:val="22"/>
          <w:lang w:eastAsia="zh-CN"/>
        </w:rPr>
        <w:t>: The FDMA based uplink solution with an introduction of a 2.5kHz sub-channel spacing achieves higher capacity and lower UL report failure probability than the SC-FDMA based uplink solution in standalone, guard-band and in-band operation mode.</w:t>
      </w:r>
    </w:p>
    <w:p w:rsidR="0066276A" w:rsidRDefault="0066276A" w:rsidP="00D532E6">
      <w:pPr>
        <w:spacing w:after="120"/>
        <w:jc w:val="both"/>
        <w:rPr>
          <w:kern w:val="2"/>
          <w:sz w:val="22"/>
          <w:lang w:eastAsia="zh-CN"/>
        </w:rPr>
      </w:pPr>
    </w:p>
    <w:p w:rsidR="00B626F1" w:rsidRDefault="00B626F1" w:rsidP="00D532E6">
      <w:pPr>
        <w:spacing w:after="120"/>
        <w:jc w:val="both"/>
        <w:rPr>
          <w:sz w:val="22"/>
          <w:szCs w:val="22"/>
          <w:lang w:eastAsia="zh-CN"/>
        </w:rPr>
      </w:pPr>
    </w:p>
    <w:p w:rsidR="00064E8D" w:rsidRPr="00EB3686" w:rsidRDefault="00EB3686" w:rsidP="00EB3686">
      <w:pPr>
        <w:spacing w:after="120"/>
        <w:rPr>
          <w:sz w:val="22"/>
          <w:szCs w:val="22"/>
        </w:rPr>
      </w:pPr>
      <w:r>
        <w:rPr>
          <w:sz w:val="22"/>
          <w:szCs w:val="22"/>
        </w:rPr>
        <w:t xml:space="preserve"> </w:t>
      </w:r>
      <w:r w:rsidR="00064E8D" w:rsidRPr="00EB3686">
        <w:rPr>
          <w:sz w:val="22"/>
          <w:szCs w:val="22"/>
        </w:rPr>
        <w:t xml:space="preserve"> </w:t>
      </w:r>
    </w:p>
    <w:p w:rsidR="00675715" w:rsidRDefault="00675715">
      <w:pPr>
        <w:rPr>
          <w:b/>
          <w:sz w:val="28"/>
          <w:szCs w:val="28"/>
        </w:rPr>
      </w:pPr>
      <w:r>
        <w:rPr>
          <w:b/>
          <w:sz w:val="28"/>
          <w:szCs w:val="28"/>
        </w:rPr>
        <w:br w:type="page"/>
      </w:r>
    </w:p>
    <w:p w:rsidR="006E0073" w:rsidRPr="003A542B" w:rsidRDefault="006E0073" w:rsidP="000E39D1">
      <w:pPr>
        <w:pStyle w:val="1"/>
        <w:keepLines w:val="0"/>
        <w:widowControl/>
        <w:numPr>
          <w:ilvl w:val="0"/>
          <w:numId w:val="8"/>
        </w:numPr>
        <w:pBdr>
          <w:top w:val="none" w:sz="0" w:space="0" w:color="auto"/>
        </w:pBdr>
        <w:spacing w:after="240"/>
        <w:rPr>
          <w:rFonts w:ascii="Times New Roman" w:hAnsi="Times New Roman"/>
          <w:b/>
          <w:sz w:val="28"/>
          <w:szCs w:val="28"/>
        </w:rPr>
      </w:pPr>
      <w:r w:rsidRPr="003A542B">
        <w:rPr>
          <w:rFonts w:ascii="Times New Roman" w:hAnsi="Times New Roman"/>
          <w:b/>
          <w:sz w:val="28"/>
          <w:szCs w:val="28"/>
        </w:rPr>
        <w:lastRenderedPageBreak/>
        <w:t>References</w:t>
      </w:r>
    </w:p>
    <w:p w:rsidR="008A109D" w:rsidRPr="0077755D" w:rsidRDefault="008A109D" w:rsidP="006E0073">
      <w:pPr>
        <w:pStyle w:val="Reference"/>
        <w:numPr>
          <w:ilvl w:val="1"/>
          <w:numId w:val="4"/>
        </w:numPr>
        <w:spacing w:before="156" w:after="156"/>
        <w:rPr>
          <w:rFonts w:ascii="Times New Roman" w:hAnsi="Times New Roman"/>
          <w:lang w:val="en-GB" w:eastAsia="zh-CN"/>
        </w:rPr>
      </w:pPr>
      <w:bookmarkStart w:id="8" w:name="_Ref430609514"/>
      <w:bookmarkStart w:id="9" w:name="_Ref429863688"/>
      <w:bookmarkStart w:id="10" w:name="_Ref429659237"/>
      <w:r w:rsidRPr="0077755D">
        <w:rPr>
          <w:rFonts w:ascii="Times New Roman" w:hAnsi="Times New Roman"/>
          <w:lang w:val="en-GB" w:eastAsia="zh-CN"/>
        </w:rPr>
        <w:t xml:space="preserve">RP-151621, “New Work Item: </w:t>
      </w:r>
      <w:proofErr w:type="spellStart"/>
      <w:r w:rsidRPr="0077755D">
        <w:rPr>
          <w:rFonts w:ascii="Times New Roman" w:hAnsi="Times New Roman"/>
          <w:lang w:val="en-GB" w:eastAsia="zh-CN"/>
        </w:rPr>
        <w:t>NarrowBand</w:t>
      </w:r>
      <w:proofErr w:type="spellEnd"/>
      <w:r w:rsidRPr="0077755D">
        <w:rPr>
          <w:rFonts w:ascii="Times New Roman" w:hAnsi="Times New Roman"/>
          <w:lang w:val="en-GB" w:eastAsia="zh-CN"/>
        </w:rPr>
        <w:t xml:space="preserve"> </w:t>
      </w:r>
      <w:proofErr w:type="spellStart"/>
      <w:r w:rsidRPr="0077755D">
        <w:rPr>
          <w:rFonts w:ascii="Times New Roman" w:hAnsi="Times New Roman"/>
          <w:lang w:val="en-GB" w:eastAsia="zh-CN"/>
        </w:rPr>
        <w:t>IoT</w:t>
      </w:r>
      <w:proofErr w:type="spellEnd"/>
      <w:r w:rsidRPr="0077755D">
        <w:rPr>
          <w:rFonts w:ascii="Times New Roman" w:hAnsi="Times New Roman"/>
          <w:lang w:val="en-GB" w:eastAsia="zh-CN"/>
        </w:rPr>
        <w:t xml:space="preserve"> (NB-</w:t>
      </w:r>
      <w:proofErr w:type="spellStart"/>
      <w:r w:rsidRPr="0077755D">
        <w:rPr>
          <w:rFonts w:ascii="Times New Roman" w:hAnsi="Times New Roman"/>
          <w:lang w:val="en-GB" w:eastAsia="zh-CN"/>
        </w:rPr>
        <w:t>IoT</w:t>
      </w:r>
      <w:proofErr w:type="spellEnd"/>
      <w:r w:rsidRPr="0077755D">
        <w:rPr>
          <w:rFonts w:ascii="Times New Roman" w:hAnsi="Times New Roman"/>
          <w:lang w:val="en-GB" w:eastAsia="zh-CN"/>
        </w:rPr>
        <w:t>)”, Qualcomm Inc, RAN#69</w:t>
      </w:r>
      <w:r w:rsidR="005F4C51">
        <w:rPr>
          <w:rFonts w:ascii="Times New Roman" w:hAnsi="Times New Roman"/>
          <w:lang w:val="en-GB" w:eastAsia="zh-CN"/>
        </w:rPr>
        <w:t xml:space="preserve">, </w:t>
      </w:r>
      <w:r w:rsidR="00BF2374" w:rsidRPr="00BF2374">
        <w:rPr>
          <w:rFonts w:ascii="Times New Roman" w:hAnsi="Times New Roman"/>
          <w:lang w:val="en-GB" w:eastAsia="zh-CN"/>
        </w:rPr>
        <w:t>Phoenix, USA, Sep</w:t>
      </w:r>
      <w:r w:rsidR="005F4C51">
        <w:rPr>
          <w:rFonts w:ascii="Times New Roman" w:hAnsi="Times New Roman"/>
          <w:lang w:val="en-GB" w:eastAsia="zh-CN"/>
        </w:rPr>
        <w:t>tember</w:t>
      </w:r>
      <w:r w:rsidR="00BF2374" w:rsidRPr="00BF2374">
        <w:rPr>
          <w:rFonts w:ascii="Times New Roman" w:hAnsi="Times New Roman"/>
          <w:lang w:val="en-GB" w:eastAsia="zh-CN"/>
        </w:rPr>
        <w:t xml:space="preserve"> 14 - 16, 2015</w:t>
      </w:r>
      <w:bookmarkEnd w:id="8"/>
    </w:p>
    <w:p w:rsidR="0078028D" w:rsidRDefault="00E36466" w:rsidP="0078028D">
      <w:pPr>
        <w:pStyle w:val="Reference"/>
        <w:numPr>
          <w:ilvl w:val="1"/>
          <w:numId w:val="4"/>
        </w:numPr>
        <w:spacing w:before="156" w:after="156"/>
        <w:rPr>
          <w:rFonts w:ascii="Times New Roman" w:hAnsi="Times New Roman"/>
          <w:lang w:val="en-GB" w:eastAsia="zh-CN"/>
        </w:rPr>
      </w:pPr>
      <w:bookmarkStart w:id="11" w:name="_Ref430609530"/>
      <w:r w:rsidRPr="0077755D">
        <w:rPr>
          <w:rFonts w:ascii="Times New Roman" w:hAnsi="Times New Roman"/>
        </w:rPr>
        <w:t>3GPP TR 45.820, “Technical Specification Group GSM/EDGE Radio Access Network; Cellular System Support for Ultra Low Complexity and Low Throughput Internet of Things,” Aug. 2015, v.2.1.0</w:t>
      </w:r>
      <w:r w:rsidRPr="0077755D">
        <w:rPr>
          <w:rFonts w:ascii="Times New Roman" w:hAnsi="Times New Roman"/>
          <w:lang w:val="en-GB" w:eastAsia="zh-CN"/>
        </w:rPr>
        <w:t>.</w:t>
      </w:r>
      <w:bookmarkEnd w:id="3"/>
      <w:bookmarkEnd w:id="9"/>
      <w:bookmarkEnd w:id="10"/>
      <w:bookmarkEnd w:id="11"/>
    </w:p>
    <w:p w:rsidR="0078028D" w:rsidRPr="007B0174" w:rsidRDefault="00BF2374" w:rsidP="0078028D">
      <w:pPr>
        <w:pStyle w:val="Reference"/>
        <w:numPr>
          <w:ilvl w:val="1"/>
          <w:numId w:val="4"/>
        </w:numPr>
        <w:spacing w:before="156" w:after="156"/>
        <w:rPr>
          <w:rFonts w:ascii="Times New Roman" w:hAnsi="Times New Roman"/>
        </w:rPr>
      </w:pPr>
      <w:r w:rsidRPr="00BF2374">
        <w:rPr>
          <w:rFonts w:ascii="Times New Roman" w:hAnsi="Times New Roman"/>
        </w:rPr>
        <w:t>R1-155970, “UE complexity analysis”, Neul Limited, Huawei Technologies Co., Ltd., HiSilicon Technologies Co., Ltd. RAN #82 bis, Malmo, Sweden, October 5-9, 2015.</w:t>
      </w:r>
    </w:p>
    <w:p w:rsidR="0078028D" w:rsidRPr="007B0174" w:rsidRDefault="00BF2374" w:rsidP="0078028D">
      <w:pPr>
        <w:pStyle w:val="Reference"/>
        <w:numPr>
          <w:ilvl w:val="1"/>
          <w:numId w:val="4"/>
        </w:numPr>
        <w:spacing w:before="156" w:after="156"/>
        <w:rPr>
          <w:rFonts w:ascii="Times New Roman" w:hAnsi="Times New Roman"/>
        </w:rPr>
      </w:pPr>
      <w:r w:rsidRPr="00BF2374">
        <w:rPr>
          <w:rFonts w:ascii="Times New Roman" w:hAnsi="Times New Roman"/>
        </w:rPr>
        <w:t>R1-155965, “Base Station complexity analysis”, Huawei Technologies Co., Ltd., HiSilicon Technologies Co., Ltd. RAN #82 bis, Malmo, Sweden, October 5-9, 2015.</w:t>
      </w:r>
    </w:p>
    <w:p w:rsidR="004A463C" w:rsidRPr="004A463C" w:rsidRDefault="00BF2374" w:rsidP="004A463C">
      <w:pPr>
        <w:pStyle w:val="Reference"/>
        <w:numPr>
          <w:ilvl w:val="1"/>
          <w:numId w:val="4"/>
        </w:numPr>
        <w:spacing w:before="156" w:after="156"/>
        <w:rPr>
          <w:rFonts w:ascii="Times New Roman" w:hAnsi="Times New Roman"/>
        </w:rPr>
      </w:pPr>
      <w:bookmarkStart w:id="12" w:name="_Ref432587348"/>
      <w:r w:rsidRPr="00BF2374">
        <w:rPr>
          <w:rFonts w:ascii="Times New Roman" w:hAnsi="Times New Roman"/>
        </w:rPr>
        <w:t xml:space="preserve">R1-156012, </w:t>
      </w:r>
      <w:r w:rsidR="003209E6" w:rsidRPr="004A463C">
        <w:rPr>
          <w:rFonts w:ascii="Times New Roman" w:hAnsi="Times New Roman"/>
        </w:rPr>
        <w:t>“</w:t>
      </w:r>
      <w:r w:rsidR="004A463C" w:rsidRPr="004A463C">
        <w:rPr>
          <w:rFonts w:ascii="Times New Roman" w:hAnsi="Times New Roman"/>
        </w:rPr>
        <w:t>NB-LTE – UL Modulation</w:t>
      </w:r>
      <w:r w:rsidR="003209E6" w:rsidRPr="004A463C">
        <w:rPr>
          <w:rFonts w:ascii="Times New Roman" w:hAnsi="Times New Roman"/>
        </w:rPr>
        <w:t>”, Ericsson, RAN1 #82bis</w:t>
      </w:r>
      <w:r w:rsidR="007B0174">
        <w:rPr>
          <w:rFonts w:ascii="Times New Roman" w:hAnsi="Times New Roman"/>
        </w:rPr>
        <w:t xml:space="preserve">, </w:t>
      </w:r>
      <w:r w:rsidRPr="00BF2374">
        <w:rPr>
          <w:rFonts w:ascii="Times New Roman" w:hAnsi="Times New Roman"/>
        </w:rPr>
        <w:t>Malmo, Sweden, October 5-9, 2015.</w:t>
      </w:r>
      <w:bookmarkEnd w:id="12"/>
    </w:p>
    <w:p w:rsidR="00494433" w:rsidRDefault="00494433" w:rsidP="004A463C">
      <w:pPr>
        <w:pStyle w:val="Reference"/>
        <w:numPr>
          <w:ilvl w:val="1"/>
          <w:numId w:val="4"/>
        </w:numPr>
        <w:spacing w:before="156" w:after="156"/>
        <w:rPr>
          <w:rFonts w:ascii="Times New Roman" w:hAnsi="Times New Roman"/>
        </w:rPr>
      </w:pPr>
      <w:r w:rsidRPr="004A463C">
        <w:rPr>
          <w:rFonts w:ascii="Times New Roman" w:hAnsi="Times New Roman" w:hint="eastAsia"/>
        </w:rPr>
        <w:t xml:space="preserve">R1-155804, </w:t>
      </w:r>
      <w:r w:rsidRPr="004A463C">
        <w:rPr>
          <w:rFonts w:ascii="Times New Roman" w:hAnsi="Times New Roman"/>
        </w:rPr>
        <w:t>“PAPR comparison of uplink modulation schemes for NB-IoT”</w:t>
      </w:r>
      <w:r w:rsidRPr="004A463C">
        <w:rPr>
          <w:rFonts w:ascii="Times New Roman" w:hAnsi="Times New Roman" w:hint="eastAsia"/>
        </w:rPr>
        <w:t>LG Electronics, RAN1 #82bis</w:t>
      </w:r>
      <w:r w:rsidR="007B0174">
        <w:rPr>
          <w:rFonts w:ascii="Times New Roman" w:hAnsi="Times New Roman"/>
        </w:rPr>
        <w:t xml:space="preserve">, </w:t>
      </w:r>
      <w:r w:rsidR="00BF2374" w:rsidRPr="00BF2374">
        <w:rPr>
          <w:rFonts w:ascii="Times New Roman" w:hAnsi="Times New Roman"/>
        </w:rPr>
        <w:t>Malmo, Sweden, October 5-9, 2015.</w:t>
      </w:r>
    </w:p>
    <w:p w:rsidR="001B2D93" w:rsidRDefault="001B2D93" w:rsidP="004A463C">
      <w:pPr>
        <w:pStyle w:val="Reference"/>
        <w:numPr>
          <w:ilvl w:val="1"/>
          <w:numId w:val="4"/>
        </w:numPr>
        <w:spacing w:before="156" w:after="156"/>
        <w:rPr>
          <w:rFonts w:ascii="Times New Roman" w:hAnsi="Times New Roman"/>
        </w:rPr>
      </w:pPr>
      <w:r>
        <w:rPr>
          <w:rFonts w:ascii="Times New Roman" w:hAnsi="Times New Roman"/>
        </w:rPr>
        <w:t>R1-15xxxx, ”</w:t>
      </w:r>
      <w:r w:rsidR="00BF2374" w:rsidRPr="00BF2374">
        <w:rPr>
          <w:rFonts w:ascii="Times New Roman" w:hAnsi="Times New Roman"/>
        </w:rPr>
        <w:t xml:space="preserve"> Properties of UL modulations proposed for NB-IoT”, Huawei Technologies Co., Ltd., HiSilicon Technologies Co., Ltd. RAN</w:t>
      </w:r>
      <w:r>
        <w:rPr>
          <w:rFonts w:ascii="Times New Roman" w:hAnsi="Times New Roman"/>
        </w:rPr>
        <w:t>1</w:t>
      </w:r>
      <w:r w:rsidR="00BF2374" w:rsidRPr="00BF2374">
        <w:rPr>
          <w:rFonts w:ascii="Times New Roman" w:hAnsi="Times New Roman"/>
        </w:rPr>
        <w:t xml:space="preserve"> #8</w:t>
      </w:r>
      <w:r>
        <w:rPr>
          <w:rFonts w:ascii="Times New Roman" w:hAnsi="Times New Roman"/>
        </w:rPr>
        <w:t>3</w:t>
      </w:r>
      <w:r w:rsidR="005F4C51">
        <w:rPr>
          <w:rFonts w:ascii="Times New Roman" w:hAnsi="Times New Roman"/>
        </w:rPr>
        <w:t xml:space="preserve">, </w:t>
      </w:r>
      <w:r w:rsidR="005F4C51" w:rsidRPr="00494E3A">
        <w:rPr>
          <w:rFonts w:ascii="Times New Roman" w:hAnsi="Times New Roman" w:hint="eastAsia"/>
        </w:rPr>
        <w:t>Anaheim</w:t>
      </w:r>
      <w:r w:rsidR="005F4C51" w:rsidRPr="00494E3A">
        <w:rPr>
          <w:rFonts w:ascii="Times New Roman" w:hAnsi="Times New Roman"/>
        </w:rPr>
        <w:t xml:space="preserve">, </w:t>
      </w:r>
      <w:r w:rsidR="005F4C51" w:rsidRPr="00494E3A">
        <w:rPr>
          <w:rFonts w:ascii="Times New Roman" w:hAnsi="Times New Roman" w:hint="eastAsia"/>
        </w:rPr>
        <w:t>USA</w:t>
      </w:r>
      <w:r w:rsidR="005F4C51" w:rsidRPr="00494E3A">
        <w:rPr>
          <w:rFonts w:ascii="Times New Roman" w:hAnsi="Times New Roman"/>
        </w:rPr>
        <w:t xml:space="preserve">, November </w:t>
      </w:r>
      <w:r w:rsidR="005F4C51">
        <w:rPr>
          <w:rFonts w:ascii="Times New Roman" w:hAnsi="Times New Roman"/>
        </w:rPr>
        <w:t xml:space="preserve">15-22, </w:t>
      </w:r>
      <w:r w:rsidR="005F4C51" w:rsidRPr="00494E3A">
        <w:rPr>
          <w:rFonts w:ascii="Times New Roman" w:hAnsi="Times New Roman"/>
        </w:rPr>
        <w:t>201</w:t>
      </w:r>
      <w:r w:rsidR="005F4C51" w:rsidRPr="00494E3A">
        <w:rPr>
          <w:rFonts w:ascii="Times New Roman" w:hAnsi="Times New Roman" w:hint="eastAsia"/>
        </w:rPr>
        <w:t>5</w:t>
      </w:r>
    </w:p>
    <w:p w:rsidR="00494E3A" w:rsidRDefault="00494E3A" w:rsidP="004A463C">
      <w:pPr>
        <w:pStyle w:val="Reference"/>
        <w:numPr>
          <w:ilvl w:val="1"/>
          <w:numId w:val="4"/>
        </w:numPr>
        <w:spacing w:before="156" w:after="156"/>
        <w:rPr>
          <w:rFonts w:ascii="Times New Roman" w:hAnsi="Times New Roman"/>
        </w:rPr>
      </w:pPr>
      <w:r>
        <w:rPr>
          <w:rFonts w:ascii="Times New Roman" w:hAnsi="Times New Roman"/>
        </w:rPr>
        <w:t>R1-156463, ”</w:t>
      </w:r>
      <w:r w:rsidR="00BF2374" w:rsidRPr="00BF2374">
        <w:rPr>
          <w:rFonts w:ascii="Times New Roman" w:hAnsi="Times New Roman"/>
        </w:rPr>
        <w:t>Uplink receiver design and complexity analysis for FDMA based approach</w:t>
      </w:r>
      <w:r>
        <w:rPr>
          <w:rFonts w:ascii="Times New Roman" w:hAnsi="Times New Roman"/>
        </w:rPr>
        <w:t xml:space="preserve">”, </w:t>
      </w:r>
      <w:r w:rsidRPr="00583DA9">
        <w:rPr>
          <w:rFonts w:ascii="Times New Roman" w:hAnsi="Times New Roman"/>
        </w:rPr>
        <w:t>Huawei Technologies Co., Ltd., HiSilicon Technologies Co., Ltd. RAN</w:t>
      </w:r>
      <w:r>
        <w:rPr>
          <w:rFonts w:ascii="Times New Roman" w:hAnsi="Times New Roman"/>
        </w:rPr>
        <w:t>1</w:t>
      </w:r>
      <w:r w:rsidRPr="00583DA9">
        <w:rPr>
          <w:rFonts w:ascii="Times New Roman" w:hAnsi="Times New Roman"/>
        </w:rPr>
        <w:t xml:space="preserve"> #8</w:t>
      </w:r>
      <w:r>
        <w:rPr>
          <w:rFonts w:ascii="Times New Roman" w:hAnsi="Times New Roman"/>
        </w:rPr>
        <w:t xml:space="preserve">3, </w:t>
      </w:r>
      <w:r w:rsidR="00BF2374" w:rsidRPr="00BF2374">
        <w:rPr>
          <w:rFonts w:ascii="Times New Roman" w:hAnsi="Times New Roman"/>
        </w:rPr>
        <w:t xml:space="preserve">Anaheim, USA, November </w:t>
      </w:r>
      <w:r w:rsidR="005F4C51">
        <w:rPr>
          <w:rFonts w:ascii="Times New Roman" w:hAnsi="Times New Roman"/>
        </w:rPr>
        <w:t xml:space="preserve">15-22, </w:t>
      </w:r>
      <w:r w:rsidR="00BF2374" w:rsidRPr="00BF2374">
        <w:rPr>
          <w:rFonts w:ascii="Times New Roman" w:hAnsi="Times New Roman"/>
        </w:rPr>
        <w:t>2015</w:t>
      </w:r>
    </w:p>
    <w:p w:rsidR="009A2086" w:rsidRDefault="00BF2374" w:rsidP="004A463C">
      <w:pPr>
        <w:pStyle w:val="Reference"/>
        <w:numPr>
          <w:ilvl w:val="1"/>
          <w:numId w:val="4"/>
        </w:numPr>
        <w:spacing w:before="156" w:after="156"/>
        <w:rPr>
          <w:rFonts w:ascii="Times New Roman" w:hAnsi="Times New Roman"/>
        </w:rPr>
      </w:pPr>
      <w:r w:rsidRPr="00BF2374">
        <w:rPr>
          <w:rFonts w:ascii="Times New Roman" w:hAnsi="Times New Roman"/>
        </w:rPr>
        <w:t xml:space="preserve">R1-156478, ”On GMSK receiver performance”, </w:t>
      </w:r>
      <w:r w:rsidR="002E32FF" w:rsidRPr="00583DA9">
        <w:rPr>
          <w:rFonts w:ascii="Times New Roman" w:hAnsi="Times New Roman"/>
        </w:rPr>
        <w:t>Huawei Technologies Co., Ltd., HiSilicon Technologies Co., Ltd. RAN</w:t>
      </w:r>
      <w:r w:rsidR="002E32FF">
        <w:rPr>
          <w:rFonts w:ascii="Times New Roman" w:hAnsi="Times New Roman"/>
        </w:rPr>
        <w:t>1</w:t>
      </w:r>
      <w:r w:rsidR="002E32FF" w:rsidRPr="00583DA9">
        <w:rPr>
          <w:rFonts w:ascii="Times New Roman" w:hAnsi="Times New Roman"/>
        </w:rPr>
        <w:t xml:space="preserve"> #8</w:t>
      </w:r>
      <w:r w:rsidR="002E32FF">
        <w:rPr>
          <w:rFonts w:ascii="Times New Roman" w:hAnsi="Times New Roman"/>
        </w:rPr>
        <w:t xml:space="preserve">3, </w:t>
      </w:r>
      <w:r w:rsidR="002E32FF" w:rsidRPr="00494E3A">
        <w:rPr>
          <w:rFonts w:ascii="Times New Roman" w:hAnsi="Times New Roman" w:hint="eastAsia"/>
        </w:rPr>
        <w:t>Anaheim</w:t>
      </w:r>
      <w:r w:rsidR="002E32FF" w:rsidRPr="00494E3A">
        <w:rPr>
          <w:rFonts w:ascii="Times New Roman" w:hAnsi="Times New Roman"/>
        </w:rPr>
        <w:t xml:space="preserve">, </w:t>
      </w:r>
      <w:r w:rsidR="002E32FF" w:rsidRPr="00494E3A">
        <w:rPr>
          <w:rFonts w:ascii="Times New Roman" w:hAnsi="Times New Roman" w:hint="eastAsia"/>
        </w:rPr>
        <w:t>USA</w:t>
      </w:r>
      <w:r w:rsidR="002E32FF" w:rsidRPr="00494E3A">
        <w:rPr>
          <w:rFonts w:ascii="Times New Roman" w:hAnsi="Times New Roman"/>
        </w:rPr>
        <w:t xml:space="preserve">, </w:t>
      </w:r>
      <w:r w:rsidR="005F4C51" w:rsidRPr="00494E3A">
        <w:rPr>
          <w:rFonts w:ascii="Times New Roman" w:hAnsi="Times New Roman"/>
        </w:rPr>
        <w:t xml:space="preserve">November </w:t>
      </w:r>
      <w:r w:rsidR="005F4C51">
        <w:rPr>
          <w:rFonts w:ascii="Times New Roman" w:hAnsi="Times New Roman"/>
        </w:rPr>
        <w:t xml:space="preserve">15-22, </w:t>
      </w:r>
      <w:r w:rsidR="005F4C51" w:rsidRPr="00494E3A">
        <w:rPr>
          <w:rFonts w:ascii="Times New Roman" w:hAnsi="Times New Roman"/>
        </w:rPr>
        <w:t>201</w:t>
      </w:r>
      <w:r w:rsidR="005F4C51" w:rsidRPr="00494E3A">
        <w:rPr>
          <w:rFonts w:ascii="Times New Roman" w:hAnsi="Times New Roman" w:hint="eastAsia"/>
        </w:rPr>
        <w:t>5</w:t>
      </w:r>
    </w:p>
    <w:p w:rsidR="00F707A5" w:rsidRDefault="00BF2374" w:rsidP="004A463C">
      <w:pPr>
        <w:pStyle w:val="Reference"/>
        <w:numPr>
          <w:ilvl w:val="1"/>
          <w:numId w:val="4"/>
        </w:numPr>
        <w:spacing w:before="156" w:after="156"/>
        <w:rPr>
          <w:rFonts w:ascii="Times New Roman" w:hAnsi="Times New Roman"/>
        </w:rPr>
      </w:pPr>
      <w:r w:rsidRPr="00BF2374">
        <w:rPr>
          <w:rFonts w:ascii="Times New Roman" w:hAnsi="Times New Roman"/>
        </w:rPr>
        <w:t>RP-156010, “NB LTE – General L1 Concept Description”, Ericsson et al., Malmo, Sweden, October 5-9, 2015.</w:t>
      </w:r>
    </w:p>
    <w:p w:rsidR="00DB4601" w:rsidRDefault="00DB4601" w:rsidP="00DB4601">
      <w:pPr>
        <w:pStyle w:val="Reference"/>
        <w:numPr>
          <w:ilvl w:val="1"/>
          <w:numId w:val="4"/>
        </w:numPr>
        <w:spacing w:before="156" w:after="156"/>
        <w:rPr>
          <w:rFonts w:ascii="Times New Roman" w:hAnsi="Times New Roman"/>
        </w:rPr>
      </w:pPr>
      <w:bookmarkStart w:id="13" w:name="_Ref434651053"/>
      <w:r w:rsidRPr="00BF2374">
        <w:rPr>
          <w:rFonts w:ascii="Times New Roman" w:hAnsi="Times New Roman"/>
        </w:rPr>
        <w:t>R1-1564</w:t>
      </w:r>
      <w:r>
        <w:rPr>
          <w:rFonts w:ascii="Times New Roman" w:hAnsi="Times New Roman" w:hint="eastAsia"/>
          <w:lang w:eastAsia="zh-CN"/>
        </w:rPr>
        <w:t>69</w:t>
      </w:r>
      <w:r>
        <w:rPr>
          <w:rFonts w:ascii="Times New Roman" w:hAnsi="Times New Roman"/>
        </w:rPr>
        <w:t>,</w:t>
      </w:r>
      <w:r>
        <w:rPr>
          <w:rFonts w:ascii="Times New Roman" w:hAnsi="Times New Roman" w:hint="eastAsia"/>
          <w:lang w:eastAsia="zh-CN"/>
        </w:rPr>
        <w:t xml:space="preserve"> </w:t>
      </w:r>
      <w:r w:rsidRPr="00BF2374">
        <w:rPr>
          <w:rFonts w:ascii="Times New Roman" w:hAnsi="Times New Roman"/>
        </w:rPr>
        <w:t>“</w:t>
      </w:r>
      <w:r w:rsidRPr="00DB4601">
        <w:rPr>
          <w:rFonts w:ascii="Times New Roman" w:hAnsi="Times New Roman"/>
        </w:rPr>
        <w:t>UE Energy consumption evaluation in standalone operation</w:t>
      </w:r>
      <w:r w:rsidRPr="00BF2374">
        <w:rPr>
          <w:rFonts w:ascii="Times New Roman" w:hAnsi="Times New Roman"/>
        </w:rPr>
        <w:t xml:space="preserve">”, </w:t>
      </w:r>
      <w:r w:rsidRPr="00583DA9">
        <w:rPr>
          <w:rFonts w:ascii="Times New Roman" w:hAnsi="Times New Roman"/>
        </w:rPr>
        <w:t>Huawei Technologies Co., Ltd., HiSilicon Technologies Co., Ltd. RAN</w:t>
      </w:r>
      <w:r>
        <w:rPr>
          <w:rFonts w:ascii="Times New Roman" w:hAnsi="Times New Roman"/>
        </w:rPr>
        <w:t>1</w:t>
      </w:r>
      <w:r w:rsidRPr="00583DA9">
        <w:rPr>
          <w:rFonts w:ascii="Times New Roman" w:hAnsi="Times New Roman"/>
        </w:rPr>
        <w:t xml:space="preserve"> #8</w:t>
      </w:r>
      <w:r>
        <w:rPr>
          <w:rFonts w:ascii="Times New Roman" w:hAnsi="Times New Roman"/>
        </w:rPr>
        <w:t xml:space="preserve">3, </w:t>
      </w:r>
      <w:r w:rsidRPr="00494E3A">
        <w:rPr>
          <w:rFonts w:ascii="Times New Roman" w:hAnsi="Times New Roman" w:hint="eastAsia"/>
        </w:rPr>
        <w:t>Anaheim</w:t>
      </w:r>
      <w:r w:rsidRPr="00494E3A">
        <w:rPr>
          <w:rFonts w:ascii="Times New Roman" w:hAnsi="Times New Roman"/>
        </w:rPr>
        <w:t xml:space="preserve">, </w:t>
      </w:r>
      <w:r w:rsidRPr="00494E3A">
        <w:rPr>
          <w:rFonts w:ascii="Times New Roman" w:hAnsi="Times New Roman" w:hint="eastAsia"/>
        </w:rPr>
        <w:t>USA</w:t>
      </w:r>
      <w:r w:rsidRPr="00494E3A">
        <w:rPr>
          <w:rFonts w:ascii="Times New Roman" w:hAnsi="Times New Roman"/>
        </w:rPr>
        <w:t xml:space="preserve">, November </w:t>
      </w:r>
      <w:r>
        <w:rPr>
          <w:rFonts w:ascii="Times New Roman" w:hAnsi="Times New Roman"/>
        </w:rPr>
        <w:t xml:space="preserve">15-22, </w:t>
      </w:r>
      <w:r w:rsidRPr="00494E3A">
        <w:rPr>
          <w:rFonts w:ascii="Times New Roman" w:hAnsi="Times New Roman"/>
        </w:rPr>
        <w:t>201</w:t>
      </w:r>
      <w:r w:rsidRPr="00494E3A">
        <w:rPr>
          <w:rFonts w:ascii="Times New Roman" w:hAnsi="Times New Roman" w:hint="eastAsia"/>
        </w:rPr>
        <w:t>5</w:t>
      </w:r>
      <w:bookmarkEnd w:id="13"/>
    </w:p>
    <w:p w:rsidR="00DB4601" w:rsidRDefault="00DB4601" w:rsidP="00DB4601">
      <w:pPr>
        <w:pStyle w:val="Reference"/>
        <w:numPr>
          <w:ilvl w:val="1"/>
          <w:numId w:val="4"/>
        </w:numPr>
        <w:spacing w:before="156" w:after="156"/>
        <w:rPr>
          <w:rFonts w:ascii="Times New Roman" w:hAnsi="Times New Roman"/>
        </w:rPr>
      </w:pPr>
      <w:bookmarkStart w:id="14" w:name="_Ref434651054"/>
      <w:r w:rsidRPr="00BF2374">
        <w:rPr>
          <w:rFonts w:ascii="Times New Roman" w:hAnsi="Times New Roman"/>
        </w:rPr>
        <w:t>R1-1564</w:t>
      </w:r>
      <w:r>
        <w:rPr>
          <w:rFonts w:ascii="Times New Roman" w:hAnsi="Times New Roman" w:hint="eastAsia"/>
          <w:lang w:eastAsia="zh-CN"/>
        </w:rPr>
        <w:t>72</w:t>
      </w:r>
      <w:r>
        <w:rPr>
          <w:rFonts w:ascii="Times New Roman" w:hAnsi="Times New Roman"/>
        </w:rPr>
        <w:t>,</w:t>
      </w:r>
      <w:r>
        <w:rPr>
          <w:rFonts w:ascii="Times New Roman" w:hAnsi="Times New Roman" w:hint="eastAsia"/>
          <w:lang w:eastAsia="zh-CN"/>
        </w:rPr>
        <w:t xml:space="preserve"> </w:t>
      </w:r>
      <w:r w:rsidRPr="00BF2374">
        <w:rPr>
          <w:rFonts w:ascii="Times New Roman" w:hAnsi="Times New Roman"/>
        </w:rPr>
        <w:t>“</w:t>
      </w:r>
      <w:r w:rsidRPr="00DB4601">
        <w:rPr>
          <w:rFonts w:ascii="Times New Roman" w:hAnsi="Times New Roman"/>
        </w:rPr>
        <w:t xml:space="preserve">UE Energy consumption evaluation in </w:t>
      </w:r>
      <w:r>
        <w:rPr>
          <w:rFonts w:ascii="Times New Roman" w:hAnsi="Times New Roman" w:hint="eastAsia"/>
          <w:lang w:eastAsia="zh-CN"/>
        </w:rPr>
        <w:t>guard-band</w:t>
      </w:r>
      <w:r w:rsidRPr="00DB4601">
        <w:rPr>
          <w:rFonts w:ascii="Times New Roman" w:hAnsi="Times New Roman"/>
        </w:rPr>
        <w:t xml:space="preserve"> operation</w:t>
      </w:r>
      <w:r w:rsidRPr="00BF2374">
        <w:rPr>
          <w:rFonts w:ascii="Times New Roman" w:hAnsi="Times New Roman"/>
        </w:rPr>
        <w:t xml:space="preserve">”, </w:t>
      </w:r>
      <w:r w:rsidRPr="00583DA9">
        <w:rPr>
          <w:rFonts w:ascii="Times New Roman" w:hAnsi="Times New Roman"/>
        </w:rPr>
        <w:t>Huawei Technologies Co., Ltd., HiSilicon Technologies Co., Ltd. RAN</w:t>
      </w:r>
      <w:r>
        <w:rPr>
          <w:rFonts w:ascii="Times New Roman" w:hAnsi="Times New Roman"/>
        </w:rPr>
        <w:t>1</w:t>
      </w:r>
      <w:r w:rsidRPr="00583DA9">
        <w:rPr>
          <w:rFonts w:ascii="Times New Roman" w:hAnsi="Times New Roman"/>
        </w:rPr>
        <w:t xml:space="preserve"> #8</w:t>
      </w:r>
      <w:r>
        <w:rPr>
          <w:rFonts w:ascii="Times New Roman" w:hAnsi="Times New Roman"/>
        </w:rPr>
        <w:t xml:space="preserve">3, </w:t>
      </w:r>
      <w:r w:rsidRPr="00494E3A">
        <w:rPr>
          <w:rFonts w:ascii="Times New Roman" w:hAnsi="Times New Roman" w:hint="eastAsia"/>
        </w:rPr>
        <w:t>Anaheim</w:t>
      </w:r>
      <w:r w:rsidRPr="00494E3A">
        <w:rPr>
          <w:rFonts w:ascii="Times New Roman" w:hAnsi="Times New Roman"/>
        </w:rPr>
        <w:t xml:space="preserve">, </w:t>
      </w:r>
      <w:r w:rsidRPr="00494E3A">
        <w:rPr>
          <w:rFonts w:ascii="Times New Roman" w:hAnsi="Times New Roman" w:hint="eastAsia"/>
        </w:rPr>
        <w:t>USA</w:t>
      </w:r>
      <w:r w:rsidRPr="00494E3A">
        <w:rPr>
          <w:rFonts w:ascii="Times New Roman" w:hAnsi="Times New Roman"/>
        </w:rPr>
        <w:t xml:space="preserve">, November </w:t>
      </w:r>
      <w:r>
        <w:rPr>
          <w:rFonts w:ascii="Times New Roman" w:hAnsi="Times New Roman"/>
        </w:rPr>
        <w:t xml:space="preserve">15-22, </w:t>
      </w:r>
      <w:r w:rsidRPr="00494E3A">
        <w:rPr>
          <w:rFonts w:ascii="Times New Roman" w:hAnsi="Times New Roman"/>
        </w:rPr>
        <w:t>201</w:t>
      </w:r>
      <w:r w:rsidRPr="00494E3A">
        <w:rPr>
          <w:rFonts w:ascii="Times New Roman" w:hAnsi="Times New Roman" w:hint="eastAsia"/>
        </w:rPr>
        <w:t>5</w:t>
      </w:r>
      <w:bookmarkEnd w:id="14"/>
    </w:p>
    <w:p w:rsidR="00DB4601" w:rsidRDefault="00DB4601" w:rsidP="00DB4601">
      <w:pPr>
        <w:pStyle w:val="Reference"/>
        <w:numPr>
          <w:ilvl w:val="1"/>
          <w:numId w:val="4"/>
        </w:numPr>
        <w:spacing w:before="156" w:after="156"/>
        <w:rPr>
          <w:rFonts w:ascii="Times New Roman" w:hAnsi="Times New Roman"/>
        </w:rPr>
      </w:pPr>
      <w:bookmarkStart w:id="15" w:name="_Ref434651055"/>
      <w:r w:rsidRPr="00BF2374">
        <w:rPr>
          <w:rFonts w:ascii="Times New Roman" w:hAnsi="Times New Roman"/>
        </w:rPr>
        <w:t>R1-1564</w:t>
      </w:r>
      <w:r>
        <w:rPr>
          <w:rFonts w:ascii="Times New Roman" w:hAnsi="Times New Roman" w:hint="eastAsia"/>
          <w:lang w:eastAsia="zh-CN"/>
        </w:rPr>
        <w:t>74</w:t>
      </w:r>
      <w:r>
        <w:rPr>
          <w:rFonts w:ascii="Times New Roman" w:hAnsi="Times New Roman"/>
        </w:rPr>
        <w:t>,</w:t>
      </w:r>
      <w:r>
        <w:rPr>
          <w:rFonts w:ascii="Times New Roman" w:hAnsi="Times New Roman" w:hint="eastAsia"/>
          <w:lang w:eastAsia="zh-CN"/>
        </w:rPr>
        <w:t xml:space="preserve"> </w:t>
      </w:r>
      <w:r w:rsidRPr="00BF2374">
        <w:rPr>
          <w:rFonts w:ascii="Times New Roman" w:hAnsi="Times New Roman"/>
        </w:rPr>
        <w:t>“</w:t>
      </w:r>
      <w:r w:rsidRPr="00DB4601">
        <w:rPr>
          <w:rFonts w:ascii="Times New Roman" w:hAnsi="Times New Roman"/>
        </w:rPr>
        <w:t xml:space="preserve">UE Energy consumption evaluation in </w:t>
      </w:r>
      <w:r>
        <w:rPr>
          <w:rFonts w:ascii="Times New Roman" w:hAnsi="Times New Roman" w:hint="eastAsia"/>
          <w:lang w:eastAsia="zh-CN"/>
        </w:rPr>
        <w:t>in-band</w:t>
      </w:r>
      <w:r w:rsidRPr="00DB4601">
        <w:rPr>
          <w:rFonts w:ascii="Times New Roman" w:hAnsi="Times New Roman"/>
        </w:rPr>
        <w:t xml:space="preserve"> operation</w:t>
      </w:r>
      <w:r w:rsidRPr="00BF2374">
        <w:rPr>
          <w:rFonts w:ascii="Times New Roman" w:hAnsi="Times New Roman"/>
        </w:rPr>
        <w:t xml:space="preserve">”, </w:t>
      </w:r>
      <w:r w:rsidRPr="00583DA9">
        <w:rPr>
          <w:rFonts w:ascii="Times New Roman" w:hAnsi="Times New Roman"/>
        </w:rPr>
        <w:t>Huawei Technologies Co., Ltd., HiSilicon Technologies Co., Ltd. RAN</w:t>
      </w:r>
      <w:r>
        <w:rPr>
          <w:rFonts w:ascii="Times New Roman" w:hAnsi="Times New Roman"/>
        </w:rPr>
        <w:t>1</w:t>
      </w:r>
      <w:r w:rsidRPr="00583DA9">
        <w:rPr>
          <w:rFonts w:ascii="Times New Roman" w:hAnsi="Times New Roman"/>
        </w:rPr>
        <w:t xml:space="preserve"> #8</w:t>
      </w:r>
      <w:r>
        <w:rPr>
          <w:rFonts w:ascii="Times New Roman" w:hAnsi="Times New Roman"/>
        </w:rPr>
        <w:t xml:space="preserve">3, </w:t>
      </w:r>
      <w:r w:rsidRPr="00494E3A">
        <w:rPr>
          <w:rFonts w:ascii="Times New Roman" w:hAnsi="Times New Roman" w:hint="eastAsia"/>
        </w:rPr>
        <w:t>Anaheim</w:t>
      </w:r>
      <w:r w:rsidRPr="00494E3A">
        <w:rPr>
          <w:rFonts w:ascii="Times New Roman" w:hAnsi="Times New Roman"/>
        </w:rPr>
        <w:t xml:space="preserve">, </w:t>
      </w:r>
      <w:r w:rsidRPr="00494E3A">
        <w:rPr>
          <w:rFonts w:ascii="Times New Roman" w:hAnsi="Times New Roman" w:hint="eastAsia"/>
        </w:rPr>
        <w:t>USA</w:t>
      </w:r>
      <w:r w:rsidRPr="00494E3A">
        <w:rPr>
          <w:rFonts w:ascii="Times New Roman" w:hAnsi="Times New Roman"/>
        </w:rPr>
        <w:t xml:space="preserve">, November </w:t>
      </w:r>
      <w:r>
        <w:rPr>
          <w:rFonts w:ascii="Times New Roman" w:hAnsi="Times New Roman"/>
        </w:rPr>
        <w:t xml:space="preserve">15-22, </w:t>
      </w:r>
      <w:r w:rsidRPr="00494E3A">
        <w:rPr>
          <w:rFonts w:ascii="Times New Roman" w:hAnsi="Times New Roman"/>
        </w:rPr>
        <w:t>201</w:t>
      </w:r>
      <w:r w:rsidRPr="00494E3A">
        <w:rPr>
          <w:rFonts w:ascii="Times New Roman" w:hAnsi="Times New Roman" w:hint="eastAsia"/>
        </w:rPr>
        <w:t>5</w:t>
      </w:r>
      <w:bookmarkEnd w:id="15"/>
    </w:p>
    <w:p w:rsidR="008011EC" w:rsidRDefault="008011EC" w:rsidP="008011EC">
      <w:pPr>
        <w:pStyle w:val="Reference"/>
        <w:numPr>
          <w:ilvl w:val="1"/>
          <w:numId w:val="4"/>
        </w:numPr>
        <w:spacing w:before="156" w:after="156"/>
        <w:rPr>
          <w:rFonts w:ascii="Times New Roman" w:hAnsi="Times New Roman"/>
        </w:rPr>
      </w:pPr>
      <w:bookmarkStart w:id="16" w:name="_Ref434650102"/>
      <w:r w:rsidRPr="00BF2374">
        <w:rPr>
          <w:rFonts w:ascii="Times New Roman" w:hAnsi="Times New Roman"/>
        </w:rPr>
        <w:t>R1-1564</w:t>
      </w:r>
      <w:r>
        <w:rPr>
          <w:rFonts w:ascii="Times New Roman" w:hAnsi="Times New Roman" w:hint="eastAsia"/>
          <w:lang w:eastAsia="zh-CN"/>
        </w:rPr>
        <w:t>66</w:t>
      </w:r>
      <w:r>
        <w:rPr>
          <w:rFonts w:ascii="Times New Roman" w:hAnsi="Times New Roman"/>
        </w:rPr>
        <w:t>,</w:t>
      </w:r>
      <w:r>
        <w:rPr>
          <w:rFonts w:ascii="Times New Roman" w:hAnsi="Times New Roman" w:hint="eastAsia"/>
          <w:lang w:eastAsia="zh-CN"/>
        </w:rPr>
        <w:t xml:space="preserve"> </w:t>
      </w:r>
      <w:r w:rsidRPr="00BF2374">
        <w:rPr>
          <w:rFonts w:ascii="Times New Roman" w:hAnsi="Times New Roman"/>
        </w:rPr>
        <w:t>“</w:t>
      </w:r>
      <w:r w:rsidRPr="008011EC">
        <w:rPr>
          <w:rFonts w:ascii="Times New Roman" w:hAnsi="Times New Roman"/>
        </w:rPr>
        <w:t>Uplink coverage evaluation</w:t>
      </w:r>
      <w:r w:rsidRPr="00BF2374">
        <w:rPr>
          <w:rFonts w:ascii="Times New Roman" w:hAnsi="Times New Roman"/>
        </w:rPr>
        <w:t xml:space="preserve">”, </w:t>
      </w:r>
      <w:r w:rsidRPr="00583DA9">
        <w:rPr>
          <w:rFonts w:ascii="Times New Roman" w:hAnsi="Times New Roman"/>
        </w:rPr>
        <w:t>Huawei Technologies Co., Ltd., HiSilicon Technologies Co., Ltd. RAN</w:t>
      </w:r>
      <w:r>
        <w:rPr>
          <w:rFonts w:ascii="Times New Roman" w:hAnsi="Times New Roman"/>
        </w:rPr>
        <w:t>1</w:t>
      </w:r>
      <w:r w:rsidRPr="00583DA9">
        <w:rPr>
          <w:rFonts w:ascii="Times New Roman" w:hAnsi="Times New Roman"/>
        </w:rPr>
        <w:t xml:space="preserve"> #8</w:t>
      </w:r>
      <w:r>
        <w:rPr>
          <w:rFonts w:ascii="Times New Roman" w:hAnsi="Times New Roman"/>
        </w:rPr>
        <w:t xml:space="preserve">3, </w:t>
      </w:r>
      <w:r w:rsidRPr="00494E3A">
        <w:rPr>
          <w:rFonts w:ascii="Times New Roman" w:hAnsi="Times New Roman" w:hint="eastAsia"/>
        </w:rPr>
        <w:t>Anaheim</w:t>
      </w:r>
      <w:r w:rsidRPr="00494E3A">
        <w:rPr>
          <w:rFonts w:ascii="Times New Roman" w:hAnsi="Times New Roman"/>
        </w:rPr>
        <w:t xml:space="preserve">, </w:t>
      </w:r>
      <w:r w:rsidRPr="00494E3A">
        <w:rPr>
          <w:rFonts w:ascii="Times New Roman" w:hAnsi="Times New Roman" w:hint="eastAsia"/>
        </w:rPr>
        <w:t>USA</w:t>
      </w:r>
      <w:r w:rsidRPr="00494E3A">
        <w:rPr>
          <w:rFonts w:ascii="Times New Roman" w:hAnsi="Times New Roman"/>
        </w:rPr>
        <w:t xml:space="preserve">, November </w:t>
      </w:r>
      <w:r>
        <w:rPr>
          <w:rFonts w:ascii="Times New Roman" w:hAnsi="Times New Roman"/>
        </w:rPr>
        <w:t xml:space="preserve">15-22, </w:t>
      </w:r>
      <w:r w:rsidRPr="00494E3A">
        <w:rPr>
          <w:rFonts w:ascii="Times New Roman" w:hAnsi="Times New Roman"/>
        </w:rPr>
        <w:t>201</w:t>
      </w:r>
      <w:r w:rsidRPr="00494E3A">
        <w:rPr>
          <w:rFonts w:ascii="Times New Roman" w:hAnsi="Times New Roman" w:hint="eastAsia"/>
        </w:rPr>
        <w:t>5</w:t>
      </w:r>
      <w:bookmarkEnd w:id="16"/>
    </w:p>
    <w:p w:rsidR="008011EC" w:rsidRDefault="008011EC" w:rsidP="008011EC">
      <w:pPr>
        <w:pStyle w:val="Reference"/>
        <w:numPr>
          <w:ilvl w:val="1"/>
          <w:numId w:val="4"/>
        </w:numPr>
        <w:spacing w:before="156" w:after="156"/>
        <w:rPr>
          <w:rFonts w:ascii="Times New Roman" w:hAnsi="Times New Roman"/>
        </w:rPr>
      </w:pPr>
      <w:bookmarkStart w:id="17" w:name="_Ref434650108"/>
      <w:r w:rsidRPr="00BF2374">
        <w:rPr>
          <w:rFonts w:ascii="Times New Roman" w:hAnsi="Times New Roman"/>
        </w:rPr>
        <w:t>R1-1564</w:t>
      </w:r>
      <w:r>
        <w:rPr>
          <w:rFonts w:ascii="Times New Roman" w:hAnsi="Times New Roman" w:hint="eastAsia"/>
          <w:lang w:eastAsia="zh-CN"/>
        </w:rPr>
        <w:t>6</w:t>
      </w:r>
      <w:r>
        <w:rPr>
          <w:rFonts w:ascii="Times New Roman" w:hAnsi="Times New Roman" w:hint="eastAsia"/>
        </w:rPr>
        <w:t>8</w:t>
      </w:r>
      <w:r>
        <w:rPr>
          <w:rFonts w:ascii="Times New Roman" w:hAnsi="Times New Roman"/>
        </w:rPr>
        <w:t>,</w:t>
      </w:r>
      <w:r>
        <w:rPr>
          <w:rFonts w:ascii="Times New Roman" w:hAnsi="Times New Roman" w:hint="eastAsia"/>
          <w:lang w:eastAsia="zh-CN"/>
        </w:rPr>
        <w:t xml:space="preserve"> </w:t>
      </w:r>
      <w:r w:rsidRPr="00BF2374">
        <w:rPr>
          <w:rFonts w:ascii="Times New Roman" w:hAnsi="Times New Roman"/>
        </w:rPr>
        <w:t>“</w:t>
      </w:r>
      <w:r w:rsidRPr="008011EC">
        <w:rPr>
          <w:rFonts w:ascii="Times New Roman" w:hAnsi="Times New Roman"/>
        </w:rPr>
        <w:t xml:space="preserve">Uplink </w:t>
      </w:r>
      <w:r w:rsidRPr="008011EC">
        <w:rPr>
          <w:rFonts w:ascii="Times New Roman" w:hAnsi="Times New Roman" w:hint="eastAsia"/>
        </w:rPr>
        <w:t>C</w:t>
      </w:r>
      <w:r w:rsidRPr="008011EC">
        <w:rPr>
          <w:rFonts w:ascii="Times New Roman" w:hAnsi="Times New Roman"/>
        </w:rPr>
        <w:t xml:space="preserve">apacity </w:t>
      </w:r>
      <w:r w:rsidRPr="008011EC">
        <w:rPr>
          <w:rFonts w:ascii="Times New Roman" w:hAnsi="Times New Roman" w:hint="eastAsia"/>
        </w:rPr>
        <w:t>E</w:t>
      </w:r>
      <w:r w:rsidRPr="008011EC">
        <w:rPr>
          <w:rFonts w:ascii="Times New Roman" w:hAnsi="Times New Roman"/>
        </w:rPr>
        <w:t xml:space="preserve">valuation in </w:t>
      </w:r>
      <w:r w:rsidRPr="008011EC">
        <w:rPr>
          <w:rFonts w:ascii="Times New Roman" w:hAnsi="Times New Roman" w:hint="eastAsia"/>
        </w:rPr>
        <w:t>S</w:t>
      </w:r>
      <w:r w:rsidRPr="008011EC">
        <w:rPr>
          <w:rFonts w:ascii="Times New Roman" w:hAnsi="Times New Roman"/>
        </w:rPr>
        <w:t xml:space="preserve">tandalone </w:t>
      </w:r>
      <w:r w:rsidRPr="008011EC">
        <w:rPr>
          <w:rFonts w:ascii="Times New Roman" w:hAnsi="Times New Roman" w:hint="eastAsia"/>
        </w:rPr>
        <w:t>O</w:t>
      </w:r>
      <w:r w:rsidRPr="008011EC">
        <w:rPr>
          <w:rFonts w:ascii="Times New Roman" w:hAnsi="Times New Roman"/>
        </w:rPr>
        <w:t>peration</w:t>
      </w:r>
      <w:r w:rsidRPr="00BF2374">
        <w:rPr>
          <w:rFonts w:ascii="Times New Roman" w:hAnsi="Times New Roman"/>
        </w:rPr>
        <w:t xml:space="preserve">”, </w:t>
      </w:r>
      <w:r w:rsidRPr="00583DA9">
        <w:rPr>
          <w:rFonts w:ascii="Times New Roman" w:hAnsi="Times New Roman"/>
        </w:rPr>
        <w:t>Huawei Technologies Co., Ltd., HiSilicon Technologies Co., Ltd. RAN</w:t>
      </w:r>
      <w:r>
        <w:rPr>
          <w:rFonts w:ascii="Times New Roman" w:hAnsi="Times New Roman"/>
        </w:rPr>
        <w:t>1</w:t>
      </w:r>
      <w:r w:rsidRPr="00583DA9">
        <w:rPr>
          <w:rFonts w:ascii="Times New Roman" w:hAnsi="Times New Roman"/>
        </w:rPr>
        <w:t xml:space="preserve"> #8</w:t>
      </w:r>
      <w:r>
        <w:rPr>
          <w:rFonts w:ascii="Times New Roman" w:hAnsi="Times New Roman"/>
        </w:rPr>
        <w:t xml:space="preserve">3, </w:t>
      </w:r>
      <w:r w:rsidRPr="00494E3A">
        <w:rPr>
          <w:rFonts w:ascii="Times New Roman" w:hAnsi="Times New Roman" w:hint="eastAsia"/>
        </w:rPr>
        <w:t>Anaheim</w:t>
      </w:r>
      <w:r w:rsidRPr="00494E3A">
        <w:rPr>
          <w:rFonts w:ascii="Times New Roman" w:hAnsi="Times New Roman"/>
        </w:rPr>
        <w:t xml:space="preserve">, </w:t>
      </w:r>
      <w:r w:rsidRPr="00494E3A">
        <w:rPr>
          <w:rFonts w:ascii="Times New Roman" w:hAnsi="Times New Roman" w:hint="eastAsia"/>
        </w:rPr>
        <w:t>USA</w:t>
      </w:r>
      <w:r w:rsidRPr="00494E3A">
        <w:rPr>
          <w:rFonts w:ascii="Times New Roman" w:hAnsi="Times New Roman"/>
        </w:rPr>
        <w:t xml:space="preserve">, November </w:t>
      </w:r>
      <w:r>
        <w:rPr>
          <w:rFonts w:ascii="Times New Roman" w:hAnsi="Times New Roman"/>
        </w:rPr>
        <w:t xml:space="preserve">15-22, </w:t>
      </w:r>
      <w:r w:rsidRPr="00494E3A">
        <w:rPr>
          <w:rFonts w:ascii="Times New Roman" w:hAnsi="Times New Roman"/>
        </w:rPr>
        <w:t>201</w:t>
      </w:r>
      <w:r w:rsidRPr="00494E3A">
        <w:rPr>
          <w:rFonts w:ascii="Times New Roman" w:hAnsi="Times New Roman" w:hint="eastAsia"/>
        </w:rPr>
        <w:t>5</w:t>
      </w:r>
      <w:bookmarkEnd w:id="17"/>
    </w:p>
    <w:p w:rsidR="008011EC" w:rsidRDefault="008011EC" w:rsidP="008011EC">
      <w:pPr>
        <w:pStyle w:val="Reference"/>
        <w:numPr>
          <w:ilvl w:val="1"/>
          <w:numId w:val="4"/>
        </w:numPr>
        <w:spacing w:before="156" w:after="156"/>
        <w:rPr>
          <w:rFonts w:ascii="Times New Roman" w:hAnsi="Times New Roman"/>
        </w:rPr>
      </w:pPr>
      <w:bookmarkStart w:id="18" w:name="_Ref434650124"/>
      <w:r w:rsidRPr="00BF2374">
        <w:rPr>
          <w:rFonts w:ascii="Times New Roman" w:hAnsi="Times New Roman"/>
        </w:rPr>
        <w:t>R1-1564</w:t>
      </w:r>
      <w:r>
        <w:rPr>
          <w:rFonts w:ascii="Times New Roman" w:hAnsi="Times New Roman" w:hint="eastAsia"/>
          <w:lang w:eastAsia="zh-CN"/>
        </w:rPr>
        <w:t>71</w:t>
      </w:r>
      <w:r>
        <w:rPr>
          <w:rFonts w:ascii="Times New Roman" w:hAnsi="Times New Roman"/>
        </w:rPr>
        <w:t>,</w:t>
      </w:r>
      <w:r>
        <w:rPr>
          <w:rFonts w:ascii="Times New Roman" w:hAnsi="Times New Roman" w:hint="eastAsia"/>
          <w:lang w:eastAsia="zh-CN"/>
        </w:rPr>
        <w:t xml:space="preserve"> </w:t>
      </w:r>
      <w:r w:rsidRPr="00BF2374">
        <w:rPr>
          <w:rFonts w:ascii="Times New Roman" w:hAnsi="Times New Roman"/>
        </w:rPr>
        <w:t>“</w:t>
      </w:r>
      <w:r w:rsidRPr="008011EC">
        <w:rPr>
          <w:rFonts w:ascii="Times New Roman" w:hAnsi="Times New Roman"/>
        </w:rPr>
        <w:t xml:space="preserve">Uplink </w:t>
      </w:r>
      <w:r w:rsidRPr="008011EC">
        <w:rPr>
          <w:rFonts w:ascii="Times New Roman" w:hAnsi="Times New Roman" w:hint="eastAsia"/>
        </w:rPr>
        <w:t>C</w:t>
      </w:r>
      <w:r w:rsidRPr="008011EC">
        <w:rPr>
          <w:rFonts w:ascii="Times New Roman" w:hAnsi="Times New Roman"/>
        </w:rPr>
        <w:t xml:space="preserve">apacity </w:t>
      </w:r>
      <w:r w:rsidRPr="008011EC">
        <w:rPr>
          <w:rFonts w:ascii="Times New Roman" w:hAnsi="Times New Roman" w:hint="eastAsia"/>
        </w:rPr>
        <w:t>E</w:t>
      </w:r>
      <w:r w:rsidRPr="008011EC">
        <w:rPr>
          <w:rFonts w:ascii="Times New Roman" w:hAnsi="Times New Roman"/>
        </w:rPr>
        <w:t xml:space="preserve">valuation in </w:t>
      </w:r>
      <w:r>
        <w:rPr>
          <w:rFonts w:ascii="Times New Roman" w:hAnsi="Times New Roman" w:hint="eastAsia"/>
          <w:lang w:eastAsia="zh-CN"/>
        </w:rPr>
        <w:t>Guard-band</w:t>
      </w:r>
      <w:r w:rsidRPr="008011EC">
        <w:rPr>
          <w:rFonts w:ascii="Times New Roman" w:hAnsi="Times New Roman"/>
        </w:rPr>
        <w:t xml:space="preserve"> </w:t>
      </w:r>
      <w:r w:rsidRPr="008011EC">
        <w:rPr>
          <w:rFonts w:ascii="Times New Roman" w:hAnsi="Times New Roman" w:hint="eastAsia"/>
        </w:rPr>
        <w:t>O</w:t>
      </w:r>
      <w:r w:rsidRPr="008011EC">
        <w:rPr>
          <w:rFonts w:ascii="Times New Roman" w:hAnsi="Times New Roman"/>
        </w:rPr>
        <w:t>peration</w:t>
      </w:r>
      <w:r w:rsidRPr="00BF2374">
        <w:rPr>
          <w:rFonts w:ascii="Times New Roman" w:hAnsi="Times New Roman"/>
        </w:rPr>
        <w:t xml:space="preserve">”, </w:t>
      </w:r>
      <w:r w:rsidRPr="00583DA9">
        <w:rPr>
          <w:rFonts w:ascii="Times New Roman" w:hAnsi="Times New Roman"/>
        </w:rPr>
        <w:t>Huawei Technologies Co., Ltd., HiSilicon Technologies Co., Ltd. RAN</w:t>
      </w:r>
      <w:r>
        <w:rPr>
          <w:rFonts w:ascii="Times New Roman" w:hAnsi="Times New Roman"/>
        </w:rPr>
        <w:t>1</w:t>
      </w:r>
      <w:r w:rsidRPr="00583DA9">
        <w:rPr>
          <w:rFonts w:ascii="Times New Roman" w:hAnsi="Times New Roman"/>
        </w:rPr>
        <w:t xml:space="preserve"> #8</w:t>
      </w:r>
      <w:r>
        <w:rPr>
          <w:rFonts w:ascii="Times New Roman" w:hAnsi="Times New Roman"/>
        </w:rPr>
        <w:t xml:space="preserve">3, </w:t>
      </w:r>
      <w:r w:rsidRPr="00494E3A">
        <w:rPr>
          <w:rFonts w:ascii="Times New Roman" w:hAnsi="Times New Roman" w:hint="eastAsia"/>
        </w:rPr>
        <w:t>Anaheim</w:t>
      </w:r>
      <w:r w:rsidRPr="00494E3A">
        <w:rPr>
          <w:rFonts w:ascii="Times New Roman" w:hAnsi="Times New Roman"/>
        </w:rPr>
        <w:t xml:space="preserve">, </w:t>
      </w:r>
      <w:r w:rsidRPr="00494E3A">
        <w:rPr>
          <w:rFonts w:ascii="Times New Roman" w:hAnsi="Times New Roman" w:hint="eastAsia"/>
        </w:rPr>
        <w:t>USA</w:t>
      </w:r>
      <w:r w:rsidRPr="00494E3A">
        <w:rPr>
          <w:rFonts w:ascii="Times New Roman" w:hAnsi="Times New Roman"/>
        </w:rPr>
        <w:t xml:space="preserve">, November </w:t>
      </w:r>
      <w:r>
        <w:rPr>
          <w:rFonts w:ascii="Times New Roman" w:hAnsi="Times New Roman"/>
        </w:rPr>
        <w:t xml:space="preserve">15-22, </w:t>
      </w:r>
      <w:r w:rsidRPr="00494E3A">
        <w:rPr>
          <w:rFonts w:ascii="Times New Roman" w:hAnsi="Times New Roman"/>
        </w:rPr>
        <w:t>201</w:t>
      </w:r>
      <w:r w:rsidRPr="00494E3A">
        <w:rPr>
          <w:rFonts w:ascii="Times New Roman" w:hAnsi="Times New Roman" w:hint="eastAsia"/>
        </w:rPr>
        <w:t>5</w:t>
      </w:r>
      <w:bookmarkEnd w:id="18"/>
    </w:p>
    <w:p w:rsidR="008011EC" w:rsidRDefault="008011EC" w:rsidP="008011EC">
      <w:pPr>
        <w:pStyle w:val="Reference"/>
        <w:numPr>
          <w:ilvl w:val="1"/>
          <w:numId w:val="4"/>
        </w:numPr>
        <w:spacing w:before="156" w:after="156"/>
        <w:rPr>
          <w:rFonts w:ascii="Times New Roman" w:hAnsi="Times New Roman"/>
        </w:rPr>
      </w:pPr>
      <w:bookmarkStart w:id="19" w:name="_Ref434650128"/>
      <w:r w:rsidRPr="00BF2374">
        <w:rPr>
          <w:rFonts w:ascii="Times New Roman" w:hAnsi="Times New Roman"/>
        </w:rPr>
        <w:t>R1-1564</w:t>
      </w:r>
      <w:r>
        <w:rPr>
          <w:rFonts w:ascii="Times New Roman" w:hAnsi="Times New Roman" w:hint="eastAsia"/>
          <w:lang w:eastAsia="zh-CN"/>
        </w:rPr>
        <w:t>76</w:t>
      </w:r>
      <w:r>
        <w:rPr>
          <w:rFonts w:ascii="Times New Roman" w:hAnsi="Times New Roman"/>
        </w:rPr>
        <w:t>,</w:t>
      </w:r>
      <w:r>
        <w:rPr>
          <w:rFonts w:ascii="Times New Roman" w:hAnsi="Times New Roman" w:hint="eastAsia"/>
          <w:lang w:eastAsia="zh-CN"/>
        </w:rPr>
        <w:t xml:space="preserve"> </w:t>
      </w:r>
      <w:r w:rsidRPr="00BF2374">
        <w:rPr>
          <w:rFonts w:ascii="Times New Roman" w:hAnsi="Times New Roman"/>
        </w:rPr>
        <w:t>“</w:t>
      </w:r>
      <w:r w:rsidRPr="008011EC">
        <w:rPr>
          <w:rFonts w:ascii="Times New Roman" w:hAnsi="Times New Roman"/>
        </w:rPr>
        <w:t xml:space="preserve">Uplink </w:t>
      </w:r>
      <w:r w:rsidRPr="008011EC">
        <w:rPr>
          <w:rFonts w:ascii="Times New Roman" w:hAnsi="Times New Roman" w:hint="eastAsia"/>
        </w:rPr>
        <w:t>C</w:t>
      </w:r>
      <w:r w:rsidRPr="008011EC">
        <w:rPr>
          <w:rFonts w:ascii="Times New Roman" w:hAnsi="Times New Roman"/>
        </w:rPr>
        <w:t xml:space="preserve">apacity </w:t>
      </w:r>
      <w:r w:rsidRPr="008011EC">
        <w:rPr>
          <w:rFonts w:ascii="Times New Roman" w:hAnsi="Times New Roman" w:hint="eastAsia"/>
        </w:rPr>
        <w:t>E</w:t>
      </w:r>
      <w:r w:rsidRPr="008011EC">
        <w:rPr>
          <w:rFonts w:ascii="Times New Roman" w:hAnsi="Times New Roman"/>
        </w:rPr>
        <w:t xml:space="preserve">valuation in </w:t>
      </w:r>
      <w:r>
        <w:rPr>
          <w:rFonts w:ascii="Times New Roman" w:hAnsi="Times New Roman" w:hint="eastAsia"/>
          <w:lang w:eastAsia="zh-CN"/>
        </w:rPr>
        <w:t>In-band</w:t>
      </w:r>
      <w:r w:rsidRPr="008011EC">
        <w:rPr>
          <w:rFonts w:ascii="Times New Roman" w:hAnsi="Times New Roman"/>
        </w:rPr>
        <w:t xml:space="preserve"> </w:t>
      </w:r>
      <w:r w:rsidRPr="008011EC">
        <w:rPr>
          <w:rFonts w:ascii="Times New Roman" w:hAnsi="Times New Roman" w:hint="eastAsia"/>
        </w:rPr>
        <w:t>O</w:t>
      </w:r>
      <w:r w:rsidRPr="008011EC">
        <w:rPr>
          <w:rFonts w:ascii="Times New Roman" w:hAnsi="Times New Roman"/>
        </w:rPr>
        <w:t>peration</w:t>
      </w:r>
      <w:r w:rsidRPr="00BF2374">
        <w:rPr>
          <w:rFonts w:ascii="Times New Roman" w:hAnsi="Times New Roman"/>
        </w:rPr>
        <w:t xml:space="preserve">”, </w:t>
      </w:r>
      <w:r w:rsidRPr="00583DA9">
        <w:rPr>
          <w:rFonts w:ascii="Times New Roman" w:hAnsi="Times New Roman"/>
        </w:rPr>
        <w:t>Huawei Technologies Co., Ltd., HiSilicon Technologies Co., Ltd. RAN</w:t>
      </w:r>
      <w:r>
        <w:rPr>
          <w:rFonts w:ascii="Times New Roman" w:hAnsi="Times New Roman"/>
        </w:rPr>
        <w:t>1</w:t>
      </w:r>
      <w:r w:rsidRPr="00583DA9">
        <w:rPr>
          <w:rFonts w:ascii="Times New Roman" w:hAnsi="Times New Roman"/>
        </w:rPr>
        <w:t xml:space="preserve"> #8</w:t>
      </w:r>
      <w:r>
        <w:rPr>
          <w:rFonts w:ascii="Times New Roman" w:hAnsi="Times New Roman"/>
        </w:rPr>
        <w:t xml:space="preserve">3, </w:t>
      </w:r>
      <w:r w:rsidRPr="00494E3A">
        <w:rPr>
          <w:rFonts w:ascii="Times New Roman" w:hAnsi="Times New Roman" w:hint="eastAsia"/>
        </w:rPr>
        <w:t>Anaheim</w:t>
      </w:r>
      <w:r w:rsidRPr="00494E3A">
        <w:rPr>
          <w:rFonts w:ascii="Times New Roman" w:hAnsi="Times New Roman"/>
        </w:rPr>
        <w:t xml:space="preserve">, </w:t>
      </w:r>
      <w:r w:rsidRPr="00494E3A">
        <w:rPr>
          <w:rFonts w:ascii="Times New Roman" w:hAnsi="Times New Roman" w:hint="eastAsia"/>
        </w:rPr>
        <w:t>USA</w:t>
      </w:r>
      <w:r w:rsidRPr="00494E3A">
        <w:rPr>
          <w:rFonts w:ascii="Times New Roman" w:hAnsi="Times New Roman"/>
        </w:rPr>
        <w:t xml:space="preserve">, November </w:t>
      </w:r>
      <w:r>
        <w:rPr>
          <w:rFonts w:ascii="Times New Roman" w:hAnsi="Times New Roman"/>
        </w:rPr>
        <w:t xml:space="preserve">15-22, </w:t>
      </w:r>
      <w:r w:rsidRPr="00494E3A">
        <w:rPr>
          <w:rFonts w:ascii="Times New Roman" w:hAnsi="Times New Roman"/>
        </w:rPr>
        <w:t>201</w:t>
      </w:r>
      <w:r w:rsidRPr="00494E3A">
        <w:rPr>
          <w:rFonts w:ascii="Times New Roman" w:hAnsi="Times New Roman" w:hint="eastAsia"/>
        </w:rPr>
        <w:t>5</w:t>
      </w:r>
      <w:bookmarkEnd w:id="19"/>
    </w:p>
    <w:p w:rsidR="009D0329" w:rsidRDefault="009D0329">
      <w:pPr>
        <w:pStyle w:val="Reference"/>
        <w:numPr>
          <w:ilvl w:val="0"/>
          <w:numId w:val="0"/>
        </w:numPr>
        <w:spacing w:before="156" w:after="156"/>
        <w:ind w:left="1107" w:hanging="567"/>
        <w:rPr>
          <w:rFonts w:ascii="Times New Roman" w:hAnsi="Times New Roman"/>
        </w:rPr>
      </w:pPr>
    </w:p>
    <w:sectPr w:rsidR="009D0329" w:rsidSect="003C4A00">
      <w:headerReference w:type="default" r:id="rId11"/>
      <w:footerReference w:type="default" r:id="rId12"/>
      <w:pgSz w:w="11906" w:h="16838"/>
      <w:pgMar w:top="851" w:right="1418" w:bottom="56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24BB" w:rsidRDefault="005F24BB">
      <w:r>
        <w:separator/>
      </w:r>
    </w:p>
  </w:endnote>
  <w:endnote w:type="continuationSeparator" w:id="0">
    <w:p w:rsidR="005F24BB" w:rsidRDefault="005F24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SimHei">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169E" w:rsidRDefault="002B7DFD">
    <w:pPr>
      <w:pStyle w:val="a8"/>
      <w:jc w:val="center"/>
    </w:pPr>
    <w:r w:rsidRPr="002B7DFD">
      <w:fldChar w:fldCharType="begin"/>
    </w:r>
    <w:r w:rsidR="0057169E">
      <w:instrText xml:space="preserve"> PAGE   \* MERGEFORMAT </w:instrText>
    </w:r>
    <w:r w:rsidRPr="002B7DFD">
      <w:fldChar w:fldCharType="separate"/>
    </w:r>
    <w:r w:rsidR="00EA4F97" w:rsidRPr="00EA4F97">
      <w:rPr>
        <w:noProof/>
        <w:lang w:val="zh-CN"/>
      </w:rPr>
      <w:t>5</w:t>
    </w:r>
    <w:r>
      <w:rPr>
        <w:noProof/>
        <w:lang w:val="zh-CN"/>
      </w:rPr>
      <w:fldChar w:fldCharType="end"/>
    </w:r>
  </w:p>
  <w:p w:rsidR="0057169E" w:rsidRDefault="0057169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24BB" w:rsidRDefault="005F24BB">
      <w:r>
        <w:separator/>
      </w:r>
    </w:p>
  </w:footnote>
  <w:footnote w:type="continuationSeparator" w:id="0">
    <w:p w:rsidR="005F24BB" w:rsidRDefault="005F24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169E" w:rsidRPr="00AA774D" w:rsidRDefault="0057169E"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2"/>
      <w:lvlText w:val="%1."/>
      <w:lvlJc w:val="left"/>
      <w:pPr>
        <w:tabs>
          <w:tab w:val="num" w:pos="780"/>
        </w:tabs>
        <w:ind w:leftChars="200" w:left="780" w:hangingChars="200" w:hanging="360"/>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19F7170"/>
    <w:multiLevelType w:val="multilevel"/>
    <w:tmpl w:val="26667D08"/>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FC416A8"/>
    <w:multiLevelType w:val="multilevel"/>
    <w:tmpl w:val="D64007C6"/>
    <w:lvl w:ilvl="0">
      <w:start w:val="1"/>
      <w:numFmt w:val="decimal"/>
      <w:lvlText w:val="%1."/>
      <w:lvlJc w:val="left"/>
      <w:pPr>
        <w:tabs>
          <w:tab w:val="num" w:pos="432"/>
        </w:tabs>
        <w:ind w:left="432" w:hanging="432"/>
      </w:pPr>
      <w:rPr>
        <w:rFonts w:hint="eastAsia"/>
        <w:lang w:val="en-US"/>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26DC0D8B"/>
    <w:multiLevelType w:val="hybridMultilevel"/>
    <w:tmpl w:val="6E345EA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91A1379"/>
    <w:multiLevelType w:val="multilevel"/>
    <w:tmpl w:val="6C7A1C0C"/>
    <w:lvl w:ilvl="0">
      <w:start w:val="1"/>
      <w:numFmt w:val="decimal"/>
      <w:lvlText w:val="%1."/>
      <w:lvlJc w:val="left"/>
      <w:pPr>
        <w:ind w:left="420" w:hanging="420"/>
      </w:pPr>
      <w:rPr>
        <w:rFonts w:hint="eastAsia"/>
      </w:rPr>
    </w:lvl>
    <w:lvl w:ilvl="1">
      <w:start w:val="1"/>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nsid w:val="35EA0D77"/>
    <w:multiLevelType w:val="hybridMultilevel"/>
    <w:tmpl w:val="A62452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69F3407"/>
    <w:multiLevelType w:val="multilevel"/>
    <w:tmpl w:val="E742801E"/>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
    <w:nsid w:val="36B9038E"/>
    <w:multiLevelType w:val="multilevel"/>
    <w:tmpl w:val="F3C8DE30"/>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nsid w:val="3B1C5CEE"/>
    <w:multiLevelType w:val="hybridMultilevel"/>
    <w:tmpl w:val="DA8E2D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B2E0296"/>
    <w:multiLevelType w:val="hybridMultilevel"/>
    <w:tmpl w:val="71E27A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62E69CD8">
      <w:start w:val="1"/>
      <w:numFmt w:val="bullet"/>
      <w:lvlText w:val="-"/>
      <w:lvlJc w:val="left"/>
      <w:pPr>
        <w:ind w:left="2160" w:hanging="360"/>
      </w:pPr>
      <w:rPr>
        <w:rFonts w:ascii="Times New Roman" w:eastAsiaTheme="minorEastAsia"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0AF49BB"/>
    <w:multiLevelType w:val="multilevel"/>
    <w:tmpl w:val="0D921FA6"/>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nsid w:val="42021755"/>
    <w:multiLevelType w:val="multilevel"/>
    <w:tmpl w:val="F650FB40"/>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nsid w:val="48011946"/>
    <w:multiLevelType w:val="multilevel"/>
    <w:tmpl w:val="7AE65E9A"/>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6">
    <w:nsid w:val="49E341E5"/>
    <w:multiLevelType w:val="multilevel"/>
    <w:tmpl w:val="E54AEFAE"/>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7">
    <w:nsid w:val="5DB52CD7"/>
    <w:multiLevelType w:val="hybridMultilevel"/>
    <w:tmpl w:val="03F8C0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E4674AF"/>
    <w:multiLevelType w:val="hybridMultilevel"/>
    <w:tmpl w:val="FA7636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2302315"/>
    <w:multiLevelType w:val="multilevel"/>
    <w:tmpl w:val="2A905822"/>
    <w:lvl w:ilvl="0">
      <w:start w:val="1"/>
      <w:numFmt w:val="decimal"/>
      <w:lvlText w:val="Appendix %1."/>
      <w:lvlJc w:val="left"/>
      <w:pPr>
        <w:tabs>
          <w:tab w:val="num" w:pos="432"/>
        </w:tabs>
        <w:ind w:left="432" w:hanging="432"/>
      </w:pPr>
      <w:rPr>
        <w:rFonts w:hint="eastAsia"/>
        <w:lang w:val="en-US"/>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64E903AA"/>
    <w:multiLevelType w:val="hybridMultilevel"/>
    <w:tmpl w:val="C248D58A"/>
    <w:lvl w:ilvl="0" w:tplc="C68EBB7A">
      <w:start w:val="1"/>
      <w:numFmt w:val="bullet"/>
      <w:lvlText w:val=""/>
      <w:lvlJc w:val="left"/>
      <w:pPr>
        <w:tabs>
          <w:tab w:val="num" w:pos="622"/>
        </w:tabs>
        <w:ind w:left="622" w:hanging="420"/>
      </w:pPr>
      <w:rPr>
        <w:rFonts w:ascii="Wingdings" w:hAnsi="Wingdings" w:hint="default"/>
        <w:sz w:val="13"/>
        <w:szCs w:val="13"/>
      </w:rPr>
    </w:lvl>
    <w:lvl w:ilvl="1" w:tplc="04090003">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nsid w:val="6EDD65BF"/>
    <w:multiLevelType w:val="hybridMultilevel"/>
    <w:tmpl w:val="4E42BF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F2E10EF"/>
    <w:multiLevelType w:val="hybridMultilevel"/>
    <w:tmpl w:val="B748E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28A742B"/>
    <w:multiLevelType w:val="multilevel"/>
    <w:tmpl w:val="2548A680"/>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4">
    <w:nsid w:val="77EB3986"/>
    <w:multiLevelType w:val="hybridMultilevel"/>
    <w:tmpl w:val="941A2E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7D626936"/>
    <w:multiLevelType w:val="hybridMultilevel"/>
    <w:tmpl w:val="AE5A3832"/>
    <w:lvl w:ilvl="0" w:tplc="41722224">
      <w:start w:val="1"/>
      <w:numFmt w:val="decimal"/>
      <w:lvlText w:val="%1."/>
      <w:lvlJc w:val="left"/>
      <w:pPr>
        <w:tabs>
          <w:tab w:val="num" w:pos="622"/>
        </w:tabs>
        <w:ind w:left="622" w:hanging="420"/>
      </w:pPr>
      <w:rPr>
        <w:rFonts w:hint="eastAsia"/>
        <w:b/>
        <w:sz w:val="22"/>
        <w:szCs w:val="13"/>
      </w:rPr>
    </w:lvl>
    <w:lvl w:ilvl="1" w:tplc="04090003">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19"/>
  </w:num>
  <w:num w:numId="3">
    <w:abstractNumId w:val="3"/>
  </w:num>
  <w:num w:numId="4">
    <w:abstractNumId w:val="5"/>
  </w:num>
  <w:num w:numId="5">
    <w:abstractNumId w:val="20"/>
  </w:num>
  <w:num w:numId="6">
    <w:abstractNumId w:val="8"/>
  </w:num>
  <w:num w:numId="7">
    <w:abstractNumId w:val="25"/>
  </w:num>
  <w:num w:numId="8">
    <w:abstractNumId w:val="7"/>
  </w:num>
  <w:num w:numId="9">
    <w:abstractNumId w:val="4"/>
  </w:num>
  <w:num w:numId="10">
    <w:abstractNumId w:val="9"/>
  </w:num>
  <w:num w:numId="11">
    <w:abstractNumId w:val="15"/>
  </w:num>
  <w:num w:numId="12">
    <w:abstractNumId w:val="23"/>
  </w:num>
  <w:num w:numId="13">
    <w:abstractNumId w:val="10"/>
  </w:num>
  <w:num w:numId="14">
    <w:abstractNumId w:val="2"/>
  </w:num>
  <w:num w:numId="15">
    <w:abstractNumId w:val="13"/>
  </w:num>
  <w:num w:numId="16">
    <w:abstractNumId w:val="16"/>
  </w:num>
  <w:num w:numId="17">
    <w:abstractNumId w:val="14"/>
  </w:num>
  <w:num w:numId="18">
    <w:abstractNumId w:val="6"/>
  </w:num>
  <w:num w:numId="19">
    <w:abstractNumId w:val="12"/>
  </w:num>
  <w:num w:numId="20">
    <w:abstractNumId w:val="22"/>
  </w:num>
  <w:num w:numId="21">
    <w:abstractNumId w:val="21"/>
  </w:num>
  <w:num w:numId="22">
    <w:abstractNumId w:val="17"/>
  </w:num>
  <w:num w:numId="23">
    <w:abstractNumId w:val="1"/>
  </w:num>
  <w:num w:numId="24">
    <w:abstractNumId w:val="3"/>
  </w:num>
  <w:num w:numId="25">
    <w:abstractNumId w:val="18"/>
  </w:num>
  <w:num w:numId="26">
    <w:abstractNumId w:val="11"/>
  </w:num>
  <w:num w:numId="27">
    <w:abstractNumId w:val="24"/>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5"/>
  <w:bordersDoNotSurroundHeader/>
  <w:bordersDoNotSurroundFooter/>
  <w:proofState w:spelling="clean" w:grammar="clean"/>
  <w:attachedTemplate r:id="rId1"/>
  <w:stylePaneFormatFilter w:val="3F01"/>
  <w:defaultTabStop w:val="420"/>
  <w:drawingGridVerticalSpacing w:val="156"/>
  <w:displayHorizontalDrawingGridEvery w:val="0"/>
  <w:displayVerticalDrawingGridEvery w:val="2"/>
  <w:characterSpacingControl w:val="compressPunctuation"/>
  <w:hdrShapeDefaults>
    <o:shapedefaults v:ext="edit" spidmax="829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2674"/>
    <w:rsid w:val="000003F9"/>
    <w:rsid w:val="0000091E"/>
    <w:rsid w:val="0000176E"/>
    <w:rsid w:val="000027C0"/>
    <w:rsid w:val="000027F9"/>
    <w:rsid w:val="00003F9D"/>
    <w:rsid w:val="00004E52"/>
    <w:rsid w:val="0000551B"/>
    <w:rsid w:val="000065D4"/>
    <w:rsid w:val="00006908"/>
    <w:rsid w:val="00006EED"/>
    <w:rsid w:val="00007086"/>
    <w:rsid w:val="00007114"/>
    <w:rsid w:val="00010368"/>
    <w:rsid w:val="00010DA9"/>
    <w:rsid w:val="00010E79"/>
    <w:rsid w:val="00011776"/>
    <w:rsid w:val="0001223F"/>
    <w:rsid w:val="00012589"/>
    <w:rsid w:val="0001291B"/>
    <w:rsid w:val="00012A0D"/>
    <w:rsid w:val="00013899"/>
    <w:rsid w:val="00013B77"/>
    <w:rsid w:val="00013D8B"/>
    <w:rsid w:val="000152EE"/>
    <w:rsid w:val="0001672D"/>
    <w:rsid w:val="00017D43"/>
    <w:rsid w:val="000200C8"/>
    <w:rsid w:val="000205C3"/>
    <w:rsid w:val="00020E72"/>
    <w:rsid w:val="00021BE3"/>
    <w:rsid w:val="00021C01"/>
    <w:rsid w:val="00021DF6"/>
    <w:rsid w:val="00022031"/>
    <w:rsid w:val="000228E3"/>
    <w:rsid w:val="00022B48"/>
    <w:rsid w:val="00023672"/>
    <w:rsid w:val="00023F26"/>
    <w:rsid w:val="00023F4B"/>
    <w:rsid w:val="0002482A"/>
    <w:rsid w:val="00024EC4"/>
    <w:rsid w:val="000251AA"/>
    <w:rsid w:val="00025E44"/>
    <w:rsid w:val="00025F3C"/>
    <w:rsid w:val="00026B06"/>
    <w:rsid w:val="00026B37"/>
    <w:rsid w:val="00026DEE"/>
    <w:rsid w:val="000271A3"/>
    <w:rsid w:val="000277DD"/>
    <w:rsid w:val="000279C7"/>
    <w:rsid w:val="00027C96"/>
    <w:rsid w:val="000302BA"/>
    <w:rsid w:val="00030609"/>
    <w:rsid w:val="00030FFF"/>
    <w:rsid w:val="0003179A"/>
    <w:rsid w:val="000321AB"/>
    <w:rsid w:val="0003392D"/>
    <w:rsid w:val="00034693"/>
    <w:rsid w:val="0003479F"/>
    <w:rsid w:val="00034A40"/>
    <w:rsid w:val="00034BE5"/>
    <w:rsid w:val="00034CCF"/>
    <w:rsid w:val="000353B8"/>
    <w:rsid w:val="00035424"/>
    <w:rsid w:val="000366C8"/>
    <w:rsid w:val="00036D22"/>
    <w:rsid w:val="00037E81"/>
    <w:rsid w:val="000401A4"/>
    <w:rsid w:val="00040B01"/>
    <w:rsid w:val="000421D7"/>
    <w:rsid w:val="0004290F"/>
    <w:rsid w:val="00042B01"/>
    <w:rsid w:val="0004315A"/>
    <w:rsid w:val="00045EA6"/>
    <w:rsid w:val="00047182"/>
    <w:rsid w:val="000502E1"/>
    <w:rsid w:val="00051C59"/>
    <w:rsid w:val="00054AE3"/>
    <w:rsid w:val="000553D8"/>
    <w:rsid w:val="00055A91"/>
    <w:rsid w:val="000560A9"/>
    <w:rsid w:val="000563B9"/>
    <w:rsid w:val="00056E77"/>
    <w:rsid w:val="00060ACE"/>
    <w:rsid w:val="00060C89"/>
    <w:rsid w:val="00060FF1"/>
    <w:rsid w:val="00061468"/>
    <w:rsid w:val="0006216B"/>
    <w:rsid w:val="000624AE"/>
    <w:rsid w:val="000628B3"/>
    <w:rsid w:val="00063812"/>
    <w:rsid w:val="00063DBD"/>
    <w:rsid w:val="0006490D"/>
    <w:rsid w:val="00064E8D"/>
    <w:rsid w:val="000663D6"/>
    <w:rsid w:val="000665B6"/>
    <w:rsid w:val="0006704E"/>
    <w:rsid w:val="0006776C"/>
    <w:rsid w:val="00067E72"/>
    <w:rsid w:val="0007026C"/>
    <w:rsid w:val="0007040C"/>
    <w:rsid w:val="00071571"/>
    <w:rsid w:val="0007173D"/>
    <w:rsid w:val="00071824"/>
    <w:rsid w:val="000730F6"/>
    <w:rsid w:val="00073AE2"/>
    <w:rsid w:val="000745F6"/>
    <w:rsid w:val="000747B2"/>
    <w:rsid w:val="00075F92"/>
    <w:rsid w:val="000762A3"/>
    <w:rsid w:val="00076596"/>
    <w:rsid w:val="00081350"/>
    <w:rsid w:val="00081BE6"/>
    <w:rsid w:val="00081CB5"/>
    <w:rsid w:val="00082CD6"/>
    <w:rsid w:val="00083261"/>
    <w:rsid w:val="00083926"/>
    <w:rsid w:val="00083D2A"/>
    <w:rsid w:val="000842B9"/>
    <w:rsid w:val="0008442E"/>
    <w:rsid w:val="00084DA7"/>
    <w:rsid w:val="00085A8E"/>
    <w:rsid w:val="00085D8A"/>
    <w:rsid w:val="00085FB4"/>
    <w:rsid w:val="00086071"/>
    <w:rsid w:val="000862E2"/>
    <w:rsid w:val="000863C7"/>
    <w:rsid w:val="00086E14"/>
    <w:rsid w:val="00090DEC"/>
    <w:rsid w:val="00091D57"/>
    <w:rsid w:val="0009304A"/>
    <w:rsid w:val="00093345"/>
    <w:rsid w:val="0009357B"/>
    <w:rsid w:val="00093FDC"/>
    <w:rsid w:val="00094A6D"/>
    <w:rsid w:val="00094BCE"/>
    <w:rsid w:val="0009527E"/>
    <w:rsid w:val="000953C3"/>
    <w:rsid w:val="000956A1"/>
    <w:rsid w:val="000956C5"/>
    <w:rsid w:val="00096C43"/>
    <w:rsid w:val="00096D63"/>
    <w:rsid w:val="000970BB"/>
    <w:rsid w:val="000971BA"/>
    <w:rsid w:val="000975E8"/>
    <w:rsid w:val="00097C8C"/>
    <w:rsid w:val="000A0D6F"/>
    <w:rsid w:val="000A12FC"/>
    <w:rsid w:val="000A1B52"/>
    <w:rsid w:val="000A1D5B"/>
    <w:rsid w:val="000A2725"/>
    <w:rsid w:val="000A2AC3"/>
    <w:rsid w:val="000A2C21"/>
    <w:rsid w:val="000A2E8A"/>
    <w:rsid w:val="000A37D5"/>
    <w:rsid w:val="000A5339"/>
    <w:rsid w:val="000A547D"/>
    <w:rsid w:val="000A5AD3"/>
    <w:rsid w:val="000A6078"/>
    <w:rsid w:val="000A6140"/>
    <w:rsid w:val="000A63AD"/>
    <w:rsid w:val="000A6401"/>
    <w:rsid w:val="000A70B3"/>
    <w:rsid w:val="000A7178"/>
    <w:rsid w:val="000A7654"/>
    <w:rsid w:val="000B0AF0"/>
    <w:rsid w:val="000B131F"/>
    <w:rsid w:val="000B2743"/>
    <w:rsid w:val="000B29C0"/>
    <w:rsid w:val="000B3425"/>
    <w:rsid w:val="000B4020"/>
    <w:rsid w:val="000B4927"/>
    <w:rsid w:val="000B53FA"/>
    <w:rsid w:val="000B54A2"/>
    <w:rsid w:val="000B5D30"/>
    <w:rsid w:val="000B5D46"/>
    <w:rsid w:val="000B5EE9"/>
    <w:rsid w:val="000B6B28"/>
    <w:rsid w:val="000C0091"/>
    <w:rsid w:val="000C07AE"/>
    <w:rsid w:val="000C2DDA"/>
    <w:rsid w:val="000C300A"/>
    <w:rsid w:val="000C3318"/>
    <w:rsid w:val="000C4B4D"/>
    <w:rsid w:val="000C4FCF"/>
    <w:rsid w:val="000C583F"/>
    <w:rsid w:val="000C5AC3"/>
    <w:rsid w:val="000C5CB6"/>
    <w:rsid w:val="000C5E7D"/>
    <w:rsid w:val="000D0BDC"/>
    <w:rsid w:val="000D0F07"/>
    <w:rsid w:val="000D119F"/>
    <w:rsid w:val="000D1285"/>
    <w:rsid w:val="000D1FF3"/>
    <w:rsid w:val="000D2162"/>
    <w:rsid w:val="000D30C5"/>
    <w:rsid w:val="000D396D"/>
    <w:rsid w:val="000D3D49"/>
    <w:rsid w:val="000D3D7E"/>
    <w:rsid w:val="000D3DAC"/>
    <w:rsid w:val="000D3FE3"/>
    <w:rsid w:val="000D466D"/>
    <w:rsid w:val="000D4AD7"/>
    <w:rsid w:val="000D4EF8"/>
    <w:rsid w:val="000D645C"/>
    <w:rsid w:val="000D6D9A"/>
    <w:rsid w:val="000D71E2"/>
    <w:rsid w:val="000E09F5"/>
    <w:rsid w:val="000E0C5E"/>
    <w:rsid w:val="000E0DFE"/>
    <w:rsid w:val="000E1185"/>
    <w:rsid w:val="000E1C63"/>
    <w:rsid w:val="000E26BD"/>
    <w:rsid w:val="000E3007"/>
    <w:rsid w:val="000E3052"/>
    <w:rsid w:val="000E3349"/>
    <w:rsid w:val="000E33A2"/>
    <w:rsid w:val="000E37DF"/>
    <w:rsid w:val="000E39B5"/>
    <w:rsid w:val="000E39D1"/>
    <w:rsid w:val="000E403F"/>
    <w:rsid w:val="000E43AB"/>
    <w:rsid w:val="000E4650"/>
    <w:rsid w:val="000E4B9F"/>
    <w:rsid w:val="000E4C60"/>
    <w:rsid w:val="000E4EEE"/>
    <w:rsid w:val="000E5C79"/>
    <w:rsid w:val="000E5EC3"/>
    <w:rsid w:val="000E6364"/>
    <w:rsid w:val="000E6CE8"/>
    <w:rsid w:val="000E6D8E"/>
    <w:rsid w:val="000E77BB"/>
    <w:rsid w:val="000E7B27"/>
    <w:rsid w:val="000F14CF"/>
    <w:rsid w:val="000F1E7E"/>
    <w:rsid w:val="000F2DBD"/>
    <w:rsid w:val="000F2F53"/>
    <w:rsid w:val="000F4B06"/>
    <w:rsid w:val="000F4B2F"/>
    <w:rsid w:val="000F52F8"/>
    <w:rsid w:val="000F7016"/>
    <w:rsid w:val="00102A42"/>
    <w:rsid w:val="00102C51"/>
    <w:rsid w:val="00102F6C"/>
    <w:rsid w:val="00103847"/>
    <w:rsid w:val="00103F4B"/>
    <w:rsid w:val="001043F9"/>
    <w:rsid w:val="00104BA5"/>
    <w:rsid w:val="001052C6"/>
    <w:rsid w:val="00105ED0"/>
    <w:rsid w:val="001068A8"/>
    <w:rsid w:val="00106AFA"/>
    <w:rsid w:val="00110111"/>
    <w:rsid w:val="001102F4"/>
    <w:rsid w:val="001119B2"/>
    <w:rsid w:val="00113DD9"/>
    <w:rsid w:val="001143C1"/>
    <w:rsid w:val="001146FC"/>
    <w:rsid w:val="00115CE0"/>
    <w:rsid w:val="00116E89"/>
    <w:rsid w:val="001173F7"/>
    <w:rsid w:val="0011756A"/>
    <w:rsid w:val="00117871"/>
    <w:rsid w:val="00117DAE"/>
    <w:rsid w:val="00120141"/>
    <w:rsid w:val="0012025E"/>
    <w:rsid w:val="001210C5"/>
    <w:rsid w:val="00121705"/>
    <w:rsid w:val="00121ECE"/>
    <w:rsid w:val="00123409"/>
    <w:rsid w:val="001235B9"/>
    <w:rsid w:val="0012413D"/>
    <w:rsid w:val="00124CBB"/>
    <w:rsid w:val="00125250"/>
    <w:rsid w:val="0012783B"/>
    <w:rsid w:val="00127A1B"/>
    <w:rsid w:val="00130093"/>
    <w:rsid w:val="00130163"/>
    <w:rsid w:val="001304A2"/>
    <w:rsid w:val="00130E81"/>
    <w:rsid w:val="00131401"/>
    <w:rsid w:val="0013184E"/>
    <w:rsid w:val="00132B57"/>
    <w:rsid w:val="00132EA3"/>
    <w:rsid w:val="001336ED"/>
    <w:rsid w:val="00133885"/>
    <w:rsid w:val="001346AF"/>
    <w:rsid w:val="00134FB6"/>
    <w:rsid w:val="0013563A"/>
    <w:rsid w:val="0013589B"/>
    <w:rsid w:val="00135EBE"/>
    <w:rsid w:val="001368D7"/>
    <w:rsid w:val="0013732D"/>
    <w:rsid w:val="0013771F"/>
    <w:rsid w:val="00137EA4"/>
    <w:rsid w:val="001404B4"/>
    <w:rsid w:val="00140DB4"/>
    <w:rsid w:val="00140F74"/>
    <w:rsid w:val="0014123C"/>
    <w:rsid w:val="0014157B"/>
    <w:rsid w:val="0014175B"/>
    <w:rsid w:val="00142237"/>
    <w:rsid w:val="001423B6"/>
    <w:rsid w:val="001426DF"/>
    <w:rsid w:val="00142B2E"/>
    <w:rsid w:val="00142D94"/>
    <w:rsid w:val="001435F7"/>
    <w:rsid w:val="001436B1"/>
    <w:rsid w:val="00144133"/>
    <w:rsid w:val="0014445C"/>
    <w:rsid w:val="001459FB"/>
    <w:rsid w:val="001459FE"/>
    <w:rsid w:val="00145DE8"/>
    <w:rsid w:val="00145E1E"/>
    <w:rsid w:val="001467E1"/>
    <w:rsid w:val="00147580"/>
    <w:rsid w:val="00150559"/>
    <w:rsid w:val="0015093E"/>
    <w:rsid w:val="00150C88"/>
    <w:rsid w:val="00151309"/>
    <w:rsid w:val="001534DA"/>
    <w:rsid w:val="00153A58"/>
    <w:rsid w:val="00153C01"/>
    <w:rsid w:val="00153D70"/>
    <w:rsid w:val="00153DD0"/>
    <w:rsid w:val="0015456C"/>
    <w:rsid w:val="00154597"/>
    <w:rsid w:val="00154E9F"/>
    <w:rsid w:val="001551E3"/>
    <w:rsid w:val="0015526A"/>
    <w:rsid w:val="00156C46"/>
    <w:rsid w:val="00156DED"/>
    <w:rsid w:val="00157139"/>
    <w:rsid w:val="0015722E"/>
    <w:rsid w:val="001576FC"/>
    <w:rsid w:val="00157807"/>
    <w:rsid w:val="00157BF7"/>
    <w:rsid w:val="00157CCE"/>
    <w:rsid w:val="0016002B"/>
    <w:rsid w:val="001605F6"/>
    <w:rsid w:val="00160968"/>
    <w:rsid w:val="00160F3B"/>
    <w:rsid w:val="0016130D"/>
    <w:rsid w:val="001620FB"/>
    <w:rsid w:val="00162724"/>
    <w:rsid w:val="00163D78"/>
    <w:rsid w:val="001643FE"/>
    <w:rsid w:val="00164738"/>
    <w:rsid w:val="00164917"/>
    <w:rsid w:val="00164AD5"/>
    <w:rsid w:val="00164AFF"/>
    <w:rsid w:val="0016500C"/>
    <w:rsid w:val="00165345"/>
    <w:rsid w:val="001661B8"/>
    <w:rsid w:val="0016668A"/>
    <w:rsid w:val="00170182"/>
    <w:rsid w:val="0017027E"/>
    <w:rsid w:val="0017089B"/>
    <w:rsid w:val="0017105E"/>
    <w:rsid w:val="00172840"/>
    <w:rsid w:val="00172F77"/>
    <w:rsid w:val="00172FA1"/>
    <w:rsid w:val="00173401"/>
    <w:rsid w:val="001736A2"/>
    <w:rsid w:val="0017405B"/>
    <w:rsid w:val="0017420B"/>
    <w:rsid w:val="0017619C"/>
    <w:rsid w:val="0017648E"/>
    <w:rsid w:val="00176547"/>
    <w:rsid w:val="0017691F"/>
    <w:rsid w:val="0018000A"/>
    <w:rsid w:val="0018086B"/>
    <w:rsid w:val="00180ACF"/>
    <w:rsid w:val="001828EA"/>
    <w:rsid w:val="00183660"/>
    <w:rsid w:val="001836BD"/>
    <w:rsid w:val="00183C19"/>
    <w:rsid w:val="00183E91"/>
    <w:rsid w:val="00184160"/>
    <w:rsid w:val="001851C6"/>
    <w:rsid w:val="001853BB"/>
    <w:rsid w:val="001865EE"/>
    <w:rsid w:val="00191F76"/>
    <w:rsid w:val="00192DE7"/>
    <w:rsid w:val="001938D9"/>
    <w:rsid w:val="0019400C"/>
    <w:rsid w:val="00194363"/>
    <w:rsid w:val="00194667"/>
    <w:rsid w:val="0019471D"/>
    <w:rsid w:val="00194E47"/>
    <w:rsid w:val="0019503C"/>
    <w:rsid w:val="001950B8"/>
    <w:rsid w:val="00195191"/>
    <w:rsid w:val="00195585"/>
    <w:rsid w:val="00195932"/>
    <w:rsid w:val="00195BAB"/>
    <w:rsid w:val="001965F8"/>
    <w:rsid w:val="001967D4"/>
    <w:rsid w:val="00196DB6"/>
    <w:rsid w:val="00196F4B"/>
    <w:rsid w:val="00197362"/>
    <w:rsid w:val="00197A27"/>
    <w:rsid w:val="00197ABC"/>
    <w:rsid w:val="001A04C3"/>
    <w:rsid w:val="001A1E41"/>
    <w:rsid w:val="001A1EF7"/>
    <w:rsid w:val="001A2C0D"/>
    <w:rsid w:val="001A2FC0"/>
    <w:rsid w:val="001A4187"/>
    <w:rsid w:val="001A48EE"/>
    <w:rsid w:val="001A511E"/>
    <w:rsid w:val="001A5264"/>
    <w:rsid w:val="001A5EEE"/>
    <w:rsid w:val="001A688E"/>
    <w:rsid w:val="001A6ABC"/>
    <w:rsid w:val="001A6D7F"/>
    <w:rsid w:val="001A7284"/>
    <w:rsid w:val="001A786B"/>
    <w:rsid w:val="001A7993"/>
    <w:rsid w:val="001A7DC3"/>
    <w:rsid w:val="001B10F4"/>
    <w:rsid w:val="001B243B"/>
    <w:rsid w:val="001B2D93"/>
    <w:rsid w:val="001B4E1E"/>
    <w:rsid w:val="001B52F8"/>
    <w:rsid w:val="001B5DF3"/>
    <w:rsid w:val="001B6353"/>
    <w:rsid w:val="001B7D44"/>
    <w:rsid w:val="001C0264"/>
    <w:rsid w:val="001C0B99"/>
    <w:rsid w:val="001C0CC4"/>
    <w:rsid w:val="001C10F4"/>
    <w:rsid w:val="001C1935"/>
    <w:rsid w:val="001C4AB0"/>
    <w:rsid w:val="001C4AFC"/>
    <w:rsid w:val="001C4BA5"/>
    <w:rsid w:val="001C4EDE"/>
    <w:rsid w:val="001C5066"/>
    <w:rsid w:val="001C5D9D"/>
    <w:rsid w:val="001C6E1B"/>
    <w:rsid w:val="001C6F18"/>
    <w:rsid w:val="001D0861"/>
    <w:rsid w:val="001D1438"/>
    <w:rsid w:val="001D164E"/>
    <w:rsid w:val="001D2693"/>
    <w:rsid w:val="001D2A4B"/>
    <w:rsid w:val="001D2D4F"/>
    <w:rsid w:val="001D3832"/>
    <w:rsid w:val="001D40EF"/>
    <w:rsid w:val="001D4C77"/>
    <w:rsid w:val="001D5034"/>
    <w:rsid w:val="001D569B"/>
    <w:rsid w:val="001D5F1B"/>
    <w:rsid w:val="001D643C"/>
    <w:rsid w:val="001D6D62"/>
    <w:rsid w:val="001D7633"/>
    <w:rsid w:val="001E044F"/>
    <w:rsid w:val="001E1EC6"/>
    <w:rsid w:val="001E2EC8"/>
    <w:rsid w:val="001E35DE"/>
    <w:rsid w:val="001E37D8"/>
    <w:rsid w:val="001E52D9"/>
    <w:rsid w:val="001E6802"/>
    <w:rsid w:val="001E683D"/>
    <w:rsid w:val="001E73F0"/>
    <w:rsid w:val="001F04B0"/>
    <w:rsid w:val="001F196E"/>
    <w:rsid w:val="001F210F"/>
    <w:rsid w:val="001F257E"/>
    <w:rsid w:val="001F30EF"/>
    <w:rsid w:val="001F3BC3"/>
    <w:rsid w:val="001F42B6"/>
    <w:rsid w:val="001F5157"/>
    <w:rsid w:val="001F5BBA"/>
    <w:rsid w:val="001F5E68"/>
    <w:rsid w:val="001F6F04"/>
    <w:rsid w:val="001F71DB"/>
    <w:rsid w:val="001F7C56"/>
    <w:rsid w:val="001F7E62"/>
    <w:rsid w:val="0020187D"/>
    <w:rsid w:val="00202075"/>
    <w:rsid w:val="00202446"/>
    <w:rsid w:val="00203004"/>
    <w:rsid w:val="002037D2"/>
    <w:rsid w:val="00204470"/>
    <w:rsid w:val="0020498A"/>
    <w:rsid w:val="00204DF3"/>
    <w:rsid w:val="0020574A"/>
    <w:rsid w:val="002067A5"/>
    <w:rsid w:val="00207BC3"/>
    <w:rsid w:val="00210250"/>
    <w:rsid w:val="00210D60"/>
    <w:rsid w:val="0021222D"/>
    <w:rsid w:val="002131C0"/>
    <w:rsid w:val="002140C9"/>
    <w:rsid w:val="0021453E"/>
    <w:rsid w:val="0021515E"/>
    <w:rsid w:val="0021698A"/>
    <w:rsid w:val="00217B38"/>
    <w:rsid w:val="00217FF3"/>
    <w:rsid w:val="00220046"/>
    <w:rsid w:val="00220E10"/>
    <w:rsid w:val="00221314"/>
    <w:rsid w:val="00221324"/>
    <w:rsid w:val="0022141E"/>
    <w:rsid w:val="002217E1"/>
    <w:rsid w:val="002223C7"/>
    <w:rsid w:val="00222F8B"/>
    <w:rsid w:val="002231C1"/>
    <w:rsid w:val="00224146"/>
    <w:rsid w:val="0022561E"/>
    <w:rsid w:val="00230C67"/>
    <w:rsid w:val="00231363"/>
    <w:rsid w:val="002315BA"/>
    <w:rsid w:val="00231959"/>
    <w:rsid w:val="002324BD"/>
    <w:rsid w:val="00233BFF"/>
    <w:rsid w:val="00233EF5"/>
    <w:rsid w:val="002340E8"/>
    <w:rsid w:val="002342C4"/>
    <w:rsid w:val="00234A50"/>
    <w:rsid w:val="00235F3C"/>
    <w:rsid w:val="00237034"/>
    <w:rsid w:val="0023728D"/>
    <w:rsid w:val="002378F0"/>
    <w:rsid w:val="0024017A"/>
    <w:rsid w:val="00240C7C"/>
    <w:rsid w:val="00240F55"/>
    <w:rsid w:val="0024174A"/>
    <w:rsid w:val="002423E1"/>
    <w:rsid w:val="0024278D"/>
    <w:rsid w:val="0024289E"/>
    <w:rsid w:val="00242B41"/>
    <w:rsid w:val="00244354"/>
    <w:rsid w:val="0024446D"/>
    <w:rsid w:val="00244FC9"/>
    <w:rsid w:val="0024509E"/>
    <w:rsid w:val="00245E2C"/>
    <w:rsid w:val="00246B65"/>
    <w:rsid w:val="00246DB9"/>
    <w:rsid w:val="00246E52"/>
    <w:rsid w:val="0024724C"/>
    <w:rsid w:val="00247E3F"/>
    <w:rsid w:val="0025046D"/>
    <w:rsid w:val="002504DD"/>
    <w:rsid w:val="002510BC"/>
    <w:rsid w:val="00251668"/>
    <w:rsid w:val="00252181"/>
    <w:rsid w:val="00252B2C"/>
    <w:rsid w:val="00252D6C"/>
    <w:rsid w:val="0025381A"/>
    <w:rsid w:val="00255614"/>
    <w:rsid w:val="00255BE9"/>
    <w:rsid w:val="00255EE3"/>
    <w:rsid w:val="002568D0"/>
    <w:rsid w:val="002578BF"/>
    <w:rsid w:val="00257916"/>
    <w:rsid w:val="00257BB8"/>
    <w:rsid w:val="002603BC"/>
    <w:rsid w:val="0026090E"/>
    <w:rsid w:val="00261C74"/>
    <w:rsid w:val="00262156"/>
    <w:rsid w:val="002632BD"/>
    <w:rsid w:val="00263695"/>
    <w:rsid w:val="00263844"/>
    <w:rsid w:val="00264018"/>
    <w:rsid w:val="002643C0"/>
    <w:rsid w:val="00264E6E"/>
    <w:rsid w:val="00265DBF"/>
    <w:rsid w:val="00266C07"/>
    <w:rsid w:val="00266C8E"/>
    <w:rsid w:val="00266D5B"/>
    <w:rsid w:val="00267436"/>
    <w:rsid w:val="0026793B"/>
    <w:rsid w:val="00267D91"/>
    <w:rsid w:val="00267DDA"/>
    <w:rsid w:val="00272316"/>
    <w:rsid w:val="0027380F"/>
    <w:rsid w:val="00273DC8"/>
    <w:rsid w:val="00274BB4"/>
    <w:rsid w:val="002755DC"/>
    <w:rsid w:val="00275C1D"/>
    <w:rsid w:val="00277035"/>
    <w:rsid w:val="00277A3D"/>
    <w:rsid w:val="00277D0E"/>
    <w:rsid w:val="002800A4"/>
    <w:rsid w:val="0028061F"/>
    <w:rsid w:val="0028099E"/>
    <w:rsid w:val="00280B23"/>
    <w:rsid w:val="00280E61"/>
    <w:rsid w:val="0028197C"/>
    <w:rsid w:val="00281F91"/>
    <w:rsid w:val="002823F5"/>
    <w:rsid w:val="00282BEE"/>
    <w:rsid w:val="00283864"/>
    <w:rsid w:val="00284D40"/>
    <w:rsid w:val="002850E7"/>
    <w:rsid w:val="0028541E"/>
    <w:rsid w:val="00286156"/>
    <w:rsid w:val="00286AE2"/>
    <w:rsid w:val="00287C6B"/>
    <w:rsid w:val="0029008C"/>
    <w:rsid w:val="002928B9"/>
    <w:rsid w:val="00293148"/>
    <w:rsid w:val="002938AA"/>
    <w:rsid w:val="00293EE4"/>
    <w:rsid w:val="00294970"/>
    <w:rsid w:val="00294E37"/>
    <w:rsid w:val="00294E7A"/>
    <w:rsid w:val="00294F14"/>
    <w:rsid w:val="00295DF3"/>
    <w:rsid w:val="00296BA0"/>
    <w:rsid w:val="00296EE6"/>
    <w:rsid w:val="002974A8"/>
    <w:rsid w:val="00297A86"/>
    <w:rsid w:val="00297F31"/>
    <w:rsid w:val="002A0FFE"/>
    <w:rsid w:val="002A12B5"/>
    <w:rsid w:val="002A2B24"/>
    <w:rsid w:val="002A2F2B"/>
    <w:rsid w:val="002A3071"/>
    <w:rsid w:val="002A33DD"/>
    <w:rsid w:val="002A4073"/>
    <w:rsid w:val="002A5622"/>
    <w:rsid w:val="002A5BC1"/>
    <w:rsid w:val="002A5CED"/>
    <w:rsid w:val="002A5DE3"/>
    <w:rsid w:val="002A62B2"/>
    <w:rsid w:val="002A6CAC"/>
    <w:rsid w:val="002A6D3D"/>
    <w:rsid w:val="002B07C4"/>
    <w:rsid w:val="002B0832"/>
    <w:rsid w:val="002B0CF3"/>
    <w:rsid w:val="002B1CB1"/>
    <w:rsid w:val="002B1E3F"/>
    <w:rsid w:val="002B2723"/>
    <w:rsid w:val="002B2DA4"/>
    <w:rsid w:val="002B2DC2"/>
    <w:rsid w:val="002B31F4"/>
    <w:rsid w:val="002B34DA"/>
    <w:rsid w:val="002B3FD6"/>
    <w:rsid w:val="002B560C"/>
    <w:rsid w:val="002B5CF2"/>
    <w:rsid w:val="002B5E1C"/>
    <w:rsid w:val="002B6689"/>
    <w:rsid w:val="002B7DFD"/>
    <w:rsid w:val="002B7EF0"/>
    <w:rsid w:val="002C048A"/>
    <w:rsid w:val="002C0914"/>
    <w:rsid w:val="002C19F6"/>
    <w:rsid w:val="002C366E"/>
    <w:rsid w:val="002C53B4"/>
    <w:rsid w:val="002C69A5"/>
    <w:rsid w:val="002C7BB5"/>
    <w:rsid w:val="002D01F4"/>
    <w:rsid w:val="002D1436"/>
    <w:rsid w:val="002D191E"/>
    <w:rsid w:val="002D1D37"/>
    <w:rsid w:val="002D1FCB"/>
    <w:rsid w:val="002D240B"/>
    <w:rsid w:val="002D35B2"/>
    <w:rsid w:val="002D46E7"/>
    <w:rsid w:val="002D551D"/>
    <w:rsid w:val="002D5931"/>
    <w:rsid w:val="002D5B2F"/>
    <w:rsid w:val="002D6702"/>
    <w:rsid w:val="002D6AB8"/>
    <w:rsid w:val="002D70DA"/>
    <w:rsid w:val="002D7152"/>
    <w:rsid w:val="002D729A"/>
    <w:rsid w:val="002D732E"/>
    <w:rsid w:val="002D77EF"/>
    <w:rsid w:val="002D7C00"/>
    <w:rsid w:val="002E08B1"/>
    <w:rsid w:val="002E0AB1"/>
    <w:rsid w:val="002E1E22"/>
    <w:rsid w:val="002E2086"/>
    <w:rsid w:val="002E2CDD"/>
    <w:rsid w:val="002E32FF"/>
    <w:rsid w:val="002E42F8"/>
    <w:rsid w:val="002E498E"/>
    <w:rsid w:val="002E4E51"/>
    <w:rsid w:val="002E505C"/>
    <w:rsid w:val="002E56D3"/>
    <w:rsid w:val="002E5B53"/>
    <w:rsid w:val="002E5BF7"/>
    <w:rsid w:val="002E5D54"/>
    <w:rsid w:val="002E6999"/>
    <w:rsid w:val="002E6BB2"/>
    <w:rsid w:val="002E7D97"/>
    <w:rsid w:val="002E7E80"/>
    <w:rsid w:val="002E7F28"/>
    <w:rsid w:val="002F0AB0"/>
    <w:rsid w:val="002F19F5"/>
    <w:rsid w:val="002F1ACA"/>
    <w:rsid w:val="002F2536"/>
    <w:rsid w:val="002F2F38"/>
    <w:rsid w:val="002F32FE"/>
    <w:rsid w:val="002F3C01"/>
    <w:rsid w:val="002F3CF8"/>
    <w:rsid w:val="002F5812"/>
    <w:rsid w:val="002F6EB4"/>
    <w:rsid w:val="002F6ED1"/>
    <w:rsid w:val="002F76EA"/>
    <w:rsid w:val="002F76EB"/>
    <w:rsid w:val="002F7747"/>
    <w:rsid w:val="00300F06"/>
    <w:rsid w:val="00301976"/>
    <w:rsid w:val="0030275A"/>
    <w:rsid w:val="00302B93"/>
    <w:rsid w:val="00302E36"/>
    <w:rsid w:val="00304EB8"/>
    <w:rsid w:val="003056B0"/>
    <w:rsid w:val="00305CBF"/>
    <w:rsid w:val="00305D1E"/>
    <w:rsid w:val="0030679F"/>
    <w:rsid w:val="00306AAA"/>
    <w:rsid w:val="00310235"/>
    <w:rsid w:val="00310312"/>
    <w:rsid w:val="003113A6"/>
    <w:rsid w:val="00311A88"/>
    <w:rsid w:val="00312BA9"/>
    <w:rsid w:val="003139E2"/>
    <w:rsid w:val="0031511C"/>
    <w:rsid w:val="00315A54"/>
    <w:rsid w:val="00315C85"/>
    <w:rsid w:val="00315CB3"/>
    <w:rsid w:val="003166A8"/>
    <w:rsid w:val="00316843"/>
    <w:rsid w:val="0031778F"/>
    <w:rsid w:val="003202EF"/>
    <w:rsid w:val="00320600"/>
    <w:rsid w:val="003208E5"/>
    <w:rsid w:val="003209E6"/>
    <w:rsid w:val="00320A09"/>
    <w:rsid w:val="00320A85"/>
    <w:rsid w:val="003210BE"/>
    <w:rsid w:val="003214A8"/>
    <w:rsid w:val="00321529"/>
    <w:rsid w:val="00321DDA"/>
    <w:rsid w:val="00321F3A"/>
    <w:rsid w:val="00322CAD"/>
    <w:rsid w:val="00323635"/>
    <w:rsid w:val="00323861"/>
    <w:rsid w:val="00323CD4"/>
    <w:rsid w:val="003242A6"/>
    <w:rsid w:val="003245F3"/>
    <w:rsid w:val="00324D79"/>
    <w:rsid w:val="00324FCA"/>
    <w:rsid w:val="003251AF"/>
    <w:rsid w:val="003252C4"/>
    <w:rsid w:val="003252EC"/>
    <w:rsid w:val="003253E7"/>
    <w:rsid w:val="00325880"/>
    <w:rsid w:val="00325910"/>
    <w:rsid w:val="00325DB7"/>
    <w:rsid w:val="003270A8"/>
    <w:rsid w:val="0032710D"/>
    <w:rsid w:val="00327C3C"/>
    <w:rsid w:val="0033085E"/>
    <w:rsid w:val="00332A75"/>
    <w:rsid w:val="00333780"/>
    <w:rsid w:val="00333A4E"/>
    <w:rsid w:val="00333E6E"/>
    <w:rsid w:val="0033568D"/>
    <w:rsid w:val="00335BD3"/>
    <w:rsid w:val="00335C52"/>
    <w:rsid w:val="003374FF"/>
    <w:rsid w:val="00337851"/>
    <w:rsid w:val="003419ED"/>
    <w:rsid w:val="00341C21"/>
    <w:rsid w:val="003425AB"/>
    <w:rsid w:val="00343A1B"/>
    <w:rsid w:val="003440B9"/>
    <w:rsid w:val="00344800"/>
    <w:rsid w:val="00344DC9"/>
    <w:rsid w:val="00344E49"/>
    <w:rsid w:val="0034638C"/>
    <w:rsid w:val="003476CE"/>
    <w:rsid w:val="00347DBC"/>
    <w:rsid w:val="00347EC4"/>
    <w:rsid w:val="0035043B"/>
    <w:rsid w:val="00350D6F"/>
    <w:rsid w:val="00350D89"/>
    <w:rsid w:val="00351212"/>
    <w:rsid w:val="003518D1"/>
    <w:rsid w:val="00352497"/>
    <w:rsid w:val="00352674"/>
    <w:rsid w:val="0035299C"/>
    <w:rsid w:val="00352E8A"/>
    <w:rsid w:val="003530A9"/>
    <w:rsid w:val="003539C9"/>
    <w:rsid w:val="003544AE"/>
    <w:rsid w:val="00354D2A"/>
    <w:rsid w:val="00355AB4"/>
    <w:rsid w:val="003563B2"/>
    <w:rsid w:val="003567C3"/>
    <w:rsid w:val="00356CBA"/>
    <w:rsid w:val="00356F71"/>
    <w:rsid w:val="0035706A"/>
    <w:rsid w:val="00357E2E"/>
    <w:rsid w:val="0036010D"/>
    <w:rsid w:val="00361E11"/>
    <w:rsid w:val="00361FC6"/>
    <w:rsid w:val="0036230E"/>
    <w:rsid w:val="003623BE"/>
    <w:rsid w:val="00362A8D"/>
    <w:rsid w:val="003648D0"/>
    <w:rsid w:val="00364DD7"/>
    <w:rsid w:val="00367E68"/>
    <w:rsid w:val="003700DB"/>
    <w:rsid w:val="003701B4"/>
    <w:rsid w:val="003708C1"/>
    <w:rsid w:val="0037146E"/>
    <w:rsid w:val="0037201F"/>
    <w:rsid w:val="0037202E"/>
    <w:rsid w:val="00372278"/>
    <w:rsid w:val="003736E2"/>
    <w:rsid w:val="003737EF"/>
    <w:rsid w:val="00373C80"/>
    <w:rsid w:val="003748DD"/>
    <w:rsid w:val="003756D8"/>
    <w:rsid w:val="00375DF9"/>
    <w:rsid w:val="0037614A"/>
    <w:rsid w:val="00376989"/>
    <w:rsid w:val="003774B0"/>
    <w:rsid w:val="00377525"/>
    <w:rsid w:val="00377E70"/>
    <w:rsid w:val="00380006"/>
    <w:rsid w:val="0038084B"/>
    <w:rsid w:val="00381182"/>
    <w:rsid w:val="00381D5D"/>
    <w:rsid w:val="00381E8C"/>
    <w:rsid w:val="003826A1"/>
    <w:rsid w:val="00382EB1"/>
    <w:rsid w:val="00384177"/>
    <w:rsid w:val="0038513C"/>
    <w:rsid w:val="003866A1"/>
    <w:rsid w:val="00386815"/>
    <w:rsid w:val="00386ACD"/>
    <w:rsid w:val="003870A9"/>
    <w:rsid w:val="00387F18"/>
    <w:rsid w:val="003902E7"/>
    <w:rsid w:val="00390323"/>
    <w:rsid w:val="003906A2"/>
    <w:rsid w:val="00390D67"/>
    <w:rsid w:val="00392218"/>
    <w:rsid w:val="00392219"/>
    <w:rsid w:val="00394702"/>
    <w:rsid w:val="00394A8C"/>
    <w:rsid w:val="00394EB8"/>
    <w:rsid w:val="003959D9"/>
    <w:rsid w:val="0039661F"/>
    <w:rsid w:val="003966F3"/>
    <w:rsid w:val="00396D74"/>
    <w:rsid w:val="00396DFA"/>
    <w:rsid w:val="0039756A"/>
    <w:rsid w:val="0039775B"/>
    <w:rsid w:val="003979C5"/>
    <w:rsid w:val="00397F94"/>
    <w:rsid w:val="003A050A"/>
    <w:rsid w:val="003A05BE"/>
    <w:rsid w:val="003A23E3"/>
    <w:rsid w:val="003A2460"/>
    <w:rsid w:val="003A286E"/>
    <w:rsid w:val="003A36DA"/>
    <w:rsid w:val="003A48A4"/>
    <w:rsid w:val="003A4A57"/>
    <w:rsid w:val="003A4F56"/>
    <w:rsid w:val="003A542B"/>
    <w:rsid w:val="003A6E25"/>
    <w:rsid w:val="003A72CC"/>
    <w:rsid w:val="003A7ACC"/>
    <w:rsid w:val="003B029D"/>
    <w:rsid w:val="003B0886"/>
    <w:rsid w:val="003B0EC4"/>
    <w:rsid w:val="003B1EE5"/>
    <w:rsid w:val="003B25E0"/>
    <w:rsid w:val="003B3DEB"/>
    <w:rsid w:val="003B4BF4"/>
    <w:rsid w:val="003B5330"/>
    <w:rsid w:val="003B56EA"/>
    <w:rsid w:val="003B5ED7"/>
    <w:rsid w:val="003B61A3"/>
    <w:rsid w:val="003B690A"/>
    <w:rsid w:val="003B6919"/>
    <w:rsid w:val="003B6D17"/>
    <w:rsid w:val="003B7356"/>
    <w:rsid w:val="003C1003"/>
    <w:rsid w:val="003C1797"/>
    <w:rsid w:val="003C1C25"/>
    <w:rsid w:val="003C1C48"/>
    <w:rsid w:val="003C2A5B"/>
    <w:rsid w:val="003C2B8F"/>
    <w:rsid w:val="003C44B1"/>
    <w:rsid w:val="003C4A00"/>
    <w:rsid w:val="003C75FD"/>
    <w:rsid w:val="003C78CA"/>
    <w:rsid w:val="003D0386"/>
    <w:rsid w:val="003D04B0"/>
    <w:rsid w:val="003D1293"/>
    <w:rsid w:val="003D1600"/>
    <w:rsid w:val="003D172A"/>
    <w:rsid w:val="003D18C2"/>
    <w:rsid w:val="003D2C73"/>
    <w:rsid w:val="003D2F80"/>
    <w:rsid w:val="003D3A09"/>
    <w:rsid w:val="003D3F0F"/>
    <w:rsid w:val="003D42F6"/>
    <w:rsid w:val="003D444C"/>
    <w:rsid w:val="003D4C15"/>
    <w:rsid w:val="003D5A72"/>
    <w:rsid w:val="003E0359"/>
    <w:rsid w:val="003E0719"/>
    <w:rsid w:val="003E07FC"/>
    <w:rsid w:val="003E0E24"/>
    <w:rsid w:val="003E1446"/>
    <w:rsid w:val="003E1614"/>
    <w:rsid w:val="003E236F"/>
    <w:rsid w:val="003E239E"/>
    <w:rsid w:val="003E2830"/>
    <w:rsid w:val="003E2F6E"/>
    <w:rsid w:val="003E2FC0"/>
    <w:rsid w:val="003E31E5"/>
    <w:rsid w:val="003E3443"/>
    <w:rsid w:val="003E3DAF"/>
    <w:rsid w:val="003E4B8C"/>
    <w:rsid w:val="003E54CA"/>
    <w:rsid w:val="003E6002"/>
    <w:rsid w:val="003E646F"/>
    <w:rsid w:val="003E679A"/>
    <w:rsid w:val="003E7875"/>
    <w:rsid w:val="003E7D0C"/>
    <w:rsid w:val="003F06BB"/>
    <w:rsid w:val="003F09E0"/>
    <w:rsid w:val="003F0C30"/>
    <w:rsid w:val="003F0CFD"/>
    <w:rsid w:val="003F0DA1"/>
    <w:rsid w:val="003F19A6"/>
    <w:rsid w:val="003F34EB"/>
    <w:rsid w:val="003F387B"/>
    <w:rsid w:val="003F41DC"/>
    <w:rsid w:val="003F4567"/>
    <w:rsid w:val="003F4800"/>
    <w:rsid w:val="003F48B7"/>
    <w:rsid w:val="003F4B9D"/>
    <w:rsid w:val="003F4D46"/>
    <w:rsid w:val="003F4F17"/>
    <w:rsid w:val="003F4FD0"/>
    <w:rsid w:val="003F576D"/>
    <w:rsid w:val="003F5A3C"/>
    <w:rsid w:val="003F5E53"/>
    <w:rsid w:val="003F6B39"/>
    <w:rsid w:val="003F6CDC"/>
    <w:rsid w:val="00400010"/>
    <w:rsid w:val="004000CC"/>
    <w:rsid w:val="0040040D"/>
    <w:rsid w:val="00401597"/>
    <w:rsid w:val="00401F5F"/>
    <w:rsid w:val="00402568"/>
    <w:rsid w:val="0040299E"/>
    <w:rsid w:val="004034A4"/>
    <w:rsid w:val="00403F3A"/>
    <w:rsid w:val="00404C22"/>
    <w:rsid w:val="00405F09"/>
    <w:rsid w:val="00406A64"/>
    <w:rsid w:val="00407C21"/>
    <w:rsid w:val="00407C3A"/>
    <w:rsid w:val="00407D49"/>
    <w:rsid w:val="00407E1A"/>
    <w:rsid w:val="00411037"/>
    <w:rsid w:val="004110E5"/>
    <w:rsid w:val="004114C9"/>
    <w:rsid w:val="00411751"/>
    <w:rsid w:val="0041187B"/>
    <w:rsid w:val="004129F0"/>
    <w:rsid w:val="0041300A"/>
    <w:rsid w:val="0041461A"/>
    <w:rsid w:val="00414869"/>
    <w:rsid w:val="00414871"/>
    <w:rsid w:val="00414930"/>
    <w:rsid w:val="004151CF"/>
    <w:rsid w:val="00415773"/>
    <w:rsid w:val="004160FF"/>
    <w:rsid w:val="004167C0"/>
    <w:rsid w:val="0041757D"/>
    <w:rsid w:val="004178FE"/>
    <w:rsid w:val="00417E3D"/>
    <w:rsid w:val="0042046B"/>
    <w:rsid w:val="0042057F"/>
    <w:rsid w:val="00420946"/>
    <w:rsid w:val="00421452"/>
    <w:rsid w:val="004220C8"/>
    <w:rsid w:val="004228FD"/>
    <w:rsid w:val="00423097"/>
    <w:rsid w:val="0042354A"/>
    <w:rsid w:val="00423680"/>
    <w:rsid w:val="004239B1"/>
    <w:rsid w:val="00424420"/>
    <w:rsid w:val="004251FA"/>
    <w:rsid w:val="004259DA"/>
    <w:rsid w:val="004265C8"/>
    <w:rsid w:val="0042699D"/>
    <w:rsid w:val="00426A5C"/>
    <w:rsid w:val="00426BC4"/>
    <w:rsid w:val="00427B90"/>
    <w:rsid w:val="00427CDB"/>
    <w:rsid w:val="0043092C"/>
    <w:rsid w:val="00433476"/>
    <w:rsid w:val="00433E6E"/>
    <w:rsid w:val="00434985"/>
    <w:rsid w:val="00434B8F"/>
    <w:rsid w:val="00434CB0"/>
    <w:rsid w:val="004353A6"/>
    <w:rsid w:val="00435472"/>
    <w:rsid w:val="004369C0"/>
    <w:rsid w:val="004372F6"/>
    <w:rsid w:val="004373CA"/>
    <w:rsid w:val="00437608"/>
    <w:rsid w:val="00437BDE"/>
    <w:rsid w:val="00441122"/>
    <w:rsid w:val="00441F0B"/>
    <w:rsid w:val="0044365A"/>
    <w:rsid w:val="0044384E"/>
    <w:rsid w:val="004438B0"/>
    <w:rsid w:val="00444D26"/>
    <w:rsid w:val="00445636"/>
    <w:rsid w:val="00445943"/>
    <w:rsid w:val="00446AD2"/>
    <w:rsid w:val="004472C8"/>
    <w:rsid w:val="0044752B"/>
    <w:rsid w:val="004477A5"/>
    <w:rsid w:val="004510D2"/>
    <w:rsid w:val="00451145"/>
    <w:rsid w:val="004515DA"/>
    <w:rsid w:val="00452739"/>
    <w:rsid w:val="0045295A"/>
    <w:rsid w:val="00452A76"/>
    <w:rsid w:val="00452D37"/>
    <w:rsid w:val="00453282"/>
    <w:rsid w:val="004532BB"/>
    <w:rsid w:val="00453896"/>
    <w:rsid w:val="0045542D"/>
    <w:rsid w:val="0045733C"/>
    <w:rsid w:val="00457EB1"/>
    <w:rsid w:val="0046016A"/>
    <w:rsid w:val="0046020F"/>
    <w:rsid w:val="00462442"/>
    <w:rsid w:val="004628F2"/>
    <w:rsid w:val="00462C32"/>
    <w:rsid w:val="00463BCA"/>
    <w:rsid w:val="004644F8"/>
    <w:rsid w:val="0046461D"/>
    <w:rsid w:val="004655D0"/>
    <w:rsid w:val="00466658"/>
    <w:rsid w:val="00467ED9"/>
    <w:rsid w:val="00470A1E"/>
    <w:rsid w:val="00472036"/>
    <w:rsid w:val="00472091"/>
    <w:rsid w:val="00473486"/>
    <w:rsid w:val="00474096"/>
    <w:rsid w:val="0047597C"/>
    <w:rsid w:val="00475EB0"/>
    <w:rsid w:val="00475EF6"/>
    <w:rsid w:val="00476148"/>
    <w:rsid w:val="00477EB0"/>
    <w:rsid w:val="0048127C"/>
    <w:rsid w:val="004819C4"/>
    <w:rsid w:val="004825A6"/>
    <w:rsid w:val="0048308A"/>
    <w:rsid w:val="00483DE0"/>
    <w:rsid w:val="00483F97"/>
    <w:rsid w:val="004846FF"/>
    <w:rsid w:val="004857B9"/>
    <w:rsid w:val="004857F6"/>
    <w:rsid w:val="00486CF5"/>
    <w:rsid w:val="00487203"/>
    <w:rsid w:val="00490310"/>
    <w:rsid w:val="00492320"/>
    <w:rsid w:val="004924B2"/>
    <w:rsid w:val="00494433"/>
    <w:rsid w:val="00494598"/>
    <w:rsid w:val="00494C0B"/>
    <w:rsid w:val="00494E3A"/>
    <w:rsid w:val="00494FFE"/>
    <w:rsid w:val="0049678F"/>
    <w:rsid w:val="0049698A"/>
    <w:rsid w:val="00496A09"/>
    <w:rsid w:val="00497356"/>
    <w:rsid w:val="00497A1E"/>
    <w:rsid w:val="004A0059"/>
    <w:rsid w:val="004A03FE"/>
    <w:rsid w:val="004A1D6B"/>
    <w:rsid w:val="004A2126"/>
    <w:rsid w:val="004A39BB"/>
    <w:rsid w:val="004A3D39"/>
    <w:rsid w:val="004A3DA7"/>
    <w:rsid w:val="004A41EA"/>
    <w:rsid w:val="004A463C"/>
    <w:rsid w:val="004A4936"/>
    <w:rsid w:val="004A5446"/>
    <w:rsid w:val="004A630C"/>
    <w:rsid w:val="004A6F66"/>
    <w:rsid w:val="004A7A6B"/>
    <w:rsid w:val="004A7CE0"/>
    <w:rsid w:val="004B072A"/>
    <w:rsid w:val="004B1468"/>
    <w:rsid w:val="004B1950"/>
    <w:rsid w:val="004B2348"/>
    <w:rsid w:val="004B23AA"/>
    <w:rsid w:val="004B23C3"/>
    <w:rsid w:val="004B2EAB"/>
    <w:rsid w:val="004B4335"/>
    <w:rsid w:val="004B4C32"/>
    <w:rsid w:val="004B4DA1"/>
    <w:rsid w:val="004B4E03"/>
    <w:rsid w:val="004B5039"/>
    <w:rsid w:val="004B5463"/>
    <w:rsid w:val="004B5BEA"/>
    <w:rsid w:val="004C030F"/>
    <w:rsid w:val="004C0BCE"/>
    <w:rsid w:val="004C1074"/>
    <w:rsid w:val="004C231B"/>
    <w:rsid w:val="004C3461"/>
    <w:rsid w:val="004C388F"/>
    <w:rsid w:val="004C5F7D"/>
    <w:rsid w:val="004C6A2F"/>
    <w:rsid w:val="004C7A6E"/>
    <w:rsid w:val="004C7BF5"/>
    <w:rsid w:val="004D063B"/>
    <w:rsid w:val="004D0B1C"/>
    <w:rsid w:val="004D1B77"/>
    <w:rsid w:val="004D21F0"/>
    <w:rsid w:val="004D3151"/>
    <w:rsid w:val="004D36D3"/>
    <w:rsid w:val="004D4209"/>
    <w:rsid w:val="004D4260"/>
    <w:rsid w:val="004D4719"/>
    <w:rsid w:val="004D488A"/>
    <w:rsid w:val="004D5549"/>
    <w:rsid w:val="004D5670"/>
    <w:rsid w:val="004D604B"/>
    <w:rsid w:val="004D64B7"/>
    <w:rsid w:val="004D7213"/>
    <w:rsid w:val="004D77ED"/>
    <w:rsid w:val="004D7BC3"/>
    <w:rsid w:val="004D7CB7"/>
    <w:rsid w:val="004E18E0"/>
    <w:rsid w:val="004E1995"/>
    <w:rsid w:val="004E1B1A"/>
    <w:rsid w:val="004E1BE0"/>
    <w:rsid w:val="004E2D8C"/>
    <w:rsid w:val="004E3409"/>
    <w:rsid w:val="004E45CA"/>
    <w:rsid w:val="004E5307"/>
    <w:rsid w:val="004E576D"/>
    <w:rsid w:val="004E5D74"/>
    <w:rsid w:val="004E5E19"/>
    <w:rsid w:val="004E5EB7"/>
    <w:rsid w:val="004E6AB4"/>
    <w:rsid w:val="004E6D00"/>
    <w:rsid w:val="004E71A2"/>
    <w:rsid w:val="004E74EB"/>
    <w:rsid w:val="004E7EAF"/>
    <w:rsid w:val="004F0939"/>
    <w:rsid w:val="004F1687"/>
    <w:rsid w:val="004F2198"/>
    <w:rsid w:val="004F2CB5"/>
    <w:rsid w:val="004F3F8A"/>
    <w:rsid w:val="004F3FAC"/>
    <w:rsid w:val="004F46C1"/>
    <w:rsid w:val="004F4727"/>
    <w:rsid w:val="004F5217"/>
    <w:rsid w:val="004F6385"/>
    <w:rsid w:val="004F6664"/>
    <w:rsid w:val="004F6F5C"/>
    <w:rsid w:val="00500E99"/>
    <w:rsid w:val="005014BC"/>
    <w:rsid w:val="00501D89"/>
    <w:rsid w:val="00501ECC"/>
    <w:rsid w:val="00503561"/>
    <w:rsid w:val="00503A4E"/>
    <w:rsid w:val="00503C30"/>
    <w:rsid w:val="00503F5A"/>
    <w:rsid w:val="00504027"/>
    <w:rsid w:val="00504275"/>
    <w:rsid w:val="00504C10"/>
    <w:rsid w:val="00505CE1"/>
    <w:rsid w:val="00505EE4"/>
    <w:rsid w:val="005065F9"/>
    <w:rsid w:val="0050677A"/>
    <w:rsid w:val="00506801"/>
    <w:rsid w:val="00507414"/>
    <w:rsid w:val="00507B0C"/>
    <w:rsid w:val="00507D98"/>
    <w:rsid w:val="005105D5"/>
    <w:rsid w:val="00510BE6"/>
    <w:rsid w:val="00511A4B"/>
    <w:rsid w:val="005122B3"/>
    <w:rsid w:val="0051349F"/>
    <w:rsid w:val="005139B0"/>
    <w:rsid w:val="00514D6A"/>
    <w:rsid w:val="00514EFD"/>
    <w:rsid w:val="005156D0"/>
    <w:rsid w:val="0051585D"/>
    <w:rsid w:val="00515DBD"/>
    <w:rsid w:val="00515F05"/>
    <w:rsid w:val="0051614A"/>
    <w:rsid w:val="00516628"/>
    <w:rsid w:val="00516FF7"/>
    <w:rsid w:val="00517BC7"/>
    <w:rsid w:val="00520403"/>
    <w:rsid w:val="00520EC1"/>
    <w:rsid w:val="00521971"/>
    <w:rsid w:val="00522F85"/>
    <w:rsid w:val="00524AF7"/>
    <w:rsid w:val="0052569C"/>
    <w:rsid w:val="005279D0"/>
    <w:rsid w:val="00527EDB"/>
    <w:rsid w:val="005302B3"/>
    <w:rsid w:val="00530668"/>
    <w:rsid w:val="00530A9F"/>
    <w:rsid w:val="00531433"/>
    <w:rsid w:val="00531693"/>
    <w:rsid w:val="00533242"/>
    <w:rsid w:val="00533C5D"/>
    <w:rsid w:val="0053405D"/>
    <w:rsid w:val="00534560"/>
    <w:rsid w:val="00534737"/>
    <w:rsid w:val="0053554A"/>
    <w:rsid w:val="0053574A"/>
    <w:rsid w:val="0053601E"/>
    <w:rsid w:val="00536132"/>
    <w:rsid w:val="00536353"/>
    <w:rsid w:val="005363D1"/>
    <w:rsid w:val="0053656D"/>
    <w:rsid w:val="00537379"/>
    <w:rsid w:val="0053756D"/>
    <w:rsid w:val="00537599"/>
    <w:rsid w:val="00540260"/>
    <w:rsid w:val="005403F4"/>
    <w:rsid w:val="00540F29"/>
    <w:rsid w:val="00541721"/>
    <w:rsid w:val="00542D69"/>
    <w:rsid w:val="00544C1E"/>
    <w:rsid w:val="00547312"/>
    <w:rsid w:val="00547E0D"/>
    <w:rsid w:val="0055016D"/>
    <w:rsid w:val="00550220"/>
    <w:rsid w:val="0055191B"/>
    <w:rsid w:val="0055197B"/>
    <w:rsid w:val="00551C25"/>
    <w:rsid w:val="005528DF"/>
    <w:rsid w:val="00552DD7"/>
    <w:rsid w:val="00553607"/>
    <w:rsid w:val="0055426F"/>
    <w:rsid w:val="00554414"/>
    <w:rsid w:val="00554910"/>
    <w:rsid w:val="0055547E"/>
    <w:rsid w:val="005554DA"/>
    <w:rsid w:val="00555F31"/>
    <w:rsid w:val="00555F4D"/>
    <w:rsid w:val="00556065"/>
    <w:rsid w:val="005562B9"/>
    <w:rsid w:val="005568D8"/>
    <w:rsid w:val="00556D41"/>
    <w:rsid w:val="00557724"/>
    <w:rsid w:val="00560268"/>
    <w:rsid w:val="00560497"/>
    <w:rsid w:val="005605E2"/>
    <w:rsid w:val="00560BF5"/>
    <w:rsid w:val="00560EDB"/>
    <w:rsid w:val="00560F70"/>
    <w:rsid w:val="005612A1"/>
    <w:rsid w:val="00562061"/>
    <w:rsid w:val="00563A8B"/>
    <w:rsid w:val="00563F41"/>
    <w:rsid w:val="005643D0"/>
    <w:rsid w:val="005645B2"/>
    <w:rsid w:val="00564C8A"/>
    <w:rsid w:val="005652DF"/>
    <w:rsid w:val="00566AF5"/>
    <w:rsid w:val="00567CC3"/>
    <w:rsid w:val="0057169E"/>
    <w:rsid w:val="00571929"/>
    <w:rsid w:val="00571AA3"/>
    <w:rsid w:val="005744E6"/>
    <w:rsid w:val="0057500A"/>
    <w:rsid w:val="0057506D"/>
    <w:rsid w:val="00575450"/>
    <w:rsid w:val="0057545B"/>
    <w:rsid w:val="005757F9"/>
    <w:rsid w:val="00576D63"/>
    <w:rsid w:val="00576DE8"/>
    <w:rsid w:val="0057794E"/>
    <w:rsid w:val="00577E94"/>
    <w:rsid w:val="00580003"/>
    <w:rsid w:val="0058016B"/>
    <w:rsid w:val="00580E25"/>
    <w:rsid w:val="005811E9"/>
    <w:rsid w:val="00581F49"/>
    <w:rsid w:val="005825DE"/>
    <w:rsid w:val="00582A97"/>
    <w:rsid w:val="005836A1"/>
    <w:rsid w:val="00583C72"/>
    <w:rsid w:val="00583DA9"/>
    <w:rsid w:val="00583DE9"/>
    <w:rsid w:val="005845B4"/>
    <w:rsid w:val="00584A82"/>
    <w:rsid w:val="00585588"/>
    <w:rsid w:val="005863D5"/>
    <w:rsid w:val="00586B42"/>
    <w:rsid w:val="00586DB0"/>
    <w:rsid w:val="00586E4D"/>
    <w:rsid w:val="00591540"/>
    <w:rsid w:val="005916A8"/>
    <w:rsid w:val="0059187D"/>
    <w:rsid w:val="00591F2D"/>
    <w:rsid w:val="00593AF4"/>
    <w:rsid w:val="005952E1"/>
    <w:rsid w:val="005959C9"/>
    <w:rsid w:val="00595DB5"/>
    <w:rsid w:val="00595E99"/>
    <w:rsid w:val="00595FAB"/>
    <w:rsid w:val="00596993"/>
    <w:rsid w:val="00596F20"/>
    <w:rsid w:val="005A046F"/>
    <w:rsid w:val="005A0C6B"/>
    <w:rsid w:val="005A1547"/>
    <w:rsid w:val="005A2540"/>
    <w:rsid w:val="005A25AA"/>
    <w:rsid w:val="005A295A"/>
    <w:rsid w:val="005A380D"/>
    <w:rsid w:val="005A3DF3"/>
    <w:rsid w:val="005A3E9F"/>
    <w:rsid w:val="005A3EBE"/>
    <w:rsid w:val="005A4B07"/>
    <w:rsid w:val="005A4ED9"/>
    <w:rsid w:val="005A54F7"/>
    <w:rsid w:val="005A574F"/>
    <w:rsid w:val="005A57CF"/>
    <w:rsid w:val="005A76EA"/>
    <w:rsid w:val="005A7C55"/>
    <w:rsid w:val="005B029A"/>
    <w:rsid w:val="005B0425"/>
    <w:rsid w:val="005B0D50"/>
    <w:rsid w:val="005B1800"/>
    <w:rsid w:val="005B22FC"/>
    <w:rsid w:val="005B23EE"/>
    <w:rsid w:val="005B34EB"/>
    <w:rsid w:val="005B43C7"/>
    <w:rsid w:val="005B46A3"/>
    <w:rsid w:val="005B4DC4"/>
    <w:rsid w:val="005B4F91"/>
    <w:rsid w:val="005B52C5"/>
    <w:rsid w:val="005B5CC9"/>
    <w:rsid w:val="005B6F78"/>
    <w:rsid w:val="005B7203"/>
    <w:rsid w:val="005C0D65"/>
    <w:rsid w:val="005C0FC6"/>
    <w:rsid w:val="005C265D"/>
    <w:rsid w:val="005C318A"/>
    <w:rsid w:val="005C3193"/>
    <w:rsid w:val="005C3636"/>
    <w:rsid w:val="005C3CC8"/>
    <w:rsid w:val="005C4388"/>
    <w:rsid w:val="005C445E"/>
    <w:rsid w:val="005C4656"/>
    <w:rsid w:val="005C46EE"/>
    <w:rsid w:val="005C59AB"/>
    <w:rsid w:val="005D0748"/>
    <w:rsid w:val="005D1150"/>
    <w:rsid w:val="005D1522"/>
    <w:rsid w:val="005D1FE4"/>
    <w:rsid w:val="005D2665"/>
    <w:rsid w:val="005D2A55"/>
    <w:rsid w:val="005D2B25"/>
    <w:rsid w:val="005D3BCC"/>
    <w:rsid w:val="005D4533"/>
    <w:rsid w:val="005D4C90"/>
    <w:rsid w:val="005D4E31"/>
    <w:rsid w:val="005D4F0C"/>
    <w:rsid w:val="005D5323"/>
    <w:rsid w:val="005D56B5"/>
    <w:rsid w:val="005D5734"/>
    <w:rsid w:val="005D6329"/>
    <w:rsid w:val="005D6608"/>
    <w:rsid w:val="005D6796"/>
    <w:rsid w:val="005D696B"/>
    <w:rsid w:val="005D7F34"/>
    <w:rsid w:val="005E0743"/>
    <w:rsid w:val="005E0CD3"/>
    <w:rsid w:val="005E1149"/>
    <w:rsid w:val="005E14F3"/>
    <w:rsid w:val="005E175C"/>
    <w:rsid w:val="005E1FE5"/>
    <w:rsid w:val="005E2708"/>
    <w:rsid w:val="005E3F48"/>
    <w:rsid w:val="005E43C2"/>
    <w:rsid w:val="005E44A6"/>
    <w:rsid w:val="005E46E7"/>
    <w:rsid w:val="005E4987"/>
    <w:rsid w:val="005E5B49"/>
    <w:rsid w:val="005E6285"/>
    <w:rsid w:val="005E6759"/>
    <w:rsid w:val="005E6ACE"/>
    <w:rsid w:val="005E7C19"/>
    <w:rsid w:val="005E7C7F"/>
    <w:rsid w:val="005F0892"/>
    <w:rsid w:val="005F0F2D"/>
    <w:rsid w:val="005F24BB"/>
    <w:rsid w:val="005F3C86"/>
    <w:rsid w:val="005F4041"/>
    <w:rsid w:val="005F4B7C"/>
    <w:rsid w:val="005F4C51"/>
    <w:rsid w:val="005F4EE3"/>
    <w:rsid w:val="005F577E"/>
    <w:rsid w:val="005F5AFF"/>
    <w:rsid w:val="005F5F00"/>
    <w:rsid w:val="005F7582"/>
    <w:rsid w:val="005F7E63"/>
    <w:rsid w:val="005F7EF8"/>
    <w:rsid w:val="00600292"/>
    <w:rsid w:val="00600FCF"/>
    <w:rsid w:val="0060167D"/>
    <w:rsid w:val="00601AEC"/>
    <w:rsid w:val="0060230D"/>
    <w:rsid w:val="006026F8"/>
    <w:rsid w:val="006027E6"/>
    <w:rsid w:val="00602890"/>
    <w:rsid w:val="00602B66"/>
    <w:rsid w:val="006034AD"/>
    <w:rsid w:val="006046D1"/>
    <w:rsid w:val="006046D7"/>
    <w:rsid w:val="0060484C"/>
    <w:rsid w:val="00604B44"/>
    <w:rsid w:val="00605672"/>
    <w:rsid w:val="006057AA"/>
    <w:rsid w:val="00606766"/>
    <w:rsid w:val="00606E49"/>
    <w:rsid w:val="006079BA"/>
    <w:rsid w:val="00610B80"/>
    <w:rsid w:val="006110C8"/>
    <w:rsid w:val="00611FAA"/>
    <w:rsid w:val="00612F07"/>
    <w:rsid w:val="0061346F"/>
    <w:rsid w:val="00613D27"/>
    <w:rsid w:val="00614034"/>
    <w:rsid w:val="00615E8C"/>
    <w:rsid w:val="006163AE"/>
    <w:rsid w:val="00616731"/>
    <w:rsid w:val="0061683C"/>
    <w:rsid w:val="00616A41"/>
    <w:rsid w:val="00621D53"/>
    <w:rsid w:val="006222A7"/>
    <w:rsid w:val="00624002"/>
    <w:rsid w:val="0062420F"/>
    <w:rsid w:val="006252AF"/>
    <w:rsid w:val="00625DA5"/>
    <w:rsid w:val="0062717E"/>
    <w:rsid w:val="006304AC"/>
    <w:rsid w:val="00630A16"/>
    <w:rsid w:val="00630A2F"/>
    <w:rsid w:val="00631F0D"/>
    <w:rsid w:val="006320CD"/>
    <w:rsid w:val="00632570"/>
    <w:rsid w:val="00632830"/>
    <w:rsid w:val="0063297D"/>
    <w:rsid w:val="00632A80"/>
    <w:rsid w:val="00632B31"/>
    <w:rsid w:val="00632F87"/>
    <w:rsid w:val="00633E0D"/>
    <w:rsid w:val="006341A7"/>
    <w:rsid w:val="00634B7E"/>
    <w:rsid w:val="00634C31"/>
    <w:rsid w:val="00634EFF"/>
    <w:rsid w:val="0063523F"/>
    <w:rsid w:val="006354D8"/>
    <w:rsid w:val="00636295"/>
    <w:rsid w:val="006366B4"/>
    <w:rsid w:val="00636876"/>
    <w:rsid w:val="00637050"/>
    <w:rsid w:val="006379C4"/>
    <w:rsid w:val="0064000E"/>
    <w:rsid w:val="0064005E"/>
    <w:rsid w:val="00640FB9"/>
    <w:rsid w:val="00640FFA"/>
    <w:rsid w:val="00641023"/>
    <w:rsid w:val="006410F5"/>
    <w:rsid w:val="0064130F"/>
    <w:rsid w:val="00641935"/>
    <w:rsid w:val="00642871"/>
    <w:rsid w:val="006433E7"/>
    <w:rsid w:val="0064413A"/>
    <w:rsid w:val="00645065"/>
    <w:rsid w:val="006457E3"/>
    <w:rsid w:val="00645B08"/>
    <w:rsid w:val="00645F60"/>
    <w:rsid w:val="0064631E"/>
    <w:rsid w:val="00646F9A"/>
    <w:rsid w:val="006503F1"/>
    <w:rsid w:val="00650BEB"/>
    <w:rsid w:val="00650D40"/>
    <w:rsid w:val="006521E8"/>
    <w:rsid w:val="0065225F"/>
    <w:rsid w:val="006537F5"/>
    <w:rsid w:val="00653C17"/>
    <w:rsid w:val="00653F50"/>
    <w:rsid w:val="00653FF2"/>
    <w:rsid w:val="006568DB"/>
    <w:rsid w:val="00656BD3"/>
    <w:rsid w:val="0065726A"/>
    <w:rsid w:val="00657B8A"/>
    <w:rsid w:val="00657F59"/>
    <w:rsid w:val="0066062D"/>
    <w:rsid w:val="006611F0"/>
    <w:rsid w:val="00661CB1"/>
    <w:rsid w:val="006623D6"/>
    <w:rsid w:val="0066276A"/>
    <w:rsid w:val="00662975"/>
    <w:rsid w:val="006633F4"/>
    <w:rsid w:val="00663797"/>
    <w:rsid w:val="006647E7"/>
    <w:rsid w:val="00665517"/>
    <w:rsid w:val="0066633E"/>
    <w:rsid w:val="00666A26"/>
    <w:rsid w:val="00666DBF"/>
    <w:rsid w:val="00667323"/>
    <w:rsid w:val="0067085D"/>
    <w:rsid w:val="00671771"/>
    <w:rsid w:val="0067193A"/>
    <w:rsid w:val="006731F6"/>
    <w:rsid w:val="0067331A"/>
    <w:rsid w:val="00673337"/>
    <w:rsid w:val="00673431"/>
    <w:rsid w:val="00673519"/>
    <w:rsid w:val="00674168"/>
    <w:rsid w:val="00674D07"/>
    <w:rsid w:val="0067505C"/>
    <w:rsid w:val="00675559"/>
    <w:rsid w:val="00675715"/>
    <w:rsid w:val="00676CFE"/>
    <w:rsid w:val="00677D4A"/>
    <w:rsid w:val="006807BC"/>
    <w:rsid w:val="00680FC9"/>
    <w:rsid w:val="0068182E"/>
    <w:rsid w:val="00682CE8"/>
    <w:rsid w:val="00684B8B"/>
    <w:rsid w:val="00685155"/>
    <w:rsid w:val="00685A7C"/>
    <w:rsid w:val="006872A0"/>
    <w:rsid w:val="006874FB"/>
    <w:rsid w:val="006875CE"/>
    <w:rsid w:val="00691115"/>
    <w:rsid w:val="006917BA"/>
    <w:rsid w:val="00692089"/>
    <w:rsid w:val="00692960"/>
    <w:rsid w:val="00693E9F"/>
    <w:rsid w:val="00694044"/>
    <w:rsid w:val="006940D6"/>
    <w:rsid w:val="0069464B"/>
    <w:rsid w:val="00694825"/>
    <w:rsid w:val="00694BB6"/>
    <w:rsid w:val="0069545A"/>
    <w:rsid w:val="00695760"/>
    <w:rsid w:val="006958AB"/>
    <w:rsid w:val="006962D7"/>
    <w:rsid w:val="00697222"/>
    <w:rsid w:val="006974EC"/>
    <w:rsid w:val="0069772E"/>
    <w:rsid w:val="0069790D"/>
    <w:rsid w:val="006A044E"/>
    <w:rsid w:val="006A0FA1"/>
    <w:rsid w:val="006A29FE"/>
    <w:rsid w:val="006A2C53"/>
    <w:rsid w:val="006A2C7C"/>
    <w:rsid w:val="006A2D9D"/>
    <w:rsid w:val="006A35B2"/>
    <w:rsid w:val="006A3BA3"/>
    <w:rsid w:val="006A3E07"/>
    <w:rsid w:val="006A3EE6"/>
    <w:rsid w:val="006A6C1F"/>
    <w:rsid w:val="006A70F5"/>
    <w:rsid w:val="006A7BD9"/>
    <w:rsid w:val="006B0339"/>
    <w:rsid w:val="006B09C7"/>
    <w:rsid w:val="006B1D33"/>
    <w:rsid w:val="006B3AD0"/>
    <w:rsid w:val="006B42FA"/>
    <w:rsid w:val="006B4CFD"/>
    <w:rsid w:val="006B4E76"/>
    <w:rsid w:val="006B5E70"/>
    <w:rsid w:val="006B6479"/>
    <w:rsid w:val="006C023E"/>
    <w:rsid w:val="006C07E9"/>
    <w:rsid w:val="006C1DEA"/>
    <w:rsid w:val="006C2772"/>
    <w:rsid w:val="006C2A26"/>
    <w:rsid w:val="006C2D64"/>
    <w:rsid w:val="006C305D"/>
    <w:rsid w:val="006C3791"/>
    <w:rsid w:val="006C3D23"/>
    <w:rsid w:val="006C400D"/>
    <w:rsid w:val="006C4D0D"/>
    <w:rsid w:val="006C5090"/>
    <w:rsid w:val="006C57AF"/>
    <w:rsid w:val="006C627E"/>
    <w:rsid w:val="006C68AC"/>
    <w:rsid w:val="006C68CC"/>
    <w:rsid w:val="006C7713"/>
    <w:rsid w:val="006C7C8C"/>
    <w:rsid w:val="006D07F5"/>
    <w:rsid w:val="006D13E4"/>
    <w:rsid w:val="006D32BB"/>
    <w:rsid w:val="006D33F7"/>
    <w:rsid w:val="006D4780"/>
    <w:rsid w:val="006D5B65"/>
    <w:rsid w:val="006D5D02"/>
    <w:rsid w:val="006D5F04"/>
    <w:rsid w:val="006D60A3"/>
    <w:rsid w:val="006D6229"/>
    <w:rsid w:val="006D7419"/>
    <w:rsid w:val="006E0073"/>
    <w:rsid w:val="006E015D"/>
    <w:rsid w:val="006E09A2"/>
    <w:rsid w:val="006E0BDF"/>
    <w:rsid w:val="006E0D51"/>
    <w:rsid w:val="006E1995"/>
    <w:rsid w:val="006E1A7F"/>
    <w:rsid w:val="006E1B5E"/>
    <w:rsid w:val="006E1DF1"/>
    <w:rsid w:val="006E278E"/>
    <w:rsid w:val="006E4743"/>
    <w:rsid w:val="006E4E38"/>
    <w:rsid w:val="006E54C7"/>
    <w:rsid w:val="006E60D6"/>
    <w:rsid w:val="006E62EF"/>
    <w:rsid w:val="006E665E"/>
    <w:rsid w:val="006E7467"/>
    <w:rsid w:val="006F00FE"/>
    <w:rsid w:val="006F06F0"/>
    <w:rsid w:val="006F0C24"/>
    <w:rsid w:val="006F182C"/>
    <w:rsid w:val="006F3646"/>
    <w:rsid w:val="006F3899"/>
    <w:rsid w:val="006F497A"/>
    <w:rsid w:val="006F50D9"/>
    <w:rsid w:val="006F5780"/>
    <w:rsid w:val="006F608F"/>
    <w:rsid w:val="006F7C8B"/>
    <w:rsid w:val="007000C9"/>
    <w:rsid w:val="00701434"/>
    <w:rsid w:val="00701711"/>
    <w:rsid w:val="00703E08"/>
    <w:rsid w:val="007048B2"/>
    <w:rsid w:val="00704FE1"/>
    <w:rsid w:val="00705775"/>
    <w:rsid w:val="00706B04"/>
    <w:rsid w:val="00706CC1"/>
    <w:rsid w:val="00707C7D"/>
    <w:rsid w:val="00710618"/>
    <w:rsid w:val="007123C6"/>
    <w:rsid w:val="0071246A"/>
    <w:rsid w:val="0071389B"/>
    <w:rsid w:val="00714E1F"/>
    <w:rsid w:val="007169CF"/>
    <w:rsid w:val="0071765D"/>
    <w:rsid w:val="00720897"/>
    <w:rsid w:val="00720DCC"/>
    <w:rsid w:val="00720F77"/>
    <w:rsid w:val="0072142B"/>
    <w:rsid w:val="00721B70"/>
    <w:rsid w:val="00722103"/>
    <w:rsid w:val="0072248F"/>
    <w:rsid w:val="007226C2"/>
    <w:rsid w:val="00722ABD"/>
    <w:rsid w:val="007230AB"/>
    <w:rsid w:val="007232F2"/>
    <w:rsid w:val="007233EC"/>
    <w:rsid w:val="00724D92"/>
    <w:rsid w:val="0072566E"/>
    <w:rsid w:val="0072567E"/>
    <w:rsid w:val="00725842"/>
    <w:rsid w:val="00725890"/>
    <w:rsid w:val="007264F4"/>
    <w:rsid w:val="00726B02"/>
    <w:rsid w:val="00727218"/>
    <w:rsid w:val="007275F1"/>
    <w:rsid w:val="00727FF2"/>
    <w:rsid w:val="00730A4D"/>
    <w:rsid w:val="00730EE6"/>
    <w:rsid w:val="00732BC5"/>
    <w:rsid w:val="00735410"/>
    <w:rsid w:val="00735422"/>
    <w:rsid w:val="00736CCD"/>
    <w:rsid w:val="00737DF1"/>
    <w:rsid w:val="0074027C"/>
    <w:rsid w:val="007403DC"/>
    <w:rsid w:val="00741F02"/>
    <w:rsid w:val="00742D91"/>
    <w:rsid w:val="0074362C"/>
    <w:rsid w:val="007439AC"/>
    <w:rsid w:val="007449BE"/>
    <w:rsid w:val="007450DB"/>
    <w:rsid w:val="0074522E"/>
    <w:rsid w:val="00745F67"/>
    <w:rsid w:val="007461AD"/>
    <w:rsid w:val="00746901"/>
    <w:rsid w:val="00746A1D"/>
    <w:rsid w:val="00747189"/>
    <w:rsid w:val="00747547"/>
    <w:rsid w:val="007510CD"/>
    <w:rsid w:val="0075230A"/>
    <w:rsid w:val="00755F10"/>
    <w:rsid w:val="00755F41"/>
    <w:rsid w:val="007560D6"/>
    <w:rsid w:val="00756104"/>
    <w:rsid w:val="0075689F"/>
    <w:rsid w:val="00756FDE"/>
    <w:rsid w:val="00757691"/>
    <w:rsid w:val="00757E53"/>
    <w:rsid w:val="00761234"/>
    <w:rsid w:val="00761F35"/>
    <w:rsid w:val="00763DC7"/>
    <w:rsid w:val="00764434"/>
    <w:rsid w:val="0076465C"/>
    <w:rsid w:val="00764B4A"/>
    <w:rsid w:val="00764C30"/>
    <w:rsid w:val="00764F7D"/>
    <w:rsid w:val="0076540B"/>
    <w:rsid w:val="00765583"/>
    <w:rsid w:val="00765589"/>
    <w:rsid w:val="007658A7"/>
    <w:rsid w:val="007664F7"/>
    <w:rsid w:val="00766DF4"/>
    <w:rsid w:val="007671B3"/>
    <w:rsid w:val="0076744E"/>
    <w:rsid w:val="007703EF"/>
    <w:rsid w:val="00770C65"/>
    <w:rsid w:val="00771181"/>
    <w:rsid w:val="007715EF"/>
    <w:rsid w:val="0077178D"/>
    <w:rsid w:val="00772DE6"/>
    <w:rsid w:val="0077378B"/>
    <w:rsid w:val="00773BDF"/>
    <w:rsid w:val="00773D8E"/>
    <w:rsid w:val="007743EF"/>
    <w:rsid w:val="00774B42"/>
    <w:rsid w:val="0077500D"/>
    <w:rsid w:val="0077522E"/>
    <w:rsid w:val="00775FBA"/>
    <w:rsid w:val="00776BA3"/>
    <w:rsid w:val="00776CAE"/>
    <w:rsid w:val="00776E40"/>
    <w:rsid w:val="00776F92"/>
    <w:rsid w:val="0077755D"/>
    <w:rsid w:val="00777A39"/>
    <w:rsid w:val="00777C0C"/>
    <w:rsid w:val="00777E7C"/>
    <w:rsid w:val="0078028D"/>
    <w:rsid w:val="007806AD"/>
    <w:rsid w:val="00780848"/>
    <w:rsid w:val="00780869"/>
    <w:rsid w:val="00780C7D"/>
    <w:rsid w:val="00780F6E"/>
    <w:rsid w:val="00781A49"/>
    <w:rsid w:val="00781DB7"/>
    <w:rsid w:val="0078239B"/>
    <w:rsid w:val="00782DC7"/>
    <w:rsid w:val="00782E21"/>
    <w:rsid w:val="00783CBA"/>
    <w:rsid w:val="007840C9"/>
    <w:rsid w:val="0078491B"/>
    <w:rsid w:val="007853AF"/>
    <w:rsid w:val="007855D2"/>
    <w:rsid w:val="00786667"/>
    <w:rsid w:val="00786CA9"/>
    <w:rsid w:val="007870D7"/>
    <w:rsid w:val="007875A5"/>
    <w:rsid w:val="0079036E"/>
    <w:rsid w:val="00791098"/>
    <w:rsid w:val="00791215"/>
    <w:rsid w:val="007925FB"/>
    <w:rsid w:val="00792762"/>
    <w:rsid w:val="007927C2"/>
    <w:rsid w:val="00792E8D"/>
    <w:rsid w:val="00793198"/>
    <w:rsid w:val="007931B7"/>
    <w:rsid w:val="007935F7"/>
    <w:rsid w:val="007939D8"/>
    <w:rsid w:val="00793A61"/>
    <w:rsid w:val="0079531C"/>
    <w:rsid w:val="00796326"/>
    <w:rsid w:val="007964E2"/>
    <w:rsid w:val="00797820"/>
    <w:rsid w:val="00797991"/>
    <w:rsid w:val="007A09A0"/>
    <w:rsid w:val="007A1E22"/>
    <w:rsid w:val="007A25E0"/>
    <w:rsid w:val="007A2861"/>
    <w:rsid w:val="007A288A"/>
    <w:rsid w:val="007A2BB9"/>
    <w:rsid w:val="007A4B10"/>
    <w:rsid w:val="007A4FBE"/>
    <w:rsid w:val="007A4FEA"/>
    <w:rsid w:val="007A512A"/>
    <w:rsid w:val="007A552B"/>
    <w:rsid w:val="007A5C23"/>
    <w:rsid w:val="007A5EB9"/>
    <w:rsid w:val="007A6469"/>
    <w:rsid w:val="007A651C"/>
    <w:rsid w:val="007A690A"/>
    <w:rsid w:val="007A75CB"/>
    <w:rsid w:val="007B0174"/>
    <w:rsid w:val="007B063D"/>
    <w:rsid w:val="007B0C34"/>
    <w:rsid w:val="007B1D07"/>
    <w:rsid w:val="007B2986"/>
    <w:rsid w:val="007B2DE7"/>
    <w:rsid w:val="007B36F3"/>
    <w:rsid w:val="007B3D44"/>
    <w:rsid w:val="007B3D5B"/>
    <w:rsid w:val="007B49EA"/>
    <w:rsid w:val="007B5891"/>
    <w:rsid w:val="007B614E"/>
    <w:rsid w:val="007B7904"/>
    <w:rsid w:val="007C02CC"/>
    <w:rsid w:val="007C19B5"/>
    <w:rsid w:val="007C2177"/>
    <w:rsid w:val="007C2D9C"/>
    <w:rsid w:val="007C3022"/>
    <w:rsid w:val="007C5128"/>
    <w:rsid w:val="007C5A5A"/>
    <w:rsid w:val="007C5A7C"/>
    <w:rsid w:val="007C6279"/>
    <w:rsid w:val="007C736B"/>
    <w:rsid w:val="007C7F47"/>
    <w:rsid w:val="007D0474"/>
    <w:rsid w:val="007D0DF1"/>
    <w:rsid w:val="007D0E29"/>
    <w:rsid w:val="007D115E"/>
    <w:rsid w:val="007D181B"/>
    <w:rsid w:val="007D1899"/>
    <w:rsid w:val="007D1B2F"/>
    <w:rsid w:val="007D34DB"/>
    <w:rsid w:val="007D51B9"/>
    <w:rsid w:val="007D55F1"/>
    <w:rsid w:val="007D62D6"/>
    <w:rsid w:val="007D62E2"/>
    <w:rsid w:val="007D65E5"/>
    <w:rsid w:val="007D67DC"/>
    <w:rsid w:val="007D6DFD"/>
    <w:rsid w:val="007E0844"/>
    <w:rsid w:val="007E144A"/>
    <w:rsid w:val="007E2324"/>
    <w:rsid w:val="007E2479"/>
    <w:rsid w:val="007E27DA"/>
    <w:rsid w:val="007E28E7"/>
    <w:rsid w:val="007E2F92"/>
    <w:rsid w:val="007E355B"/>
    <w:rsid w:val="007E43FB"/>
    <w:rsid w:val="007E52A0"/>
    <w:rsid w:val="007E544A"/>
    <w:rsid w:val="007E7E87"/>
    <w:rsid w:val="007F01F1"/>
    <w:rsid w:val="007F0780"/>
    <w:rsid w:val="007F0879"/>
    <w:rsid w:val="007F0B27"/>
    <w:rsid w:val="007F1B1F"/>
    <w:rsid w:val="007F1F05"/>
    <w:rsid w:val="007F201F"/>
    <w:rsid w:val="007F203F"/>
    <w:rsid w:val="007F25A9"/>
    <w:rsid w:val="007F2DBB"/>
    <w:rsid w:val="007F2FE4"/>
    <w:rsid w:val="007F33BD"/>
    <w:rsid w:val="007F3755"/>
    <w:rsid w:val="007F641D"/>
    <w:rsid w:val="007F651B"/>
    <w:rsid w:val="007F7845"/>
    <w:rsid w:val="007F7D45"/>
    <w:rsid w:val="007F7FBA"/>
    <w:rsid w:val="00800378"/>
    <w:rsid w:val="0080113D"/>
    <w:rsid w:val="008011EC"/>
    <w:rsid w:val="00801C8D"/>
    <w:rsid w:val="008025E5"/>
    <w:rsid w:val="00802C47"/>
    <w:rsid w:val="00803458"/>
    <w:rsid w:val="008036C5"/>
    <w:rsid w:val="008038B5"/>
    <w:rsid w:val="00803E0A"/>
    <w:rsid w:val="00804207"/>
    <w:rsid w:val="008042A6"/>
    <w:rsid w:val="008044D3"/>
    <w:rsid w:val="00804587"/>
    <w:rsid w:val="00806618"/>
    <w:rsid w:val="0080673C"/>
    <w:rsid w:val="00806847"/>
    <w:rsid w:val="00806F57"/>
    <w:rsid w:val="00807472"/>
    <w:rsid w:val="0081045B"/>
    <w:rsid w:val="00810734"/>
    <w:rsid w:val="00811BB5"/>
    <w:rsid w:val="008122F1"/>
    <w:rsid w:val="00812421"/>
    <w:rsid w:val="00812F0C"/>
    <w:rsid w:val="0081302E"/>
    <w:rsid w:val="00814974"/>
    <w:rsid w:val="008149E1"/>
    <w:rsid w:val="0081529E"/>
    <w:rsid w:val="0081531E"/>
    <w:rsid w:val="00815C66"/>
    <w:rsid w:val="00815F80"/>
    <w:rsid w:val="008163CD"/>
    <w:rsid w:val="0081649E"/>
    <w:rsid w:val="008170DA"/>
    <w:rsid w:val="008208CC"/>
    <w:rsid w:val="00821370"/>
    <w:rsid w:val="008216ED"/>
    <w:rsid w:val="00821A0D"/>
    <w:rsid w:val="00821B69"/>
    <w:rsid w:val="00821CEC"/>
    <w:rsid w:val="00822BA2"/>
    <w:rsid w:val="008232BE"/>
    <w:rsid w:val="00823A73"/>
    <w:rsid w:val="008240B0"/>
    <w:rsid w:val="0082488C"/>
    <w:rsid w:val="008255D3"/>
    <w:rsid w:val="00825BBC"/>
    <w:rsid w:val="0082796D"/>
    <w:rsid w:val="00827A8D"/>
    <w:rsid w:val="0083027B"/>
    <w:rsid w:val="00830716"/>
    <w:rsid w:val="008308CA"/>
    <w:rsid w:val="00830FB9"/>
    <w:rsid w:val="00831C53"/>
    <w:rsid w:val="0083262A"/>
    <w:rsid w:val="008339D8"/>
    <w:rsid w:val="00833F25"/>
    <w:rsid w:val="00834AED"/>
    <w:rsid w:val="00834D85"/>
    <w:rsid w:val="00834D90"/>
    <w:rsid w:val="00835192"/>
    <w:rsid w:val="0083555B"/>
    <w:rsid w:val="0083561C"/>
    <w:rsid w:val="0083594F"/>
    <w:rsid w:val="00835B3C"/>
    <w:rsid w:val="00835FFF"/>
    <w:rsid w:val="0083652E"/>
    <w:rsid w:val="00837466"/>
    <w:rsid w:val="00837BC8"/>
    <w:rsid w:val="00837C1C"/>
    <w:rsid w:val="00841165"/>
    <w:rsid w:val="0084325A"/>
    <w:rsid w:val="00844855"/>
    <w:rsid w:val="008451C0"/>
    <w:rsid w:val="008455ED"/>
    <w:rsid w:val="00845D8D"/>
    <w:rsid w:val="00846446"/>
    <w:rsid w:val="00846FD6"/>
    <w:rsid w:val="008502CA"/>
    <w:rsid w:val="00851490"/>
    <w:rsid w:val="00851D93"/>
    <w:rsid w:val="008527E1"/>
    <w:rsid w:val="00853661"/>
    <w:rsid w:val="008537CC"/>
    <w:rsid w:val="00855DFF"/>
    <w:rsid w:val="00857290"/>
    <w:rsid w:val="0085742C"/>
    <w:rsid w:val="00860220"/>
    <w:rsid w:val="00860D14"/>
    <w:rsid w:val="0086197F"/>
    <w:rsid w:val="008623A5"/>
    <w:rsid w:val="008635BC"/>
    <w:rsid w:val="008636D3"/>
    <w:rsid w:val="0086426D"/>
    <w:rsid w:val="00864334"/>
    <w:rsid w:val="00864868"/>
    <w:rsid w:val="00864FBD"/>
    <w:rsid w:val="0086562F"/>
    <w:rsid w:val="00865CDB"/>
    <w:rsid w:val="00865D41"/>
    <w:rsid w:val="008660C7"/>
    <w:rsid w:val="00866279"/>
    <w:rsid w:val="00866C51"/>
    <w:rsid w:val="00866E98"/>
    <w:rsid w:val="00867772"/>
    <w:rsid w:val="00867977"/>
    <w:rsid w:val="008703AD"/>
    <w:rsid w:val="00870D51"/>
    <w:rsid w:val="00871017"/>
    <w:rsid w:val="008719C8"/>
    <w:rsid w:val="008726A8"/>
    <w:rsid w:val="00872B25"/>
    <w:rsid w:val="00872B99"/>
    <w:rsid w:val="00874667"/>
    <w:rsid w:val="00874F0E"/>
    <w:rsid w:val="00875634"/>
    <w:rsid w:val="008759DE"/>
    <w:rsid w:val="008761FE"/>
    <w:rsid w:val="00876CBF"/>
    <w:rsid w:val="00877582"/>
    <w:rsid w:val="00877588"/>
    <w:rsid w:val="00877678"/>
    <w:rsid w:val="0087769E"/>
    <w:rsid w:val="00880322"/>
    <w:rsid w:val="008806DE"/>
    <w:rsid w:val="00880B7A"/>
    <w:rsid w:val="00881686"/>
    <w:rsid w:val="00881763"/>
    <w:rsid w:val="00881878"/>
    <w:rsid w:val="008828E3"/>
    <w:rsid w:val="00884565"/>
    <w:rsid w:val="00884B22"/>
    <w:rsid w:val="00884FB8"/>
    <w:rsid w:val="008852EC"/>
    <w:rsid w:val="008862C8"/>
    <w:rsid w:val="00887ED0"/>
    <w:rsid w:val="00891CC5"/>
    <w:rsid w:val="008922F9"/>
    <w:rsid w:val="0089278B"/>
    <w:rsid w:val="008927E4"/>
    <w:rsid w:val="00892EC1"/>
    <w:rsid w:val="00892EEA"/>
    <w:rsid w:val="00893354"/>
    <w:rsid w:val="00893B48"/>
    <w:rsid w:val="00893E4D"/>
    <w:rsid w:val="00894FC5"/>
    <w:rsid w:val="008967D0"/>
    <w:rsid w:val="008A109D"/>
    <w:rsid w:val="008A161A"/>
    <w:rsid w:val="008A1678"/>
    <w:rsid w:val="008A3A8C"/>
    <w:rsid w:val="008A455E"/>
    <w:rsid w:val="008A5470"/>
    <w:rsid w:val="008A674C"/>
    <w:rsid w:val="008A6A9C"/>
    <w:rsid w:val="008A7977"/>
    <w:rsid w:val="008A7DE8"/>
    <w:rsid w:val="008B0272"/>
    <w:rsid w:val="008B0EC0"/>
    <w:rsid w:val="008B1763"/>
    <w:rsid w:val="008B1961"/>
    <w:rsid w:val="008B2108"/>
    <w:rsid w:val="008B2792"/>
    <w:rsid w:val="008B401F"/>
    <w:rsid w:val="008B4212"/>
    <w:rsid w:val="008B4343"/>
    <w:rsid w:val="008B4597"/>
    <w:rsid w:val="008B4654"/>
    <w:rsid w:val="008B4835"/>
    <w:rsid w:val="008B4A59"/>
    <w:rsid w:val="008B50F4"/>
    <w:rsid w:val="008B5A26"/>
    <w:rsid w:val="008B5D5B"/>
    <w:rsid w:val="008B6DB2"/>
    <w:rsid w:val="008B712F"/>
    <w:rsid w:val="008B73D8"/>
    <w:rsid w:val="008B7AE8"/>
    <w:rsid w:val="008C00CF"/>
    <w:rsid w:val="008C0473"/>
    <w:rsid w:val="008C0B58"/>
    <w:rsid w:val="008C0C40"/>
    <w:rsid w:val="008C1811"/>
    <w:rsid w:val="008C1AB9"/>
    <w:rsid w:val="008C1F72"/>
    <w:rsid w:val="008C2008"/>
    <w:rsid w:val="008C2F2B"/>
    <w:rsid w:val="008C344A"/>
    <w:rsid w:val="008C3F4D"/>
    <w:rsid w:val="008C51CF"/>
    <w:rsid w:val="008C5395"/>
    <w:rsid w:val="008C5C45"/>
    <w:rsid w:val="008C5E34"/>
    <w:rsid w:val="008C5E77"/>
    <w:rsid w:val="008C6421"/>
    <w:rsid w:val="008C7EC5"/>
    <w:rsid w:val="008D0664"/>
    <w:rsid w:val="008D1594"/>
    <w:rsid w:val="008D219B"/>
    <w:rsid w:val="008D2763"/>
    <w:rsid w:val="008D2A61"/>
    <w:rsid w:val="008D2BF5"/>
    <w:rsid w:val="008D35CD"/>
    <w:rsid w:val="008D3E5B"/>
    <w:rsid w:val="008D3F7B"/>
    <w:rsid w:val="008D3FBE"/>
    <w:rsid w:val="008D48A5"/>
    <w:rsid w:val="008D51F6"/>
    <w:rsid w:val="008D5F9F"/>
    <w:rsid w:val="008D6758"/>
    <w:rsid w:val="008D6BCB"/>
    <w:rsid w:val="008D6FCC"/>
    <w:rsid w:val="008D72D9"/>
    <w:rsid w:val="008D7343"/>
    <w:rsid w:val="008D788E"/>
    <w:rsid w:val="008E0806"/>
    <w:rsid w:val="008E09BA"/>
    <w:rsid w:val="008E0A6A"/>
    <w:rsid w:val="008E22AC"/>
    <w:rsid w:val="008E266E"/>
    <w:rsid w:val="008E2AC4"/>
    <w:rsid w:val="008E303F"/>
    <w:rsid w:val="008E430E"/>
    <w:rsid w:val="008E4FE8"/>
    <w:rsid w:val="008E51CF"/>
    <w:rsid w:val="008E5C0C"/>
    <w:rsid w:val="008E5F76"/>
    <w:rsid w:val="008E63F3"/>
    <w:rsid w:val="008E6921"/>
    <w:rsid w:val="008E6A4F"/>
    <w:rsid w:val="008E7E4A"/>
    <w:rsid w:val="008E7ECB"/>
    <w:rsid w:val="008E7EDA"/>
    <w:rsid w:val="008F12B8"/>
    <w:rsid w:val="008F1353"/>
    <w:rsid w:val="008F1ABC"/>
    <w:rsid w:val="008F2EA0"/>
    <w:rsid w:val="008F34B3"/>
    <w:rsid w:val="008F3D92"/>
    <w:rsid w:val="008F426E"/>
    <w:rsid w:val="008F42E8"/>
    <w:rsid w:val="008F5AA0"/>
    <w:rsid w:val="008F62C7"/>
    <w:rsid w:val="008F6561"/>
    <w:rsid w:val="008F72A3"/>
    <w:rsid w:val="008F77C3"/>
    <w:rsid w:val="0090196E"/>
    <w:rsid w:val="009022CA"/>
    <w:rsid w:val="009048D4"/>
    <w:rsid w:val="00906456"/>
    <w:rsid w:val="00906A5B"/>
    <w:rsid w:val="009079DE"/>
    <w:rsid w:val="009107C9"/>
    <w:rsid w:val="00910FDF"/>
    <w:rsid w:val="00911553"/>
    <w:rsid w:val="00911A43"/>
    <w:rsid w:val="009121DD"/>
    <w:rsid w:val="0091282D"/>
    <w:rsid w:val="00912AB8"/>
    <w:rsid w:val="00913BBF"/>
    <w:rsid w:val="00913E3A"/>
    <w:rsid w:val="00914AD0"/>
    <w:rsid w:val="00914DC6"/>
    <w:rsid w:val="009150FF"/>
    <w:rsid w:val="009157B4"/>
    <w:rsid w:val="0091705E"/>
    <w:rsid w:val="0091786A"/>
    <w:rsid w:val="00917CD2"/>
    <w:rsid w:val="00917E0A"/>
    <w:rsid w:val="0092034B"/>
    <w:rsid w:val="00920589"/>
    <w:rsid w:val="00921370"/>
    <w:rsid w:val="00921807"/>
    <w:rsid w:val="00923B43"/>
    <w:rsid w:val="00924496"/>
    <w:rsid w:val="00925506"/>
    <w:rsid w:val="00925A24"/>
    <w:rsid w:val="00926EBF"/>
    <w:rsid w:val="00926F8F"/>
    <w:rsid w:val="00927BE7"/>
    <w:rsid w:val="00930397"/>
    <w:rsid w:val="009307A3"/>
    <w:rsid w:val="009322C7"/>
    <w:rsid w:val="00932332"/>
    <w:rsid w:val="00932C24"/>
    <w:rsid w:val="00933876"/>
    <w:rsid w:val="00933AE4"/>
    <w:rsid w:val="00933B75"/>
    <w:rsid w:val="009351E8"/>
    <w:rsid w:val="00935CD3"/>
    <w:rsid w:val="00935F0C"/>
    <w:rsid w:val="00936112"/>
    <w:rsid w:val="0093646F"/>
    <w:rsid w:val="00936A5A"/>
    <w:rsid w:val="00936F9A"/>
    <w:rsid w:val="00940360"/>
    <w:rsid w:val="00940638"/>
    <w:rsid w:val="00940951"/>
    <w:rsid w:val="00941001"/>
    <w:rsid w:val="009414E6"/>
    <w:rsid w:val="00941855"/>
    <w:rsid w:val="00943172"/>
    <w:rsid w:val="00943177"/>
    <w:rsid w:val="009435F6"/>
    <w:rsid w:val="009436A5"/>
    <w:rsid w:val="00943D54"/>
    <w:rsid w:val="00945009"/>
    <w:rsid w:val="00945178"/>
    <w:rsid w:val="0094556A"/>
    <w:rsid w:val="009456AB"/>
    <w:rsid w:val="00947021"/>
    <w:rsid w:val="00947342"/>
    <w:rsid w:val="00947414"/>
    <w:rsid w:val="009504BC"/>
    <w:rsid w:val="00950C0A"/>
    <w:rsid w:val="00951763"/>
    <w:rsid w:val="0095245F"/>
    <w:rsid w:val="00952C38"/>
    <w:rsid w:val="0095376B"/>
    <w:rsid w:val="00953F42"/>
    <w:rsid w:val="009560C7"/>
    <w:rsid w:val="009564BC"/>
    <w:rsid w:val="0095654A"/>
    <w:rsid w:val="009566DC"/>
    <w:rsid w:val="00956E41"/>
    <w:rsid w:val="00957030"/>
    <w:rsid w:val="009572D7"/>
    <w:rsid w:val="00957BA5"/>
    <w:rsid w:val="0096052D"/>
    <w:rsid w:val="00961090"/>
    <w:rsid w:val="009611BB"/>
    <w:rsid w:val="00961430"/>
    <w:rsid w:val="009618FD"/>
    <w:rsid w:val="009620A7"/>
    <w:rsid w:val="009623F4"/>
    <w:rsid w:val="009631BF"/>
    <w:rsid w:val="009638EB"/>
    <w:rsid w:val="00963C34"/>
    <w:rsid w:val="0096460D"/>
    <w:rsid w:val="009649D6"/>
    <w:rsid w:val="00965573"/>
    <w:rsid w:val="00965B1E"/>
    <w:rsid w:val="00965DB6"/>
    <w:rsid w:val="00965DDF"/>
    <w:rsid w:val="00965F5F"/>
    <w:rsid w:val="00966AD2"/>
    <w:rsid w:val="00967D9C"/>
    <w:rsid w:val="00970EC0"/>
    <w:rsid w:val="00971287"/>
    <w:rsid w:val="00971B30"/>
    <w:rsid w:val="00972012"/>
    <w:rsid w:val="0097229B"/>
    <w:rsid w:val="009724E8"/>
    <w:rsid w:val="0097330D"/>
    <w:rsid w:val="00975E42"/>
    <w:rsid w:val="0097730B"/>
    <w:rsid w:val="00977472"/>
    <w:rsid w:val="00977768"/>
    <w:rsid w:val="00977A57"/>
    <w:rsid w:val="009802A8"/>
    <w:rsid w:val="009807CC"/>
    <w:rsid w:val="00981338"/>
    <w:rsid w:val="009828C3"/>
    <w:rsid w:val="009834A8"/>
    <w:rsid w:val="00983C16"/>
    <w:rsid w:val="00983D84"/>
    <w:rsid w:val="009847CE"/>
    <w:rsid w:val="00984CED"/>
    <w:rsid w:val="009851C2"/>
    <w:rsid w:val="00985889"/>
    <w:rsid w:val="0098593A"/>
    <w:rsid w:val="00985993"/>
    <w:rsid w:val="00985ACD"/>
    <w:rsid w:val="00985C1E"/>
    <w:rsid w:val="009862F5"/>
    <w:rsid w:val="009867DF"/>
    <w:rsid w:val="00986B74"/>
    <w:rsid w:val="00986FC4"/>
    <w:rsid w:val="00987073"/>
    <w:rsid w:val="00987698"/>
    <w:rsid w:val="009878AE"/>
    <w:rsid w:val="0098799A"/>
    <w:rsid w:val="00987B5B"/>
    <w:rsid w:val="00987F40"/>
    <w:rsid w:val="00987FEF"/>
    <w:rsid w:val="009902BA"/>
    <w:rsid w:val="009904C3"/>
    <w:rsid w:val="0099114A"/>
    <w:rsid w:val="009920FC"/>
    <w:rsid w:val="00992A97"/>
    <w:rsid w:val="00993370"/>
    <w:rsid w:val="00993E61"/>
    <w:rsid w:val="00994014"/>
    <w:rsid w:val="00994D57"/>
    <w:rsid w:val="00994F00"/>
    <w:rsid w:val="00995AEA"/>
    <w:rsid w:val="0099635B"/>
    <w:rsid w:val="009971E4"/>
    <w:rsid w:val="009978D3"/>
    <w:rsid w:val="009979C6"/>
    <w:rsid w:val="009A04FD"/>
    <w:rsid w:val="009A0520"/>
    <w:rsid w:val="009A0E9B"/>
    <w:rsid w:val="009A1B94"/>
    <w:rsid w:val="009A2086"/>
    <w:rsid w:val="009A22D9"/>
    <w:rsid w:val="009A28B5"/>
    <w:rsid w:val="009A3E90"/>
    <w:rsid w:val="009A4767"/>
    <w:rsid w:val="009A4E34"/>
    <w:rsid w:val="009A5CA6"/>
    <w:rsid w:val="009A6934"/>
    <w:rsid w:val="009A6B90"/>
    <w:rsid w:val="009A6C43"/>
    <w:rsid w:val="009B1520"/>
    <w:rsid w:val="009B1FD2"/>
    <w:rsid w:val="009B211F"/>
    <w:rsid w:val="009B27BD"/>
    <w:rsid w:val="009B27FB"/>
    <w:rsid w:val="009B37D5"/>
    <w:rsid w:val="009B4014"/>
    <w:rsid w:val="009B4928"/>
    <w:rsid w:val="009B58E7"/>
    <w:rsid w:val="009B5950"/>
    <w:rsid w:val="009B5973"/>
    <w:rsid w:val="009B5C3E"/>
    <w:rsid w:val="009B67EE"/>
    <w:rsid w:val="009B6EE1"/>
    <w:rsid w:val="009B76B8"/>
    <w:rsid w:val="009B7DBA"/>
    <w:rsid w:val="009C2C23"/>
    <w:rsid w:val="009C332F"/>
    <w:rsid w:val="009C3342"/>
    <w:rsid w:val="009C3DBF"/>
    <w:rsid w:val="009C596F"/>
    <w:rsid w:val="009C5BC9"/>
    <w:rsid w:val="009C6B3C"/>
    <w:rsid w:val="009C6E7E"/>
    <w:rsid w:val="009C784D"/>
    <w:rsid w:val="009D01DD"/>
    <w:rsid w:val="009D0329"/>
    <w:rsid w:val="009D11A6"/>
    <w:rsid w:val="009D1D1C"/>
    <w:rsid w:val="009D3867"/>
    <w:rsid w:val="009D4D0A"/>
    <w:rsid w:val="009D5908"/>
    <w:rsid w:val="009D6608"/>
    <w:rsid w:val="009D6849"/>
    <w:rsid w:val="009D7435"/>
    <w:rsid w:val="009D7809"/>
    <w:rsid w:val="009D7C1B"/>
    <w:rsid w:val="009E0330"/>
    <w:rsid w:val="009E10BF"/>
    <w:rsid w:val="009E120A"/>
    <w:rsid w:val="009E16A5"/>
    <w:rsid w:val="009E1B9B"/>
    <w:rsid w:val="009E2B78"/>
    <w:rsid w:val="009E2DAD"/>
    <w:rsid w:val="009E3EDF"/>
    <w:rsid w:val="009E4EE4"/>
    <w:rsid w:val="009E54A6"/>
    <w:rsid w:val="009E5E7B"/>
    <w:rsid w:val="009E6310"/>
    <w:rsid w:val="009F0547"/>
    <w:rsid w:val="009F0D4F"/>
    <w:rsid w:val="009F20D9"/>
    <w:rsid w:val="009F2662"/>
    <w:rsid w:val="009F2C20"/>
    <w:rsid w:val="009F322B"/>
    <w:rsid w:val="009F366A"/>
    <w:rsid w:val="009F37D9"/>
    <w:rsid w:val="009F38B7"/>
    <w:rsid w:val="009F3AB4"/>
    <w:rsid w:val="009F3C98"/>
    <w:rsid w:val="009F4017"/>
    <w:rsid w:val="009F4404"/>
    <w:rsid w:val="009F4523"/>
    <w:rsid w:val="009F48AA"/>
    <w:rsid w:val="009F51DD"/>
    <w:rsid w:val="009F5295"/>
    <w:rsid w:val="009F5C73"/>
    <w:rsid w:val="009F5CB0"/>
    <w:rsid w:val="009F626A"/>
    <w:rsid w:val="009F6500"/>
    <w:rsid w:val="009F676C"/>
    <w:rsid w:val="009F6E51"/>
    <w:rsid w:val="009F7540"/>
    <w:rsid w:val="009F7E09"/>
    <w:rsid w:val="00A00210"/>
    <w:rsid w:val="00A01133"/>
    <w:rsid w:val="00A013B4"/>
    <w:rsid w:val="00A015DE"/>
    <w:rsid w:val="00A01A16"/>
    <w:rsid w:val="00A02926"/>
    <w:rsid w:val="00A029AA"/>
    <w:rsid w:val="00A032BB"/>
    <w:rsid w:val="00A04F2F"/>
    <w:rsid w:val="00A06286"/>
    <w:rsid w:val="00A06E73"/>
    <w:rsid w:val="00A07460"/>
    <w:rsid w:val="00A07539"/>
    <w:rsid w:val="00A07D1A"/>
    <w:rsid w:val="00A10308"/>
    <w:rsid w:val="00A10B51"/>
    <w:rsid w:val="00A12170"/>
    <w:rsid w:val="00A13440"/>
    <w:rsid w:val="00A134EB"/>
    <w:rsid w:val="00A14B94"/>
    <w:rsid w:val="00A15125"/>
    <w:rsid w:val="00A15812"/>
    <w:rsid w:val="00A16457"/>
    <w:rsid w:val="00A169AC"/>
    <w:rsid w:val="00A16CD2"/>
    <w:rsid w:val="00A16DEE"/>
    <w:rsid w:val="00A202A9"/>
    <w:rsid w:val="00A2030A"/>
    <w:rsid w:val="00A21741"/>
    <w:rsid w:val="00A21D1A"/>
    <w:rsid w:val="00A22452"/>
    <w:rsid w:val="00A22614"/>
    <w:rsid w:val="00A2274D"/>
    <w:rsid w:val="00A2293E"/>
    <w:rsid w:val="00A229A1"/>
    <w:rsid w:val="00A234E9"/>
    <w:rsid w:val="00A23B19"/>
    <w:rsid w:val="00A23DE1"/>
    <w:rsid w:val="00A23EFD"/>
    <w:rsid w:val="00A257F2"/>
    <w:rsid w:val="00A265D8"/>
    <w:rsid w:val="00A26655"/>
    <w:rsid w:val="00A26B85"/>
    <w:rsid w:val="00A26E4F"/>
    <w:rsid w:val="00A26F22"/>
    <w:rsid w:val="00A2718C"/>
    <w:rsid w:val="00A2728E"/>
    <w:rsid w:val="00A27AF0"/>
    <w:rsid w:val="00A3023B"/>
    <w:rsid w:val="00A303CD"/>
    <w:rsid w:val="00A314D2"/>
    <w:rsid w:val="00A31826"/>
    <w:rsid w:val="00A3418B"/>
    <w:rsid w:val="00A348BF"/>
    <w:rsid w:val="00A35CF2"/>
    <w:rsid w:val="00A36311"/>
    <w:rsid w:val="00A37132"/>
    <w:rsid w:val="00A3767F"/>
    <w:rsid w:val="00A378CF"/>
    <w:rsid w:val="00A37A00"/>
    <w:rsid w:val="00A401B2"/>
    <w:rsid w:val="00A405B1"/>
    <w:rsid w:val="00A40885"/>
    <w:rsid w:val="00A40C73"/>
    <w:rsid w:val="00A40F09"/>
    <w:rsid w:val="00A41F3A"/>
    <w:rsid w:val="00A42BA9"/>
    <w:rsid w:val="00A43272"/>
    <w:rsid w:val="00A44B67"/>
    <w:rsid w:val="00A45633"/>
    <w:rsid w:val="00A46B34"/>
    <w:rsid w:val="00A47BCD"/>
    <w:rsid w:val="00A5024E"/>
    <w:rsid w:val="00A50C91"/>
    <w:rsid w:val="00A50E6F"/>
    <w:rsid w:val="00A51450"/>
    <w:rsid w:val="00A52077"/>
    <w:rsid w:val="00A523EF"/>
    <w:rsid w:val="00A54B7E"/>
    <w:rsid w:val="00A54C68"/>
    <w:rsid w:val="00A54CD4"/>
    <w:rsid w:val="00A5503D"/>
    <w:rsid w:val="00A55082"/>
    <w:rsid w:val="00A55BF5"/>
    <w:rsid w:val="00A5689E"/>
    <w:rsid w:val="00A571DE"/>
    <w:rsid w:val="00A5769C"/>
    <w:rsid w:val="00A5791E"/>
    <w:rsid w:val="00A604C3"/>
    <w:rsid w:val="00A60D4D"/>
    <w:rsid w:val="00A60F23"/>
    <w:rsid w:val="00A63EDB"/>
    <w:rsid w:val="00A6522A"/>
    <w:rsid w:val="00A65AE1"/>
    <w:rsid w:val="00A66F6E"/>
    <w:rsid w:val="00A67354"/>
    <w:rsid w:val="00A67741"/>
    <w:rsid w:val="00A67A67"/>
    <w:rsid w:val="00A7029C"/>
    <w:rsid w:val="00A70CFB"/>
    <w:rsid w:val="00A710C1"/>
    <w:rsid w:val="00A715F2"/>
    <w:rsid w:val="00A71818"/>
    <w:rsid w:val="00A71CB7"/>
    <w:rsid w:val="00A720FD"/>
    <w:rsid w:val="00A72BD0"/>
    <w:rsid w:val="00A72E2D"/>
    <w:rsid w:val="00A742B4"/>
    <w:rsid w:val="00A74500"/>
    <w:rsid w:val="00A747F6"/>
    <w:rsid w:val="00A7529E"/>
    <w:rsid w:val="00A75B3D"/>
    <w:rsid w:val="00A7775A"/>
    <w:rsid w:val="00A77D33"/>
    <w:rsid w:val="00A80746"/>
    <w:rsid w:val="00A80808"/>
    <w:rsid w:val="00A81368"/>
    <w:rsid w:val="00A81F7C"/>
    <w:rsid w:val="00A82045"/>
    <w:rsid w:val="00A82CB1"/>
    <w:rsid w:val="00A8334B"/>
    <w:rsid w:val="00A8455D"/>
    <w:rsid w:val="00A873A0"/>
    <w:rsid w:val="00A87BFF"/>
    <w:rsid w:val="00A87D1B"/>
    <w:rsid w:val="00A90285"/>
    <w:rsid w:val="00A90AFC"/>
    <w:rsid w:val="00A90BA2"/>
    <w:rsid w:val="00A9189D"/>
    <w:rsid w:val="00A91DCA"/>
    <w:rsid w:val="00A932E6"/>
    <w:rsid w:val="00A93962"/>
    <w:rsid w:val="00A945E3"/>
    <w:rsid w:val="00A95CC8"/>
    <w:rsid w:val="00A96431"/>
    <w:rsid w:val="00A97370"/>
    <w:rsid w:val="00A976D8"/>
    <w:rsid w:val="00AA0815"/>
    <w:rsid w:val="00AA1121"/>
    <w:rsid w:val="00AA17BF"/>
    <w:rsid w:val="00AA29CE"/>
    <w:rsid w:val="00AA3706"/>
    <w:rsid w:val="00AA3931"/>
    <w:rsid w:val="00AA438D"/>
    <w:rsid w:val="00AA4876"/>
    <w:rsid w:val="00AA5F51"/>
    <w:rsid w:val="00AA6069"/>
    <w:rsid w:val="00AA6306"/>
    <w:rsid w:val="00AA6A47"/>
    <w:rsid w:val="00AA774D"/>
    <w:rsid w:val="00AA776B"/>
    <w:rsid w:val="00AB0630"/>
    <w:rsid w:val="00AB07E5"/>
    <w:rsid w:val="00AB09AA"/>
    <w:rsid w:val="00AB17EE"/>
    <w:rsid w:val="00AB24E5"/>
    <w:rsid w:val="00AB3445"/>
    <w:rsid w:val="00AB4A6C"/>
    <w:rsid w:val="00AB4D54"/>
    <w:rsid w:val="00AB5757"/>
    <w:rsid w:val="00AC00C6"/>
    <w:rsid w:val="00AC01A8"/>
    <w:rsid w:val="00AC01CB"/>
    <w:rsid w:val="00AC07FC"/>
    <w:rsid w:val="00AC0A2E"/>
    <w:rsid w:val="00AC1BA3"/>
    <w:rsid w:val="00AC205F"/>
    <w:rsid w:val="00AC2268"/>
    <w:rsid w:val="00AC26F9"/>
    <w:rsid w:val="00AC3480"/>
    <w:rsid w:val="00AC366B"/>
    <w:rsid w:val="00AC3788"/>
    <w:rsid w:val="00AC3B93"/>
    <w:rsid w:val="00AC47DB"/>
    <w:rsid w:val="00AC510B"/>
    <w:rsid w:val="00AC5531"/>
    <w:rsid w:val="00AC64AF"/>
    <w:rsid w:val="00AC6871"/>
    <w:rsid w:val="00AC74AC"/>
    <w:rsid w:val="00AC7A64"/>
    <w:rsid w:val="00AD0E5B"/>
    <w:rsid w:val="00AD17BD"/>
    <w:rsid w:val="00AD29CF"/>
    <w:rsid w:val="00AD37A6"/>
    <w:rsid w:val="00AD6030"/>
    <w:rsid w:val="00AD62B0"/>
    <w:rsid w:val="00AD6468"/>
    <w:rsid w:val="00AD6D13"/>
    <w:rsid w:val="00AD7E83"/>
    <w:rsid w:val="00AD7F84"/>
    <w:rsid w:val="00AE049E"/>
    <w:rsid w:val="00AE0920"/>
    <w:rsid w:val="00AE0C0F"/>
    <w:rsid w:val="00AE0F08"/>
    <w:rsid w:val="00AE164F"/>
    <w:rsid w:val="00AE1B73"/>
    <w:rsid w:val="00AE23BA"/>
    <w:rsid w:val="00AE357A"/>
    <w:rsid w:val="00AE37FA"/>
    <w:rsid w:val="00AE3860"/>
    <w:rsid w:val="00AE3A01"/>
    <w:rsid w:val="00AE3CCE"/>
    <w:rsid w:val="00AE4374"/>
    <w:rsid w:val="00AE4442"/>
    <w:rsid w:val="00AE46CC"/>
    <w:rsid w:val="00AE488E"/>
    <w:rsid w:val="00AE4D91"/>
    <w:rsid w:val="00AE53FE"/>
    <w:rsid w:val="00AE57D8"/>
    <w:rsid w:val="00AE6F17"/>
    <w:rsid w:val="00AE7A8D"/>
    <w:rsid w:val="00AE7F63"/>
    <w:rsid w:val="00AF0199"/>
    <w:rsid w:val="00AF07A4"/>
    <w:rsid w:val="00AF1482"/>
    <w:rsid w:val="00AF24AB"/>
    <w:rsid w:val="00AF2781"/>
    <w:rsid w:val="00AF3678"/>
    <w:rsid w:val="00AF367B"/>
    <w:rsid w:val="00AF4C1A"/>
    <w:rsid w:val="00AF54A7"/>
    <w:rsid w:val="00AF5550"/>
    <w:rsid w:val="00AF5DA1"/>
    <w:rsid w:val="00AF6847"/>
    <w:rsid w:val="00AF79E9"/>
    <w:rsid w:val="00AF7A60"/>
    <w:rsid w:val="00AF7D75"/>
    <w:rsid w:val="00B00462"/>
    <w:rsid w:val="00B010C9"/>
    <w:rsid w:val="00B01397"/>
    <w:rsid w:val="00B022EC"/>
    <w:rsid w:val="00B035A3"/>
    <w:rsid w:val="00B0444B"/>
    <w:rsid w:val="00B0489B"/>
    <w:rsid w:val="00B04CC2"/>
    <w:rsid w:val="00B056A3"/>
    <w:rsid w:val="00B057C7"/>
    <w:rsid w:val="00B05AD2"/>
    <w:rsid w:val="00B07173"/>
    <w:rsid w:val="00B07222"/>
    <w:rsid w:val="00B073EC"/>
    <w:rsid w:val="00B1034F"/>
    <w:rsid w:val="00B10356"/>
    <w:rsid w:val="00B10416"/>
    <w:rsid w:val="00B10C37"/>
    <w:rsid w:val="00B124E8"/>
    <w:rsid w:val="00B12E39"/>
    <w:rsid w:val="00B12ED1"/>
    <w:rsid w:val="00B12F53"/>
    <w:rsid w:val="00B13C6C"/>
    <w:rsid w:val="00B146A5"/>
    <w:rsid w:val="00B160E1"/>
    <w:rsid w:val="00B16D5E"/>
    <w:rsid w:val="00B1744D"/>
    <w:rsid w:val="00B1788D"/>
    <w:rsid w:val="00B17944"/>
    <w:rsid w:val="00B17B59"/>
    <w:rsid w:val="00B17C0B"/>
    <w:rsid w:val="00B2003A"/>
    <w:rsid w:val="00B2057C"/>
    <w:rsid w:val="00B208B9"/>
    <w:rsid w:val="00B20A2D"/>
    <w:rsid w:val="00B20A3B"/>
    <w:rsid w:val="00B219F6"/>
    <w:rsid w:val="00B23F76"/>
    <w:rsid w:val="00B24FBA"/>
    <w:rsid w:val="00B26CA2"/>
    <w:rsid w:val="00B27B52"/>
    <w:rsid w:val="00B31F78"/>
    <w:rsid w:val="00B32974"/>
    <w:rsid w:val="00B32DB2"/>
    <w:rsid w:val="00B3392D"/>
    <w:rsid w:val="00B35E1C"/>
    <w:rsid w:val="00B35F21"/>
    <w:rsid w:val="00B36267"/>
    <w:rsid w:val="00B36C45"/>
    <w:rsid w:val="00B403CF"/>
    <w:rsid w:val="00B412D7"/>
    <w:rsid w:val="00B41598"/>
    <w:rsid w:val="00B41AC8"/>
    <w:rsid w:val="00B41DEE"/>
    <w:rsid w:val="00B4233A"/>
    <w:rsid w:val="00B425EE"/>
    <w:rsid w:val="00B42E13"/>
    <w:rsid w:val="00B43738"/>
    <w:rsid w:val="00B444BC"/>
    <w:rsid w:val="00B450C7"/>
    <w:rsid w:val="00B45376"/>
    <w:rsid w:val="00B456AA"/>
    <w:rsid w:val="00B45A3F"/>
    <w:rsid w:val="00B45BF1"/>
    <w:rsid w:val="00B461BC"/>
    <w:rsid w:val="00B467D8"/>
    <w:rsid w:val="00B46FF6"/>
    <w:rsid w:val="00B47C69"/>
    <w:rsid w:val="00B50001"/>
    <w:rsid w:val="00B51AA9"/>
    <w:rsid w:val="00B51E65"/>
    <w:rsid w:val="00B52028"/>
    <w:rsid w:val="00B5223A"/>
    <w:rsid w:val="00B52384"/>
    <w:rsid w:val="00B5328B"/>
    <w:rsid w:val="00B533D4"/>
    <w:rsid w:val="00B5524C"/>
    <w:rsid w:val="00B563C3"/>
    <w:rsid w:val="00B572B6"/>
    <w:rsid w:val="00B57A1D"/>
    <w:rsid w:val="00B626F1"/>
    <w:rsid w:val="00B6297D"/>
    <w:rsid w:val="00B62B4F"/>
    <w:rsid w:val="00B62FBB"/>
    <w:rsid w:val="00B6377F"/>
    <w:rsid w:val="00B63853"/>
    <w:rsid w:val="00B63D99"/>
    <w:rsid w:val="00B640AE"/>
    <w:rsid w:val="00B642EF"/>
    <w:rsid w:val="00B6446A"/>
    <w:rsid w:val="00B646FF"/>
    <w:rsid w:val="00B655E5"/>
    <w:rsid w:val="00B65789"/>
    <w:rsid w:val="00B65C40"/>
    <w:rsid w:val="00B66A47"/>
    <w:rsid w:val="00B66F6A"/>
    <w:rsid w:val="00B716BE"/>
    <w:rsid w:val="00B71931"/>
    <w:rsid w:val="00B71CAF"/>
    <w:rsid w:val="00B71D0E"/>
    <w:rsid w:val="00B722C8"/>
    <w:rsid w:val="00B72BB5"/>
    <w:rsid w:val="00B74084"/>
    <w:rsid w:val="00B764E7"/>
    <w:rsid w:val="00B77581"/>
    <w:rsid w:val="00B77649"/>
    <w:rsid w:val="00B810A2"/>
    <w:rsid w:val="00B826BE"/>
    <w:rsid w:val="00B82D53"/>
    <w:rsid w:val="00B82F46"/>
    <w:rsid w:val="00B831CA"/>
    <w:rsid w:val="00B831EC"/>
    <w:rsid w:val="00B83662"/>
    <w:rsid w:val="00B84366"/>
    <w:rsid w:val="00B84495"/>
    <w:rsid w:val="00B849A6"/>
    <w:rsid w:val="00B84AA6"/>
    <w:rsid w:val="00B84DDE"/>
    <w:rsid w:val="00B854A4"/>
    <w:rsid w:val="00B8578C"/>
    <w:rsid w:val="00B8597F"/>
    <w:rsid w:val="00B867AD"/>
    <w:rsid w:val="00B86887"/>
    <w:rsid w:val="00B86999"/>
    <w:rsid w:val="00B90199"/>
    <w:rsid w:val="00B90600"/>
    <w:rsid w:val="00B909B3"/>
    <w:rsid w:val="00B909F2"/>
    <w:rsid w:val="00B91137"/>
    <w:rsid w:val="00B91387"/>
    <w:rsid w:val="00B91AD8"/>
    <w:rsid w:val="00B9238D"/>
    <w:rsid w:val="00B938C1"/>
    <w:rsid w:val="00B93E02"/>
    <w:rsid w:val="00B93EB9"/>
    <w:rsid w:val="00B95034"/>
    <w:rsid w:val="00B9529A"/>
    <w:rsid w:val="00B95D17"/>
    <w:rsid w:val="00B961AC"/>
    <w:rsid w:val="00B967F5"/>
    <w:rsid w:val="00B97E66"/>
    <w:rsid w:val="00BA03A2"/>
    <w:rsid w:val="00BA12F2"/>
    <w:rsid w:val="00BA19BB"/>
    <w:rsid w:val="00BA1C00"/>
    <w:rsid w:val="00BA1D73"/>
    <w:rsid w:val="00BA25DF"/>
    <w:rsid w:val="00BA4B4E"/>
    <w:rsid w:val="00BA4D26"/>
    <w:rsid w:val="00BA5845"/>
    <w:rsid w:val="00BA67E6"/>
    <w:rsid w:val="00BA6D83"/>
    <w:rsid w:val="00BA75B5"/>
    <w:rsid w:val="00BA7971"/>
    <w:rsid w:val="00BB04FE"/>
    <w:rsid w:val="00BB12C6"/>
    <w:rsid w:val="00BB1879"/>
    <w:rsid w:val="00BB18A6"/>
    <w:rsid w:val="00BB27B2"/>
    <w:rsid w:val="00BB293B"/>
    <w:rsid w:val="00BB2E03"/>
    <w:rsid w:val="00BB2E72"/>
    <w:rsid w:val="00BB3D24"/>
    <w:rsid w:val="00BB41B9"/>
    <w:rsid w:val="00BB445A"/>
    <w:rsid w:val="00BB45AA"/>
    <w:rsid w:val="00BB4B70"/>
    <w:rsid w:val="00BB4D7A"/>
    <w:rsid w:val="00BB4EA2"/>
    <w:rsid w:val="00BB58F7"/>
    <w:rsid w:val="00BB5E3B"/>
    <w:rsid w:val="00BB6486"/>
    <w:rsid w:val="00BB6BC0"/>
    <w:rsid w:val="00BB7D64"/>
    <w:rsid w:val="00BC0186"/>
    <w:rsid w:val="00BC0656"/>
    <w:rsid w:val="00BC071F"/>
    <w:rsid w:val="00BC2940"/>
    <w:rsid w:val="00BC335A"/>
    <w:rsid w:val="00BC349C"/>
    <w:rsid w:val="00BC39EE"/>
    <w:rsid w:val="00BC3DC5"/>
    <w:rsid w:val="00BC43B3"/>
    <w:rsid w:val="00BC4534"/>
    <w:rsid w:val="00BC524E"/>
    <w:rsid w:val="00BC5F82"/>
    <w:rsid w:val="00BC6C27"/>
    <w:rsid w:val="00BC6C58"/>
    <w:rsid w:val="00BC6FDF"/>
    <w:rsid w:val="00BC79D8"/>
    <w:rsid w:val="00BC7E01"/>
    <w:rsid w:val="00BD057A"/>
    <w:rsid w:val="00BD07F1"/>
    <w:rsid w:val="00BD091C"/>
    <w:rsid w:val="00BD0927"/>
    <w:rsid w:val="00BD1ADF"/>
    <w:rsid w:val="00BD1F75"/>
    <w:rsid w:val="00BD20E4"/>
    <w:rsid w:val="00BD2FCB"/>
    <w:rsid w:val="00BD3492"/>
    <w:rsid w:val="00BD421F"/>
    <w:rsid w:val="00BD44AC"/>
    <w:rsid w:val="00BD4667"/>
    <w:rsid w:val="00BD4D81"/>
    <w:rsid w:val="00BD7075"/>
    <w:rsid w:val="00BD7AC8"/>
    <w:rsid w:val="00BD7EA5"/>
    <w:rsid w:val="00BE045D"/>
    <w:rsid w:val="00BE0BD1"/>
    <w:rsid w:val="00BE0BF5"/>
    <w:rsid w:val="00BE0CDF"/>
    <w:rsid w:val="00BE12CB"/>
    <w:rsid w:val="00BE2CDF"/>
    <w:rsid w:val="00BE32D2"/>
    <w:rsid w:val="00BE3850"/>
    <w:rsid w:val="00BE4F2D"/>
    <w:rsid w:val="00BE526B"/>
    <w:rsid w:val="00BE5302"/>
    <w:rsid w:val="00BE68D7"/>
    <w:rsid w:val="00BE6DB1"/>
    <w:rsid w:val="00BE75D5"/>
    <w:rsid w:val="00BE7632"/>
    <w:rsid w:val="00BE77F1"/>
    <w:rsid w:val="00BE7921"/>
    <w:rsid w:val="00BF0040"/>
    <w:rsid w:val="00BF082D"/>
    <w:rsid w:val="00BF2374"/>
    <w:rsid w:val="00BF3996"/>
    <w:rsid w:val="00BF3A25"/>
    <w:rsid w:val="00BF496B"/>
    <w:rsid w:val="00BF5003"/>
    <w:rsid w:val="00BF56FD"/>
    <w:rsid w:val="00BF58DB"/>
    <w:rsid w:val="00BF6DFF"/>
    <w:rsid w:val="00BF75B0"/>
    <w:rsid w:val="00BF7EB4"/>
    <w:rsid w:val="00BF7FFD"/>
    <w:rsid w:val="00C00434"/>
    <w:rsid w:val="00C01938"/>
    <w:rsid w:val="00C02A4D"/>
    <w:rsid w:val="00C02F43"/>
    <w:rsid w:val="00C03B43"/>
    <w:rsid w:val="00C03C2E"/>
    <w:rsid w:val="00C03EEC"/>
    <w:rsid w:val="00C03FE0"/>
    <w:rsid w:val="00C04AB3"/>
    <w:rsid w:val="00C04BC7"/>
    <w:rsid w:val="00C04F2D"/>
    <w:rsid w:val="00C050AC"/>
    <w:rsid w:val="00C056E3"/>
    <w:rsid w:val="00C05BFB"/>
    <w:rsid w:val="00C05F38"/>
    <w:rsid w:val="00C066C8"/>
    <w:rsid w:val="00C06C0C"/>
    <w:rsid w:val="00C07140"/>
    <w:rsid w:val="00C106D1"/>
    <w:rsid w:val="00C109F7"/>
    <w:rsid w:val="00C11B11"/>
    <w:rsid w:val="00C11D32"/>
    <w:rsid w:val="00C12938"/>
    <w:rsid w:val="00C12A60"/>
    <w:rsid w:val="00C132CB"/>
    <w:rsid w:val="00C13C0B"/>
    <w:rsid w:val="00C13C42"/>
    <w:rsid w:val="00C145A8"/>
    <w:rsid w:val="00C145C6"/>
    <w:rsid w:val="00C147FE"/>
    <w:rsid w:val="00C14AB5"/>
    <w:rsid w:val="00C15060"/>
    <w:rsid w:val="00C15D39"/>
    <w:rsid w:val="00C16188"/>
    <w:rsid w:val="00C17AED"/>
    <w:rsid w:val="00C17E3A"/>
    <w:rsid w:val="00C20088"/>
    <w:rsid w:val="00C21B33"/>
    <w:rsid w:val="00C21F60"/>
    <w:rsid w:val="00C22328"/>
    <w:rsid w:val="00C22682"/>
    <w:rsid w:val="00C22718"/>
    <w:rsid w:val="00C23902"/>
    <w:rsid w:val="00C24313"/>
    <w:rsid w:val="00C2516B"/>
    <w:rsid w:val="00C254A3"/>
    <w:rsid w:val="00C2732C"/>
    <w:rsid w:val="00C27DFD"/>
    <w:rsid w:val="00C30415"/>
    <w:rsid w:val="00C31218"/>
    <w:rsid w:val="00C319E0"/>
    <w:rsid w:val="00C3220D"/>
    <w:rsid w:val="00C32EED"/>
    <w:rsid w:val="00C3353B"/>
    <w:rsid w:val="00C33FC6"/>
    <w:rsid w:val="00C347FB"/>
    <w:rsid w:val="00C35C40"/>
    <w:rsid w:val="00C36EDF"/>
    <w:rsid w:val="00C373F9"/>
    <w:rsid w:val="00C416D8"/>
    <w:rsid w:val="00C42C20"/>
    <w:rsid w:val="00C43A81"/>
    <w:rsid w:val="00C4677D"/>
    <w:rsid w:val="00C47100"/>
    <w:rsid w:val="00C4762C"/>
    <w:rsid w:val="00C47689"/>
    <w:rsid w:val="00C477BC"/>
    <w:rsid w:val="00C478CD"/>
    <w:rsid w:val="00C47C34"/>
    <w:rsid w:val="00C50AA0"/>
    <w:rsid w:val="00C50BA6"/>
    <w:rsid w:val="00C50D45"/>
    <w:rsid w:val="00C51D7F"/>
    <w:rsid w:val="00C51FF9"/>
    <w:rsid w:val="00C525D5"/>
    <w:rsid w:val="00C52A00"/>
    <w:rsid w:val="00C5327C"/>
    <w:rsid w:val="00C540A5"/>
    <w:rsid w:val="00C540DE"/>
    <w:rsid w:val="00C5457C"/>
    <w:rsid w:val="00C54E0F"/>
    <w:rsid w:val="00C55167"/>
    <w:rsid w:val="00C55C91"/>
    <w:rsid w:val="00C564B4"/>
    <w:rsid w:val="00C56DBD"/>
    <w:rsid w:val="00C5701E"/>
    <w:rsid w:val="00C6113F"/>
    <w:rsid w:val="00C61165"/>
    <w:rsid w:val="00C6141B"/>
    <w:rsid w:val="00C6160C"/>
    <w:rsid w:val="00C618EA"/>
    <w:rsid w:val="00C61C8B"/>
    <w:rsid w:val="00C62234"/>
    <w:rsid w:val="00C6286D"/>
    <w:rsid w:val="00C62E85"/>
    <w:rsid w:val="00C62ED0"/>
    <w:rsid w:val="00C63832"/>
    <w:rsid w:val="00C63D58"/>
    <w:rsid w:val="00C63FED"/>
    <w:rsid w:val="00C643A3"/>
    <w:rsid w:val="00C64903"/>
    <w:rsid w:val="00C64E1E"/>
    <w:rsid w:val="00C65D91"/>
    <w:rsid w:val="00C67FB9"/>
    <w:rsid w:val="00C701AF"/>
    <w:rsid w:val="00C7056C"/>
    <w:rsid w:val="00C70E87"/>
    <w:rsid w:val="00C712FD"/>
    <w:rsid w:val="00C71E17"/>
    <w:rsid w:val="00C720EA"/>
    <w:rsid w:val="00C73092"/>
    <w:rsid w:val="00C730B2"/>
    <w:rsid w:val="00C742F9"/>
    <w:rsid w:val="00C77F5C"/>
    <w:rsid w:val="00C8070C"/>
    <w:rsid w:val="00C80E9E"/>
    <w:rsid w:val="00C82863"/>
    <w:rsid w:val="00C840E8"/>
    <w:rsid w:val="00C844A4"/>
    <w:rsid w:val="00C84958"/>
    <w:rsid w:val="00C849F9"/>
    <w:rsid w:val="00C84D5B"/>
    <w:rsid w:val="00C85548"/>
    <w:rsid w:val="00C85E4D"/>
    <w:rsid w:val="00C86E8A"/>
    <w:rsid w:val="00C87E47"/>
    <w:rsid w:val="00C87EEB"/>
    <w:rsid w:val="00C906E8"/>
    <w:rsid w:val="00C90CFF"/>
    <w:rsid w:val="00C91881"/>
    <w:rsid w:val="00C92828"/>
    <w:rsid w:val="00C92A61"/>
    <w:rsid w:val="00C92F78"/>
    <w:rsid w:val="00C93C70"/>
    <w:rsid w:val="00C9500E"/>
    <w:rsid w:val="00C95476"/>
    <w:rsid w:val="00C95DD2"/>
    <w:rsid w:val="00C95FDA"/>
    <w:rsid w:val="00C96374"/>
    <w:rsid w:val="00C963FF"/>
    <w:rsid w:val="00C97069"/>
    <w:rsid w:val="00C97172"/>
    <w:rsid w:val="00CA01E7"/>
    <w:rsid w:val="00CA028D"/>
    <w:rsid w:val="00CA042D"/>
    <w:rsid w:val="00CA0F31"/>
    <w:rsid w:val="00CA1143"/>
    <w:rsid w:val="00CA22E1"/>
    <w:rsid w:val="00CA26AA"/>
    <w:rsid w:val="00CA26EB"/>
    <w:rsid w:val="00CA51B0"/>
    <w:rsid w:val="00CA5315"/>
    <w:rsid w:val="00CA5373"/>
    <w:rsid w:val="00CA600E"/>
    <w:rsid w:val="00CA7840"/>
    <w:rsid w:val="00CA7C17"/>
    <w:rsid w:val="00CB0027"/>
    <w:rsid w:val="00CB0EC1"/>
    <w:rsid w:val="00CB1110"/>
    <w:rsid w:val="00CB1786"/>
    <w:rsid w:val="00CB1FC7"/>
    <w:rsid w:val="00CB2C5B"/>
    <w:rsid w:val="00CB4B2C"/>
    <w:rsid w:val="00CB4BDF"/>
    <w:rsid w:val="00CB5885"/>
    <w:rsid w:val="00CB6AA4"/>
    <w:rsid w:val="00CB6CF3"/>
    <w:rsid w:val="00CB7242"/>
    <w:rsid w:val="00CB7C60"/>
    <w:rsid w:val="00CC0067"/>
    <w:rsid w:val="00CC149F"/>
    <w:rsid w:val="00CC1AAA"/>
    <w:rsid w:val="00CC1F75"/>
    <w:rsid w:val="00CC2257"/>
    <w:rsid w:val="00CC248E"/>
    <w:rsid w:val="00CC2AA2"/>
    <w:rsid w:val="00CC2D7B"/>
    <w:rsid w:val="00CC2F7B"/>
    <w:rsid w:val="00CC3004"/>
    <w:rsid w:val="00CC30F8"/>
    <w:rsid w:val="00CC39A6"/>
    <w:rsid w:val="00CC427A"/>
    <w:rsid w:val="00CC4619"/>
    <w:rsid w:val="00CC46E1"/>
    <w:rsid w:val="00CC4A1E"/>
    <w:rsid w:val="00CC4A94"/>
    <w:rsid w:val="00CC4C17"/>
    <w:rsid w:val="00CC4E16"/>
    <w:rsid w:val="00CC4EC5"/>
    <w:rsid w:val="00CC5096"/>
    <w:rsid w:val="00CC50F7"/>
    <w:rsid w:val="00CC55E4"/>
    <w:rsid w:val="00CC571C"/>
    <w:rsid w:val="00CC5B27"/>
    <w:rsid w:val="00CC61BE"/>
    <w:rsid w:val="00CC6FE7"/>
    <w:rsid w:val="00CD1AEF"/>
    <w:rsid w:val="00CD2B02"/>
    <w:rsid w:val="00CD3BF5"/>
    <w:rsid w:val="00CD520F"/>
    <w:rsid w:val="00CD5352"/>
    <w:rsid w:val="00CD5E67"/>
    <w:rsid w:val="00CD68A6"/>
    <w:rsid w:val="00CD6F0D"/>
    <w:rsid w:val="00CE0642"/>
    <w:rsid w:val="00CE0805"/>
    <w:rsid w:val="00CE100B"/>
    <w:rsid w:val="00CE164E"/>
    <w:rsid w:val="00CE1D66"/>
    <w:rsid w:val="00CE2B43"/>
    <w:rsid w:val="00CE2B73"/>
    <w:rsid w:val="00CE2D4C"/>
    <w:rsid w:val="00CE31A3"/>
    <w:rsid w:val="00CE55B3"/>
    <w:rsid w:val="00CE573A"/>
    <w:rsid w:val="00CE7EDD"/>
    <w:rsid w:val="00CF0169"/>
    <w:rsid w:val="00CF0255"/>
    <w:rsid w:val="00CF070C"/>
    <w:rsid w:val="00CF1C10"/>
    <w:rsid w:val="00CF321D"/>
    <w:rsid w:val="00CF321F"/>
    <w:rsid w:val="00CF3624"/>
    <w:rsid w:val="00CF53CE"/>
    <w:rsid w:val="00CF6193"/>
    <w:rsid w:val="00D00334"/>
    <w:rsid w:val="00D018B8"/>
    <w:rsid w:val="00D01DE6"/>
    <w:rsid w:val="00D0200C"/>
    <w:rsid w:val="00D03910"/>
    <w:rsid w:val="00D049D0"/>
    <w:rsid w:val="00D04C48"/>
    <w:rsid w:val="00D05419"/>
    <w:rsid w:val="00D05AB2"/>
    <w:rsid w:val="00D0736B"/>
    <w:rsid w:val="00D0793F"/>
    <w:rsid w:val="00D07C7A"/>
    <w:rsid w:val="00D07F11"/>
    <w:rsid w:val="00D07F8C"/>
    <w:rsid w:val="00D103D2"/>
    <w:rsid w:val="00D1106D"/>
    <w:rsid w:val="00D1182B"/>
    <w:rsid w:val="00D11CA2"/>
    <w:rsid w:val="00D11F22"/>
    <w:rsid w:val="00D11F98"/>
    <w:rsid w:val="00D12DBD"/>
    <w:rsid w:val="00D12EDC"/>
    <w:rsid w:val="00D12FF4"/>
    <w:rsid w:val="00D14CC8"/>
    <w:rsid w:val="00D1563A"/>
    <w:rsid w:val="00D15F0F"/>
    <w:rsid w:val="00D15FC2"/>
    <w:rsid w:val="00D15FDE"/>
    <w:rsid w:val="00D16C21"/>
    <w:rsid w:val="00D16FB3"/>
    <w:rsid w:val="00D1701A"/>
    <w:rsid w:val="00D17652"/>
    <w:rsid w:val="00D17A29"/>
    <w:rsid w:val="00D220F9"/>
    <w:rsid w:val="00D22B56"/>
    <w:rsid w:val="00D2306C"/>
    <w:rsid w:val="00D23766"/>
    <w:rsid w:val="00D23947"/>
    <w:rsid w:val="00D23CE4"/>
    <w:rsid w:val="00D244D1"/>
    <w:rsid w:val="00D24DC4"/>
    <w:rsid w:val="00D253B5"/>
    <w:rsid w:val="00D25533"/>
    <w:rsid w:val="00D2646C"/>
    <w:rsid w:val="00D2675A"/>
    <w:rsid w:val="00D26A9A"/>
    <w:rsid w:val="00D272DE"/>
    <w:rsid w:val="00D2778E"/>
    <w:rsid w:val="00D3017B"/>
    <w:rsid w:val="00D3106C"/>
    <w:rsid w:val="00D3116F"/>
    <w:rsid w:val="00D31E71"/>
    <w:rsid w:val="00D32596"/>
    <w:rsid w:val="00D32E21"/>
    <w:rsid w:val="00D3332D"/>
    <w:rsid w:val="00D33CDE"/>
    <w:rsid w:val="00D342A4"/>
    <w:rsid w:val="00D34C05"/>
    <w:rsid w:val="00D351EC"/>
    <w:rsid w:val="00D36040"/>
    <w:rsid w:val="00D3609E"/>
    <w:rsid w:val="00D3643C"/>
    <w:rsid w:val="00D365EA"/>
    <w:rsid w:val="00D36762"/>
    <w:rsid w:val="00D36968"/>
    <w:rsid w:val="00D376CC"/>
    <w:rsid w:val="00D40B79"/>
    <w:rsid w:val="00D410F4"/>
    <w:rsid w:val="00D414FD"/>
    <w:rsid w:val="00D419DB"/>
    <w:rsid w:val="00D42C2F"/>
    <w:rsid w:val="00D43AA8"/>
    <w:rsid w:val="00D43CBC"/>
    <w:rsid w:val="00D44072"/>
    <w:rsid w:val="00D441C8"/>
    <w:rsid w:val="00D44313"/>
    <w:rsid w:val="00D44BDC"/>
    <w:rsid w:val="00D44DA2"/>
    <w:rsid w:val="00D45321"/>
    <w:rsid w:val="00D453E7"/>
    <w:rsid w:val="00D45CEE"/>
    <w:rsid w:val="00D46382"/>
    <w:rsid w:val="00D4683B"/>
    <w:rsid w:val="00D46F56"/>
    <w:rsid w:val="00D47804"/>
    <w:rsid w:val="00D50924"/>
    <w:rsid w:val="00D50FA6"/>
    <w:rsid w:val="00D514CD"/>
    <w:rsid w:val="00D52459"/>
    <w:rsid w:val="00D524E4"/>
    <w:rsid w:val="00D532E6"/>
    <w:rsid w:val="00D5373D"/>
    <w:rsid w:val="00D53C89"/>
    <w:rsid w:val="00D53EB9"/>
    <w:rsid w:val="00D5427A"/>
    <w:rsid w:val="00D54EBD"/>
    <w:rsid w:val="00D556D8"/>
    <w:rsid w:val="00D5572A"/>
    <w:rsid w:val="00D57E37"/>
    <w:rsid w:val="00D6092B"/>
    <w:rsid w:val="00D60965"/>
    <w:rsid w:val="00D60EF1"/>
    <w:rsid w:val="00D61151"/>
    <w:rsid w:val="00D61A06"/>
    <w:rsid w:val="00D61F16"/>
    <w:rsid w:val="00D63542"/>
    <w:rsid w:val="00D63CDF"/>
    <w:rsid w:val="00D65C4E"/>
    <w:rsid w:val="00D6611D"/>
    <w:rsid w:val="00D718F4"/>
    <w:rsid w:val="00D71D86"/>
    <w:rsid w:val="00D7213B"/>
    <w:rsid w:val="00D7304B"/>
    <w:rsid w:val="00D737B1"/>
    <w:rsid w:val="00D73F32"/>
    <w:rsid w:val="00D741E3"/>
    <w:rsid w:val="00D74E66"/>
    <w:rsid w:val="00D77148"/>
    <w:rsid w:val="00D77607"/>
    <w:rsid w:val="00D77CB2"/>
    <w:rsid w:val="00D77D78"/>
    <w:rsid w:val="00D77E15"/>
    <w:rsid w:val="00D80534"/>
    <w:rsid w:val="00D805C1"/>
    <w:rsid w:val="00D810B0"/>
    <w:rsid w:val="00D817E5"/>
    <w:rsid w:val="00D833A3"/>
    <w:rsid w:val="00D8480A"/>
    <w:rsid w:val="00D84C1C"/>
    <w:rsid w:val="00D84DD6"/>
    <w:rsid w:val="00D84FF7"/>
    <w:rsid w:val="00D86960"/>
    <w:rsid w:val="00D86AF4"/>
    <w:rsid w:val="00D87C47"/>
    <w:rsid w:val="00D87D28"/>
    <w:rsid w:val="00D9044F"/>
    <w:rsid w:val="00D91A0B"/>
    <w:rsid w:val="00D934B0"/>
    <w:rsid w:val="00D938BF"/>
    <w:rsid w:val="00D93D7F"/>
    <w:rsid w:val="00D94215"/>
    <w:rsid w:val="00D94D71"/>
    <w:rsid w:val="00D95428"/>
    <w:rsid w:val="00D96228"/>
    <w:rsid w:val="00D96895"/>
    <w:rsid w:val="00D96E25"/>
    <w:rsid w:val="00D96F7C"/>
    <w:rsid w:val="00D97516"/>
    <w:rsid w:val="00DA08F5"/>
    <w:rsid w:val="00DA0FC0"/>
    <w:rsid w:val="00DA10D4"/>
    <w:rsid w:val="00DA201E"/>
    <w:rsid w:val="00DA2933"/>
    <w:rsid w:val="00DA2A07"/>
    <w:rsid w:val="00DA2DDB"/>
    <w:rsid w:val="00DA3BAF"/>
    <w:rsid w:val="00DA4CE6"/>
    <w:rsid w:val="00DA4FDF"/>
    <w:rsid w:val="00DA578F"/>
    <w:rsid w:val="00DA5C83"/>
    <w:rsid w:val="00DA5F3B"/>
    <w:rsid w:val="00DA6D2A"/>
    <w:rsid w:val="00DA70BE"/>
    <w:rsid w:val="00DA76EC"/>
    <w:rsid w:val="00DB0196"/>
    <w:rsid w:val="00DB01E3"/>
    <w:rsid w:val="00DB0A7F"/>
    <w:rsid w:val="00DB0C21"/>
    <w:rsid w:val="00DB175C"/>
    <w:rsid w:val="00DB1A94"/>
    <w:rsid w:val="00DB1CAE"/>
    <w:rsid w:val="00DB1DBB"/>
    <w:rsid w:val="00DB23E1"/>
    <w:rsid w:val="00DB2AD7"/>
    <w:rsid w:val="00DB38BF"/>
    <w:rsid w:val="00DB4601"/>
    <w:rsid w:val="00DB46A7"/>
    <w:rsid w:val="00DB5597"/>
    <w:rsid w:val="00DB5A6A"/>
    <w:rsid w:val="00DB67E2"/>
    <w:rsid w:val="00DB7C89"/>
    <w:rsid w:val="00DC07A6"/>
    <w:rsid w:val="00DC091E"/>
    <w:rsid w:val="00DC21BF"/>
    <w:rsid w:val="00DC24DA"/>
    <w:rsid w:val="00DC3172"/>
    <w:rsid w:val="00DC39F8"/>
    <w:rsid w:val="00DC3A7F"/>
    <w:rsid w:val="00DC4EF3"/>
    <w:rsid w:val="00DC504B"/>
    <w:rsid w:val="00DC537F"/>
    <w:rsid w:val="00DC5D86"/>
    <w:rsid w:val="00DC601C"/>
    <w:rsid w:val="00DC663D"/>
    <w:rsid w:val="00DC7AAC"/>
    <w:rsid w:val="00DD03D8"/>
    <w:rsid w:val="00DD0731"/>
    <w:rsid w:val="00DD1A13"/>
    <w:rsid w:val="00DD2EAD"/>
    <w:rsid w:val="00DD3C3C"/>
    <w:rsid w:val="00DD3E45"/>
    <w:rsid w:val="00DD3E7F"/>
    <w:rsid w:val="00DD44E9"/>
    <w:rsid w:val="00DD4614"/>
    <w:rsid w:val="00DD4D70"/>
    <w:rsid w:val="00DD4D87"/>
    <w:rsid w:val="00DD528B"/>
    <w:rsid w:val="00DD57AB"/>
    <w:rsid w:val="00DD5E9F"/>
    <w:rsid w:val="00DD6C66"/>
    <w:rsid w:val="00DD71DA"/>
    <w:rsid w:val="00DD7EB3"/>
    <w:rsid w:val="00DE049C"/>
    <w:rsid w:val="00DE0939"/>
    <w:rsid w:val="00DE22F9"/>
    <w:rsid w:val="00DE348E"/>
    <w:rsid w:val="00DE360E"/>
    <w:rsid w:val="00DE37E2"/>
    <w:rsid w:val="00DE4A2F"/>
    <w:rsid w:val="00DE503C"/>
    <w:rsid w:val="00DE5482"/>
    <w:rsid w:val="00DE54CE"/>
    <w:rsid w:val="00DE60F2"/>
    <w:rsid w:val="00DE6C8D"/>
    <w:rsid w:val="00DE7079"/>
    <w:rsid w:val="00DE75F0"/>
    <w:rsid w:val="00DE7610"/>
    <w:rsid w:val="00DE7891"/>
    <w:rsid w:val="00DF0530"/>
    <w:rsid w:val="00DF0826"/>
    <w:rsid w:val="00DF09C6"/>
    <w:rsid w:val="00DF0F4B"/>
    <w:rsid w:val="00DF0FDA"/>
    <w:rsid w:val="00DF1725"/>
    <w:rsid w:val="00DF1C46"/>
    <w:rsid w:val="00DF230A"/>
    <w:rsid w:val="00DF2755"/>
    <w:rsid w:val="00DF2AEC"/>
    <w:rsid w:val="00DF2B4F"/>
    <w:rsid w:val="00DF2FD9"/>
    <w:rsid w:val="00DF336E"/>
    <w:rsid w:val="00DF41BC"/>
    <w:rsid w:val="00DF435F"/>
    <w:rsid w:val="00DF451E"/>
    <w:rsid w:val="00DF5474"/>
    <w:rsid w:val="00DF65B0"/>
    <w:rsid w:val="00DF7B03"/>
    <w:rsid w:val="00E00F10"/>
    <w:rsid w:val="00E01927"/>
    <w:rsid w:val="00E02E07"/>
    <w:rsid w:val="00E02F73"/>
    <w:rsid w:val="00E03148"/>
    <w:rsid w:val="00E03197"/>
    <w:rsid w:val="00E031F2"/>
    <w:rsid w:val="00E03AAE"/>
    <w:rsid w:val="00E03B49"/>
    <w:rsid w:val="00E04074"/>
    <w:rsid w:val="00E040C6"/>
    <w:rsid w:val="00E04715"/>
    <w:rsid w:val="00E048AB"/>
    <w:rsid w:val="00E05E70"/>
    <w:rsid w:val="00E1043A"/>
    <w:rsid w:val="00E108EB"/>
    <w:rsid w:val="00E10E62"/>
    <w:rsid w:val="00E1139F"/>
    <w:rsid w:val="00E13D98"/>
    <w:rsid w:val="00E142E2"/>
    <w:rsid w:val="00E14386"/>
    <w:rsid w:val="00E1439C"/>
    <w:rsid w:val="00E15137"/>
    <w:rsid w:val="00E158E3"/>
    <w:rsid w:val="00E15B54"/>
    <w:rsid w:val="00E161E1"/>
    <w:rsid w:val="00E16234"/>
    <w:rsid w:val="00E16BD0"/>
    <w:rsid w:val="00E16C52"/>
    <w:rsid w:val="00E16E55"/>
    <w:rsid w:val="00E16FB6"/>
    <w:rsid w:val="00E17F5D"/>
    <w:rsid w:val="00E21101"/>
    <w:rsid w:val="00E2129B"/>
    <w:rsid w:val="00E2218C"/>
    <w:rsid w:val="00E227AB"/>
    <w:rsid w:val="00E22909"/>
    <w:rsid w:val="00E22F70"/>
    <w:rsid w:val="00E237DD"/>
    <w:rsid w:val="00E2448D"/>
    <w:rsid w:val="00E252BC"/>
    <w:rsid w:val="00E254DB"/>
    <w:rsid w:val="00E2577B"/>
    <w:rsid w:val="00E2616D"/>
    <w:rsid w:val="00E26871"/>
    <w:rsid w:val="00E26F5F"/>
    <w:rsid w:val="00E27743"/>
    <w:rsid w:val="00E278C9"/>
    <w:rsid w:val="00E304B5"/>
    <w:rsid w:val="00E30CA1"/>
    <w:rsid w:val="00E31776"/>
    <w:rsid w:val="00E332FC"/>
    <w:rsid w:val="00E337EA"/>
    <w:rsid w:val="00E33CAA"/>
    <w:rsid w:val="00E33D36"/>
    <w:rsid w:val="00E33F99"/>
    <w:rsid w:val="00E341FE"/>
    <w:rsid w:val="00E34B2E"/>
    <w:rsid w:val="00E34D9D"/>
    <w:rsid w:val="00E36466"/>
    <w:rsid w:val="00E37060"/>
    <w:rsid w:val="00E37150"/>
    <w:rsid w:val="00E37411"/>
    <w:rsid w:val="00E37C7E"/>
    <w:rsid w:val="00E37CF7"/>
    <w:rsid w:val="00E37F21"/>
    <w:rsid w:val="00E40806"/>
    <w:rsid w:val="00E40F9B"/>
    <w:rsid w:val="00E4173B"/>
    <w:rsid w:val="00E41DD3"/>
    <w:rsid w:val="00E4233D"/>
    <w:rsid w:val="00E42418"/>
    <w:rsid w:val="00E429CB"/>
    <w:rsid w:val="00E43680"/>
    <w:rsid w:val="00E43723"/>
    <w:rsid w:val="00E4379A"/>
    <w:rsid w:val="00E438D4"/>
    <w:rsid w:val="00E439BD"/>
    <w:rsid w:val="00E43D41"/>
    <w:rsid w:val="00E444DF"/>
    <w:rsid w:val="00E448B4"/>
    <w:rsid w:val="00E45743"/>
    <w:rsid w:val="00E45B4C"/>
    <w:rsid w:val="00E468C0"/>
    <w:rsid w:val="00E471D8"/>
    <w:rsid w:val="00E50640"/>
    <w:rsid w:val="00E50D6B"/>
    <w:rsid w:val="00E50DC0"/>
    <w:rsid w:val="00E50E1D"/>
    <w:rsid w:val="00E512AB"/>
    <w:rsid w:val="00E512B9"/>
    <w:rsid w:val="00E5139E"/>
    <w:rsid w:val="00E51819"/>
    <w:rsid w:val="00E51C7B"/>
    <w:rsid w:val="00E522E8"/>
    <w:rsid w:val="00E52353"/>
    <w:rsid w:val="00E536A8"/>
    <w:rsid w:val="00E53DB7"/>
    <w:rsid w:val="00E54621"/>
    <w:rsid w:val="00E54E7E"/>
    <w:rsid w:val="00E55137"/>
    <w:rsid w:val="00E551BE"/>
    <w:rsid w:val="00E554AB"/>
    <w:rsid w:val="00E5605E"/>
    <w:rsid w:val="00E560B8"/>
    <w:rsid w:val="00E56E45"/>
    <w:rsid w:val="00E57464"/>
    <w:rsid w:val="00E57976"/>
    <w:rsid w:val="00E57D48"/>
    <w:rsid w:val="00E60419"/>
    <w:rsid w:val="00E60EF0"/>
    <w:rsid w:val="00E611DD"/>
    <w:rsid w:val="00E6245C"/>
    <w:rsid w:val="00E62688"/>
    <w:rsid w:val="00E6295B"/>
    <w:rsid w:val="00E62EDC"/>
    <w:rsid w:val="00E63C3F"/>
    <w:rsid w:val="00E64B1C"/>
    <w:rsid w:val="00E64F43"/>
    <w:rsid w:val="00E664D7"/>
    <w:rsid w:val="00E666E5"/>
    <w:rsid w:val="00E66AD3"/>
    <w:rsid w:val="00E674CE"/>
    <w:rsid w:val="00E67676"/>
    <w:rsid w:val="00E67CA8"/>
    <w:rsid w:val="00E700EA"/>
    <w:rsid w:val="00E70542"/>
    <w:rsid w:val="00E70A83"/>
    <w:rsid w:val="00E70BFC"/>
    <w:rsid w:val="00E725EF"/>
    <w:rsid w:val="00E7386B"/>
    <w:rsid w:val="00E7395E"/>
    <w:rsid w:val="00E75B2C"/>
    <w:rsid w:val="00E77136"/>
    <w:rsid w:val="00E774E5"/>
    <w:rsid w:val="00E77614"/>
    <w:rsid w:val="00E779FD"/>
    <w:rsid w:val="00E77AC1"/>
    <w:rsid w:val="00E77ECE"/>
    <w:rsid w:val="00E8078D"/>
    <w:rsid w:val="00E80C94"/>
    <w:rsid w:val="00E80E70"/>
    <w:rsid w:val="00E82C19"/>
    <w:rsid w:val="00E82CBD"/>
    <w:rsid w:val="00E82CDA"/>
    <w:rsid w:val="00E83132"/>
    <w:rsid w:val="00E83A07"/>
    <w:rsid w:val="00E83ECA"/>
    <w:rsid w:val="00E84C49"/>
    <w:rsid w:val="00E85359"/>
    <w:rsid w:val="00E86654"/>
    <w:rsid w:val="00E86BAE"/>
    <w:rsid w:val="00E87019"/>
    <w:rsid w:val="00E87705"/>
    <w:rsid w:val="00E87914"/>
    <w:rsid w:val="00E915AF"/>
    <w:rsid w:val="00E91BF2"/>
    <w:rsid w:val="00E9336B"/>
    <w:rsid w:val="00E9511C"/>
    <w:rsid w:val="00E95BDD"/>
    <w:rsid w:val="00E95DD5"/>
    <w:rsid w:val="00E95DDA"/>
    <w:rsid w:val="00E96113"/>
    <w:rsid w:val="00E97053"/>
    <w:rsid w:val="00EA04B3"/>
    <w:rsid w:val="00EA15CE"/>
    <w:rsid w:val="00EA314E"/>
    <w:rsid w:val="00EA396E"/>
    <w:rsid w:val="00EA4B27"/>
    <w:rsid w:val="00EA4ED0"/>
    <w:rsid w:val="00EA4F97"/>
    <w:rsid w:val="00EA58A7"/>
    <w:rsid w:val="00EA6019"/>
    <w:rsid w:val="00EA6AE1"/>
    <w:rsid w:val="00EA774F"/>
    <w:rsid w:val="00EB108D"/>
    <w:rsid w:val="00EB1D09"/>
    <w:rsid w:val="00EB20E4"/>
    <w:rsid w:val="00EB28B0"/>
    <w:rsid w:val="00EB2921"/>
    <w:rsid w:val="00EB33B2"/>
    <w:rsid w:val="00EB3686"/>
    <w:rsid w:val="00EB373D"/>
    <w:rsid w:val="00EB3E3F"/>
    <w:rsid w:val="00EB42EF"/>
    <w:rsid w:val="00EB42FE"/>
    <w:rsid w:val="00EB4303"/>
    <w:rsid w:val="00EB5F3F"/>
    <w:rsid w:val="00EB762A"/>
    <w:rsid w:val="00EC021C"/>
    <w:rsid w:val="00EC06D3"/>
    <w:rsid w:val="00EC2877"/>
    <w:rsid w:val="00EC2A83"/>
    <w:rsid w:val="00EC2BC8"/>
    <w:rsid w:val="00EC2CB5"/>
    <w:rsid w:val="00EC3923"/>
    <w:rsid w:val="00EC3BF7"/>
    <w:rsid w:val="00EC484B"/>
    <w:rsid w:val="00EC7C0F"/>
    <w:rsid w:val="00ED0522"/>
    <w:rsid w:val="00ED1509"/>
    <w:rsid w:val="00ED1B60"/>
    <w:rsid w:val="00ED1FDA"/>
    <w:rsid w:val="00ED2034"/>
    <w:rsid w:val="00ED41F8"/>
    <w:rsid w:val="00ED4978"/>
    <w:rsid w:val="00ED6863"/>
    <w:rsid w:val="00ED69FE"/>
    <w:rsid w:val="00ED7149"/>
    <w:rsid w:val="00ED7526"/>
    <w:rsid w:val="00ED753F"/>
    <w:rsid w:val="00ED77AA"/>
    <w:rsid w:val="00ED7E17"/>
    <w:rsid w:val="00ED7E20"/>
    <w:rsid w:val="00ED7EED"/>
    <w:rsid w:val="00EE1392"/>
    <w:rsid w:val="00EE160C"/>
    <w:rsid w:val="00EE29D4"/>
    <w:rsid w:val="00EE2B23"/>
    <w:rsid w:val="00EE2E0E"/>
    <w:rsid w:val="00EE38D9"/>
    <w:rsid w:val="00EE3DD7"/>
    <w:rsid w:val="00EE40DA"/>
    <w:rsid w:val="00EE5B75"/>
    <w:rsid w:val="00EE5EF3"/>
    <w:rsid w:val="00EF00E6"/>
    <w:rsid w:val="00EF0D91"/>
    <w:rsid w:val="00EF28CA"/>
    <w:rsid w:val="00EF2E19"/>
    <w:rsid w:val="00EF380C"/>
    <w:rsid w:val="00EF4215"/>
    <w:rsid w:val="00EF426E"/>
    <w:rsid w:val="00EF4CE6"/>
    <w:rsid w:val="00EF7251"/>
    <w:rsid w:val="00EF787D"/>
    <w:rsid w:val="00F001C5"/>
    <w:rsid w:val="00F003DF"/>
    <w:rsid w:val="00F02696"/>
    <w:rsid w:val="00F033C2"/>
    <w:rsid w:val="00F040EF"/>
    <w:rsid w:val="00F0420E"/>
    <w:rsid w:val="00F04C17"/>
    <w:rsid w:val="00F05609"/>
    <w:rsid w:val="00F05ECE"/>
    <w:rsid w:val="00F074CE"/>
    <w:rsid w:val="00F1004B"/>
    <w:rsid w:val="00F10281"/>
    <w:rsid w:val="00F1058F"/>
    <w:rsid w:val="00F10B18"/>
    <w:rsid w:val="00F116BF"/>
    <w:rsid w:val="00F11CF3"/>
    <w:rsid w:val="00F1231F"/>
    <w:rsid w:val="00F12493"/>
    <w:rsid w:val="00F125E1"/>
    <w:rsid w:val="00F12C0A"/>
    <w:rsid w:val="00F135FE"/>
    <w:rsid w:val="00F13CA7"/>
    <w:rsid w:val="00F14DB8"/>
    <w:rsid w:val="00F15FA7"/>
    <w:rsid w:val="00F16094"/>
    <w:rsid w:val="00F16269"/>
    <w:rsid w:val="00F166EA"/>
    <w:rsid w:val="00F16AE4"/>
    <w:rsid w:val="00F171EC"/>
    <w:rsid w:val="00F173B9"/>
    <w:rsid w:val="00F17496"/>
    <w:rsid w:val="00F20759"/>
    <w:rsid w:val="00F210D6"/>
    <w:rsid w:val="00F2128C"/>
    <w:rsid w:val="00F2145F"/>
    <w:rsid w:val="00F214CD"/>
    <w:rsid w:val="00F21B1D"/>
    <w:rsid w:val="00F21D3D"/>
    <w:rsid w:val="00F22B65"/>
    <w:rsid w:val="00F2470A"/>
    <w:rsid w:val="00F249A2"/>
    <w:rsid w:val="00F25817"/>
    <w:rsid w:val="00F27D0D"/>
    <w:rsid w:val="00F306DE"/>
    <w:rsid w:val="00F319E4"/>
    <w:rsid w:val="00F31A77"/>
    <w:rsid w:val="00F31B4A"/>
    <w:rsid w:val="00F31E68"/>
    <w:rsid w:val="00F3279D"/>
    <w:rsid w:val="00F34E8E"/>
    <w:rsid w:val="00F351DB"/>
    <w:rsid w:val="00F36B82"/>
    <w:rsid w:val="00F37A33"/>
    <w:rsid w:val="00F402C1"/>
    <w:rsid w:val="00F40DCB"/>
    <w:rsid w:val="00F411A5"/>
    <w:rsid w:val="00F412B8"/>
    <w:rsid w:val="00F41B9C"/>
    <w:rsid w:val="00F42279"/>
    <w:rsid w:val="00F4305D"/>
    <w:rsid w:val="00F43506"/>
    <w:rsid w:val="00F44548"/>
    <w:rsid w:val="00F4482E"/>
    <w:rsid w:val="00F4522E"/>
    <w:rsid w:val="00F4523C"/>
    <w:rsid w:val="00F45578"/>
    <w:rsid w:val="00F4570D"/>
    <w:rsid w:val="00F46393"/>
    <w:rsid w:val="00F4639B"/>
    <w:rsid w:val="00F4716E"/>
    <w:rsid w:val="00F50587"/>
    <w:rsid w:val="00F514DD"/>
    <w:rsid w:val="00F51DDE"/>
    <w:rsid w:val="00F52353"/>
    <w:rsid w:val="00F53098"/>
    <w:rsid w:val="00F5340C"/>
    <w:rsid w:val="00F54680"/>
    <w:rsid w:val="00F54924"/>
    <w:rsid w:val="00F54A86"/>
    <w:rsid w:val="00F55428"/>
    <w:rsid w:val="00F55E73"/>
    <w:rsid w:val="00F5639A"/>
    <w:rsid w:val="00F572ED"/>
    <w:rsid w:val="00F576F2"/>
    <w:rsid w:val="00F6006B"/>
    <w:rsid w:val="00F605BE"/>
    <w:rsid w:val="00F61CE3"/>
    <w:rsid w:val="00F62DBB"/>
    <w:rsid w:val="00F63419"/>
    <w:rsid w:val="00F63A14"/>
    <w:rsid w:val="00F63B45"/>
    <w:rsid w:val="00F63CAC"/>
    <w:rsid w:val="00F64946"/>
    <w:rsid w:val="00F64F35"/>
    <w:rsid w:val="00F64FD5"/>
    <w:rsid w:val="00F6537F"/>
    <w:rsid w:val="00F65B51"/>
    <w:rsid w:val="00F67185"/>
    <w:rsid w:val="00F6753D"/>
    <w:rsid w:val="00F6758E"/>
    <w:rsid w:val="00F6770E"/>
    <w:rsid w:val="00F677BF"/>
    <w:rsid w:val="00F67C7A"/>
    <w:rsid w:val="00F67D99"/>
    <w:rsid w:val="00F67FF8"/>
    <w:rsid w:val="00F707A5"/>
    <w:rsid w:val="00F71903"/>
    <w:rsid w:val="00F71B9E"/>
    <w:rsid w:val="00F71E5F"/>
    <w:rsid w:val="00F724F0"/>
    <w:rsid w:val="00F72B21"/>
    <w:rsid w:val="00F734B3"/>
    <w:rsid w:val="00F74249"/>
    <w:rsid w:val="00F74652"/>
    <w:rsid w:val="00F74672"/>
    <w:rsid w:val="00F749D3"/>
    <w:rsid w:val="00F74D3F"/>
    <w:rsid w:val="00F74DF7"/>
    <w:rsid w:val="00F75AFD"/>
    <w:rsid w:val="00F76165"/>
    <w:rsid w:val="00F76404"/>
    <w:rsid w:val="00F8134B"/>
    <w:rsid w:val="00F81C94"/>
    <w:rsid w:val="00F81CEE"/>
    <w:rsid w:val="00F82E62"/>
    <w:rsid w:val="00F831EB"/>
    <w:rsid w:val="00F8383D"/>
    <w:rsid w:val="00F83946"/>
    <w:rsid w:val="00F84810"/>
    <w:rsid w:val="00F852AF"/>
    <w:rsid w:val="00F853FF"/>
    <w:rsid w:val="00F85593"/>
    <w:rsid w:val="00F8568D"/>
    <w:rsid w:val="00F85FFC"/>
    <w:rsid w:val="00F86DF5"/>
    <w:rsid w:val="00F87322"/>
    <w:rsid w:val="00F905AE"/>
    <w:rsid w:val="00F908B4"/>
    <w:rsid w:val="00F91D9C"/>
    <w:rsid w:val="00F92957"/>
    <w:rsid w:val="00F9413E"/>
    <w:rsid w:val="00F9421D"/>
    <w:rsid w:val="00F94704"/>
    <w:rsid w:val="00F9494A"/>
    <w:rsid w:val="00F95054"/>
    <w:rsid w:val="00F951FE"/>
    <w:rsid w:val="00F96AF7"/>
    <w:rsid w:val="00F96E11"/>
    <w:rsid w:val="00FA066E"/>
    <w:rsid w:val="00FA0A74"/>
    <w:rsid w:val="00FA0A81"/>
    <w:rsid w:val="00FA11F8"/>
    <w:rsid w:val="00FA19C7"/>
    <w:rsid w:val="00FA1B86"/>
    <w:rsid w:val="00FA2200"/>
    <w:rsid w:val="00FA220C"/>
    <w:rsid w:val="00FA25C1"/>
    <w:rsid w:val="00FA3583"/>
    <w:rsid w:val="00FA3975"/>
    <w:rsid w:val="00FA3EC1"/>
    <w:rsid w:val="00FA44DB"/>
    <w:rsid w:val="00FA602C"/>
    <w:rsid w:val="00FA616C"/>
    <w:rsid w:val="00FA680B"/>
    <w:rsid w:val="00FA6B47"/>
    <w:rsid w:val="00FA6F4C"/>
    <w:rsid w:val="00FA7D0C"/>
    <w:rsid w:val="00FA7D1C"/>
    <w:rsid w:val="00FB0454"/>
    <w:rsid w:val="00FB0DEC"/>
    <w:rsid w:val="00FB2858"/>
    <w:rsid w:val="00FB2BA5"/>
    <w:rsid w:val="00FB2E66"/>
    <w:rsid w:val="00FB399C"/>
    <w:rsid w:val="00FB4154"/>
    <w:rsid w:val="00FB465C"/>
    <w:rsid w:val="00FB52AB"/>
    <w:rsid w:val="00FB576F"/>
    <w:rsid w:val="00FB5A5A"/>
    <w:rsid w:val="00FB5BBB"/>
    <w:rsid w:val="00FB6BBB"/>
    <w:rsid w:val="00FB7203"/>
    <w:rsid w:val="00FB728B"/>
    <w:rsid w:val="00FB7655"/>
    <w:rsid w:val="00FB7AE9"/>
    <w:rsid w:val="00FB7E9A"/>
    <w:rsid w:val="00FB7EDD"/>
    <w:rsid w:val="00FC0445"/>
    <w:rsid w:val="00FC06A1"/>
    <w:rsid w:val="00FC0A9F"/>
    <w:rsid w:val="00FC11B8"/>
    <w:rsid w:val="00FC17EB"/>
    <w:rsid w:val="00FC19E2"/>
    <w:rsid w:val="00FC279F"/>
    <w:rsid w:val="00FC2C23"/>
    <w:rsid w:val="00FC2E8C"/>
    <w:rsid w:val="00FC38A3"/>
    <w:rsid w:val="00FC395C"/>
    <w:rsid w:val="00FC5310"/>
    <w:rsid w:val="00FC588E"/>
    <w:rsid w:val="00FC70BB"/>
    <w:rsid w:val="00FC774F"/>
    <w:rsid w:val="00FC7D75"/>
    <w:rsid w:val="00FD0CE1"/>
    <w:rsid w:val="00FD139E"/>
    <w:rsid w:val="00FD2E65"/>
    <w:rsid w:val="00FD34A6"/>
    <w:rsid w:val="00FD4008"/>
    <w:rsid w:val="00FD432A"/>
    <w:rsid w:val="00FD49D9"/>
    <w:rsid w:val="00FD4DEF"/>
    <w:rsid w:val="00FD5DBE"/>
    <w:rsid w:val="00FD6448"/>
    <w:rsid w:val="00FD66A2"/>
    <w:rsid w:val="00FD6752"/>
    <w:rsid w:val="00FD71C6"/>
    <w:rsid w:val="00FD77BB"/>
    <w:rsid w:val="00FD7ECE"/>
    <w:rsid w:val="00FD7FF8"/>
    <w:rsid w:val="00FE0C04"/>
    <w:rsid w:val="00FE0DEA"/>
    <w:rsid w:val="00FE27CF"/>
    <w:rsid w:val="00FE31A7"/>
    <w:rsid w:val="00FE3FE5"/>
    <w:rsid w:val="00FE4F89"/>
    <w:rsid w:val="00FE5635"/>
    <w:rsid w:val="00FE7401"/>
    <w:rsid w:val="00FE7B67"/>
    <w:rsid w:val="00FE7F7F"/>
    <w:rsid w:val="00FF0D25"/>
    <w:rsid w:val="00FF13ED"/>
    <w:rsid w:val="00FF4844"/>
    <w:rsid w:val="00FF49D2"/>
    <w:rsid w:val="00FF708A"/>
    <w:rsid w:val="00FF7C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511C"/>
    <w:rPr>
      <w:sz w:val="24"/>
      <w:szCs w:val="24"/>
      <w:lang w:val="en-GB" w:eastAsia="en-US"/>
    </w:rPr>
  </w:style>
  <w:style w:type="paragraph" w:styleId="1">
    <w:name w:val="heading 1"/>
    <w:basedOn w:val="a"/>
    <w:next w:val="a"/>
    <w:qFormat/>
    <w:rsid w:val="009A6C43"/>
    <w:pPr>
      <w:keepNext/>
      <w:keepLines/>
      <w:widowControl w:val="0"/>
      <w:pBdr>
        <w:top w:val="single" w:sz="12" w:space="3" w:color="auto"/>
      </w:pBdr>
      <w:spacing w:before="240" w:after="180"/>
      <w:jc w:val="both"/>
      <w:outlineLvl w:val="0"/>
    </w:pPr>
    <w:rPr>
      <w:rFonts w:ascii="Arial" w:hAnsi="Arial"/>
      <w:sz w:val="36"/>
      <w:szCs w:val="20"/>
    </w:rPr>
  </w:style>
  <w:style w:type="paragraph" w:styleId="20">
    <w:name w:val="heading 2"/>
    <w:basedOn w:val="a"/>
    <w:next w:val="a"/>
    <w:qFormat/>
    <w:rsid w:val="00650BEB"/>
    <w:pPr>
      <w:keepNext/>
      <w:keepLines/>
      <w:widowControl w:val="0"/>
      <w:spacing w:before="180" w:after="180"/>
      <w:jc w:val="both"/>
      <w:outlineLvl w:val="1"/>
    </w:pPr>
    <w:rPr>
      <w:rFonts w:ascii="Arial" w:hAnsi="Arial"/>
      <w:sz w:val="28"/>
      <w:szCs w:val="20"/>
    </w:rPr>
  </w:style>
  <w:style w:type="paragraph" w:styleId="3">
    <w:name w:val="heading 3"/>
    <w:basedOn w:val="a"/>
    <w:next w:val="a"/>
    <w:qFormat/>
    <w:rsid w:val="009A6C43"/>
    <w:pPr>
      <w:keepNext/>
      <w:keepLines/>
      <w:widowControl w:val="0"/>
      <w:spacing w:before="120" w:after="180"/>
      <w:jc w:val="both"/>
      <w:outlineLvl w:val="2"/>
    </w:pPr>
    <w:rPr>
      <w:rFonts w:ascii="Arial" w:hAnsi="Arial"/>
      <w:sz w:val="28"/>
      <w:szCs w:val="20"/>
    </w:rPr>
  </w:style>
  <w:style w:type="paragraph" w:styleId="4">
    <w:name w:val="heading 4"/>
    <w:basedOn w:val="a"/>
    <w:next w:val="a"/>
    <w:qFormat/>
    <w:rsid w:val="009A6C43"/>
    <w:pPr>
      <w:keepNext/>
      <w:keepLines/>
      <w:widowControl w:val="0"/>
      <w:numPr>
        <w:ilvl w:val="3"/>
        <w:numId w:val="2"/>
      </w:numPr>
      <w:spacing w:before="120" w:after="180"/>
      <w:jc w:val="both"/>
      <w:outlineLvl w:val="3"/>
    </w:pPr>
    <w:rPr>
      <w:rFonts w:ascii="Arial" w:hAnsi="Arial"/>
      <w:szCs w:val="20"/>
    </w:rPr>
  </w:style>
  <w:style w:type="paragraph" w:styleId="5">
    <w:name w:val="heading 5"/>
    <w:basedOn w:val="a"/>
    <w:next w:val="a"/>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6">
    <w:name w:val="heading 6"/>
    <w:basedOn w:val="a"/>
    <w:next w:val="a"/>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7">
    <w:name w:val="heading 7"/>
    <w:basedOn w:val="6"/>
    <w:next w:val="a"/>
    <w:qFormat/>
    <w:rsid w:val="009A6C43"/>
    <w:pPr>
      <w:numPr>
        <w:ilvl w:val="6"/>
      </w:numPr>
      <w:outlineLvl w:val="6"/>
    </w:pPr>
  </w:style>
  <w:style w:type="paragraph" w:styleId="8">
    <w:name w:val="heading 8"/>
    <w:basedOn w:val="1"/>
    <w:next w:val="a"/>
    <w:qFormat/>
    <w:rsid w:val="009A6C43"/>
    <w:pPr>
      <w:numPr>
        <w:ilvl w:val="7"/>
      </w:numPr>
      <w:pBdr>
        <w:top w:val="none" w:sz="0" w:space="0" w:color="auto"/>
      </w:pBdr>
      <w:outlineLvl w:val="7"/>
    </w:pPr>
    <w:rPr>
      <w:sz w:val="20"/>
    </w:rPr>
  </w:style>
  <w:style w:type="paragraph" w:styleId="9">
    <w:name w:val="heading 9"/>
    <w:basedOn w:val="8"/>
    <w:next w:val="a"/>
    <w:qFormat/>
    <w:rsid w:val="009A6C4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a"/>
    <w:semiHidden/>
    <w:rsid w:val="00E9511C"/>
    <w:pPr>
      <w:spacing w:after="160" w:line="240" w:lineRule="exact"/>
    </w:pPr>
    <w:rPr>
      <w:rFonts w:ascii="Arial" w:hAnsi="Arial"/>
      <w:sz w:val="20"/>
      <w:szCs w:val="22"/>
      <w:lang w:val="en-US"/>
    </w:rPr>
  </w:style>
  <w:style w:type="table" w:styleId="a3">
    <w:name w:val="Table Grid"/>
    <w:basedOn w:val="a1"/>
    <w:rsid w:val="00E95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TAL"/>
    <w:rsid w:val="00E9511C"/>
    <w:pPr>
      <w:keepNext/>
      <w:spacing w:after="0"/>
      <w:jc w:val="center"/>
    </w:pPr>
    <w:rPr>
      <w:lang w:eastAsia="en-GB"/>
    </w:rPr>
  </w:style>
  <w:style w:type="paragraph" w:styleId="a4">
    <w:name w:val="Balloon Text"/>
    <w:basedOn w:val="a"/>
    <w:semiHidden/>
    <w:rsid w:val="00E9511C"/>
    <w:rPr>
      <w:sz w:val="18"/>
      <w:szCs w:val="18"/>
    </w:rPr>
  </w:style>
  <w:style w:type="paragraph" w:styleId="a5">
    <w:name w:val="Document Map"/>
    <w:basedOn w:val="a"/>
    <w:semiHidden/>
    <w:rsid w:val="00DC5D86"/>
    <w:pPr>
      <w:shd w:val="clear" w:color="auto" w:fill="000080"/>
    </w:pPr>
  </w:style>
  <w:style w:type="paragraph" w:customStyle="1" w:styleId="B2">
    <w:name w:val="B2"/>
    <w:basedOn w:val="21"/>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21">
    <w:name w:val="List 2"/>
    <w:basedOn w:val="a"/>
    <w:rsid w:val="005B5CC9"/>
    <w:pPr>
      <w:ind w:leftChars="200" w:left="100" w:hangingChars="200" w:hanging="200"/>
    </w:pPr>
  </w:style>
  <w:style w:type="paragraph" w:customStyle="1" w:styleId="B1">
    <w:name w:val="B1"/>
    <w:basedOn w:val="a6"/>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a6">
    <w:name w:val="List"/>
    <w:basedOn w:val="a"/>
    <w:rsid w:val="005D4533"/>
    <w:pPr>
      <w:ind w:left="200" w:hangingChars="200" w:hanging="200"/>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rsid w:val="009A28B5"/>
    <w:pPr>
      <w:pBdr>
        <w:bottom w:val="single" w:sz="6" w:space="1" w:color="auto"/>
      </w:pBdr>
      <w:tabs>
        <w:tab w:val="center" w:pos="4153"/>
        <w:tab w:val="right" w:pos="8306"/>
      </w:tabs>
      <w:snapToGrid w:val="0"/>
      <w:jc w:val="center"/>
    </w:pPr>
    <w:rPr>
      <w:sz w:val="18"/>
      <w:szCs w:val="18"/>
    </w:rPr>
  </w:style>
  <w:style w:type="paragraph" w:styleId="a8">
    <w:name w:val="footer"/>
    <w:basedOn w:val="a"/>
    <w:link w:val="Char0"/>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2">
    <w:name w:val="List Number 2"/>
    <w:basedOn w:val="a"/>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a9">
    <w:name w:val="caption"/>
    <w:aliases w:val="cap,cap Char,Caption Char,Caption Char1 Char,cap Char Char1,Caption Char Char1 Char,cap Char2"/>
    <w:basedOn w:val="a"/>
    <w:next w:val="a"/>
    <w:link w:val="Char1"/>
    <w:uiPriority w:val="35"/>
    <w:qFormat/>
    <w:rsid w:val="00E4379A"/>
    <w:pPr>
      <w:spacing w:before="120" w:after="120"/>
    </w:pPr>
    <w:rPr>
      <w:b/>
      <w:sz w:val="20"/>
      <w:szCs w:val="20"/>
    </w:rPr>
  </w:style>
  <w:style w:type="character" w:styleId="aa">
    <w:name w:val="Hyperlink"/>
    <w:rsid w:val="009A6C43"/>
    <w:rPr>
      <w:color w:val="0000FF"/>
      <w:u w:val="single"/>
    </w:rPr>
  </w:style>
  <w:style w:type="paragraph" w:customStyle="1" w:styleId="Reference">
    <w:name w:val="Reference"/>
    <w:aliases w:val="ref"/>
    <w:basedOn w:val="a"/>
    <w:rsid w:val="009A6C43"/>
    <w:pPr>
      <w:numPr>
        <w:ilvl w:val="1"/>
        <w:numId w:val="3"/>
      </w:numPr>
      <w:jc w:val="both"/>
    </w:pPr>
    <w:rPr>
      <w:rFonts w:ascii="Arial" w:hAnsi="Arial"/>
      <w:sz w:val="20"/>
      <w:szCs w:val="20"/>
      <w:lang w:val="sv-SE"/>
    </w:rPr>
  </w:style>
  <w:style w:type="paragraph" w:customStyle="1" w:styleId="TF">
    <w:name w:val="TF"/>
    <w:basedOn w:val="a"/>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b">
    <w:name w:val="提案正文"/>
    <w:basedOn w:val="a"/>
    <w:rsid w:val="004A3D39"/>
    <w:pPr>
      <w:spacing w:before="156" w:after="156"/>
      <w:ind w:left="720"/>
      <w:jc w:val="both"/>
    </w:pPr>
    <w:rPr>
      <w:rFonts w:ascii="Arial" w:hAnsi="Arial" w:cs="Arial"/>
      <w:lang w:eastAsia="zh-CN"/>
    </w:rPr>
  </w:style>
  <w:style w:type="paragraph" w:customStyle="1" w:styleId="ac">
    <w:name w:val="文档标题"/>
    <w:basedOn w:val="a"/>
    <w:next w:val="a"/>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a"/>
    <w:rsid w:val="00F040EF"/>
    <w:pPr>
      <w:spacing w:before="100" w:after="100"/>
      <w:ind w:left="360" w:right="360"/>
      <w:jc w:val="both"/>
    </w:pPr>
    <w:rPr>
      <w:snapToGrid w:val="0"/>
      <w:szCs w:val="20"/>
    </w:rPr>
  </w:style>
  <w:style w:type="paragraph" w:styleId="ad">
    <w:name w:val="Body Text"/>
    <w:basedOn w:val="a"/>
    <w:rsid w:val="0024278D"/>
    <w:rPr>
      <w:rFonts w:ascii="Arial" w:hAnsi="Arial" w:cs="Arial"/>
      <w:color w:val="FF0000"/>
      <w:sz w:val="20"/>
      <w:szCs w:val="20"/>
    </w:rPr>
  </w:style>
  <w:style w:type="paragraph" w:customStyle="1" w:styleId="HE">
    <w:name w:val="HE"/>
    <w:basedOn w:val="a"/>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a"/>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ae">
    <w:name w:val="annotation reference"/>
    <w:semiHidden/>
    <w:rsid w:val="00423680"/>
    <w:rPr>
      <w:sz w:val="21"/>
      <w:szCs w:val="21"/>
    </w:rPr>
  </w:style>
  <w:style w:type="paragraph" w:styleId="af">
    <w:name w:val="annotation text"/>
    <w:basedOn w:val="a"/>
    <w:semiHidden/>
    <w:rsid w:val="00423680"/>
  </w:style>
  <w:style w:type="paragraph" w:styleId="af0">
    <w:name w:val="annotation subject"/>
    <w:basedOn w:val="af"/>
    <w:next w:val="af"/>
    <w:semiHidden/>
    <w:rsid w:val="00423680"/>
    <w:rPr>
      <w:b/>
      <w:bCs/>
    </w:rPr>
  </w:style>
  <w:style w:type="paragraph" w:styleId="af1">
    <w:name w:val="Body Text First Indent"/>
    <w:basedOn w:val="ad"/>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a5"/>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a"/>
    <w:rsid w:val="004E2D8C"/>
    <w:pPr>
      <w:keepNext/>
      <w:keepLines/>
      <w:spacing w:before="60" w:after="180"/>
      <w:jc w:val="center"/>
    </w:pPr>
    <w:rPr>
      <w:rFonts w:ascii="Arial" w:hAnsi="Arial"/>
      <w:b/>
      <w:sz w:val="20"/>
      <w:szCs w:val="20"/>
    </w:rPr>
  </w:style>
  <w:style w:type="paragraph" w:customStyle="1" w:styleId="NormalCharChar">
    <w:name w:val="Normal_ Char Char"/>
    <w:basedOn w:val="a"/>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脚 Char"/>
    <w:basedOn w:val="a0"/>
    <w:link w:val="a8"/>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7"/>
    <w:locked/>
    <w:rsid w:val="00AA774D"/>
    <w:rPr>
      <w:sz w:val="18"/>
      <w:szCs w:val="18"/>
      <w:lang w:val="en-GB" w:eastAsia="en-US"/>
    </w:rPr>
  </w:style>
  <w:style w:type="paragraph" w:styleId="af2">
    <w:name w:val="List Paragraph"/>
    <w:basedOn w:val="a"/>
    <w:uiPriority w:val="34"/>
    <w:qFormat/>
    <w:rsid w:val="00E64F43"/>
    <w:pPr>
      <w:ind w:firstLineChars="200" w:firstLine="420"/>
    </w:pPr>
  </w:style>
  <w:style w:type="paragraph" w:customStyle="1" w:styleId="address">
    <w:name w:val="address"/>
    <w:uiPriority w:val="99"/>
    <w:rsid w:val="009B27F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Char1">
    <w:name w:val="题注 Char"/>
    <w:aliases w:val="cap Char1,cap Char Char,Caption Char Char,Caption Char1 Char Char,cap Char Char1 Char,Caption Char Char1 Char Char,cap Char2 Char"/>
    <w:link w:val="a9"/>
    <w:rsid w:val="00846FD6"/>
    <w:rPr>
      <w:b/>
      <w:lang w:val="en-GB" w:eastAsia="en-US"/>
    </w:rPr>
  </w:style>
  <w:style w:type="paragraph" w:customStyle="1" w:styleId="af3">
    <w:name w:val="样式 页眉"/>
    <w:basedOn w:val="a7"/>
    <w:link w:val="Char2"/>
    <w:rsid w:val="0081045B"/>
    <w:pPr>
      <w:widowControl w:val="0"/>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b/>
      <w:bCs/>
      <w:noProof/>
      <w:sz w:val="22"/>
      <w:szCs w:val="20"/>
    </w:rPr>
  </w:style>
  <w:style w:type="character" w:customStyle="1" w:styleId="Char2">
    <w:name w:val="样式 页眉 Char"/>
    <w:basedOn w:val="Char"/>
    <w:link w:val="af3"/>
    <w:rsid w:val="0081045B"/>
    <w:rPr>
      <w:rFonts w:ascii="Arial" w:eastAsia="Arial" w:hAnsi="Arial"/>
      <w:b/>
      <w:bCs/>
      <w:noProof/>
      <w:sz w:val="22"/>
      <w:szCs w:val="18"/>
      <w:lang w:val="en-GB" w:eastAsia="en-US"/>
    </w:rPr>
  </w:style>
  <w:style w:type="character" w:styleId="af4">
    <w:name w:val="FollowedHyperlink"/>
    <w:basedOn w:val="a0"/>
    <w:rsid w:val="0055197B"/>
    <w:rPr>
      <w:color w:val="800080" w:themeColor="followedHyperlink"/>
      <w:u w:val="single"/>
    </w:rPr>
  </w:style>
  <w:style w:type="paragraph" w:customStyle="1" w:styleId="References">
    <w:name w:val="References"/>
    <w:basedOn w:val="a"/>
    <w:next w:val="a"/>
    <w:rsid w:val="0078028D"/>
    <w:pPr>
      <w:numPr>
        <w:numId w:val="23"/>
      </w:numPr>
      <w:autoSpaceDE w:val="0"/>
      <w:autoSpaceDN w:val="0"/>
      <w:snapToGrid w:val="0"/>
      <w:spacing w:after="60"/>
    </w:pPr>
    <w:rPr>
      <w:rFonts w:eastAsia="SimSun"/>
      <w:sz w:val="20"/>
      <w:szCs w:val="16"/>
      <w:lang w:val="en-US"/>
    </w:rPr>
  </w:style>
  <w:style w:type="paragraph" w:styleId="af5">
    <w:name w:val="Revision"/>
    <w:hidden/>
    <w:uiPriority w:val="99"/>
    <w:semiHidden/>
    <w:rsid w:val="00D376CC"/>
    <w:rPr>
      <w:sz w:val="24"/>
      <w:szCs w:val="24"/>
      <w:lang w:val="en-GB" w:eastAsia="en-US"/>
    </w:rPr>
  </w:style>
  <w:style w:type="paragraph" w:styleId="af6">
    <w:name w:val="Normal (Web)"/>
    <w:basedOn w:val="a"/>
    <w:uiPriority w:val="99"/>
    <w:unhideWhenUsed/>
    <w:rsid w:val="00EF787D"/>
    <w:pPr>
      <w:spacing w:before="100" w:beforeAutospacing="1" w:after="100" w:afterAutospacing="1"/>
    </w:pPr>
    <w:rPr>
      <w:rFonts w:ascii="宋体" w:eastAsia="宋体" w:hAnsi="宋体" w:cs="宋体"/>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901790">
      <w:bodyDiv w:val="1"/>
      <w:marLeft w:val="0"/>
      <w:marRight w:val="0"/>
      <w:marTop w:val="0"/>
      <w:marBottom w:val="0"/>
      <w:divBdr>
        <w:top w:val="none" w:sz="0" w:space="0" w:color="auto"/>
        <w:left w:val="none" w:sz="0" w:space="0" w:color="auto"/>
        <w:bottom w:val="none" w:sz="0" w:space="0" w:color="auto"/>
        <w:right w:val="none" w:sz="0" w:space="0" w:color="auto"/>
      </w:divBdr>
    </w:div>
    <w:div w:id="339936331">
      <w:bodyDiv w:val="1"/>
      <w:marLeft w:val="0"/>
      <w:marRight w:val="0"/>
      <w:marTop w:val="0"/>
      <w:marBottom w:val="0"/>
      <w:divBdr>
        <w:top w:val="none" w:sz="0" w:space="0" w:color="auto"/>
        <w:left w:val="none" w:sz="0" w:space="0" w:color="auto"/>
        <w:bottom w:val="none" w:sz="0" w:space="0" w:color="auto"/>
        <w:right w:val="none" w:sz="0" w:space="0" w:color="auto"/>
      </w:divBdr>
    </w:div>
    <w:div w:id="611129110">
      <w:bodyDiv w:val="1"/>
      <w:marLeft w:val="0"/>
      <w:marRight w:val="0"/>
      <w:marTop w:val="0"/>
      <w:marBottom w:val="0"/>
      <w:divBdr>
        <w:top w:val="none" w:sz="0" w:space="0" w:color="auto"/>
        <w:left w:val="none" w:sz="0" w:space="0" w:color="auto"/>
        <w:bottom w:val="none" w:sz="0" w:space="0" w:color="auto"/>
        <w:right w:val="none" w:sz="0" w:space="0" w:color="auto"/>
      </w:divBdr>
    </w:div>
    <w:div w:id="612249548">
      <w:bodyDiv w:val="1"/>
      <w:marLeft w:val="0"/>
      <w:marRight w:val="0"/>
      <w:marTop w:val="0"/>
      <w:marBottom w:val="0"/>
      <w:divBdr>
        <w:top w:val="none" w:sz="0" w:space="0" w:color="auto"/>
        <w:left w:val="none" w:sz="0" w:space="0" w:color="auto"/>
        <w:bottom w:val="none" w:sz="0" w:space="0" w:color="auto"/>
        <w:right w:val="none" w:sz="0" w:space="0" w:color="auto"/>
      </w:divBdr>
    </w:div>
    <w:div w:id="635448420">
      <w:bodyDiv w:val="1"/>
      <w:marLeft w:val="0"/>
      <w:marRight w:val="0"/>
      <w:marTop w:val="0"/>
      <w:marBottom w:val="0"/>
      <w:divBdr>
        <w:top w:val="none" w:sz="0" w:space="0" w:color="auto"/>
        <w:left w:val="none" w:sz="0" w:space="0" w:color="auto"/>
        <w:bottom w:val="none" w:sz="0" w:space="0" w:color="auto"/>
        <w:right w:val="none" w:sz="0" w:space="0" w:color="auto"/>
      </w:divBdr>
    </w:div>
    <w:div w:id="832254937">
      <w:bodyDiv w:val="1"/>
      <w:marLeft w:val="0"/>
      <w:marRight w:val="0"/>
      <w:marTop w:val="0"/>
      <w:marBottom w:val="0"/>
      <w:divBdr>
        <w:top w:val="none" w:sz="0" w:space="0" w:color="auto"/>
        <w:left w:val="none" w:sz="0" w:space="0" w:color="auto"/>
        <w:bottom w:val="none" w:sz="0" w:space="0" w:color="auto"/>
        <w:right w:val="none" w:sz="0" w:space="0" w:color="auto"/>
      </w:divBdr>
    </w:div>
    <w:div w:id="887037093">
      <w:bodyDiv w:val="1"/>
      <w:marLeft w:val="0"/>
      <w:marRight w:val="0"/>
      <w:marTop w:val="0"/>
      <w:marBottom w:val="0"/>
      <w:divBdr>
        <w:top w:val="none" w:sz="0" w:space="0" w:color="auto"/>
        <w:left w:val="none" w:sz="0" w:space="0" w:color="auto"/>
        <w:bottom w:val="none" w:sz="0" w:space="0" w:color="auto"/>
        <w:right w:val="none" w:sz="0" w:space="0" w:color="auto"/>
      </w:divBdr>
    </w:div>
    <w:div w:id="896361272">
      <w:bodyDiv w:val="1"/>
      <w:marLeft w:val="0"/>
      <w:marRight w:val="0"/>
      <w:marTop w:val="0"/>
      <w:marBottom w:val="0"/>
      <w:divBdr>
        <w:top w:val="none" w:sz="0" w:space="0" w:color="auto"/>
        <w:left w:val="none" w:sz="0" w:space="0" w:color="auto"/>
        <w:bottom w:val="none" w:sz="0" w:space="0" w:color="auto"/>
        <w:right w:val="none" w:sz="0" w:space="0" w:color="auto"/>
      </w:divBdr>
    </w:div>
    <w:div w:id="942761291">
      <w:bodyDiv w:val="1"/>
      <w:marLeft w:val="0"/>
      <w:marRight w:val="0"/>
      <w:marTop w:val="0"/>
      <w:marBottom w:val="0"/>
      <w:divBdr>
        <w:top w:val="none" w:sz="0" w:space="0" w:color="auto"/>
        <w:left w:val="none" w:sz="0" w:space="0" w:color="auto"/>
        <w:bottom w:val="none" w:sz="0" w:space="0" w:color="auto"/>
        <w:right w:val="none" w:sz="0" w:space="0" w:color="auto"/>
      </w:divBdr>
    </w:div>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062172320">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 w:id="1779908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image" Target="media/image3.tif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proposal\GP-xxxxxx%20-%20Template%20for%20discussion%20papers%20v1.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37EF64-5A14-4745-89CC-AD0216963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v1.2.dot</Template>
  <TotalTime>33</TotalTime>
  <Pages>7</Pages>
  <Words>1730</Words>
  <Characters>9863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Luochao</dc:creator>
  <cp:lastModifiedBy>Luochao_RAN1#83_2</cp:lastModifiedBy>
  <cp:revision>4</cp:revision>
  <cp:lastPrinted>2008-09-16T02:05:00Z</cp:lastPrinted>
  <dcterms:created xsi:type="dcterms:W3CDTF">2015-11-07T01:18:00Z</dcterms:created>
  <dcterms:modified xsi:type="dcterms:W3CDTF">2015-11-07T03:19:00Z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(3)j/cC+Xo+dc2qSE2IBotFy4vNvuaPgBBxeOY4uawxrmRrKQbISAxlT829k25krJvTSEyM/hmW
MGBh/n2wCIILvK57XXdynDPXFbHdZpwFYutw2IAwUysbvlnXzl63YD5wck6rey3wX7M0nW7i
sXfhF66hVah+DSIfmIsFa/MTxqC+HdQvKhcislFPw/KghD4D6cVlFJRRl8xH3clj+JbEejYt
ObMdJ3mjcgZ0imjjT5</vt:lpwstr>
  </property>
  <property fmtid="{D5CDD505-2E9C-101B-9397-08002B2CF9AE}" pid="5" name="_new_ms_pID_72543_00">
    <vt:lpwstr>_new_ms_pID_72543</vt:lpwstr>
  </property>
  <property fmtid="{D5CDD505-2E9C-101B-9397-08002B2CF9AE}" pid="6" name="_new_ms_pID_725431">
    <vt:lpwstr>EXUm3276WVw1o7sWwBozgC0p8976foi413DLABfKZxRRHY/Qp5/KfU
Q5CG5Of/GZXaKu2Rpk1S7R8UlzWz2icbN5E/90I2oFTa91bcQ8S5RX7VjSEW4pnhQnPQFkxs
Flpr/jyqGzXU51K/blQ6AzisxSH1Om2YKBycwv52UoFay76mOnRAFNU58+ADOPzkEPSX+CSE
8AkvkRPhbJjVB3vbtg6+YNvaYTpIaAepQ+33</vt:lpwstr>
  </property>
  <property fmtid="{D5CDD505-2E9C-101B-9397-08002B2CF9AE}" pid="7" name="_new_ms_pID_725431_00">
    <vt:lpwstr>_new_ms_pID_725431</vt:lpwstr>
  </property>
  <property fmtid="{D5CDD505-2E9C-101B-9397-08002B2CF9AE}" pid="8" name="_new_ms_pID_725432">
    <vt:lpwstr>zCZgjneCvFle+uXogLPUhG9cSVii862d6Qlz
CfwJ7p4MAMjrEO+AvqiDaaRBYAxFFqnhW47btXjPQPXejrz9k/9TrkgZcd38DcqbXOyhCO/U
Ox9DqfmVxl/+l8r1ky8mx/KQxlF0H6rmZeuFoUiTIjJIVwEiS2R2bVIQXqQaWc9GfMcVF/EH
sHYW9aP+jw6ZUFmiajVfHu4h3oRFW8SQQA8=</vt:lpwstr>
  </property>
  <property fmtid="{D5CDD505-2E9C-101B-9397-08002B2CF9AE}" pid="9" name="_new_ms_pID_725432_00">
    <vt:lpwstr>_new_ms_pID_725432</vt:lpwstr>
  </property>
  <property fmtid="{D5CDD505-2E9C-101B-9397-08002B2CF9AE}" pid="10" name="_new_ms_pID_725433">
    <vt:lpwstr>msG0HAzMtQxcMuge0g
BBM1OA==</vt:lpwstr>
  </property>
  <property fmtid="{D5CDD505-2E9C-101B-9397-08002B2CF9AE}" pid="11" name="sflag">
    <vt:lpwstr>1445358276</vt:lpwstr>
  </property>
</Properties>
</file>