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D6E" w:rsidRDefault="00672D6E" w:rsidP="00672D6E">
      <w:pPr>
        <w:pStyle w:val="CRCoverPage"/>
        <w:tabs>
          <w:tab w:val="right" w:pos="9639"/>
        </w:tabs>
        <w:spacing w:after="0"/>
        <w:rPr>
          <w:b/>
          <w:noProof/>
          <w:sz w:val="24"/>
        </w:rPr>
      </w:pPr>
    </w:p>
    <w:p w:rsidR="00672D6E" w:rsidRPr="00BA3A53" w:rsidRDefault="00672D6E" w:rsidP="00672D6E">
      <w:pPr>
        <w:pStyle w:val="CRCoverPage"/>
        <w:tabs>
          <w:tab w:val="right" w:pos="9639"/>
        </w:tabs>
        <w:spacing w:after="0"/>
        <w:rPr>
          <w:b/>
          <w:noProof/>
          <w:sz w:val="28"/>
        </w:rPr>
      </w:pPr>
      <w:r>
        <w:rPr>
          <w:b/>
          <w:noProof/>
          <w:sz w:val="24"/>
        </w:rPr>
        <w:t xml:space="preserve">3GPP </w:t>
      </w:r>
      <w:r w:rsidR="00C81AA4">
        <w:rPr>
          <w:b/>
          <w:noProof/>
          <w:sz w:val="24"/>
        </w:rPr>
        <w:t xml:space="preserve">TSG </w:t>
      </w:r>
      <w:r w:rsidR="00130FE4">
        <w:rPr>
          <w:rFonts w:cs="Arial"/>
          <w:b/>
          <w:bCs/>
          <w:sz w:val="24"/>
          <w:lang w:val="en-US"/>
        </w:rPr>
        <w:t>RAN</w:t>
      </w:r>
      <w:r w:rsidR="00C81AA4">
        <w:rPr>
          <w:rFonts w:cs="Arial"/>
          <w:b/>
          <w:bCs/>
          <w:sz w:val="24"/>
          <w:lang w:val="en-US"/>
        </w:rPr>
        <w:t xml:space="preserve"> WG</w:t>
      </w:r>
      <w:r w:rsidR="00130FE4">
        <w:rPr>
          <w:rFonts w:cs="Arial"/>
          <w:b/>
          <w:bCs/>
          <w:sz w:val="24"/>
          <w:lang w:val="en-US"/>
        </w:rPr>
        <w:t>1</w:t>
      </w:r>
      <w:r w:rsidR="00C81AA4">
        <w:rPr>
          <w:rFonts w:cs="Arial"/>
          <w:b/>
          <w:bCs/>
          <w:sz w:val="24"/>
          <w:lang w:val="en-US"/>
        </w:rPr>
        <w:t xml:space="preserve"> Meeting</w:t>
      </w:r>
      <w:r w:rsidR="00130FE4">
        <w:rPr>
          <w:rFonts w:cs="Arial"/>
          <w:b/>
          <w:bCs/>
          <w:sz w:val="24"/>
          <w:lang w:val="en-US"/>
        </w:rPr>
        <w:t>#82</w:t>
      </w:r>
      <w:r w:rsidR="008C3D80">
        <w:rPr>
          <w:rFonts w:cs="Arial"/>
          <w:b/>
          <w:bCs/>
          <w:sz w:val="24"/>
          <w:lang w:val="en-US"/>
        </w:rPr>
        <w:t>-bis</w:t>
      </w:r>
      <w:r>
        <w:rPr>
          <w:rFonts w:cs="Arial"/>
        </w:rPr>
        <w:t xml:space="preserve">          </w:t>
      </w:r>
      <w:r>
        <w:rPr>
          <w:b/>
          <w:i/>
          <w:noProof/>
          <w:sz w:val="28"/>
        </w:rPr>
        <w:tab/>
      </w:r>
      <w:r w:rsidR="008C3D80">
        <w:rPr>
          <w:b/>
          <w:noProof/>
          <w:sz w:val="28"/>
        </w:rPr>
        <w:t>R1-156051</w:t>
      </w:r>
    </w:p>
    <w:p w:rsidR="00672D6E" w:rsidRPr="006E5DD5" w:rsidRDefault="008C3D80" w:rsidP="00672D6E">
      <w:pPr>
        <w:pStyle w:val="CRCoverPage"/>
        <w:tabs>
          <w:tab w:val="left" w:pos="7655"/>
        </w:tabs>
        <w:spacing w:after="0"/>
        <w:outlineLvl w:val="0"/>
        <w:rPr>
          <w:rFonts w:eastAsia="Batang" w:cs="Arial"/>
          <w:b/>
          <w:sz w:val="24"/>
          <w:lang w:eastAsia="zh-CN"/>
        </w:rPr>
      </w:pPr>
      <w:r>
        <w:rPr>
          <w:b/>
          <w:noProof/>
          <w:sz w:val="24"/>
        </w:rPr>
        <w:t>Malmo, Sweden</w:t>
      </w:r>
      <w:r w:rsidR="00672D6E">
        <w:rPr>
          <w:b/>
          <w:noProof/>
          <w:sz w:val="24"/>
        </w:rPr>
        <w:t xml:space="preserve">  </w:t>
      </w:r>
      <w:r>
        <w:rPr>
          <w:b/>
          <w:noProof/>
          <w:sz w:val="24"/>
        </w:rPr>
        <w:t>5</w:t>
      </w:r>
      <w:r w:rsidR="00672D6E" w:rsidRPr="00672D6E">
        <w:rPr>
          <w:b/>
          <w:noProof/>
          <w:sz w:val="24"/>
          <w:vertAlign w:val="superscript"/>
        </w:rPr>
        <w:t>th</w:t>
      </w:r>
      <w:r w:rsidR="00672D6E">
        <w:rPr>
          <w:b/>
          <w:noProof/>
          <w:sz w:val="24"/>
        </w:rPr>
        <w:t xml:space="preserve"> – </w:t>
      </w:r>
      <w:r>
        <w:rPr>
          <w:b/>
          <w:noProof/>
          <w:sz w:val="24"/>
        </w:rPr>
        <w:t>9</w:t>
      </w:r>
      <w:r w:rsidR="00672D6E" w:rsidRPr="00672D6E">
        <w:rPr>
          <w:b/>
          <w:noProof/>
          <w:sz w:val="24"/>
          <w:vertAlign w:val="superscript"/>
        </w:rPr>
        <w:t>th</w:t>
      </w:r>
      <w:r w:rsidR="00672D6E">
        <w:rPr>
          <w:b/>
          <w:noProof/>
          <w:sz w:val="24"/>
        </w:rPr>
        <w:t xml:space="preserve"> </w:t>
      </w:r>
      <w:r>
        <w:rPr>
          <w:b/>
          <w:noProof/>
          <w:sz w:val="24"/>
        </w:rPr>
        <w:t>October</w:t>
      </w:r>
      <w:r w:rsidR="00672D6E">
        <w:rPr>
          <w:b/>
          <w:noProof/>
          <w:sz w:val="24"/>
        </w:rPr>
        <w:t xml:space="preserve"> 2015</w:t>
      </w:r>
      <w:r w:rsidR="00672D6E" w:rsidRPr="00BA3A53">
        <w:rPr>
          <w:rFonts w:eastAsia="Batang" w:cs="Arial" w:hint="eastAsia"/>
          <w:b/>
          <w:sz w:val="24"/>
          <w:lang w:eastAsia="zh-CN"/>
        </w:rPr>
        <w:t xml:space="preserve"> </w:t>
      </w:r>
      <w:r w:rsidR="00672D6E">
        <w:rPr>
          <w:rFonts w:eastAsia="Batang" w:cs="Arial"/>
          <w:b/>
          <w:sz w:val="24"/>
          <w:lang w:eastAsia="zh-CN"/>
        </w:rPr>
        <w:t xml:space="preserve">                                                </w:t>
      </w:r>
    </w:p>
    <w:p w:rsidR="00672D6E" w:rsidRDefault="00672D6E" w:rsidP="00672D6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E7299E">
        <w:rPr>
          <w:rFonts w:ascii="Arial" w:eastAsia="Batang" w:hAnsi="Arial"/>
          <w:b/>
          <w:sz w:val="24"/>
          <w:szCs w:val="24"/>
          <w:lang w:val="en-US" w:eastAsia="zh-CN"/>
        </w:rPr>
        <w:t xml:space="preserve">Source: </w:t>
      </w:r>
      <w:r w:rsidRPr="00E7299E">
        <w:rPr>
          <w:rFonts w:ascii="Arial" w:eastAsia="Batang" w:hAnsi="Arial"/>
          <w:b/>
          <w:sz w:val="24"/>
          <w:szCs w:val="24"/>
          <w:lang w:val="en-US" w:eastAsia="zh-CN"/>
        </w:rPr>
        <w:tab/>
      </w:r>
      <w:r w:rsidRPr="00E7299E">
        <w:rPr>
          <w:rFonts w:ascii="Arial" w:eastAsia="Batang" w:hAnsi="Arial"/>
          <w:sz w:val="24"/>
          <w:szCs w:val="24"/>
          <w:lang w:val="en-US" w:eastAsia="zh-CN"/>
        </w:rPr>
        <w:t>Vodafone Group Plc</w:t>
      </w:r>
      <w:r w:rsidRPr="00E7299E">
        <w:rPr>
          <w:rFonts w:ascii="Arial" w:eastAsia="Batang" w:hAnsi="Arial"/>
          <w:b/>
          <w:sz w:val="24"/>
          <w:szCs w:val="24"/>
          <w:lang w:val="en-US" w:eastAsia="zh-CN"/>
        </w:rPr>
        <w:t xml:space="preserve"> </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hAnsi="Arial" w:cs="Arial"/>
          <w:sz w:val="24"/>
          <w:szCs w:val="24"/>
        </w:rPr>
      </w:pPr>
      <w:r w:rsidRPr="00E7299E">
        <w:rPr>
          <w:rFonts w:ascii="Arial" w:eastAsia="Batang" w:hAnsi="Arial" w:cs="Arial"/>
          <w:b/>
          <w:sz w:val="24"/>
          <w:szCs w:val="24"/>
          <w:lang w:eastAsia="zh-CN"/>
        </w:rPr>
        <w:t>Title:</w:t>
      </w:r>
      <w:r w:rsidRPr="00E7299E">
        <w:rPr>
          <w:rFonts w:ascii="Arial" w:eastAsia="Batang" w:hAnsi="Arial" w:cs="Arial"/>
          <w:b/>
          <w:sz w:val="24"/>
          <w:szCs w:val="24"/>
          <w:lang w:eastAsia="zh-CN"/>
        </w:rPr>
        <w:tab/>
      </w:r>
      <w:r w:rsidR="008C3D80">
        <w:rPr>
          <w:rFonts w:ascii="Arial" w:hAnsi="Arial" w:cs="Arial"/>
          <w:sz w:val="24"/>
          <w:szCs w:val="24"/>
        </w:rPr>
        <w:t>Requirements of NB IOT Evaluations</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cs="Arial"/>
          <w:sz w:val="24"/>
          <w:szCs w:val="24"/>
          <w:lang w:eastAsia="zh-CN"/>
        </w:rPr>
      </w:pPr>
      <w:r w:rsidRPr="00E7299E">
        <w:rPr>
          <w:rFonts w:ascii="Arial" w:eastAsia="Batang" w:hAnsi="Arial" w:cs="Arial"/>
          <w:b/>
          <w:sz w:val="24"/>
          <w:szCs w:val="24"/>
          <w:lang w:eastAsia="zh-CN"/>
        </w:rPr>
        <w:t>Document for</w:t>
      </w:r>
      <w:r w:rsidRPr="00E7299E">
        <w:rPr>
          <w:rFonts w:ascii="Arial" w:eastAsia="Batang" w:hAnsi="Arial" w:cs="Arial"/>
          <w:b/>
          <w:sz w:val="24"/>
          <w:szCs w:val="24"/>
          <w:lang w:eastAsia="zh-CN"/>
        </w:rPr>
        <w:tab/>
      </w:r>
      <w:r w:rsidR="008C3D80">
        <w:rPr>
          <w:rFonts w:ascii="Arial" w:eastAsia="Batang" w:hAnsi="Arial" w:cs="Arial"/>
          <w:sz w:val="24"/>
          <w:szCs w:val="24"/>
          <w:lang w:eastAsia="zh-CN"/>
        </w:rPr>
        <w:t>Discussion</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eastAsia="zh-CN"/>
        </w:rPr>
      </w:pPr>
      <w:r w:rsidRPr="00E7299E">
        <w:rPr>
          <w:rFonts w:ascii="Arial" w:eastAsia="Batang" w:hAnsi="Arial" w:cs="Arial"/>
          <w:b/>
          <w:sz w:val="24"/>
          <w:szCs w:val="24"/>
          <w:lang w:eastAsia="zh-CN"/>
        </w:rPr>
        <w:t>Agenda Item</w:t>
      </w:r>
      <w:r w:rsidRPr="00E7299E">
        <w:rPr>
          <w:rFonts w:ascii="Arial" w:eastAsia="Batang" w:hAnsi="Arial" w:cs="Arial"/>
          <w:b/>
          <w:sz w:val="24"/>
          <w:szCs w:val="24"/>
          <w:lang w:eastAsia="zh-CN"/>
        </w:rPr>
        <w:tab/>
      </w:r>
      <w:r w:rsidR="008C3D80">
        <w:rPr>
          <w:rFonts w:ascii="Arial" w:eastAsia="Batang" w:hAnsi="Arial" w:cs="Arial"/>
          <w:b/>
          <w:sz w:val="24"/>
          <w:szCs w:val="24"/>
          <w:lang w:eastAsia="zh-CN"/>
        </w:rPr>
        <w:t>7.2.6.1</w:t>
      </w:r>
    </w:p>
    <w:p w:rsidR="00672D6E" w:rsidRPr="001E3BD7" w:rsidRDefault="00672D6E" w:rsidP="008C52CA">
      <w:pPr>
        <w:pStyle w:val="Heading1"/>
        <w:numPr>
          <w:ilvl w:val="0"/>
          <w:numId w:val="15"/>
        </w:numPr>
      </w:pPr>
      <w:bookmarkStart w:id="0" w:name="_Ref395176429"/>
      <w:r w:rsidRPr="001E3BD7">
        <w:rPr>
          <w:rFonts w:hint="eastAsia"/>
        </w:rPr>
        <w:t>Introduction</w:t>
      </w:r>
      <w:bookmarkEnd w:id="0"/>
    </w:p>
    <w:p w:rsidR="00D51810" w:rsidRPr="00B776EC" w:rsidRDefault="008C3D80" w:rsidP="00D51810">
      <w:pPr>
        <w:ind w:right="-99"/>
        <w:rPr>
          <w:bCs/>
          <w:sz w:val="22"/>
          <w:szCs w:val="22"/>
        </w:rPr>
      </w:pPr>
      <w:r w:rsidRPr="00B776EC">
        <w:rPr>
          <w:sz w:val="22"/>
          <w:szCs w:val="22"/>
          <w:lang w:eastAsia="zh-CN"/>
        </w:rPr>
        <w:t xml:space="preserve">In RAN#69, a </w:t>
      </w:r>
      <w:r w:rsidR="00DF5819" w:rsidRPr="00B776EC">
        <w:rPr>
          <w:sz w:val="22"/>
          <w:szCs w:val="22"/>
          <w:lang w:eastAsia="zh-CN"/>
        </w:rPr>
        <w:t xml:space="preserve">new work item on </w:t>
      </w:r>
      <w:r w:rsidR="007C550F" w:rsidRPr="00B776EC">
        <w:rPr>
          <w:sz w:val="22"/>
          <w:szCs w:val="22"/>
          <w:lang w:eastAsia="zh-CN"/>
        </w:rPr>
        <w:t>Narrow Band</w:t>
      </w:r>
      <w:r w:rsidR="00DF5819" w:rsidRPr="00B776EC">
        <w:rPr>
          <w:sz w:val="22"/>
          <w:szCs w:val="22"/>
          <w:lang w:eastAsia="zh-CN"/>
        </w:rPr>
        <w:t xml:space="preserve"> Internet of Things (NB-IOT) was approved</w:t>
      </w:r>
      <w:r w:rsidR="00D51810" w:rsidRPr="00B776EC">
        <w:rPr>
          <w:sz w:val="22"/>
          <w:szCs w:val="22"/>
          <w:lang w:eastAsia="zh-CN"/>
        </w:rPr>
        <w:t xml:space="preserve"> in</w:t>
      </w:r>
      <w:r w:rsidR="00DF5819" w:rsidRPr="00B776EC">
        <w:rPr>
          <w:sz w:val="22"/>
          <w:szCs w:val="22"/>
          <w:lang w:eastAsia="zh-CN"/>
        </w:rPr>
        <w:t xml:space="preserve"> </w:t>
      </w:r>
      <w:r w:rsidR="00B776EC" w:rsidRPr="00B776EC">
        <w:rPr>
          <w:sz w:val="22"/>
          <w:szCs w:val="22"/>
          <w:lang w:eastAsia="zh-CN"/>
        </w:rPr>
        <w:t>RP-151621 [1]</w:t>
      </w:r>
      <w:r w:rsidR="00D51810" w:rsidRPr="00B776EC">
        <w:rPr>
          <w:sz w:val="22"/>
          <w:szCs w:val="22"/>
          <w:lang w:eastAsia="zh-CN"/>
        </w:rPr>
        <w:t>. In the objective</w:t>
      </w:r>
      <w:r w:rsidR="00615677">
        <w:rPr>
          <w:sz w:val="22"/>
          <w:szCs w:val="22"/>
          <w:lang w:eastAsia="zh-CN"/>
        </w:rPr>
        <w:t>s</w:t>
      </w:r>
      <w:r w:rsidR="00D51810" w:rsidRPr="00B776EC">
        <w:rPr>
          <w:sz w:val="22"/>
          <w:szCs w:val="22"/>
          <w:lang w:eastAsia="zh-CN"/>
        </w:rPr>
        <w:t xml:space="preserve"> of the work item description, </w:t>
      </w:r>
    </w:p>
    <w:p w:rsidR="00D51810" w:rsidRPr="00B776EC" w:rsidRDefault="00D51810" w:rsidP="00D51810">
      <w:pPr>
        <w:rPr>
          <w:sz w:val="22"/>
          <w:szCs w:val="22"/>
        </w:rPr>
      </w:pPr>
      <w:r w:rsidRPr="00B776EC">
        <w:rPr>
          <w:sz w:val="22"/>
          <w:szCs w:val="22"/>
        </w:rPr>
        <w:t xml:space="preserve">NB-IOT should support 3 different modes of operation: </w:t>
      </w:r>
    </w:p>
    <w:p w:rsidR="00D51810" w:rsidRPr="00B776EC" w:rsidRDefault="00D51810" w:rsidP="00D51810">
      <w:pPr>
        <w:rPr>
          <w:sz w:val="22"/>
          <w:szCs w:val="22"/>
        </w:rPr>
      </w:pPr>
      <w:r w:rsidRPr="00B776EC">
        <w:rPr>
          <w:sz w:val="22"/>
          <w:szCs w:val="22"/>
        </w:rPr>
        <w:t>1.</w:t>
      </w:r>
      <w:r w:rsidRPr="00B776EC">
        <w:rPr>
          <w:sz w:val="22"/>
          <w:szCs w:val="22"/>
        </w:rPr>
        <w:tab/>
        <w:t>‘Stand-alone operation’ utilizing for example the spectrum currently being used by GERAN systems as a replacement of one or more GSM carriers</w:t>
      </w:r>
    </w:p>
    <w:p w:rsidR="00D51810" w:rsidRPr="00B776EC" w:rsidRDefault="00D51810" w:rsidP="00D51810">
      <w:pPr>
        <w:rPr>
          <w:sz w:val="22"/>
          <w:szCs w:val="22"/>
        </w:rPr>
      </w:pPr>
      <w:r w:rsidRPr="00B776EC">
        <w:rPr>
          <w:sz w:val="22"/>
          <w:szCs w:val="22"/>
        </w:rPr>
        <w:t>2.</w:t>
      </w:r>
      <w:r w:rsidRPr="00B776EC">
        <w:rPr>
          <w:sz w:val="22"/>
          <w:szCs w:val="22"/>
        </w:rPr>
        <w:tab/>
        <w:t xml:space="preserve">‘Guard band operation’ utilizing the unused resource blocks within a LTE carrier’s guard-band </w:t>
      </w:r>
    </w:p>
    <w:p w:rsidR="00A11A4F" w:rsidRPr="00B776EC" w:rsidRDefault="00D51810" w:rsidP="00D51810">
      <w:pPr>
        <w:rPr>
          <w:sz w:val="22"/>
          <w:szCs w:val="22"/>
        </w:rPr>
      </w:pPr>
      <w:r w:rsidRPr="00B776EC">
        <w:rPr>
          <w:sz w:val="22"/>
          <w:szCs w:val="22"/>
        </w:rPr>
        <w:t>3.</w:t>
      </w:r>
      <w:r w:rsidRPr="00B776EC">
        <w:rPr>
          <w:sz w:val="22"/>
          <w:szCs w:val="22"/>
        </w:rPr>
        <w:tab/>
        <w:t>‘In-band operation’ utilizing resource blocks within a normal LTE carrier</w:t>
      </w:r>
    </w:p>
    <w:p w:rsidR="00A11A4F" w:rsidRPr="00B776EC" w:rsidRDefault="00A11A4F" w:rsidP="00D51810">
      <w:pPr>
        <w:rPr>
          <w:sz w:val="22"/>
          <w:szCs w:val="22"/>
        </w:rPr>
      </w:pPr>
      <w:r w:rsidRPr="00B776EC">
        <w:rPr>
          <w:sz w:val="22"/>
          <w:szCs w:val="22"/>
        </w:rPr>
        <w:t>On the downlink, two numerology options will be considered for inclusion: 15 kHz sub-carrier spacing (with normal or extended CP) and 3.75 kHz sub-carrier spacing. Technical analysis will either perform a down-selection or decide on inclusion of both the feasibility of meeting relevant requirements while achieving commonality.</w:t>
      </w:r>
    </w:p>
    <w:p w:rsidR="00A11A4F" w:rsidRPr="00B776EC" w:rsidRDefault="00A11A4F" w:rsidP="00D51810">
      <w:pPr>
        <w:rPr>
          <w:bCs/>
          <w:sz w:val="22"/>
          <w:szCs w:val="22"/>
          <w:lang w:eastAsia="ko-KR"/>
        </w:rPr>
      </w:pPr>
      <w:r w:rsidRPr="00B776EC">
        <w:rPr>
          <w:sz w:val="22"/>
          <w:szCs w:val="22"/>
        </w:rPr>
        <w:t xml:space="preserve">On the uplink, two options will be considered: FDMA with GMSK modulation </w:t>
      </w:r>
      <w:r w:rsidRPr="00B776EC">
        <w:rPr>
          <w:bCs/>
          <w:sz w:val="22"/>
          <w:szCs w:val="22"/>
        </w:rPr>
        <w:t>(as described in 3GPP TR 45.820 section 7.3), and SC-FDMA (</w:t>
      </w:r>
      <w:r w:rsidRPr="00B776EC">
        <w:rPr>
          <w:rFonts w:hint="eastAsia"/>
          <w:bCs/>
          <w:sz w:val="22"/>
          <w:szCs w:val="22"/>
          <w:lang w:eastAsia="ko-KR"/>
        </w:rPr>
        <w:t>including single</w:t>
      </w:r>
      <w:r w:rsidRPr="00B776EC">
        <w:rPr>
          <w:bCs/>
          <w:sz w:val="22"/>
          <w:szCs w:val="22"/>
          <w:lang w:eastAsia="ko-KR"/>
        </w:rPr>
        <w:t>-</w:t>
      </w:r>
      <w:r w:rsidRPr="00B776EC">
        <w:rPr>
          <w:rFonts w:hint="eastAsia"/>
          <w:bCs/>
          <w:sz w:val="22"/>
          <w:szCs w:val="22"/>
          <w:lang w:eastAsia="ko-KR"/>
        </w:rPr>
        <w:t>tone transmission as a special case of SC-FDMA</w:t>
      </w:r>
      <w:r w:rsidRPr="00B776EC">
        <w:rPr>
          <w:bCs/>
          <w:sz w:val="22"/>
          <w:szCs w:val="22"/>
          <w:lang w:eastAsia="ko-KR"/>
        </w:rPr>
        <w:t>). Technical analysis will either perform a down-selection or decide on inclusion of both.</w:t>
      </w:r>
    </w:p>
    <w:p w:rsidR="00065AE2" w:rsidRPr="00B776EC" w:rsidRDefault="00065AE2" w:rsidP="00065AE2">
      <w:pPr>
        <w:numPr>
          <w:ilvl w:val="0"/>
          <w:numId w:val="8"/>
        </w:numPr>
        <w:ind w:right="-99"/>
        <w:rPr>
          <w:bCs/>
          <w:sz w:val="22"/>
          <w:szCs w:val="22"/>
        </w:rPr>
      </w:pPr>
      <w:r w:rsidRPr="00B776EC">
        <w:rPr>
          <w:bCs/>
          <w:sz w:val="22"/>
          <w:szCs w:val="22"/>
        </w:rPr>
        <w:t>RAN1 evaluation will be based on</w:t>
      </w:r>
    </w:p>
    <w:p w:rsidR="00065AE2" w:rsidRPr="00B776EC" w:rsidRDefault="00065AE2" w:rsidP="00065AE2">
      <w:pPr>
        <w:numPr>
          <w:ilvl w:val="1"/>
          <w:numId w:val="8"/>
        </w:numPr>
        <w:ind w:right="-99"/>
        <w:rPr>
          <w:bCs/>
          <w:sz w:val="22"/>
          <w:szCs w:val="22"/>
        </w:rPr>
      </w:pPr>
      <w:r w:rsidRPr="00B776EC">
        <w:rPr>
          <w:bCs/>
          <w:sz w:val="22"/>
          <w:szCs w:val="22"/>
        </w:rPr>
        <w:t>For the standalone mode of operation: on scenarios and criteria documented in 3GPP TR 45.820 Sections 4 &amp; 5, and Annex A (with the exception of impacts to GSM base station baseband)</w:t>
      </w:r>
    </w:p>
    <w:p w:rsidR="00065AE2" w:rsidRPr="00B776EC" w:rsidRDefault="00065AE2" w:rsidP="00065AE2">
      <w:pPr>
        <w:numPr>
          <w:ilvl w:val="1"/>
          <w:numId w:val="8"/>
        </w:numPr>
        <w:ind w:right="-99"/>
        <w:rPr>
          <w:bCs/>
          <w:sz w:val="22"/>
          <w:szCs w:val="22"/>
        </w:rPr>
      </w:pPr>
      <w:r w:rsidRPr="00B776EC">
        <w:rPr>
          <w:bCs/>
          <w:sz w:val="22"/>
          <w:szCs w:val="22"/>
        </w:rPr>
        <w:t>For in-band &amp; guard-band mode of operation: on scenarios and criteria documented in 3GPP TR 45.820 Sections 4 &amp; 5, and Annex A (with exception of impacts to GSM base station baseband and RF), plus newly defined scenarios and criteria based upon the same TR e.g. interference to/from legacy LTE operation</w:t>
      </w:r>
    </w:p>
    <w:p w:rsidR="00065AE2" w:rsidRPr="00B776EC" w:rsidRDefault="00065AE2" w:rsidP="00065AE2">
      <w:pPr>
        <w:numPr>
          <w:ilvl w:val="1"/>
          <w:numId w:val="8"/>
        </w:numPr>
        <w:ind w:right="-99"/>
        <w:rPr>
          <w:bCs/>
          <w:sz w:val="22"/>
          <w:szCs w:val="22"/>
        </w:rPr>
      </w:pPr>
      <w:r w:rsidRPr="00B776EC">
        <w:rPr>
          <w:bCs/>
          <w:sz w:val="22"/>
          <w:szCs w:val="22"/>
        </w:rPr>
        <w:t>For power consumption, latency, and capacity, this evaluation will assume use of Gb interface towards the core network</w:t>
      </w:r>
    </w:p>
    <w:p w:rsidR="00672D6E" w:rsidRPr="00B776EC" w:rsidRDefault="00672D6E" w:rsidP="00672D6E">
      <w:pPr>
        <w:spacing w:before="120" w:after="120" w:line="300" w:lineRule="auto"/>
        <w:jc w:val="both"/>
        <w:rPr>
          <w:sz w:val="22"/>
          <w:szCs w:val="22"/>
          <w:lang w:eastAsia="zh-CN"/>
        </w:rPr>
      </w:pPr>
      <w:r w:rsidRPr="00B776EC">
        <w:rPr>
          <w:sz w:val="22"/>
          <w:szCs w:val="22"/>
          <w:lang w:eastAsia="zh-CN"/>
        </w:rPr>
        <w:t>T</w:t>
      </w:r>
      <w:r w:rsidRPr="00B776EC">
        <w:rPr>
          <w:rFonts w:hint="eastAsia"/>
          <w:sz w:val="22"/>
          <w:szCs w:val="22"/>
          <w:lang w:eastAsia="zh-CN"/>
        </w:rPr>
        <w:t xml:space="preserve">his </w:t>
      </w:r>
      <w:bookmarkStart w:id="1" w:name="_Ref418671423"/>
      <w:r w:rsidR="00D51810" w:rsidRPr="00B776EC">
        <w:rPr>
          <w:sz w:val="22"/>
          <w:szCs w:val="22"/>
          <w:lang w:eastAsia="zh-CN"/>
        </w:rPr>
        <w:t>document outlines Vodafone’s</w:t>
      </w:r>
      <w:r w:rsidR="008C3D80" w:rsidRPr="00B776EC">
        <w:rPr>
          <w:sz w:val="22"/>
          <w:szCs w:val="22"/>
          <w:lang w:eastAsia="zh-CN"/>
        </w:rPr>
        <w:t xml:space="preserve"> </w:t>
      </w:r>
      <w:r w:rsidR="00893DF5">
        <w:rPr>
          <w:sz w:val="22"/>
          <w:szCs w:val="22"/>
          <w:lang w:eastAsia="zh-CN"/>
        </w:rPr>
        <w:t xml:space="preserve">view on updating objectives of GERAN TR 45.820 to NB IOT PHY evaluations. </w:t>
      </w:r>
      <w:r w:rsidRPr="00B776EC">
        <w:rPr>
          <w:sz w:val="22"/>
          <w:szCs w:val="22"/>
          <w:lang w:eastAsia="zh-CN"/>
        </w:rPr>
        <w:t xml:space="preserve"> </w:t>
      </w:r>
    </w:p>
    <w:p w:rsidR="008C3D80" w:rsidRDefault="008C3D80" w:rsidP="008C52CA">
      <w:pPr>
        <w:pStyle w:val="Heading1"/>
        <w:numPr>
          <w:ilvl w:val="0"/>
          <w:numId w:val="15"/>
        </w:numPr>
        <w:rPr>
          <w:lang w:eastAsia="zh-CN"/>
        </w:rPr>
      </w:pPr>
      <w:r>
        <w:rPr>
          <w:lang w:eastAsia="zh-CN"/>
        </w:rPr>
        <w:t>Requirements</w:t>
      </w:r>
    </w:p>
    <w:p w:rsidR="008C52CA" w:rsidRDefault="008C52CA" w:rsidP="008C3D80">
      <w:pPr>
        <w:spacing w:before="120" w:after="120" w:line="300" w:lineRule="auto"/>
        <w:jc w:val="both"/>
        <w:rPr>
          <w:sz w:val="22"/>
          <w:szCs w:val="22"/>
          <w:lang w:eastAsia="zh-CN"/>
        </w:rPr>
      </w:pPr>
      <w:r>
        <w:rPr>
          <w:sz w:val="22"/>
          <w:szCs w:val="22"/>
          <w:lang w:eastAsia="zh-CN"/>
        </w:rPr>
        <w:t>All 3 modes of operations (Stand-alone, Guard band, In-band) are expected to meet below requirements.</w:t>
      </w:r>
    </w:p>
    <w:p w:rsidR="005E1013" w:rsidRPr="0079202E" w:rsidRDefault="005E1013" w:rsidP="005E1013">
      <w:pPr>
        <w:pStyle w:val="Heading1"/>
      </w:pPr>
      <w:bookmarkStart w:id="2" w:name="_Toc427827350"/>
      <w:r w:rsidRPr="0079202E">
        <w:lastRenderedPageBreak/>
        <w:t>4</w:t>
      </w:r>
      <w:r w:rsidRPr="0079202E">
        <w:tab/>
        <w:t>Objectives</w:t>
      </w:r>
      <w:bookmarkEnd w:id="2"/>
    </w:p>
    <w:p w:rsidR="005E1013" w:rsidRPr="0079202E" w:rsidRDefault="005E1013" w:rsidP="005E1013">
      <w:pPr>
        <w:pStyle w:val="Heading2"/>
      </w:pPr>
      <w:bookmarkStart w:id="3" w:name="_Toc427827351"/>
      <w:r w:rsidRPr="0079202E">
        <w:t>4.1</w:t>
      </w:r>
      <w:r w:rsidRPr="0079202E">
        <w:tab/>
        <w:t>Performance objectives</w:t>
      </w:r>
      <w:bookmarkEnd w:id="3"/>
    </w:p>
    <w:p w:rsidR="005E1013" w:rsidRPr="0079202E" w:rsidRDefault="005E1013" w:rsidP="005E1013">
      <w:pPr>
        <w:pStyle w:val="Heading3"/>
        <w:spacing w:after="120"/>
        <w:rPr>
          <w:rFonts w:cs="Arial"/>
          <w:color w:val="000000"/>
          <w:szCs w:val="28"/>
        </w:rPr>
      </w:pPr>
      <w:bookmarkStart w:id="4" w:name="_Toc427827352"/>
      <w:r w:rsidRPr="0079202E">
        <w:rPr>
          <w:rFonts w:cs="Arial"/>
          <w:color w:val="000000"/>
          <w:szCs w:val="28"/>
        </w:rPr>
        <w:t>4.1.1</w:t>
      </w:r>
      <w:r w:rsidRPr="0079202E">
        <w:rPr>
          <w:rFonts w:cs="Arial"/>
          <w:color w:val="000000"/>
          <w:szCs w:val="28"/>
        </w:rPr>
        <w:tab/>
        <w:t>Improved indoor coverage</w:t>
      </w:r>
      <w:bookmarkEnd w:id="4"/>
    </w:p>
    <w:p w:rsidR="005E1013" w:rsidRPr="0079202E" w:rsidRDefault="005E1013" w:rsidP="005E1013">
      <w:pPr>
        <w:rPr>
          <w:lang w:eastAsia="zh-CN"/>
        </w:rPr>
      </w:pPr>
      <w:r w:rsidRPr="0079202E">
        <w:rPr>
          <w:lang w:eastAsia="zh-CN"/>
        </w:rPr>
        <w:t>A number of applications require deployment of Machine Type Communication (MTC) devices indoor, e.g. in an apartment basement, or on indoor equipment that may be close to the ground floor etc. This effectively means that indoor coverage should be readily available and reliable. It should be possible to achieve an extended coverage of 20 dB compared to commercially available legacy GPRS (Non EGPRS) devices. The assumption of the MCL for legacy GPRS (Non EGPRS) is 144</w:t>
      </w:r>
      <w:proofErr w:type="gramStart"/>
      <w:r>
        <w:rPr>
          <w:lang w:eastAsia="zh-CN"/>
        </w:rPr>
        <w:t>,</w:t>
      </w:r>
      <w:r w:rsidRPr="0079202E">
        <w:rPr>
          <w:lang w:eastAsia="zh-CN"/>
        </w:rPr>
        <w:t>0</w:t>
      </w:r>
      <w:proofErr w:type="gramEnd"/>
      <w:r w:rsidRPr="0079202E">
        <w:rPr>
          <w:lang w:eastAsia="zh-CN"/>
        </w:rPr>
        <w:t xml:space="preserve"> dB (see Annex B). The extended coverage should allow delivery of a data rate of at least 160 bps on both the uplink and downlink at the (equivalent of) the Service Access Point (SAP) to the equivalent </w:t>
      </w:r>
      <w:del w:id="5" w:author="Siva Subramani (Vodafone)" w:date="2015-09-29T15:14:00Z">
        <w:r w:rsidRPr="0079202E" w:rsidDel="005E1013">
          <w:rPr>
            <w:lang w:eastAsia="zh-CN"/>
          </w:rPr>
          <w:delText>SubNetwork Dependent Convergence Protocol (SNDCP)</w:delText>
        </w:r>
      </w:del>
      <w:ins w:id="6" w:author="Siva Subramani (Vodafone)" w:date="2015-09-29T15:14:00Z">
        <w:r>
          <w:rPr>
            <w:lang w:eastAsia="zh-CN"/>
          </w:rPr>
          <w:t>Packet Data Convergence Protocol (PDCP)</w:t>
        </w:r>
      </w:ins>
      <w:r w:rsidRPr="0079202E">
        <w:rPr>
          <w:lang w:eastAsia="zh-CN"/>
        </w:rPr>
        <w:t xml:space="preserve"> layer.</w:t>
      </w:r>
    </w:p>
    <w:p w:rsidR="005E1013" w:rsidRPr="0079202E" w:rsidRDefault="005E1013" w:rsidP="005E1013">
      <w:pPr>
        <w:pStyle w:val="TOC4"/>
        <w:rPr>
          <w:lang w:eastAsia="zh-CN"/>
        </w:rPr>
      </w:pPr>
      <w:r w:rsidRPr="0079202E">
        <w:t>NOTE:</w:t>
      </w:r>
      <w:r w:rsidRPr="0079202E">
        <w:tab/>
      </w:r>
      <w:r w:rsidRPr="0079202E">
        <w:rPr>
          <w:lang w:eastAsia="zh-CN"/>
        </w:rPr>
        <w:t>The implications of supporting software upgrades for MTC devices at 160 bps should be investigated.</w:t>
      </w:r>
    </w:p>
    <w:p w:rsidR="005E1013" w:rsidRPr="0079202E" w:rsidRDefault="005E1013" w:rsidP="005E1013">
      <w:pPr>
        <w:pStyle w:val="Heading3"/>
        <w:spacing w:after="120"/>
        <w:rPr>
          <w:rFonts w:cs="Arial"/>
          <w:color w:val="000000"/>
          <w:szCs w:val="28"/>
        </w:rPr>
      </w:pPr>
      <w:bookmarkStart w:id="7" w:name="_Toc427827353"/>
      <w:r w:rsidRPr="0079202E">
        <w:rPr>
          <w:rFonts w:cs="Arial"/>
          <w:color w:val="000000"/>
          <w:szCs w:val="28"/>
        </w:rPr>
        <w:t>4.1.2</w:t>
      </w:r>
      <w:r w:rsidRPr="0079202E">
        <w:rPr>
          <w:rFonts w:cs="Arial"/>
          <w:color w:val="000000"/>
          <w:szCs w:val="28"/>
        </w:rPr>
        <w:tab/>
        <w:t>Support of massive number of low throughput devices</w:t>
      </w:r>
      <w:bookmarkEnd w:id="7"/>
    </w:p>
    <w:p w:rsidR="005E1013" w:rsidRPr="0079202E" w:rsidRDefault="005E1013" w:rsidP="005E1013">
      <w:pPr>
        <w:rPr>
          <w:lang w:eastAsia="zh-CN"/>
        </w:rPr>
      </w:pPr>
      <w:r w:rsidRPr="0079202E">
        <w:rPr>
          <w:lang w:eastAsia="zh-CN"/>
        </w:rPr>
        <w:t xml:space="preserve">A system that can support a large number of devices, each generating a small amount of data is required. At cell level, it is expected that each household in a cell may have up to 40 MTC devices and the household density per cell is according to the assumptions in Annex </w:t>
      </w:r>
      <w:proofErr w:type="gramStart"/>
      <w:r w:rsidRPr="0079202E">
        <w:rPr>
          <w:lang w:eastAsia="zh-CN"/>
        </w:rPr>
        <w:t>A</w:t>
      </w:r>
      <w:proofErr w:type="gramEnd"/>
      <w:r w:rsidRPr="0079202E">
        <w:rPr>
          <w:lang w:eastAsia="zh-CN"/>
        </w:rPr>
        <w:t xml:space="preserve"> of TR 36.888 [3]. The resulting MTC device density per cell is provided in Annex E</w:t>
      </w:r>
      <w:ins w:id="8" w:author="Siva Subramani (Vodafone)" w:date="2015-09-29T15:14:00Z">
        <w:r>
          <w:rPr>
            <w:lang w:eastAsia="zh-CN"/>
          </w:rPr>
          <w:t xml:space="preserve"> of TR 45.820 [2]</w:t>
        </w:r>
      </w:ins>
      <w:r w:rsidRPr="0079202E">
        <w:rPr>
          <w:lang w:eastAsia="zh-CN"/>
        </w:rPr>
        <w:t xml:space="preserve">. </w:t>
      </w:r>
    </w:p>
    <w:p w:rsidR="005E1013" w:rsidRPr="0079202E" w:rsidRDefault="005E1013" w:rsidP="005E1013">
      <w:pPr>
        <w:pStyle w:val="Heading3"/>
        <w:spacing w:after="120"/>
        <w:rPr>
          <w:rFonts w:cs="Arial"/>
          <w:color w:val="000000"/>
          <w:szCs w:val="28"/>
        </w:rPr>
      </w:pPr>
      <w:bookmarkStart w:id="9" w:name="_Toc427827354"/>
      <w:r w:rsidRPr="0079202E">
        <w:rPr>
          <w:rFonts w:cs="Arial"/>
          <w:color w:val="000000"/>
          <w:szCs w:val="28"/>
        </w:rPr>
        <w:t>4.1.3</w:t>
      </w:r>
      <w:r w:rsidRPr="0079202E">
        <w:rPr>
          <w:rFonts w:cs="Arial"/>
          <w:color w:val="000000"/>
          <w:szCs w:val="28"/>
        </w:rPr>
        <w:tab/>
        <w:t>Reduced complexity</w:t>
      </w:r>
      <w:bookmarkEnd w:id="9"/>
    </w:p>
    <w:p w:rsidR="005E1013" w:rsidRPr="0079202E" w:rsidRDefault="005E1013" w:rsidP="005E1013">
      <w:pPr>
        <w:rPr>
          <w:lang w:eastAsia="zh-CN"/>
        </w:rPr>
      </w:pPr>
      <w:r w:rsidRPr="0079202E">
        <w:rPr>
          <w:lang w:eastAsia="zh-CN"/>
        </w:rPr>
        <w:t xml:space="preserve">M2M applications require devices that are very cheap (so that they can be deployed on a mass scale or in a disposable manner). The study should take into consideration that MTC devices have very limited throughput requirement and may not need to support circuit switched services to develop techniques that can significantly reduce complexity and hence cost. </w:t>
      </w:r>
    </w:p>
    <w:p w:rsidR="005E1013" w:rsidRPr="0079202E" w:rsidRDefault="005E1013" w:rsidP="005E1013">
      <w:pPr>
        <w:pStyle w:val="Heading3"/>
        <w:spacing w:after="120"/>
        <w:rPr>
          <w:rFonts w:cs="Arial"/>
          <w:color w:val="000000"/>
          <w:szCs w:val="28"/>
        </w:rPr>
      </w:pPr>
      <w:bookmarkStart w:id="10" w:name="_Toc427827355"/>
      <w:r w:rsidRPr="0079202E">
        <w:rPr>
          <w:rFonts w:cs="Arial"/>
          <w:color w:val="000000"/>
          <w:szCs w:val="28"/>
        </w:rPr>
        <w:t>4.1.4</w:t>
      </w:r>
      <w:r w:rsidRPr="0079202E">
        <w:rPr>
          <w:rFonts w:cs="Arial"/>
          <w:color w:val="000000"/>
          <w:szCs w:val="28"/>
        </w:rPr>
        <w:tab/>
        <w:t>Improved power efficiency</w:t>
      </w:r>
      <w:bookmarkEnd w:id="10"/>
    </w:p>
    <w:p w:rsidR="005E1013" w:rsidRDefault="005E1013" w:rsidP="005E1013">
      <w:r w:rsidRPr="0079202E">
        <w:t xml:space="preserve">The power consumption of MTC devices compared with legacy GPRS (non EGPRS) should be reduced so that they can have up to ten years battery life with battery capacity of 5 </w:t>
      </w:r>
      <w:proofErr w:type="spellStart"/>
      <w:r w:rsidRPr="0079202E">
        <w:t>Wh</w:t>
      </w:r>
      <w:proofErr w:type="spellEnd"/>
      <w:r w:rsidRPr="0079202E">
        <w:t xml:space="preserve"> (Watt-hours), even in locations with adverse coverage conditions, where up to 20 dB coverage  extension over legacy GPRS might be needed. </w:t>
      </w:r>
    </w:p>
    <w:p w:rsidR="005E1013" w:rsidRDefault="005E1013" w:rsidP="005E1013">
      <w:pPr>
        <w:pStyle w:val="Heading3"/>
        <w:spacing w:after="120"/>
        <w:rPr>
          <w:rFonts w:cs="Arial"/>
          <w:color w:val="000000"/>
          <w:szCs w:val="28"/>
        </w:rPr>
      </w:pPr>
      <w:bookmarkStart w:id="11" w:name="_Toc427827356"/>
      <w:r>
        <w:rPr>
          <w:rFonts w:cs="Arial"/>
          <w:color w:val="000000"/>
          <w:szCs w:val="28"/>
        </w:rPr>
        <w:t>4.1.5</w:t>
      </w:r>
      <w:r>
        <w:rPr>
          <w:rFonts w:cs="Arial"/>
          <w:color w:val="000000"/>
          <w:szCs w:val="28"/>
        </w:rPr>
        <w:tab/>
        <w:t>Latency</w:t>
      </w:r>
      <w:bookmarkEnd w:id="11"/>
    </w:p>
    <w:p w:rsidR="005E1013" w:rsidRDefault="005E1013" w:rsidP="005E1013">
      <w:pPr>
        <w:rPr>
          <w:lang w:eastAsia="zh-CN"/>
        </w:rPr>
      </w:pPr>
      <w:r>
        <w:rPr>
          <w:lang w:eastAsia="zh-CN"/>
        </w:rPr>
        <w:t xml:space="preserve">M2M devices may in general support relaxed delay characteristics, and this may be taken into account when evaluating e.g. system capacity. </w:t>
      </w:r>
    </w:p>
    <w:p w:rsidR="005E1013" w:rsidRDefault="005E1013" w:rsidP="005E1013">
      <w:pPr>
        <w:rPr>
          <w:ins w:id="12" w:author="Siva Subramani (Vodafone)" w:date="2015-09-29T15:38:00Z"/>
          <w:lang w:eastAsia="zh-CN"/>
        </w:rPr>
      </w:pPr>
      <w:r>
        <w:rPr>
          <w:lang w:eastAsia="zh-CN"/>
        </w:rPr>
        <w:t>Certain applications (e.g. alarms) may however require a reasonably strict delay profile. For devices supporting such applications a delay requirement of 10</w:t>
      </w:r>
      <w:r w:rsidR="00615677" w:rsidRPr="00615677">
        <w:rPr>
          <w:vertAlign w:val="superscript"/>
          <w:lang w:eastAsia="zh-CN"/>
        </w:rPr>
        <w:t>1</w:t>
      </w:r>
      <w:r>
        <w:rPr>
          <w:lang w:eastAsia="zh-CN"/>
        </w:rPr>
        <w:t xml:space="preserve"> seconds is appropriate for the uplink when measured from the application ‘trigger event’ to the packet being ready for transmission from the base station towards the core network.</w:t>
      </w:r>
    </w:p>
    <w:p w:rsidR="00615677" w:rsidRDefault="00615677" w:rsidP="00615677">
      <w:pPr>
        <w:pStyle w:val="FootnoteText"/>
        <w:rPr>
          <w:ins w:id="13" w:author="Siva Subramani (Vodafone)" w:date="2015-09-29T15:38:00Z"/>
        </w:rPr>
      </w:pPr>
      <w:ins w:id="14" w:author="Siva Subramani (Vodafone)" w:date="2015-09-29T15:38:00Z">
        <w:r>
          <w:rPr>
            <w:lang w:eastAsia="zh-CN"/>
          </w:rPr>
          <w:t xml:space="preserve">1 </w:t>
        </w:r>
        <w:r>
          <w:rPr>
            <w:lang w:eastAsia="zh-CN"/>
          </w:rPr>
          <w:tab/>
        </w:r>
        <w:r>
          <w:t xml:space="preserve">While an MTC application may well optimise the encoding of its data, the data is likely to be contained in an IPv6 packet using UDP and potentially another protocol layer which is then protected by some form of </w:t>
        </w:r>
        <w:proofErr w:type="spellStart"/>
        <w:r>
          <w:t>IPSec</w:t>
        </w:r>
        <w:proofErr w:type="spellEnd"/>
        <w:r>
          <w:t xml:space="preserve">. As a result, the minimum SDU size at the top of the </w:t>
        </w:r>
        <w:del w:id="15" w:author="Siva Subramani (Vodafone)-2" w:date="2015-09-29T15:40:00Z">
          <w:r w:rsidDel="00615677">
            <w:delText>SNDCP</w:delText>
          </w:r>
        </w:del>
      </w:ins>
      <w:ins w:id="16" w:author="Siva Subramani (Vodafone)-2" w:date="2015-09-29T15:40:00Z">
        <w:r>
          <w:t xml:space="preserve"> PDCP</w:t>
        </w:r>
      </w:ins>
      <w:ins w:id="17" w:author="Siva Subramani (Vodafone)" w:date="2015-09-29T15:38:00Z">
        <w:r>
          <w:t xml:space="preserve"> layer </w:t>
        </w:r>
        <w:del w:id="18" w:author="Siva Subramani (Vodafone)-2" w:date="2015-09-29T15:40:00Z">
          <w:r w:rsidDel="00615677">
            <w:delText xml:space="preserve">(assuming Gb mode) </w:delText>
          </w:r>
        </w:del>
        <w:r>
          <w:t>is likely to be 80 octets. When coupled with a</w:t>
        </w:r>
      </w:ins>
      <w:ins w:id="19" w:author="Siva Subramani (Vodafone)" w:date="2015-09-29T15:39:00Z">
        <w:r>
          <w:t xml:space="preserve"> </w:t>
        </w:r>
      </w:ins>
      <w:ins w:id="20" w:author="Siva Subramani (Vodafone)" w:date="2015-09-29T15:38:00Z">
        <w:r>
          <w:t xml:space="preserve">10 second latency objective for ‘alarms’. </w:t>
        </w:r>
        <w:proofErr w:type="gramStart"/>
        <w:r>
          <w:t>and</w:t>
        </w:r>
        <w:proofErr w:type="gramEnd"/>
        <w:r>
          <w:t xml:space="preserve"> allowing 6 seconds for the </w:t>
        </w:r>
        <w:del w:id="21" w:author="Siva Subramani (Vodafone)-2" w:date="2015-09-29T15:40:00Z">
          <w:r w:rsidDel="00615677">
            <w:delText>MS</w:delText>
          </w:r>
        </w:del>
      </w:ins>
      <w:ins w:id="22" w:author="Siva Subramani (Vodafone)-2" w:date="2015-09-29T15:40:00Z">
        <w:r>
          <w:t>UE</w:t>
        </w:r>
      </w:ins>
      <w:ins w:id="23" w:author="Siva Subramani (Vodafone)" w:date="2015-09-29T15:38:00Z">
        <w:r>
          <w:t>’s synchronization, detection of the previously used cell, and access procedures, this leaves 4 seconds for the data transfer phase, giv</w:t>
        </w:r>
        <w:del w:id="24" w:author="TR45820v120" w:date="2015-05-19T19:00:00Z">
          <w:r w:rsidDel="00633D5D">
            <w:delText>e</w:delText>
          </w:r>
        </w:del>
        <w:r>
          <w:t>ing</w:t>
        </w:r>
        <w:del w:id="25" w:author="TR45820v120" w:date="2015-05-19T18:59:00Z">
          <w:r w:rsidDel="00633D5D">
            <w:delText>s</w:delText>
          </w:r>
        </w:del>
        <w:r>
          <w:t xml:space="preserve"> a requirement for 160 bps at the </w:t>
        </w:r>
        <w:del w:id="26" w:author="Siva Subramani (Vodafone)-2" w:date="2015-09-29T15:40:00Z">
          <w:r w:rsidDel="00615677">
            <w:delText>SNDCP</w:delText>
          </w:r>
        </w:del>
      </w:ins>
      <w:ins w:id="27" w:author="Siva Subramani (Vodafone)-2" w:date="2015-09-29T15:40:00Z">
        <w:r>
          <w:t>PDCP</w:t>
        </w:r>
      </w:ins>
      <w:ins w:id="28" w:author="Siva Subramani (Vodafone)" w:date="2015-09-29T15:38:00Z">
        <w:r>
          <w:t xml:space="preserve"> Service Access Point. </w:t>
        </w:r>
        <w:del w:id="29" w:author="Siva Subramani (Vodafone)-2" w:date="2015-09-29T15:40:00Z">
          <w:r w:rsidDel="00615677">
            <w:delText xml:space="preserve">Any SNDCP, LLC, RLC and channel coding may increase the required radio interface data rate. </w:delText>
          </w:r>
        </w:del>
      </w:ins>
    </w:p>
    <w:p w:rsidR="00615677" w:rsidRPr="0079202E" w:rsidRDefault="00615677" w:rsidP="005E1013"/>
    <w:p w:rsidR="005E1013" w:rsidRPr="0079202E" w:rsidRDefault="005E1013" w:rsidP="005E1013">
      <w:pPr>
        <w:pStyle w:val="Heading2"/>
        <w:rPr>
          <w:szCs w:val="32"/>
        </w:rPr>
      </w:pPr>
      <w:bookmarkStart w:id="30" w:name="_Toc427827357"/>
      <w:r w:rsidRPr="0079202E">
        <w:rPr>
          <w:szCs w:val="32"/>
        </w:rPr>
        <w:t>4.2</w:t>
      </w:r>
      <w:r w:rsidRPr="0079202E">
        <w:rPr>
          <w:szCs w:val="32"/>
        </w:rPr>
        <w:tab/>
        <w:t>Compatibility objectives</w:t>
      </w:r>
      <w:bookmarkEnd w:id="30"/>
    </w:p>
    <w:p w:rsidR="005E1013" w:rsidRPr="0079202E" w:rsidRDefault="005E1013" w:rsidP="005E1013">
      <w:pPr>
        <w:pStyle w:val="Heading3"/>
        <w:spacing w:after="120"/>
        <w:rPr>
          <w:rFonts w:cs="Arial"/>
          <w:color w:val="000000"/>
          <w:szCs w:val="28"/>
        </w:rPr>
      </w:pPr>
      <w:bookmarkStart w:id="31" w:name="_Toc427827358"/>
      <w:r w:rsidRPr="0079202E">
        <w:rPr>
          <w:rFonts w:cs="Arial"/>
          <w:szCs w:val="28"/>
        </w:rPr>
        <w:t>4</w:t>
      </w:r>
      <w:r w:rsidRPr="0079202E">
        <w:rPr>
          <w:rFonts w:cs="Arial"/>
          <w:color w:val="000000"/>
          <w:szCs w:val="28"/>
        </w:rPr>
        <w:t>.2.1</w:t>
      </w:r>
      <w:r w:rsidRPr="0079202E">
        <w:rPr>
          <w:rFonts w:cs="Arial"/>
          <w:color w:val="000000"/>
          <w:szCs w:val="28"/>
        </w:rPr>
        <w:tab/>
        <w:t>Co-existence</w:t>
      </w:r>
      <w:bookmarkEnd w:id="31"/>
      <w:r w:rsidRPr="0079202E">
        <w:rPr>
          <w:rFonts w:cs="Arial"/>
          <w:color w:val="000000"/>
          <w:szCs w:val="28"/>
        </w:rPr>
        <w:t xml:space="preserve"> </w:t>
      </w:r>
    </w:p>
    <w:p w:rsidR="005E1013" w:rsidRPr="0079202E" w:rsidRDefault="005E1013" w:rsidP="005E1013">
      <w:pPr>
        <w:ind w:right="-99"/>
        <w:rPr>
          <w:lang w:eastAsia="zh-CN"/>
        </w:rPr>
      </w:pPr>
      <w:r w:rsidRPr="0079202E">
        <w:rPr>
          <w:lang w:eastAsia="zh-CN"/>
        </w:rPr>
        <w:t xml:space="preserve">The Cellular </w:t>
      </w:r>
      <w:proofErr w:type="spellStart"/>
      <w:r w:rsidRPr="0079202E">
        <w:rPr>
          <w:lang w:eastAsia="zh-CN"/>
        </w:rPr>
        <w:t>IoT</w:t>
      </w:r>
      <w:proofErr w:type="spellEnd"/>
      <w:r w:rsidRPr="0079202E">
        <w:rPr>
          <w:lang w:eastAsia="zh-CN"/>
        </w:rPr>
        <w:t xml:space="preserve"> system should avoid negative impacts to legacy GSM/WCDMA/LTE system(s) deployed in the same frequency band and adhere to the regulatory </w:t>
      </w:r>
      <w:r w:rsidRPr="0079202E">
        <w:rPr>
          <w:bCs/>
        </w:rPr>
        <w:t>requirements which apply to the spectrum bands in which the system operates.</w:t>
      </w:r>
    </w:p>
    <w:p w:rsidR="005E1013" w:rsidRPr="0079202E" w:rsidRDefault="005E1013" w:rsidP="005E1013">
      <w:pPr>
        <w:pStyle w:val="Heading3"/>
        <w:spacing w:after="120"/>
        <w:rPr>
          <w:rFonts w:cs="Arial"/>
          <w:color w:val="000000"/>
          <w:szCs w:val="28"/>
        </w:rPr>
      </w:pPr>
      <w:bookmarkStart w:id="32" w:name="_Toc427827359"/>
      <w:r w:rsidRPr="0079202E">
        <w:rPr>
          <w:rFonts w:cs="Arial"/>
          <w:color w:val="000000"/>
          <w:szCs w:val="28"/>
        </w:rPr>
        <w:t>4.2.2</w:t>
      </w:r>
      <w:r w:rsidRPr="0079202E">
        <w:rPr>
          <w:rFonts w:cs="Arial"/>
          <w:color w:val="000000"/>
          <w:szCs w:val="28"/>
        </w:rPr>
        <w:tab/>
        <w:t>Implementation impact to base stations</w:t>
      </w:r>
      <w:bookmarkEnd w:id="32"/>
    </w:p>
    <w:p w:rsidR="005E1013" w:rsidRDefault="005E1013" w:rsidP="005E1013">
      <w:pPr>
        <w:pStyle w:val="NO"/>
        <w:ind w:left="0" w:firstLine="0"/>
        <w:rPr>
          <w:color w:val="000000"/>
          <w:lang w:eastAsia="zh-CN"/>
        </w:rPr>
      </w:pPr>
      <w:r w:rsidRPr="0079202E">
        <w:rPr>
          <w:color w:val="000000"/>
          <w:lang w:eastAsia="zh-CN"/>
        </w:rPr>
        <w:t xml:space="preserve">Impacts to the </w:t>
      </w:r>
      <w:del w:id="33" w:author="Siva Subramani (Vodafone)" w:date="2015-09-29T15:41:00Z">
        <w:r w:rsidRPr="0079202E" w:rsidDel="00615677">
          <w:rPr>
            <w:color w:val="000000"/>
            <w:lang w:eastAsia="zh-CN"/>
          </w:rPr>
          <w:delText>GPRS/EDGE</w:delText>
        </w:r>
      </w:del>
      <w:del w:id="34" w:author="Siva Subramani (Vodafone)" w:date="2015-09-29T15:56:00Z">
        <w:r w:rsidRPr="0079202E" w:rsidDel="00503393">
          <w:rPr>
            <w:color w:val="000000"/>
            <w:lang w:eastAsia="zh-CN"/>
          </w:rPr>
          <w:delText xml:space="preserve"> </w:delText>
        </w:r>
      </w:del>
      <w:r w:rsidRPr="0079202E">
        <w:rPr>
          <w:color w:val="000000"/>
          <w:lang w:eastAsia="zh-CN"/>
        </w:rPr>
        <w:t xml:space="preserve">base station hardware should be </w:t>
      </w:r>
      <w:r>
        <w:rPr>
          <w:color w:val="000000"/>
          <w:lang w:eastAsia="zh-CN"/>
        </w:rPr>
        <w:t>minimized</w:t>
      </w:r>
      <w:r w:rsidRPr="0079202E">
        <w:rPr>
          <w:color w:val="000000"/>
          <w:lang w:eastAsia="zh-CN"/>
        </w:rPr>
        <w:t xml:space="preserve">. </w:t>
      </w:r>
    </w:p>
    <w:p w:rsidR="00893DF5" w:rsidRDefault="00893DF5" w:rsidP="005E1013">
      <w:pPr>
        <w:pStyle w:val="NO"/>
        <w:ind w:left="0" w:firstLine="0"/>
        <w:rPr>
          <w:ins w:id="35" w:author="Siva Subramani (Vodafone)" w:date="2015-09-29T15:50:00Z"/>
          <w:color w:val="000000"/>
        </w:rPr>
      </w:pPr>
      <w:ins w:id="36" w:author="Siva Subramani (Vodafone)" w:date="2015-09-29T15:48:00Z">
        <w:r>
          <w:rPr>
            <w:color w:val="000000"/>
          </w:rPr>
          <w:lastRenderedPageBreak/>
          <w:t xml:space="preserve">Baseband Unit (BBU): Impacts on </w:t>
        </w:r>
      </w:ins>
      <w:ins w:id="37" w:author="Siva Subramani (Vodafone)" w:date="2015-09-29T15:49:00Z">
        <w:r>
          <w:rPr>
            <w:color w:val="000000"/>
          </w:rPr>
          <w:t>LTE baseband digital unit should be minimal. NB IOT technology should be</w:t>
        </w:r>
      </w:ins>
      <w:ins w:id="38" w:author="Siva Subramani (Vodafone)" w:date="2015-09-29T15:57:00Z">
        <w:r w:rsidR="00503393">
          <w:rPr>
            <w:color w:val="000000"/>
          </w:rPr>
          <w:t xml:space="preserve"> able to be remotely loaded </w:t>
        </w:r>
      </w:ins>
      <w:ins w:id="39" w:author="Siva Subramani (Vodafone)" w:date="2015-09-29T15:50:00Z">
        <w:r>
          <w:rPr>
            <w:color w:val="000000"/>
          </w:rPr>
          <w:t>on the exi</w:t>
        </w:r>
        <w:bookmarkStart w:id="40" w:name="_GoBack"/>
        <w:bookmarkEnd w:id="40"/>
        <w:r>
          <w:rPr>
            <w:color w:val="000000"/>
          </w:rPr>
          <w:t>sting BBU infrastructure.</w:t>
        </w:r>
      </w:ins>
    </w:p>
    <w:p w:rsidR="00893DF5" w:rsidRPr="0079202E" w:rsidRDefault="00893DF5" w:rsidP="005E1013">
      <w:pPr>
        <w:pStyle w:val="NO"/>
        <w:ind w:left="0" w:firstLine="0"/>
        <w:rPr>
          <w:color w:val="000000"/>
        </w:rPr>
      </w:pPr>
      <w:ins w:id="41" w:author="Siva Subramani (Vodafone)" w:date="2015-09-29T15:50:00Z">
        <w:r>
          <w:rPr>
            <w:color w:val="000000"/>
          </w:rPr>
          <w:t xml:space="preserve">Radio Remote Unit (RRU): </w:t>
        </w:r>
      </w:ins>
      <w:ins w:id="42" w:author="Siva Subramani (Vodafone)" w:date="2015-09-29T15:51:00Z">
        <w:r>
          <w:rPr>
            <w:color w:val="000000"/>
          </w:rPr>
          <w:t>Maximum re-use of existing</w:t>
        </w:r>
        <w:r w:rsidRPr="0079202E">
          <w:t xml:space="preserve"> </w:t>
        </w:r>
        <w:r>
          <w:t xml:space="preserve">equipment, such as </w:t>
        </w:r>
        <w:r w:rsidRPr="0079202E">
          <w:t xml:space="preserve">antennas, </w:t>
        </w:r>
        <w:proofErr w:type="gramStart"/>
        <w:r w:rsidRPr="0079202E">
          <w:t>feeder cables etc.</w:t>
        </w:r>
        <w:r>
          <w:t xml:space="preserve"> </w:t>
        </w:r>
        <w:r>
          <w:t>is</w:t>
        </w:r>
        <w:proofErr w:type="gramEnd"/>
        <w:r>
          <w:t xml:space="preserve"> required</w:t>
        </w:r>
      </w:ins>
      <w:ins w:id="43" w:author="Siva Subramani (Vodafone)" w:date="2015-09-29T15:52:00Z">
        <w:r>
          <w:t>. The assumption is that GSM-capable RRU complies with MSR specifications</w:t>
        </w:r>
      </w:ins>
    </w:p>
    <w:p w:rsidR="005E1013" w:rsidRPr="0079202E" w:rsidRDefault="005E1013" w:rsidP="005E1013">
      <w:pPr>
        <w:pStyle w:val="Heading3"/>
        <w:spacing w:after="120"/>
        <w:rPr>
          <w:rFonts w:cs="Arial"/>
          <w:color w:val="000000"/>
          <w:szCs w:val="28"/>
        </w:rPr>
      </w:pPr>
      <w:bookmarkStart w:id="44" w:name="_Toc427827360"/>
      <w:r w:rsidRPr="0079202E">
        <w:rPr>
          <w:rFonts w:cs="Arial"/>
          <w:color w:val="000000"/>
          <w:szCs w:val="28"/>
        </w:rPr>
        <w:t>4.2.3</w:t>
      </w:r>
      <w:r w:rsidRPr="0079202E">
        <w:rPr>
          <w:rFonts w:cs="Arial"/>
          <w:color w:val="000000"/>
          <w:szCs w:val="28"/>
        </w:rPr>
        <w:tab/>
        <w:t>Implementation impact to mobile station</w:t>
      </w:r>
      <w:bookmarkEnd w:id="44"/>
    </w:p>
    <w:p w:rsidR="005E1013" w:rsidRPr="0079202E" w:rsidRDefault="005E1013" w:rsidP="005E1013">
      <w:r w:rsidRPr="0079202E">
        <w:t xml:space="preserve">Mobile stations for Cellular </w:t>
      </w:r>
      <w:proofErr w:type="spellStart"/>
      <w:r w:rsidRPr="0079202E">
        <w:t>IoT</w:t>
      </w:r>
      <w:proofErr w:type="spellEnd"/>
      <w:r w:rsidRPr="0079202E">
        <w:t xml:space="preserve"> need not be compatible with legacy GPRS networks.</w:t>
      </w:r>
    </w:p>
    <w:p w:rsidR="009914A0" w:rsidRDefault="009914A0" w:rsidP="00292813">
      <w:pPr>
        <w:rPr>
          <w:sz w:val="22"/>
        </w:rPr>
      </w:pPr>
    </w:p>
    <w:p w:rsidR="00615677" w:rsidRDefault="00615677" w:rsidP="00615677">
      <w:pPr>
        <w:pStyle w:val="Heading1"/>
      </w:pPr>
      <w:bookmarkStart w:id="45" w:name="_Toc427827462"/>
      <w:r w:rsidRPr="007226BB">
        <w:lastRenderedPageBreak/>
        <w:t>Annex A:</w:t>
      </w:r>
      <w:r>
        <w:t xml:space="preserve"> </w:t>
      </w:r>
      <w:r w:rsidRPr="00E807A5">
        <w:t>Deployment</w:t>
      </w:r>
      <w:r w:rsidRPr="0079202E">
        <w:t xml:space="preserve"> scenarios for Cellular </w:t>
      </w:r>
      <w:proofErr w:type="spellStart"/>
      <w:r w:rsidRPr="0079202E">
        <w:t>IoT</w:t>
      </w:r>
      <w:bookmarkEnd w:id="45"/>
      <w:proofErr w:type="spellEnd"/>
    </w:p>
    <w:p w:rsidR="00615677" w:rsidRPr="000F299B" w:rsidRDefault="00615677" w:rsidP="0061567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106"/>
      </w:tblGrid>
      <w:tr w:rsidR="00615677" w:rsidRPr="0079202E" w:rsidTr="00D96CB2">
        <w:trPr>
          <w:jc w:val="center"/>
        </w:trPr>
        <w:tc>
          <w:tcPr>
            <w:tcW w:w="2376" w:type="dxa"/>
            <w:shd w:val="clear" w:color="auto" w:fill="auto"/>
          </w:tcPr>
          <w:p w:rsidR="00615677" w:rsidRPr="0079202E" w:rsidRDefault="00615677" w:rsidP="00D96CB2">
            <w:pPr>
              <w:pStyle w:val="TAH"/>
            </w:pPr>
            <w:r w:rsidRPr="0079202E">
              <w:t>Scenario</w:t>
            </w:r>
          </w:p>
        </w:tc>
        <w:tc>
          <w:tcPr>
            <w:tcW w:w="6106" w:type="dxa"/>
            <w:shd w:val="clear" w:color="auto" w:fill="auto"/>
          </w:tcPr>
          <w:p w:rsidR="00615677" w:rsidRPr="0079202E" w:rsidRDefault="00615677" w:rsidP="00D96CB2">
            <w:pPr>
              <w:pStyle w:val="TAH"/>
            </w:pPr>
            <w:r w:rsidRPr="0079202E">
              <w:t>Description</w:t>
            </w:r>
          </w:p>
        </w:tc>
      </w:tr>
      <w:tr w:rsidR="00615677" w:rsidRPr="0079202E" w:rsidTr="00D96CB2">
        <w:trPr>
          <w:jc w:val="center"/>
        </w:trPr>
        <w:tc>
          <w:tcPr>
            <w:tcW w:w="2376" w:type="dxa"/>
            <w:shd w:val="clear" w:color="auto" w:fill="auto"/>
          </w:tcPr>
          <w:p w:rsidR="00615677" w:rsidRPr="0079202E" w:rsidRDefault="00615677" w:rsidP="00D96CB2">
            <w:pPr>
              <w:pStyle w:val="TAC"/>
            </w:pPr>
            <w:r w:rsidRPr="0079202E">
              <w:t>Deep coverage (in building)</w:t>
            </w:r>
          </w:p>
        </w:tc>
        <w:tc>
          <w:tcPr>
            <w:tcW w:w="6106" w:type="dxa"/>
            <w:shd w:val="clear" w:color="auto" w:fill="auto"/>
          </w:tcPr>
          <w:p w:rsidR="00615677" w:rsidRPr="0079202E" w:rsidRDefault="00615677" w:rsidP="00D96CB2">
            <w:pPr>
              <w:pStyle w:val="TAL"/>
            </w:pPr>
            <w:r w:rsidRPr="0079202E">
              <w:t xml:space="preserve">Cellular </w:t>
            </w:r>
            <w:proofErr w:type="spellStart"/>
            <w:r w:rsidRPr="0079202E">
              <w:t>IoT</w:t>
            </w:r>
            <w:proofErr w:type="spellEnd"/>
            <w:r w:rsidRPr="0079202E">
              <w:t xml:space="preserve"> devices are typically expected to be deployed indoor, with some devices in basements or underground or embedded in objects, where they may be subjected to deep penetration losses (up to 20 dB more than legacy GPRS). </w:t>
            </w:r>
          </w:p>
          <w:p w:rsidR="00615677" w:rsidRPr="0079202E" w:rsidRDefault="00615677" w:rsidP="00D96CB2">
            <w:pPr>
              <w:pStyle w:val="TAL"/>
            </w:pPr>
          </w:p>
        </w:tc>
      </w:tr>
      <w:tr w:rsidR="00615677" w:rsidRPr="0079202E" w:rsidTr="00D96CB2">
        <w:trPr>
          <w:jc w:val="center"/>
        </w:trPr>
        <w:tc>
          <w:tcPr>
            <w:tcW w:w="2376" w:type="dxa"/>
            <w:shd w:val="clear" w:color="auto" w:fill="auto"/>
          </w:tcPr>
          <w:p w:rsidR="00615677" w:rsidRPr="0079202E" w:rsidRDefault="00615677" w:rsidP="00D96CB2">
            <w:pPr>
              <w:pStyle w:val="TAC"/>
            </w:pPr>
            <w:r w:rsidRPr="0079202E">
              <w:t xml:space="preserve"> Extended geographic coverage</w:t>
            </w:r>
          </w:p>
        </w:tc>
        <w:tc>
          <w:tcPr>
            <w:tcW w:w="6106" w:type="dxa"/>
            <w:shd w:val="clear" w:color="auto" w:fill="auto"/>
          </w:tcPr>
          <w:p w:rsidR="00615677" w:rsidRPr="0079202E" w:rsidRDefault="00615677" w:rsidP="00D96CB2">
            <w:pPr>
              <w:pStyle w:val="TAL"/>
            </w:pPr>
            <w:r w:rsidRPr="0079202E">
              <w:t xml:space="preserve">When the Maximum Coupling Loss is not exceeded, it is required that Cellular </w:t>
            </w:r>
            <w:proofErr w:type="spellStart"/>
            <w:r w:rsidRPr="0079202E">
              <w:t>IoT</w:t>
            </w:r>
            <w:proofErr w:type="spellEnd"/>
            <w:r w:rsidRPr="0079202E">
              <w:t xml:space="preserve"> can support a cell radius of 35 km.</w:t>
            </w:r>
          </w:p>
          <w:p w:rsidR="00615677" w:rsidRPr="0079202E" w:rsidRDefault="00615677" w:rsidP="00D96CB2">
            <w:pPr>
              <w:pStyle w:val="TAL"/>
              <w:rPr>
                <w:color w:val="000000"/>
              </w:rPr>
            </w:pPr>
            <w:r w:rsidRPr="0079202E">
              <w:rPr>
                <w:color w:val="000000"/>
              </w:rPr>
              <w:t>Operation at values of cell radius &gt;35 km according to the Maximum Coupling Loss is desirable but a secondary objective.</w:t>
            </w:r>
          </w:p>
        </w:tc>
      </w:tr>
      <w:tr w:rsidR="00615677" w:rsidRPr="0079202E" w:rsidTr="00D96CB2">
        <w:trPr>
          <w:jc w:val="center"/>
        </w:trPr>
        <w:tc>
          <w:tcPr>
            <w:tcW w:w="2376" w:type="dxa"/>
            <w:shd w:val="clear" w:color="auto" w:fill="auto"/>
          </w:tcPr>
          <w:p w:rsidR="00615677" w:rsidRPr="0079202E" w:rsidRDefault="00615677" w:rsidP="00D96CB2">
            <w:pPr>
              <w:pStyle w:val="TAC"/>
            </w:pPr>
          </w:p>
          <w:p w:rsidR="00615677" w:rsidRPr="0079202E" w:rsidRDefault="00615677" w:rsidP="00D96CB2">
            <w:pPr>
              <w:pStyle w:val="TAC"/>
            </w:pPr>
            <w:r w:rsidRPr="0079202E">
              <w:t>Mobility</w:t>
            </w:r>
          </w:p>
        </w:tc>
        <w:tc>
          <w:tcPr>
            <w:tcW w:w="6106" w:type="dxa"/>
            <w:shd w:val="clear" w:color="auto" w:fill="auto"/>
          </w:tcPr>
          <w:p w:rsidR="00615677" w:rsidRPr="0079202E" w:rsidRDefault="00615677" w:rsidP="00D96CB2">
            <w:pPr>
              <w:pStyle w:val="TAL"/>
            </w:pPr>
            <w:r w:rsidRPr="0079202E">
              <w:rPr>
                <w:color w:val="000000"/>
              </w:rPr>
              <w:t xml:space="preserve">The majority of cellular </w:t>
            </w:r>
            <w:proofErr w:type="spellStart"/>
            <w:r w:rsidRPr="0079202E">
              <w:rPr>
                <w:color w:val="000000"/>
              </w:rPr>
              <w:t>IoT</w:t>
            </w:r>
            <w:proofErr w:type="spellEnd"/>
            <w:r w:rsidRPr="0079202E">
              <w:rPr>
                <w:color w:val="000000"/>
              </w:rPr>
              <w:t xml:space="preserve"> devices will be stationary. Cellular </w:t>
            </w:r>
            <w:proofErr w:type="spellStart"/>
            <w:r w:rsidRPr="0079202E">
              <w:rPr>
                <w:color w:val="000000"/>
              </w:rPr>
              <w:t>IoT</w:t>
            </w:r>
            <w:proofErr w:type="spellEnd"/>
            <w:r w:rsidRPr="0079202E">
              <w:rPr>
                <w:color w:val="000000"/>
              </w:rPr>
              <w:t xml:space="preserve"> is expected to be designed and </w:t>
            </w:r>
            <w:r>
              <w:rPr>
                <w:color w:val="000000"/>
              </w:rPr>
              <w:t>optimized</w:t>
            </w:r>
            <w:r w:rsidRPr="0079202E">
              <w:rPr>
                <w:color w:val="000000"/>
              </w:rPr>
              <w:t xml:space="preserve"> for stationary devices.</w:t>
            </w:r>
          </w:p>
          <w:p w:rsidR="00615677" w:rsidRPr="0079202E" w:rsidRDefault="00615677" w:rsidP="00D96CB2">
            <w:pPr>
              <w:pStyle w:val="TAL"/>
              <w:rPr>
                <w:color w:val="000000"/>
              </w:rPr>
            </w:pPr>
            <w:r w:rsidRPr="0079202E">
              <w:rPr>
                <w:color w:val="000000"/>
              </w:rPr>
              <w:t xml:space="preserve">The performance requirements and methodology for performance evaluation for stationary and non-stationary scenarios are </w:t>
            </w:r>
            <w:r>
              <w:rPr>
                <w:color w:val="000000"/>
              </w:rPr>
              <w:t>summarized</w:t>
            </w:r>
            <w:r w:rsidRPr="0079202E">
              <w:rPr>
                <w:color w:val="000000"/>
              </w:rPr>
              <w:t xml:space="preserve"> in the following table. </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694"/>
              <w:gridCol w:w="679"/>
              <w:gridCol w:w="680"/>
              <w:gridCol w:w="2024"/>
            </w:tblGrid>
            <w:tr w:rsidR="00615677" w:rsidRPr="0079202E" w:rsidTr="00D96CB2">
              <w:trPr>
                <w:jc w:val="center"/>
              </w:trPr>
              <w:tc>
                <w:tcPr>
                  <w:tcW w:w="2117" w:type="dxa"/>
                  <w:tcBorders>
                    <w:top w:val="nil"/>
                    <w:left w:val="nil"/>
                    <w:bottom w:val="single" w:sz="4" w:space="0" w:color="auto"/>
                  </w:tcBorders>
                  <w:shd w:val="clear" w:color="auto" w:fill="FFFFFF"/>
                </w:tcPr>
                <w:p w:rsidR="00615677" w:rsidRPr="0079202E" w:rsidRDefault="00615677" w:rsidP="00D96CB2">
                  <w:pPr>
                    <w:pStyle w:val="TAL"/>
                    <w:rPr>
                      <w:color w:val="000000"/>
                    </w:rPr>
                  </w:pPr>
                </w:p>
              </w:tc>
              <w:tc>
                <w:tcPr>
                  <w:tcW w:w="871" w:type="dxa"/>
                  <w:tcBorders>
                    <w:bottom w:val="double" w:sz="4" w:space="0" w:color="auto"/>
                  </w:tcBorders>
                  <w:shd w:val="clear" w:color="auto" w:fill="auto"/>
                </w:tcPr>
                <w:p w:rsidR="00615677" w:rsidRPr="0079202E" w:rsidRDefault="00615677" w:rsidP="00D96CB2">
                  <w:pPr>
                    <w:pStyle w:val="TAL"/>
                    <w:rPr>
                      <w:b/>
                      <w:color w:val="000000"/>
                    </w:rPr>
                  </w:pPr>
                  <w:r w:rsidRPr="0079202E">
                    <w:rPr>
                      <w:b/>
                      <w:color w:val="000000"/>
                    </w:rPr>
                    <w:t>20 dB extra-coverage</w:t>
                  </w:r>
                </w:p>
              </w:tc>
              <w:tc>
                <w:tcPr>
                  <w:tcW w:w="850" w:type="dxa"/>
                  <w:tcBorders>
                    <w:bottom w:val="double" w:sz="4" w:space="0" w:color="auto"/>
                  </w:tcBorders>
                  <w:shd w:val="clear" w:color="auto" w:fill="auto"/>
                </w:tcPr>
                <w:p w:rsidR="00615677" w:rsidRPr="0079202E" w:rsidRDefault="00615677" w:rsidP="00D96CB2">
                  <w:pPr>
                    <w:pStyle w:val="TAL"/>
                    <w:rPr>
                      <w:b/>
                      <w:color w:val="000000"/>
                    </w:rPr>
                  </w:pPr>
                  <w:r w:rsidRPr="0079202E">
                    <w:rPr>
                      <w:b/>
                      <w:color w:val="000000"/>
                    </w:rPr>
                    <w:t>160 bps data rate</w:t>
                  </w:r>
                </w:p>
              </w:tc>
              <w:tc>
                <w:tcPr>
                  <w:tcW w:w="851" w:type="dxa"/>
                  <w:tcBorders>
                    <w:bottom w:val="double" w:sz="4" w:space="0" w:color="auto"/>
                  </w:tcBorders>
                  <w:shd w:val="clear" w:color="auto" w:fill="auto"/>
                </w:tcPr>
                <w:p w:rsidR="00615677" w:rsidRPr="0079202E" w:rsidRDefault="00615677" w:rsidP="00D96CB2">
                  <w:pPr>
                    <w:pStyle w:val="TAL"/>
                    <w:rPr>
                      <w:b/>
                      <w:color w:val="000000"/>
                    </w:rPr>
                  </w:pPr>
                  <w:r w:rsidRPr="0079202E">
                    <w:rPr>
                      <w:b/>
                      <w:color w:val="000000"/>
                    </w:rPr>
                    <w:t>10-year battery life</w:t>
                  </w:r>
                </w:p>
              </w:tc>
              <w:tc>
                <w:tcPr>
                  <w:tcW w:w="2714" w:type="dxa"/>
                  <w:tcBorders>
                    <w:bottom w:val="double" w:sz="4" w:space="0" w:color="auto"/>
                  </w:tcBorders>
                  <w:shd w:val="clear" w:color="auto" w:fill="auto"/>
                </w:tcPr>
                <w:p w:rsidR="00615677" w:rsidRPr="0079202E" w:rsidRDefault="00615677" w:rsidP="00D96CB2">
                  <w:pPr>
                    <w:pStyle w:val="TAL"/>
                    <w:rPr>
                      <w:b/>
                      <w:color w:val="000000"/>
                    </w:rPr>
                  </w:pPr>
                  <w:r w:rsidRPr="0079202E">
                    <w:rPr>
                      <w:b/>
                      <w:color w:val="000000"/>
                    </w:rPr>
                    <w:t>system capacity evaluation</w:t>
                  </w:r>
                </w:p>
              </w:tc>
            </w:tr>
            <w:tr w:rsidR="00615677" w:rsidRPr="0079202E" w:rsidTr="00D96CB2">
              <w:trPr>
                <w:jc w:val="center"/>
              </w:trPr>
              <w:tc>
                <w:tcPr>
                  <w:tcW w:w="2117" w:type="dxa"/>
                  <w:tcBorders>
                    <w:right w:val="double" w:sz="4" w:space="0" w:color="auto"/>
                  </w:tcBorders>
                  <w:shd w:val="clear" w:color="auto" w:fill="auto"/>
                </w:tcPr>
                <w:p w:rsidR="00615677" w:rsidRPr="0079202E" w:rsidRDefault="00615677" w:rsidP="00D96CB2">
                  <w:pPr>
                    <w:pStyle w:val="TAL"/>
                    <w:rPr>
                      <w:b/>
                      <w:color w:val="000000"/>
                    </w:rPr>
                  </w:pPr>
                  <w:r w:rsidRPr="0079202E">
                    <w:rPr>
                      <w:b/>
                      <w:color w:val="000000"/>
                    </w:rPr>
                    <w:t xml:space="preserve">Stationary </w:t>
                  </w:r>
                  <w:proofErr w:type="spellStart"/>
                  <w:r w:rsidRPr="0079202E">
                    <w:rPr>
                      <w:b/>
                      <w:color w:val="000000"/>
                    </w:rPr>
                    <w:t>CIoT</w:t>
                  </w:r>
                  <w:proofErr w:type="spellEnd"/>
                  <w:r w:rsidRPr="0079202E">
                    <w:rPr>
                      <w:b/>
                      <w:color w:val="000000"/>
                    </w:rPr>
                    <w:t xml:space="preserve"> devices</w:t>
                  </w:r>
                  <w:r>
                    <w:rPr>
                      <w:b/>
                      <w:color w:val="000000"/>
                      <w:vertAlign w:val="superscript"/>
                    </w:rPr>
                    <w:t>5</w:t>
                  </w:r>
                </w:p>
              </w:tc>
              <w:tc>
                <w:tcPr>
                  <w:tcW w:w="871" w:type="dxa"/>
                  <w:tcBorders>
                    <w:top w:val="double" w:sz="4" w:space="0" w:color="auto"/>
                    <w:left w:val="double" w:sz="4" w:space="0" w:color="auto"/>
                  </w:tcBorders>
                  <w:shd w:val="clear" w:color="auto" w:fill="92D050"/>
                </w:tcPr>
                <w:p w:rsidR="00615677" w:rsidRPr="0079202E" w:rsidRDefault="00615677" w:rsidP="00D96CB2">
                  <w:pPr>
                    <w:pStyle w:val="TAL"/>
                    <w:rPr>
                      <w:color w:val="000000"/>
                    </w:rPr>
                  </w:pPr>
                  <w:r w:rsidRPr="0079202E">
                    <w:rPr>
                      <w:color w:val="000000"/>
                    </w:rPr>
                    <w:t>Yes</w:t>
                  </w:r>
                </w:p>
              </w:tc>
              <w:tc>
                <w:tcPr>
                  <w:tcW w:w="850" w:type="dxa"/>
                  <w:tcBorders>
                    <w:top w:val="double" w:sz="4" w:space="0" w:color="auto"/>
                  </w:tcBorders>
                  <w:shd w:val="clear" w:color="auto" w:fill="92D050"/>
                </w:tcPr>
                <w:p w:rsidR="00615677" w:rsidRPr="0079202E" w:rsidRDefault="00615677" w:rsidP="00D96CB2">
                  <w:pPr>
                    <w:pStyle w:val="TAL"/>
                    <w:rPr>
                      <w:color w:val="000000"/>
                    </w:rPr>
                  </w:pPr>
                  <w:r w:rsidRPr="0079202E">
                    <w:rPr>
                      <w:color w:val="000000"/>
                    </w:rPr>
                    <w:t>Yes</w:t>
                  </w:r>
                </w:p>
              </w:tc>
              <w:tc>
                <w:tcPr>
                  <w:tcW w:w="851" w:type="dxa"/>
                  <w:tcBorders>
                    <w:top w:val="double" w:sz="4" w:space="0" w:color="auto"/>
                  </w:tcBorders>
                  <w:shd w:val="clear" w:color="auto" w:fill="92D050"/>
                </w:tcPr>
                <w:p w:rsidR="00615677" w:rsidRPr="0079202E" w:rsidRDefault="00615677" w:rsidP="00D96CB2">
                  <w:pPr>
                    <w:pStyle w:val="TAL"/>
                    <w:rPr>
                      <w:color w:val="000000"/>
                    </w:rPr>
                  </w:pPr>
                  <w:r w:rsidRPr="0079202E">
                    <w:rPr>
                      <w:color w:val="000000"/>
                    </w:rPr>
                    <w:t>Yes</w:t>
                  </w:r>
                </w:p>
              </w:tc>
              <w:tc>
                <w:tcPr>
                  <w:tcW w:w="2714" w:type="dxa"/>
                  <w:tcBorders>
                    <w:top w:val="double" w:sz="4" w:space="0" w:color="auto"/>
                  </w:tcBorders>
                  <w:shd w:val="clear" w:color="auto" w:fill="92D050"/>
                </w:tcPr>
                <w:p w:rsidR="00615677" w:rsidRPr="0079202E" w:rsidRDefault="00615677" w:rsidP="00D96CB2">
                  <w:pPr>
                    <w:pStyle w:val="TAL"/>
                    <w:rPr>
                      <w:color w:val="000000"/>
                    </w:rPr>
                  </w:pPr>
                  <w:r w:rsidRPr="0079202E">
                    <w:rPr>
                      <w:color w:val="000000"/>
                    </w:rPr>
                    <w:t>Yes</w:t>
                  </w:r>
                </w:p>
              </w:tc>
            </w:tr>
            <w:tr w:rsidR="00615677" w:rsidRPr="0079202E" w:rsidTr="00D96CB2">
              <w:trPr>
                <w:jc w:val="center"/>
              </w:trPr>
              <w:tc>
                <w:tcPr>
                  <w:tcW w:w="2117" w:type="dxa"/>
                  <w:tcBorders>
                    <w:right w:val="double" w:sz="4" w:space="0" w:color="auto"/>
                  </w:tcBorders>
                  <w:shd w:val="clear" w:color="auto" w:fill="auto"/>
                </w:tcPr>
                <w:p w:rsidR="00615677" w:rsidRPr="0079202E" w:rsidRDefault="00615677" w:rsidP="00D96CB2">
                  <w:pPr>
                    <w:pStyle w:val="TAL"/>
                    <w:rPr>
                      <w:b/>
                      <w:color w:val="000000"/>
                    </w:rPr>
                  </w:pPr>
                  <w:r w:rsidRPr="0079202E">
                    <w:rPr>
                      <w:b/>
                      <w:color w:val="000000"/>
                    </w:rPr>
                    <w:t xml:space="preserve">Non-stationary (up to 30 km/h) </w:t>
                  </w:r>
                  <w:proofErr w:type="spellStart"/>
                  <w:r w:rsidRPr="0079202E">
                    <w:rPr>
                      <w:b/>
                      <w:color w:val="000000"/>
                    </w:rPr>
                    <w:t>CIoT</w:t>
                  </w:r>
                  <w:proofErr w:type="spellEnd"/>
                  <w:r w:rsidRPr="0079202E">
                    <w:rPr>
                      <w:b/>
                      <w:color w:val="000000"/>
                    </w:rPr>
                    <w:t xml:space="preserve"> devices</w:t>
                  </w:r>
                </w:p>
              </w:tc>
              <w:tc>
                <w:tcPr>
                  <w:tcW w:w="871" w:type="dxa"/>
                  <w:tcBorders>
                    <w:left w:val="double" w:sz="4" w:space="0" w:color="auto"/>
                  </w:tcBorders>
                  <w:shd w:val="clear" w:color="auto" w:fill="FF0000"/>
                </w:tcPr>
                <w:p w:rsidR="00615677" w:rsidRPr="0079202E" w:rsidRDefault="00615677" w:rsidP="00D96CB2">
                  <w:pPr>
                    <w:pStyle w:val="TAL"/>
                    <w:rPr>
                      <w:color w:val="000000"/>
                    </w:rPr>
                  </w:pPr>
                  <w:r w:rsidRPr="0079202E">
                    <w:rPr>
                      <w:color w:val="000000"/>
                    </w:rPr>
                    <w:t>No</w:t>
                  </w:r>
                  <w:r w:rsidRPr="0079202E">
                    <w:rPr>
                      <w:color w:val="000000"/>
                      <w:vertAlign w:val="superscript"/>
                    </w:rPr>
                    <w:t>1</w:t>
                  </w:r>
                </w:p>
                <w:p w:rsidR="00615677" w:rsidRPr="0079202E" w:rsidRDefault="00615677" w:rsidP="00D96CB2">
                  <w:pPr>
                    <w:pStyle w:val="TAL"/>
                    <w:rPr>
                      <w:color w:val="000000"/>
                    </w:rPr>
                  </w:pPr>
                  <w:r w:rsidRPr="0079202E" w:rsidDel="00574606">
                    <w:rPr>
                      <w:color w:val="000000"/>
                    </w:rPr>
                    <w:t xml:space="preserve">  </w:t>
                  </w:r>
                </w:p>
              </w:tc>
              <w:tc>
                <w:tcPr>
                  <w:tcW w:w="850" w:type="dxa"/>
                  <w:shd w:val="clear" w:color="auto" w:fill="92D050"/>
                </w:tcPr>
                <w:p w:rsidR="00615677" w:rsidRPr="0079202E" w:rsidRDefault="00615677" w:rsidP="00D96CB2">
                  <w:pPr>
                    <w:pStyle w:val="TAL"/>
                    <w:rPr>
                      <w:color w:val="000000"/>
                    </w:rPr>
                  </w:pPr>
                  <w:r w:rsidRPr="0079202E">
                    <w:rPr>
                      <w:color w:val="000000"/>
                    </w:rPr>
                    <w:t>Yes</w:t>
                  </w:r>
                  <w:r w:rsidRPr="0079202E">
                    <w:rPr>
                      <w:color w:val="000000"/>
                      <w:vertAlign w:val="superscript"/>
                    </w:rPr>
                    <w:t>2</w:t>
                  </w:r>
                </w:p>
              </w:tc>
              <w:tc>
                <w:tcPr>
                  <w:tcW w:w="851" w:type="dxa"/>
                  <w:shd w:val="clear" w:color="auto" w:fill="FF0000"/>
                </w:tcPr>
                <w:p w:rsidR="00615677" w:rsidRPr="0079202E" w:rsidRDefault="00615677" w:rsidP="00D96CB2">
                  <w:pPr>
                    <w:pStyle w:val="TAL"/>
                    <w:rPr>
                      <w:color w:val="000000"/>
                    </w:rPr>
                  </w:pPr>
                  <w:r w:rsidRPr="0079202E">
                    <w:rPr>
                      <w:color w:val="000000"/>
                    </w:rPr>
                    <w:t>No</w:t>
                  </w:r>
                  <w:r w:rsidRPr="0079202E">
                    <w:rPr>
                      <w:color w:val="000000"/>
                      <w:vertAlign w:val="superscript"/>
                    </w:rPr>
                    <w:t>3</w:t>
                  </w:r>
                </w:p>
              </w:tc>
              <w:tc>
                <w:tcPr>
                  <w:tcW w:w="2714" w:type="dxa"/>
                  <w:shd w:val="clear" w:color="auto" w:fill="FF0000"/>
                </w:tcPr>
                <w:p w:rsidR="00615677" w:rsidRPr="0079202E" w:rsidRDefault="00615677" w:rsidP="00D96CB2">
                  <w:pPr>
                    <w:pStyle w:val="TAL"/>
                    <w:rPr>
                      <w:color w:val="000000"/>
                    </w:rPr>
                  </w:pPr>
                  <w:r w:rsidRPr="0079202E">
                    <w:rPr>
                      <w:color w:val="000000"/>
                    </w:rPr>
                    <w:t>No</w:t>
                  </w:r>
                </w:p>
              </w:tc>
            </w:tr>
            <w:tr w:rsidR="00615677" w:rsidRPr="0079202E" w:rsidTr="00D96CB2">
              <w:trPr>
                <w:jc w:val="center"/>
              </w:trPr>
              <w:tc>
                <w:tcPr>
                  <w:tcW w:w="2117" w:type="dxa"/>
                  <w:tcBorders>
                    <w:right w:val="double" w:sz="4" w:space="0" w:color="auto"/>
                  </w:tcBorders>
                  <w:shd w:val="clear" w:color="auto" w:fill="auto"/>
                </w:tcPr>
                <w:p w:rsidR="00615677" w:rsidRPr="0079202E" w:rsidRDefault="00615677" w:rsidP="00D96CB2">
                  <w:pPr>
                    <w:pStyle w:val="TAL"/>
                    <w:rPr>
                      <w:b/>
                      <w:color w:val="000000"/>
                    </w:rPr>
                  </w:pPr>
                  <w:r w:rsidRPr="0079202E">
                    <w:rPr>
                      <w:b/>
                      <w:color w:val="000000"/>
                    </w:rPr>
                    <w:t xml:space="preserve">Non-stationary (higher than 30 km/h) </w:t>
                  </w:r>
                  <w:proofErr w:type="spellStart"/>
                  <w:r w:rsidRPr="0079202E">
                    <w:rPr>
                      <w:b/>
                      <w:color w:val="000000"/>
                    </w:rPr>
                    <w:t>CIoT</w:t>
                  </w:r>
                  <w:proofErr w:type="spellEnd"/>
                  <w:r w:rsidRPr="0079202E">
                    <w:rPr>
                      <w:b/>
                      <w:color w:val="000000"/>
                    </w:rPr>
                    <w:t xml:space="preserve"> devices</w:t>
                  </w:r>
                </w:p>
              </w:tc>
              <w:tc>
                <w:tcPr>
                  <w:tcW w:w="871" w:type="dxa"/>
                  <w:tcBorders>
                    <w:left w:val="double" w:sz="4" w:space="0" w:color="auto"/>
                  </w:tcBorders>
                  <w:shd w:val="clear" w:color="auto" w:fill="FF0000"/>
                </w:tcPr>
                <w:p w:rsidR="00615677" w:rsidRPr="0079202E" w:rsidRDefault="00615677" w:rsidP="00D96CB2">
                  <w:pPr>
                    <w:pStyle w:val="TAL"/>
                    <w:rPr>
                      <w:color w:val="000000"/>
                    </w:rPr>
                  </w:pPr>
                  <w:r w:rsidRPr="0079202E">
                    <w:rPr>
                      <w:color w:val="000000"/>
                    </w:rPr>
                    <w:t>No</w:t>
                  </w:r>
                  <w:r w:rsidRPr="0079202E">
                    <w:rPr>
                      <w:color w:val="000000"/>
                      <w:vertAlign w:val="superscript"/>
                    </w:rPr>
                    <w:t>1</w:t>
                  </w:r>
                </w:p>
              </w:tc>
              <w:tc>
                <w:tcPr>
                  <w:tcW w:w="850" w:type="dxa"/>
                  <w:shd w:val="clear" w:color="auto" w:fill="FF0000"/>
                </w:tcPr>
                <w:p w:rsidR="00615677" w:rsidRPr="0079202E" w:rsidRDefault="00615677" w:rsidP="00D96CB2">
                  <w:pPr>
                    <w:pStyle w:val="TAL"/>
                    <w:rPr>
                      <w:color w:val="000000"/>
                    </w:rPr>
                  </w:pPr>
                  <w:r w:rsidRPr="0079202E">
                    <w:rPr>
                      <w:color w:val="000000"/>
                    </w:rPr>
                    <w:t>No</w:t>
                  </w:r>
                  <w:r w:rsidRPr="0079202E">
                    <w:rPr>
                      <w:color w:val="000000"/>
                      <w:vertAlign w:val="superscript"/>
                    </w:rPr>
                    <w:t>4</w:t>
                  </w:r>
                </w:p>
              </w:tc>
              <w:tc>
                <w:tcPr>
                  <w:tcW w:w="851" w:type="dxa"/>
                  <w:shd w:val="clear" w:color="auto" w:fill="FF0000"/>
                </w:tcPr>
                <w:p w:rsidR="00615677" w:rsidRPr="0079202E" w:rsidRDefault="00615677" w:rsidP="00D96CB2">
                  <w:pPr>
                    <w:pStyle w:val="TAL"/>
                    <w:rPr>
                      <w:color w:val="000000"/>
                    </w:rPr>
                  </w:pPr>
                  <w:r w:rsidRPr="0079202E">
                    <w:rPr>
                      <w:color w:val="000000"/>
                    </w:rPr>
                    <w:t>No</w:t>
                  </w:r>
                </w:p>
              </w:tc>
              <w:tc>
                <w:tcPr>
                  <w:tcW w:w="2714" w:type="dxa"/>
                  <w:shd w:val="clear" w:color="auto" w:fill="FF0000"/>
                </w:tcPr>
                <w:p w:rsidR="00615677" w:rsidRPr="0079202E" w:rsidRDefault="00615677" w:rsidP="00D96CB2">
                  <w:pPr>
                    <w:pStyle w:val="TAL"/>
                    <w:rPr>
                      <w:color w:val="000000"/>
                    </w:rPr>
                  </w:pPr>
                  <w:r w:rsidRPr="0079202E">
                    <w:rPr>
                      <w:color w:val="000000"/>
                    </w:rPr>
                    <w:t>No</w:t>
                  </w:r>
                </w:p>
              </w:tc>
            </w:tr>
          </w:tbl>
          <w:p w:rsidR="00615677" w:rsidRPr="0079202E" w:rsidRDefault="00615677" w:rsidP="00D96CB2">
            <w:pPr>
              <w:pStyle w:val="TAL"/>
              <w:rPr>
                <w:color w:val="000000"/>
              </w:rPr>
            </w:pPr>
            <w:r w:rsidRPr="0079202E">
              <w:rPr>
                <w:color w:val="000000"/>
                <w:vertAlign w:val="superscript"/>
              </w:rPr>
              <w:t>1</w:t>
            </w:r>
            <w:r w:rsidRPr="0079202E">
              <w:rPr>
                <w:color w:val="000000"/>
              </w:rPr>
              <w:t>GPRS coverage requirements apply</w:t>
            </w:r>
          </w:p>
          <w:p w:rsidR="00615677" w:rsidRPr="0079202E" w:rsidRDefault="00615677" w:rsidP="00D96CB2">
            <w:pPr>
              <w:pStyle w:val="TAL"/>
              <w:rPr>
                <w:color w:val="000000"/>
              </w:rPr>
            </w:pPr>
            <w:r w:rsidRPr="0079202E">
              <w:rPr>
                <w:color w:val="000000"/>
                <w:vertAlign w:val="superscript"/>
              </w:rPr>
              <w:t>2</w:t>
            </w:r>
            <w:r w:rsidRPr="0079202E">
              <w:rPr>
                <w:color w:val="000000"/>
              </w:rPr>
              <w:t>Performance evaluated with link level simulations</w:t>
            </w:r>
          </w:p>
          <w:p w:rsidR="00615677" w:rsidRPr="0079202E" w:rsidRDefault="00615677" w:rsidP="00D96CB2">
            <w:pPr>
              <w:pStyle w:val="TAL"/>
              <w:rPr>
                <w:color w:val="000000"/>
              </w:rPr>
            </w:pPr>
            <w:r w:rsidRPr="0079202E">
              <w:rPr>
                <w:color w:val="000000"/>
                <w:vertAlign w:val="superscript"/>
              </w:rPr>
              <w:t>3</w:t>
            </w:r>
            <w:r w:rsidRPr="0079202E">
              <w:rPr>
                <w:color w:val="000000"/>
              </w:rPr>
              <w:t>Battery life analysis is required</w:t>
            </w:r>
          </w:p>
          <w:p w:rsidR="00615677" w:rsidRDefault="00615677" w:rsidP="00D96CB2">
            <w:pPr>
              <w:pStyle w:val="TAL"/>
              <w:rPr>
                <w:color w:val="000000"/>
              </w:rPr>
            </w:pPr>
            <w:r w:rsidRPr="0079202E">
              <w:rPr>
                <w:color w:val="000000"/>
                <w:vertAlign w:val="superscript"/>
              </w:rPr>
              <w:t>4</w:t>
            </w:r>
            <w:r w:rsidRPr="0079202E">
              <w:rPr>
                <w:color w:val="000000"/>
              </w:rPr>
              <w:t>Link level simulations may be provided by proponents to indicate actual performance at high speeds.</w:t>
            </w:r>
          </w:p>
          <w:p w:rsidR="00615677" w:rsidRPr="0079202E" w:rsidRDefault="00615677" w:rsidP="00D96CB2">
            <w:pPr>
              <w:pStyle w:val="TAL"/>
              <w:rPr>
                <w:color w:val="000000"/>
              </w:rPr>
            </w:pPr>
            <w:r>
              <w:rPr>
                <w:color w:val="000000"/>
                <w:vertAlign w:val="superscript"/>
              </w:rPr>
              <w:t>5</w:t>
            </w:r>
            <w:r>
              <w:rPr>
                <w:color w:val="000000"/>
              </w:rPr>
              <w:t xml:space="preserve">Modelled by radio channel TU1.2 and </w:t>
            </w:r>
            <w:r>
              <w:rPr>
                <w:snapToGrid w:val="0"/>
              </w:rPr>
              <w:t>Doppler spread 1 Hz</w:t>
            </w:r>
          </w:p>
        </w:tc>
      </w:tr>
      <w:tr w:rsidR="00615677" w:rsidRPr="0079202E" w:rsidTr="00D96CB2">
        <w:trPr>
          <w:jc w:val="center"/>
        </w:trPr>
        <w:tc>
          <w:tcPr>
            <w:tcW w:w="2376" w:type="dxa"/>
            <w:shd w:val="clear" w:color="auto" w:fill="auto"/>
          </w:tcPr>
          <w:p w:rsidR="00615677" w:rsidRPr="0079202E" w:rsidRDefault="00615677" w:rsidP="00D96CB2">
            <w:pPr>
              <w:pStyle w:val="TAC"/>
            </w:pPr>
            <w:r w:rsidRPr="0079202E">
              <w:t>Re-use of existing infrastructure</w:t>
            </w:r>
          </w:p>
        </w:tc>
        <w:tc>
          <w:tcPr>
            <w:tcW w:w="6106" w:type="dxa"/>
            <w:shd w:val="clear" w:color="auto" w:fill="auto"/>
          </w:tcPr>
          <w:p w:rsidR="00615677" w:rsidRDefault="00615677" w:rsidP="00D96CB2">
            <w:pPr>
              <w:pStyle w:val="TAL"/>
            </w:pPr>
            <w:r w:rsidRPr="0079202E">
              <w:t xml:space="preserve">It is expected that the Cellular </w:t>
            </w:r>
            <w:proofErr w:type="spellStart"/>
            <w:r w:rsidRPr="0079202E">
              <w:t>IoT</w:t>
            </w:r>
            <w:proofErr w:type="spellEnd"/>
            <w:r w:rsidRPr="0079202E">
              <w:t xml:space="preserve"> technology is at least deployable on existing radio access sites based on</w:t>
            </w:r>
            <w:r>
              <w:t>:</w:t>
            </w:r>
          </w:p>
          <w:p w:rsidR="00615677" w:rsidRDefault="00615677" w:rsidP="00615677">
            <w:pPr>
              <w:pStyle w:val="TAL"/>
              <w:numPr>
                <w:ilvl w:val="0"/>
                <w:numId w:val="19"/>
              </w:numPr>
            </w:pPr>
            <w:r w:rsidRPr="0079202E">
              <w:t xml:space="preserve">3GPP </w:t>
            </w:r>
            <w:r>
              <w:t>GSM/EDGE multicarrier Base Stations</w:t>
            </w:r>
          </w:p>
          <w:p w:rsidR="00615677" w:rsidRDefault="00615677" w:rsidP="00615677">
            <w:pPr>
              <w:pStyle w:val="TAL"/>
              <w:numPr>
                <w:ilvl w:val="0"/>
                <w:numId w:val="19"/>
              </w:numPr>
            </w:pPr>
            <w:r w:rsidRPr="0079202E">
              <w:t>Multi Standard Radio Base Station</w:t>
            </w:r>
            <w:r>
              <w:t>, which may or may not support GSM/EDGE operation</w:t>
            </w:r>
            <w:r w:rsidRPr="0079202E">
              <w:t xml:space="preserve"> </w:t>
            </w:r>
            <w:r>
              <w:t>s</w:t>
            </w:r>
            <w:r w:rsidRPr="0079202E">
              <w:t>pecifications</w:t>
            </w:r>
            <w:r>
              <w:t>.</w:t>
            </w:r>
          </w:p>
          <w:p w:rsidR="00615677" w:rsidRPr="0079202E" w:rsidRDefault="00615677" w:rsidP="00D96CB2">
            <w:pPr>
              <w:pStyle w:val="TAL"/>
              <w:ind w:left="47"/>
            </w:pPr>
            <w:r>
              <w:t>T</w:t>
            </w:r>
            <w:r w:rsidRPr="0079202E">
              <w:t xml:space="preserve">he re-use of existing </w:t>
            </w:r>
            <w:r>
              <w:t xml:space="preserve">equipment, such as </w:t>
            </w:r>
            <w:r w:rsidRPr="0079202E">
              <w:t>antennas, feeder cables etc.</w:t>
            </w:r>
            <w:r>
              <w:t>-is required</w:t>
            </w:r>
            <w:r w:rsidRPr="0079202E">
              <w:t xml:space="preserve"> and </w:t>
            </w:r>
            <w:r>
              <w:t xml:space="preserve">the Cellular </w:t>
            </w:r>
            <w:proofErr w:type="spellStart"/>
            <w:r>
              <w:t>IoT</w:t>
            </w:r>
            <w:proofErr w:type="spellEnd"/>
            <w:r>
              <w:t xml:space="preserve"> technology </w:t>
            </w:r>
            <w:r w:rsidRPr="0079202E">
              <w:t xml:space="preserve">can preferably be introduced as a software load </w:t>
            </w:r>
            <w:proofErr w:type="gramStart"/>
            <w:r w:rsidRPr="0079202E">
              <w:t xml:space="preserve">on </w:t>
            </w:r>
            <w:r>
              <w:t xml:space="preserve"> the</w:t>
            </w:r>
            <w:proofErr w:type="gramEnd"/>
            <w:r>
              <w:t xml:space="preserve"> above mentioned </w:t>
            </w:r>
            <w:r w:rsidRPr="0079202E">
              <w:t>existing radio access nodes</w:t>
            </w:r>
            <w:r w:rsidRPr="0079202E">
              <w:rPr>
                <w:i/>
              </w:rPr>
              <w:t>.</w:t>
            </w:r>
          </w:p>
          <w:p w:rsidR="00615677" w:rsidRPr="0079202E" w:rsidRDefault="00615677" w:rsidP="00D96CB2">
            <w:pPr>
              <w:pStyle w:val="TAL"/>
              <w:rPr>
                <w:color w:val="000000"/>
              </w:rPr>
            </w:pPr>
            <w:r w:rsidRPr="0079202E">
              <w:rPr>
                <w:color w:val="000000"/>
              </w:rPr>
              <w:t xml:space="preserve">It is expected that the Cellular </w:t>
            </w:r>
            <w:proofErr w:type="spellStart"/>
            <w:r w:rsidRPr="0079202E">
              <w:rPr>
                <w:color w:val="000000"/>
              </w:rPr>
              <w:t>IoT</w:t>
            </w:r>
            <w:proofErr w:type="spellEnd"/>
            <w:r w:rsidRPr="0079202E">
              <w:rPr>
                <w:color w:val="000000"/>
              </w:rPr>
              <w:t xml:space="preserve"> technology is deployable on an existing core network (e.g. re-using CN nodes and interfaces according to the selected </w:t>
            </w:r>
            <w:proofErr w:type="spellStart"/>
            <w:r w:rsidRPr="0079202E">
              <w:rPr>
                <w:color w:val="000000"/>
              </w:rPr>
              <w:t>CIoT</w:t>
            </w:r>
            <w:proofErr w:type="spellEnd"/>
            <w:r w:rsidRPr="0079202E">
              <w:rPr>
                <w:color w:val="000000"/>
              </w:rPr>
              <w:t xml:space="preserve"> architecture).</w:t>
            </w:r>
          </w:p>
        </w:tc>
      </w:tr>
      <w:tr w:rsidR="00615677" w:rsidRPr="0079202E" w:rsidTr="00D96CB2">
        <w:trPr>
          <w:jc w:val="center"/>
        </w:trPr>
        <w:tc>
          <w:tcPr>
            <w:tcW w:w="2376" w:type="dxa"/>
            <w:shd w:val="clear" w:color="auto" w:fill="auto"/>
          </w:tcPr>
          <w:p w:rsidR="00615677" w:rsidRPr="0079202E" w:rsidRDefault="00615677" w:rsidP="00D96CB2">
            <w:pPr>
              <w:pStyle w:val="TAC"/>
            </w:pPr>
            <w:r w:rsidRPr="0079202E">
              <w:t>Use of small amounts of licensed spectrum</w:t>
            </w:r>
          </w:p>
        </w:tc>
        <w:tc>
          <w:tcPr>
            <w:tcW w:w="6106" w:type="dxa"/>
            <w:shd w:val="clear" w:color="auto" w:fill="auto"/>
          </w:tcPr>
          <w:p w:rsidR="00615677" w:rsidRPr="0079202E" w:rsidRDefault="00615677" w:rsidP="00D96CB2">
            <w:pPr>
              <w:pStyle w:val="TAL"/>
              <w:rPr>
                <w:color w:val="000000"/>
                <w:lang w:eastAsia="zh-CN"/>
              </w:rPr>
            </w:pPr>
            <w:r w:rsidRPr="0079202E">
              <w:rPr>
                <w:color w:val="000000"/>
              </w:rPr>
              <w:t xml:space="preserve">It is expected that an initial release of a </w:t>
            </w:r>
            <w:r>
              <w:rPr>
                <w:color w:val="000000"/>
              </w:rPr>
              <w:t>'</w:t>
            </w:r>
            <w:r w:rsidRPr="0079202E">
              <w:rPr>
                <w:color w:val="000000"/>
              </w:rPr>
              <w:t xml:space="preserve">clean slate' Cellular </w:t>
            </w:r>
            <w:proofErr w:type="spellStart"/>
            <w:r w:rsidRPr="0079202E">
              <w:rPr>
                <w:color w:val="000000"/>
              </w:rPr>
              <w:t>IoT</w:t>
            </w:r>
            <w:proofErr w:type="spellEnd"/>
            <w:r w:rsidRPr="0079202E">
              <w:rPr>
                <w:color w:val="000000"/>
              </w:rPr>
              <w:t xml:space="preserve"> technology is deployable in small amounts of licensed spectrum </w:t>
            </w:r>
            <w:r w:rsidRPr="0079202E">
              <w:rPr>
                <w:color w:val="000000"/>
                <w:lang w:eastAsia="zh-CN"/>
              </w:rPr>
              <w:t xml:space="preserve">which may be available by (re)using GSM carriers, small </w:t>
            </w:r>
            <w:r w:rsidRPr="0079202E">
              <w:rPr>
                <w:color w:val="000000"/>
              </w:rPr>
              <w:t>unused parts of licensed spectrum for UMTS and small parts of licensed spectrum for LTE</w:t>
            </w:r>
            <w:r w:rsidRPr="0079202E">
              <w:rPr>
                <w:color w:val="000000"/>
                <w:lang w:eastAsia="zh-CN"/>
              </w:rPr>
              <w:t>.</w:t>
            </w:r>
            <w:r w:rsidRPr="0079202E">
              <w:rPr>
                <w:color w:val="000000"/>
              </w:rPr>
              <w:tab/>
            </w:r>
          </w:p>
          <w:p w:rsidR="00615677" w:rsidRPr="0079202E" w:rsidRDefault="00615677" w:rsidP="00D96CB2">
            <w:pPr>
              <w:pStyle w:val="TAL"/>
              <w:rPr>
                <w:i/>
                <w:color w:val="000000"/>
                <w:lang w:eastAsia="zh-CN"/>
              </w:rPr>
            </w:pPr>
            <w:r w:rsidRPr="0079202E">
              <w:rPr>
                <w:i/>
                <w:color w:val="000000"/>
                <w:lang w:eastAsia="zh-CN"/>
              </w:rPr>
              <w:t>Editor</w:t>
            </w:r>
            <w:r>
              <w:rPr>
                <w:i/>
                <w:color w:val="000000"/>
                <w:lang w:eastAsia="zh-CN"/>
              </w:rPr>
              <w:t>'</w:t>
            </w:r>
            <w:r w:rsidRPr="0079202E">
              <w:rPr>
                <w:i/>
                <w:color w:val="000000"/>
                <w:lang w:eastAsia="zh-CN"/>
              </w:rPr>
              <w:t xml:space="preserve">s Note: RAN 4 </w:t>
            </w:r>
            <w:proofErr w:type="gramStart"/>
            <w:r w:rsidRPr="0079202E">
              <w:rPr>
                <w:i/>
                <w:color w:val="000000"/>
                <w:lang w:eastAsia="zh-CN"/>
              </w:rPr>
              <w:t>need</w:t>
            </w:r>
            <w:proofErr w:type="gramEnd"/>
            <w:r w:rsidRPr="0079202E">
              <w:rPr>
                <w:i/>
                <w:color w:val="000000"/>
                <w:lang w:eastAsia="zh-CN"/>
              </w:rPr>
              <w:t xml:space="preserve"> to be consulted on the deployment options in UMTS/ LTE spectrum.</w:t>
            </w:r>
          </w:p>
        </w:tc>
      </w:tr>
      <w:tr w:rsidR="00615677" w:rsidRPr="0079202E" w:rsidTr="00D96CB2">
        <w:trPr>
          <w:jc w:val="center"/>
        </w:trPr>
        <w:tc>
          <w:tcPr>
            <w:tcW w:w="2376" w:type="dxa"/>
            <w:shd w:val="clear" w:color="auto" w:fill="auto"/>
          </w:tcPr>
          <w:p w:rsidR="00615677" w:rsidRPr="0079202E" w:rsidRDefault="00615677" w:rsidP="00D96CB2">
            <w:pPr>
              <w:pStyle w:val="TAC"/>
            </w:pPr>
            <w:r w:rsidRPr="0079202E">
              <w:t>Spectrum sharing with GSM</w:t>
            </w:r>
          </w:p>
        </w:tc>
        <w:tc>
          <w:tcPr>
            <w:tcW w:w="6106" w:type="dxa"/>
            <w:shd w:val="clear" w:color="auto" w:fill="auto"/>
          </w:tcPr>
          <w:p w:rsidR="00893DF5" w:rsidRDefault="00893DF5" w:rsidP="00D96CB2">
            <w:pPr>
              <w:pStyle w:val="TAL"/>
              <w:rPr>
                <w:ins w:id="46" w:author="Siva Subramani (Vodafone)" w:date="2015-09-29T15:44:00Z"/>
              </w:rPr>
            </w:pPr>
            <w:ins w:id="47" w:author="Siva Subramani (Vodafone)" w:date="2015-09-29T15:44:00Z">
              <w:r>
                <w:t>For stand-alone mode</w:t>
              </w:r>
            </w:ins>
            <w:ins w:id="48" w:author="Siva Subramani (Vodafone)" w:date="2015-09-29T15:45:00Z">
              <w:r>
                <w:t>:</w:t>
              </w:r>
            </w:ins>
          </w:p>
          <w:p w:rsidR="00615677" w:rsidRPr="0079202E" w:rsidRDefault="00615677" w:rsidP="00D96CB2">
            <w:pPr>
              <w:pStyle w:val="TAL"/>
            </w:pPr>
            <w:r w:rsidRPr="0079202E">
              <w:t xml:space="preserve">Deployment of Cellular </w:t>
            </w:r>
            <w:proofErr w:type="spellStart"/>
            <w:r w:rsidRPr="0079202E">
              <w:t>IoT</w:t>
            </w:r>
            <w:proofErr w:type="spellEnd"/>
            <w:r w:rsidRPr="0079202E">
              <w:t xml:space="preserve"> based on a GERAN evolution approach is expected to share spectrum with an existing GSM network. It is expected that Cellular </w:t>
            </w:r>
            <w:proofErr w:type="spellStart"/>
            <w:r w:rsidRPr="0079202E">
              <w:t>IoT</w:t>
            </w:r>
            <w:proofErr w:type="spellEnd"/>
            <w:r w:rsidRPr="0079202E">
              <w:t xml:space="preserve"> based on a </w:t>
            </w:r>
            <w:r>
              <w:t>'</w:t>
            </w:r>
            <w:r w:rsidRPr="0079202E">
              <w:t>clean slate</w:t>
            </w:r>
            <w:r>
              <w:t>'</w:t>
            </w:r>
            <w:r w:rsidRPr="0079202E">
              <w:t xml:space="preserve"> solution will not have to share any 200 kHz channel with GSM.</w:t>
            </w:r>
          </w:p>
        </w:tc>
      </w:tr>
    </w:tbl>
    <w:p w:rsidR="00615677" w:rsidRPr="009914A0" w:rsidRDefault="00615677" w:rsidP="00292813">
      <w:pPr>
        <w:rPr>
          <w:sz w:val="22"/>
        </w:rPr>
      </w:pPr>
    </w:p>
    <w:p w:rsidR="00672D6E" w:rsidRDefault="00065AE2" w:rsidP="00672D6E">
      <w:pPr>
        <w:pStyle w:val="Heading1"/>
        <w:rPr>
          <w:lang w:eastAsia="zh-CN"/>
        </w:rPr>
      </w:pPr>
      <w:r>
        <w:rPr>
          <w:lang w:eastAsia="zh-CN"/>
        </w:rPr>
        <w:lastRenderedPageBreak/>
        <w:t>3</w:t>
      </w:r>
      <w:r>
        <w:rPr>
          <w:lang w:eastAsia="zh-CN"/>
        </w:rPr>
        <w:tab/>
      </w:r>
      <w:r w:rsidR="00672D6E">
        <w:rPr>
          <w:lang w:eastAsia="zh-CN"/>
        </w:rPr>
        <w:t>Summary</w:t>
      </w:r>
    </w:p>
    <w:p w:rsidR="00672D6E" w:rsidRDefault="00B776EC" w:rsidP="00672D6E">
      <w:pPr>
        <w:spacing w:before="120" w:after="120" w:line="300" w:lineRule="auto"/>
        <w:jc w:val="both"/>
        <w:rPr>
          <w:sz w:val="22"/>
          <w:szCs w:val="22"/>
          <w:lang w:eastAsia="zh-CN"/>
        </w:rPr>
      </w:pPr>
      <w:r>
        <w:rPr>
          <w:sz w:val="22"/>
          <w:szCs w:val="22"/>
          <w:lang w:eastAsia="zh-CN"/>
        </w:rPr>
        <w:t xml:space="preserve">This document presented Vodafone’s </w:t>
      </w:r>
      <w:r w:rsidR="005E1013">
        <w:rPr>
          <w:sz w:val="22"/>
          <w:szCs w:val="22"/>
          <w:lang w:eastAsia="zh-CN"/>
        </w:rPr>
        <w:t xml:space="preserve">view on </w:t>
      </w:r>
      <w:r w:rsidR="00893DF5">
        <w:rPr>
          <w:sz w:val="22"/>
          <w:szCs w:val="22"/>
          <w:lang w:eastAsia="zh-CN"/>
        </w:rPr>
        <w:t>updating</w:t>
      </w:r>
      <w:r w:rsidR="005E1013">
        <w:rPr>
          <w:sz w:val="22"/>
          <w:szCs w:val="22"/>
          <w:lang w:eastAsia="zh-CN"/>
        </w:rPr>
        <w:t xml:space="preserve"> objectives of GERAN TR 45.820 to </w:t>
      </w:r>
      <w:r>
        <w:rPr>
          <w:sz w:val="22"/>
          <w:szCs w:val="22"/>
          <w:lang w:eastAsia="zh-CN"/>
        </w:rPr>
        <w:t xml:space="preserve">NB IOT PHY evaluations. </w:t>
      </w:r>
    </w:p>
    <w:bookmarkEnd w:id="1"/>
    <w:p w:rsidR="00BF266B" w:rsidRDefault="00BF266B" w:rsidP="00B776EC">
      <w:pPr>
        <w:pStyle w:val="CRCoverPage"/>
        <w:tabs>
          <w:tab w:val="right" w:pos="9639"/>
        </w:tabs>
        <w:spacing w:after="0"/>
        <w:rPr>
          <w:b/>
          <w:noProof/>
          <w:sz w:val="24"/>
        </w:rPr>
      </w:pPr>
    </w:p>
    <w:p w:rsidR="00B776EC" w:rsidRPr="00443753" w:rsidRDefault="00B776EC" w:rsidP="00B776EC">
      <w:pPr>
        <w:pStyle w:val="Heading1"/>
        <w:ind w:left="0" w:firstLine="0"/>
        <w:rPr>
          <w:lang w:val="en-US"/>
        </w:rPr>
      </w:pPr>
      <w:r w:rsidRPr="00443753">
        <w:rPr>
          <w:lang w:val="en-US"/>
        </w:rPr>
        <w:t>References</w:t>
      </w:r>
    </w:p>
    <w:p w:rsidR="00B776EC" w:rsidRDefault="00B776EC" w:rsidP="00B776EC">
      <w:pPr>
        <w:pStyle w:val="CRCoverPage"/>
        <w:tabs>
          <w:tab w:val="right" w:pos="9639"/>
        </w:tabs>
        <w:spacing w:after="0"/>
        <w:rPr>
          <w:b/>
          <w:noProof/>
          <w:sz w:val="24"/>
        </w:rPr>
      </w:pPr>
    </w:p>
    <w:p w:rsidR="00B776EC" w:rsidRPr="009914A0" w:rsidRDefault="00B776EC" w:rsidP="00B776EC">
      <w:pPr>
        <w:rPr>
          <w:rFonts w:eastAsia="Malgun Gothic"/>
          <w:sz w:val="22"/>
          <w:lang w:eastAsia="ko-KR"/>
        </w:rPr>
      </w:pPr>
      <w:r w:rsidRPr="009914A0">
        <w:rPr>
          <w:sz w:val="22"/>
        </w:rPr>
        <w:t xml:space="preserve">[1] </w:t>
      </w:r>
      <w:r w:rsidRPr="009914A0">
        <w:rPr>
          <w:sz w:val="22"/>
        </w:rPr>
        <w:t xml:space="preserve">RP-151619 </w:t>
      </w:r>
      <w:r w:rsidRPr="009914A0">
        <w:rPr>
          <w:sz w:val="22"/>
          <w:lang w:eastAsia="zh-CN"/>
        </w:rPr>
        <w:t>"</w:t>
      </w:r>
      <w:r w:rsidRPr="009914A0">
        <w:rPr>
          <w:sz w:val="22"/>
          <w:lang w:eastAsia="ja-JP"/>
        </w:rPr>
        <w:t>New Work Item: NarrowBand IOT (NB-IOT)</w:t>
      </w:r>
      <w:r w:rsidRPr="009914A0">
        <w:rPr>
          <w:sz w:val="22"/>
          <w:lang w:eastAsia="zh-CN"/>
        </w:rPr>
        <w:t xml:space="preserve"> "</w:t>
      </w:r>
      <w:r w:rsidRPr="009914A0">
        <w:rPr>
          <w:sz w:val="22"/>
        </w:rPr>
        <w:t>, RAN#69, Qualcomm.</w:t>
      </w:r>
    </w:p>
    <w:p w:rsidR="00B776EC" w:rsidRPr="009914A0" w:rsidRDefault="00B776EC" w:rsidP="00B776EC">
      <w:pPr>
        <w:rPr>
          <w:rFonts w:eastAsia="Malgun Gothic"/>
          <w:sz w:val="22"/>
          <w:lang w:eastAsia="ko-KR"/>
        </w:rPr>
      </w:pPr>
      <w:r w:rsidRPr="009914A0">
        <w:rPr>
          <w:rFonts w:eastAsia="Malgun Gothic"/>
          <w:sz w:val="22"/>
          <w:lang w:eastAsia="ko-KR"/>
        </w:rPr>
        <w:t xml:space="preserve">[2] TR 36.888 </w:t>
      </w:r>
      <w:r w:rsidRPr="009914A0">
        <w:rPr>
          <w:sz w:val="22"/>
        </w:rPr>
        <w:t>Study on provision of low-cost Machine-Type Communications (MTC) User Equipments (UEs) based on LTE</w:t>
      </w:r>
    </w:p>
    <w:p w:rsidR="00B776EC" w:rsidRPr="009914A0" w:rsidRDefault="00B776EC" w:rsidP="00B776EC">
      <w:pPr>
        <w:rPr>
          <w:rFonts w:eastAsia="Malgun Gothic"/>
          <w:sz w:val="22"/>
          <w:lang w:eastAsia="ko-KR"/>
        </w:rPr>
      </w:pPr>
      <w:r w:rsidRPr="009914A0">
        <w:rPr>
          <w:rFonts w:eastAsia="Malgun Gothic"/>
          <w:sz w:val="22"/>
          <w:lang w:eastAsia="ko-KR"/>
        </w:rPr>
        <w:t xml:space="preserve">[3] TR 45.820 </w:t>
      </w:r>
      <w:r w:rsidRPr="009914A0">
        <w:rPr>
          <w:sz w:val="22"/>
          <w:lang w:eastAsia="zh-CN"/>
        </w:rPr>
        <w:t xml:space="preserve">Cellular System Support for </w:t>
      </w:r>
      <w:r w:rsidRPr="009914A0">
        <w:rPr>
          <w:sz w:val="22"/>
        </w:rPr>
        <w:t>Ultra Low Complexity and Low Throughput Internet of Things</w:t>
      </w:r>
    </w:p>
    <w:p w:rsidR="00B776EC" w:rsidRPr="00B776EC" w:rsidRDefault="00B776EC" w:rsidP="00B776EC">
      <w:pPr>
        <w:pStyle w:val="CRCoverPage"/>
        <w:tabs>
          <w:tab w:val="right" w:pos="9639"/>
        </w:tabs>
        <w:spacing w:after="0"/>
        <w:rPr>
          <w:b/>
          <w:noProof/>
          <w:sz w:val="24"/>
          <w:lang w:val="sv-SE"/>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1F3" w:rsidRDefault="000D61F3">
      <w:r>
        <w:separator/>
      </w:r>
    </w:p>
  </w:endnote>
  <w:endnote w:type="continuationSeparator" w:id="0">
    <w:p w:rsidR="000D61F3" w:rsidRDefault="000D61F3">
      <w:r>
        <w:continuationSeparator/>
      </w:r>
    </w:p>
  </w:endnote>
  <w:endnote w:type="continuationNotice" w:id="1">
    <w:p w:rsidR="000D61F3" w:rsidRDefault="000D6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1F3" w:rsidRDefault="000D61F3">
      <w:r>
        <w:separator/>
      </w:r>
    </w:p>
  </w:footnote>
  <w:footnote w:type="continuationSeparator" w:id="0">
    <w:p w:rsidR="000D61F3" w:rsidRDefault="000D61F3">
      <w:r>
        <w:continuationSeparator/>
      </w:r>
    </w:p>
  </w:footnote>
  <w:footnote w:type="continuationNotice" w:id="1">
    <w:p w:rsidR="000D61F3" w:rsidRDefault="000D61F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0503A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A2405"/>
    <w:multiLevelType w:val="hybridMultilevel"/>
    <w:tmpl w:val="06B8F964"/>
    <w:lvl w:ilvl="0" w:tplc="45D2EA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86F4C78"/>
    <w:multiLevelType w:val="hybridMultilevel"/>
    <w:tmpl w:val="6D8AA060"/>
    <w:lvl w:ilvl="0" w:tplc="2F38E0DC">
      <w:start w:val="1"/>
      <w:numFmt w:val="decimal"/>
      <w:lvlText w:val="[%1]"/>
      <w:lvlJc w:val="left"/>
      <w:pPr>
        <w:tabs>
          <w:tab w:val="num" w:pos="567"/>
        </w:tabs>
        <w:ind w:left="567" w:hanging="567"/>
      </w:pPr>
      <w:rPr>
        <w:rFonts w:hint="eastAsia"/>
      </w:rPr>
    </w:lvl>
    <w:lvl w:ilvl="1" w:tplc="EA9ABCC6">
      <w:start w:val="1"/>
      <w:numFmt w:val="decimal"/>
      <w:pStyle w:val="Reference"/>
      <w:lvlText w:val="[%2]"/>
      <w:lvlJc w:val="left"/>
      <w:pPr>
        <w:tabs>
          <w:tab w:val="num" w:pos="567"/>
        </w:tabs>
        <w:ind w:left="567" w:hanging="567"/>
      </w:pPr>
      <w:rPr>
        <w:rFonts w:hint="eastAsia"/>
      </w:rPr>
    </w:lvl>
    <w:lvl w:ilvl="2" w:tplc="0409001B">
      <w:start w:val="1"/>
      <w:numFmt w:val="lowerRoman"/>
      <w:lvlText w:val="%3."/>
      <w:lvlJc w:val="right"/>
      <w:pPr>
        <w:tabs>
          <w:tab w:val="num" w:pos="720"/>
        </w:tabs>
        <w:ind w:left="720" w:hanging="420"/>
      </w:pPr>
    </w:lvl>
    <w:lvl w:ilvl="3" w:tplc="0409000F" w:tentative="1">
      <w:start w:val="1"/>
      <w:numFmt w:val="decimal"/>
      <w:lvlText w:val="%4."/>
      <w:lvlJc w:val="left"/>
      <w:pPr>
        <w:tabs>
          <w:tab w:val="num" w:pos="1140"/>
        </w:tabs>
        <w:ind w:left="1140" w:hanging="420"/>
      </w:pPr>
    </w:lvl>
    <w:lvl w:ilvl="4" w:tplc="04090019" w:tentative="1">
      <w:start w:val="1"/>
      <w:numFmt w:val="lowerLetter"/>
      <w:lvlText w:val="%5)"/>
      <w:lvlJc w:val="left"/>
      <w:pPr>
        <w:tabs>
          <w:tab w:val="num" w:pos="1560"/>
        </w:tabs>
        <w:ind w:left="1560" w:hanging="420"/>
      </w:pPr>
    </w:lvl>
    <w:lvl w:ilvl="5" w:tplc="0409001B" w:tentative="1">
      <w:start w:val="1"/>
      <w:numFmt w:val="lowerRoman"/>
      <w:lvlText w:val="%6."/>
      <w:lvlJc w:val="right"/>
      <w:pPr>
        <w:tabs>
          <w:tab w:val="num" w:pos="1980"/>
        </w:tabs>
        <w:ind w:left="1980" w:hanging="420"/>
      </w:pPr>
    </w:lvl>
    <w:lvl w:ilvl="6" w:tplc="0409000F" w:tentative="1">
      <w:start w:val="1"/>
      <w:numFmt w:val="decimal"/>
      <w:lvlText w:val="%7."/>
      <w:lvlJc w:val="left"/>
      <w:pPr>
        <w:tabs>
          <w:tab w:val="num" w:pos="2400"/>
        </w:tabs>
        <w:ind w:left="2400" w:hanging="420"/>
      </w:pPr>
    </w:lvl>
    <w:lvl w:ilvl="7" w:tplc="04090019" w:tentative="1">
      <w:start w:val="1"/>
      <w:numFmt w:val="lowerLetter"/>
      <w:lvlText w:val="%8)"/>
      <w:lvlJc w:val="left"/>
      <w:pPr>
        <w:tabs>
          <w:tab w:val="num" w:pos="2820"/>
        </w:tabs>
        <w:ind w:left="2820" w:hanging="420"/>
      </w:pPr>
    </w:lvl>
    <w:lvl w:ilvl="8" w:tplc="0409001B" w:tentative="1">
      <w:start w:val="1"/>
      <w:numFmt w:val="lowerRoman"/>
      <w:lvlText w:val="%9."/>
      <w:lvlJc w:val="right"/>
      <w:pPr>
        <w:tabs>
          <w:tab w:val="num" w:pos="3240"/>
        </w:tabs>
        <w:ind w:left="3240" w:hanging="420"/>
      </w:pPr>
    </w:lvl>
  </w:abstractNum>
  <w:abstractNum w:abstractNumId="5">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BAC7BC4"/>
    <w:multiLevelType w:val="hybridMultilevel"/>
    <w:tmpl w:val="DA5219B8"/>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7">
    <w:nsid w:val="342E0D12"/>
    <w:multiLevelType w:val="hybridMultilevel"/>
    <w:tmpl w:val="11E615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6220114"/>
    <w:multiLevelType w:val="hybridMultilevel"/>
    <w:tmpl w:val="4ABEE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A186E9D"/>
    <w:multiLevelType w:val="hybridMultilevel"/>
    <w:tmpl w:val="74267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56B41C6"/>
    <w:multiLevelType w:val="hybridMultilevel"/>
    <w:tmpl w:val="2AAA2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6B23599"/>
    <w:multiLevelType w:val="hybridMultilevel"/>
    <w:tmpl w:val="43789D4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nsid w:val="5E2465AD"/>
    <w:multiLevelType w:val="multilevel"/>
    <w:tmpl w:val="E724F0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5EA07449"/>
    <w:multiLevelType w:val="hybridMultilevel"/>
    <w:tmpl w:val="EC5AE29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17"/>
  </w:num>
  <w:num w:numId="6">
    <w:abstractNumId w:val="3"/>
  </w:num>
  <w:num w:numId="7">
    <w:abstractNumId w:val="10"/>
  </w:num>
  <w:num w:numId="8">
    <w:abstractNumId w:val="13"/>
  </w:num>
  <w:num w:numId="9">
    <w:abstractNumId w:val="2"/>
  </w:num>
  <w:num w:numId="10">
    <w:abstractNumId w:val="0"/>
  </w:num>
  <w:num w:numId="11">
    <w:abstractNumId w:val="1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
  </w:num>
  <w:num w:numId="15">
    <w:abstractNumId w:val="15"/>
  </w:num>
  <w:num w:numId="16">
    <w:abstractNumId w:val="7"/>
  </w:num>
  <w:num w:numId="17">
    <w:abstractNumId w:val="4"/>
  </w:num>
  <w:num w:numId="18">
    <w:abstractNumId w:val="9"/>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nda, Mungal">
    <w15:presenceInfo w15:providerId="AD" w15:userId="S-1-5-21-1417001333-1303643608-725345543-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B46"/>
    <w:rsid w:val="00006EF7"/>
    <w:rsid w:val="00011B19"/>
    <w:rsid w:val="00016FB5"/>
    <w:rsid w:val="000205C5"/>
    <w:rsid w:val="00024475"/>
    <w:rsid w:val="0003591C"/>
    <w:rsid w:val="00035C2D"/>
    <w:rsid w:val="00037122"/>
    <w:rsid w:val="00037780"/>
    <w:rsid w:val="00037C06"/>
    <w:rsid w:val="000466B8"/>
    <w:rsid w:val="00052BF8"/>
    <w:rsid w:val="00054AC4"/>
    <w:rsid w:val="00057116"/>
    <w:rsid w:val="00065AE2"/>
    <w:rsid w:val="00065BCC"/>
    <w:rsid w:val="00067741"/>
    <w:rsid w:val="00072D59"/>
    <w:rsid w:val="0007304E"/>
    <w:rsid w:val="0007668C"/>
    <w:rsid w:val="000841B6"/>
    <w:rsid w:val="00085699"/>
    <w:rsid w:val="00091F7D"/>
    <w:rsid w:val="00093374"/>
    <w:rsid w:val="00093616"/>
    <w:rsid w:val="00093D86"/>
    <w:rsid w:val="000A38C2"/>
    <w:rsid w:val="000A393F"/>
    <w:rsid w:val="000B0519"/>
    <w:rsid w:val="000B61FD"/>
    <w:rsid w:val="000B70A3"/>
    <w:rsid w:val="000C4E01"/>
    <w:rsid w:val="000D1FF1"/>
    <w:rsid w:val="000D4791"/>
    <w:rsid w:val="000D61F3"/>
    <w:rsid w:val="000E23F2"/>
    <w:rsid w:val="000E3568"/>
    <w:rsid w:val="000E48F3"/>
    <w:rsid w:val="000E55AD"/>
    <w:rsid w:val="000E7910"/>
    <w:rsid w:val="000F480E"/>
    <w:rsid w:val="000F50D4"/>
    <w:rsid w:val="000F7475"/>
    <w:rsid w:val="0010754E"/>
    <w:rsid w:val="00127699"/>
    <w:rsid w:val="00130FE4"/>
    <w:rsid w:val="00136B08"/>
    <w:rsid w:val="00144B21"/>
    <w:rsid w:val="001455F4"/>
    <w:rsid w:val="00152FD7"/>
    <w:rsid w:val="0015347C"/>
    <w:rsid w:val="00157D02"/>
    <w:rsid w:val="00180ED0"/>
    <w:rsid w:val="00185550"/>
    <w:rsid w:val="001870E8"/>
    <w:rsid w:val="001A0D38"/>
    <w:rsid w:val="001A5E70"/>
    <w:rsid w:val="001A7DBD"/>
    <w:rsid w:val="001B00CA"/>
    <w:rsid w:val="001B1192"/>
    <w:rsid w:val="001B2984"/>
    <w:rsid w:val="001B7647"/>
    <w:rsid w:val="001C5C86"/>
    <w:rsid w:val="001D6B47"/>
    <w:rsid w:val="001E3BD7"/>
    <w:rsid w:val="001F0F51"/>
    <w:rsid w:val="001F2966"/>
    <w:rsid w:val="001F37E8"/>
    <w:rsid w:val="001F7ABC"/>
    <w:rsid w:val="002000C2"/>
    <w:rsid w:val="00204098"/>
    <w:rsid w:val="00210121"/>
    <w:rsid w:val="00212823"/>
    <w:rsid w:val="002157A6"/>
    <w:rsid w:val="00217219"/>
    <w:rsid w:val="002249D9"/>
    <w:rsid w:val="002321A7"/>
    <w:rsid w:val="002370E1"/>
    <w:rsid w:val="00245253"/>
    <w:rsid w:val="00245505"/>
    <w:rsid w:val="002469F6"/>
    <w:rsid w:val="0024786B"/>
    <w:rsid w:val="00247932"/>
    <w:rsid w:val="002514B3"/>
    <w:rsid w:val="00255392"/>
    <w:rsid w:val="00292813"/>
    <w:rsid w:val="002A4E11"/>
    <w:rsid w:val="002C7BAF"/>
    <w:rsid w:val="002D6702"/>
    <w:rsid w:val="002E7A9E"/>
    <w:rsid w:val="002F0473"/>
    <w:rsid w:val="002F5C69"/>
    <w:rsid w:val="0031280A"/>
    <w:rsid w:val="003205AD"/>
    <w:rsid w:val="003212C3"/>
    <w:rsid w:val="0032725C"/>
    <w:rsid w:val="00335FB2"/>
    <w:rsid w:val="00343796"/>
    <w:rsid w:val="00344158"/>
    <w:rsid w:val="00345622"/>
    <w:rsid w:val="003532FF"/>
    <w:rsid w:val="00362D80"/>
    <w:rsid w:val="00374BD1"/>
    <w:rsid w:val="00386F19"/>
    <w:rsid w:val="00395757"/>
    <w:rsid w:val="003A1EB0"/>
    <w:rsid w:val="003A4EF7"/>
    <w:rsid w:val="003A662D"/>
    <w:rsid w:val="003C1418"/>
    <w:rsid w:val="003C6DA6"/>
    <w:rsid w:val="003C6FAE"/>
    <w:rsid w:val="003C76A7"/>
    <w:rsid w:val="003D1941"/>
    <w:rsid w:val="003E0F54"/>
    <w:rsid w:val="003F268E"/>
    <w:rsid w:val="003F7B3D"/>
    <w:rsid w:val="004022B7"/>
    <w:rsid w:val="00404098"/>
    <w:rsid w:val="004065DB"/>
    <w:rsid w:val="00406890"/>
    <w:rsid w:val="004070CB"/>
    <w:rsid w:val="004110A9"/>
    <w:rsid w:val="00417F33"/>
    <w:rsid w:val="00426000"/>
    <w:rsid w:val="00433FBD"/>
    <w:rsid w:val="00437106"/>
    <w:rsid w:val="0043745F"/>
    <w:rsid w:val="0044029F"/>
    <w:rsid w:val="00464A0A"/>
    <w:rsid w:val="0048267C"/>
    <w:rsid w:val="004871BE"/>
    <w:rsid w:val="004876B9"/>
    <w:rsid w:val="00493A79"/>
    <w:rsid w:val="00493AD1"/>
    <w:rsid w:val="004955C3"/>
    <w:rsid w:val="0049616F"/>
    <w:rsid w:val="004A641D"/>
    <w:rsid w:val="004A6A60"/>
    <w:rsid w:val="004B15DA"/>
    <w:rsid w:val="004C066F"/>
    <w:rsid w:val="004C0C22"/>
    <w:rsid w:val="004E6F8A"/>
    <w:rsid w:val="004F412A"/>
    <w:rsid w:val="00503393"/>
    <w:rsid w:val="005146CA"/>
    <w:rsid w:val="005147E9"/>
    <w:rsid w:val="00540B2A"/>
    <w:rsid w:val="00554952"/>
    <w:rsid w:val="005573BB"/>
    <w:rsid w:val="00557B2E"/>
    <w:rsid w:val="00561267"/>
    <w:rsid w:val="005620F8"/>
    <w:rsid w:val="005623C3"/>
    <w:rsid w:val="005735C2"/>
    <w:rsid w:val="005748A3"/>
    <w:rsid w:val="00587311"/>
    <w:rsid w:val="00590087"/>
    <w:rsid w:val="00591697"/>
    <w:rsid w:val="005945A1"/>
    <w:rsid w:val="005A04D5"/>
    <w:rsid w:val="005B3F43"/>
    <w:rsid w:val="005C4A7A"/>
    <w:rsid w:val="005C4F58"/>
    <w:rsid w:val="005C5351"/>
    <w:rsid w:val="005C7397"/>
    <w:rsid w:val="005D3FEC"/>
    <w:rsid w:val="005D44BE"/>
    <w:rsid w:val="005D5A18"/>
    <w:rsid w:val="005E0ECD"/>
    <w:rsid w:val="005E1013"/>
    <w:rsid w:val="00602CB5"/>
    <w:rsid w:val="00604BC6"/>
    <w:rsid w:val="00610E63"/>
    <w:rsid w:val="00611EC4"/>
    <w:rsid w:val="00613CFC"/>
    <w:rsid w:val="00615677"/>
    <w:rsid w:val="006207C3"/>
    <w:rsid w:val="00620B3F"/>
    <w:rsid w:val="00622477"/>
    <w:rsid w:val="00623BA2"/>
    <w:rsid w:val="00626B4B"/>
    <w:rsid w:val="00635CA8"/>
    <w:rsid w:val="006418C6"/>
    <w:rsid w:val="00654893"/>
    <w:rsid w:val="0066118D"/>
    <w:rsid w:val="00671BBB"/>
    <w:rsid w:val="00672D6E"/>
    <w:rsid w:val="00682237"/>
    <w:rsid w:val="00693CD9"/>
    <w:rsid w:val="006A7C2B"/>
    <w:rsid w:val="006B1840"/>
    <w:rsid w:val="006B4280"/>
    <w:rsid w:val="006C471A"/>
    <w:rsid w:val="006C564B"/>
    <w:rsid w:val="006E62A3"/>
    <w:rsid w:val="00702DB2"/>
    <w:rsid w:val="00707673"/>
    <w:rsid w:val="00713D61"/>
    <w:rsid w:val="007358F0"/>
    <w:rsid w:val="00745685"/>
    <w:rsid w:val="00745A9F"/>
    <w:rsid w:val="0075252A"/>
    <w:rsid w:val="007550C1"/>
    <w:rsid w:val="00755A0B"/>
    <w:rsid w:val="00756DC9"/>
    <w:rsid w:val="00764B84"/>
    <w:rsid w:val="007658A7"/>
    <w:rsid w:val="0078034D"/>
    <w:rsid w:val="00782C5C"/>
    <w:rsid w:val="00784657"/>
    <w:rsid w:val="00790BCC"/>
    <w:rsid w:val="00791553"/>
    <w:rsid w:val="007974F5"/>
    <w:rsid w:val="007A102D"/>
    <w:rsid w:val="007A24AD"/>
    <w:rsid w:val="007A3DB2"/>
    <w:rsid w:val="007A524F"/>
    <w:rsid w:val="007B0F49"/>
    <w:rsid w:val="007B56F3"/>
    <w:rsid w:val="007C351E"/>
    <w:rsid w:val="007C550F"/>
    <w:rsid w:val="007C7E14"/>
    <w:rsid w:val="007D1B45"/>
    <w:rsid w:val="007D48BF"/>
    <w:rsid w:val="007D6768"/>
    <w:rsid w:val="007E41D6"/>
    <w:rsid w:val="007E50AC"/>
    <w:rsid w:val="007E5128"/>
    <w:rsid w:val="007F3777"/>
    <w:rsid w:val="007F63BA"/>
    <w:rsid w:val="007F658E"/>
    <w:rsid w:val="007F7421"/>
    <w:rsid w:val="007F78D7"/>
    <w:rsid w:val="007F7BB3"/>
    <w:rsid w:val="00805859"/>
    <w:rsid w:val="008121C7"/>
    <w:rsid w:val="0081463D"/>
    <w:rsid w:val="0082436E"/>
    <w:rsid w:val="00824609"/>
    <w:rsid w:val="008276A8"/>
    <w:rsid w:val="0086556A"/>
    <w:rsid w:val="008709F5"/>
    <w:rsid w:val="0087519A"/>
    <w:rsid w:val="00876883"/>
    <w:rsid w:val="0088222A"/>
    <w:rsid w:val="0088441E"/>
    <w:rsid w:val="00893DF5"/>
    <w:rsid w:val="00893E2D"/>
    <w:rsid w:val="00893ED1"/>
    <w:rsid w:val="008A76FD"/>
    <w:rsid w:val="008A7B01"/>
    <w:rsid w:val="008A7F3A"/>
    <w:rsid w:val="008B2D09"/>
    <w:rsid w:val="008B2FF1"/>
    <w:rsid w:val="008B3E18"/>
    <w:rsid w:val="008B7383"/>
    <w:rsid w:val="008C3D80"/>
    <w:rsid w:val="008C52CA"/>
    <w:rsid w:val="008C537F"/>
    <w:rsid w:val="008D2DA9"/>
    <w:rsid w:val="008D658B"/>
    <w:rsid w:val="008E2DCD"/>
    <w:rsid w:val="008F18F8"/>
    <w:rsid w:val="008F5A5B"/>
    <w:rsid w:val="008F703B"/>
    <w:rsid w:val="009003CA"/>
    <w:rsid w:val="00924B42"/>
    <w:rsid w:val="0092682E"/>
    <w:rsid w:val="00927322"/>
    <w:rsid w:val="0093331A"/>
    <w:rsid w:val="00935212"/>
    <w:rsid w:val="009416FE"/>
    <w:rsid w:val="009437A2"/>
    <w:rsid w:val="00944B28"/>
    <w:rsid w:val="009505AB"/>
    <w:rsid w:val="00952A06"/>
    <w:rsid w:val="00960010"/>
    <w:rsid w:val="0096238B"/>
    <w:rsid w:val="00970681"/>
    <w:rsid w:val="00972497"/>
    <w:rsid w:val="00974234"/>
    <w:rsid w:val="0098154A"/>
    <w:rsid w:val="00982102"/>
    <w:rsid w:val="009848DC"/>
    <w:rsid w:val="00985B73"/>
    <w:rsid w:val="009870A7"/>
    <w:rsid w:val="009914A0"/>
    <w:rsid w:val="00991BA1"/>
    <w:rsid w:val="009A0781"/>
    <w:rsid w:val="009A3BC4"/>
    <w:rsid w:val="009B1936"/>
    <w:rsid w:val="009B5257"/>
    <w:rsid w:val="009B7783"/>
    <w:rsid w:val="009C328A"/>
    <w:rsid w:val="009C3AFB"/>
    <w:rsid w:val="009C55E5"/>
    <w:rsid w:val="009C6F24"/>
    <w:rsid w:val="009D3EC1"/>
    <w:rsid w:val="009D4B99"/>
    <w:rsid w:val="009D56A3"/>
    <w:rsid w:val="009E42D6"/>
    <w:rsid w:val="00A04DA7"/>
    <w:rsid w:val="00A10539"/>
    <w:rsid w:val="00A11A4F"/>
    <w:rsid w:val="00A15763"/>
    <w:rsid w:val="00A338A3"/>
    <w:rsid w:val="00A36378"/>
    <w:rsid w:val="00A564DB"/>
    <w:rsid w:val="00A70E1E"/>
    <w:rsid w:val="00A86E40"/>
    <w:rsid w:val="00A87BAA"/>
    <w:rsid w:val="00A9451F"/>
    <w:rsid w:val="00AA42C7"/>
    <w:rsid w:val="00AA5AF1"/>
    <w:rsid w:val="00AA7C68"/>
    <w:rsid w:val="00AB1299"/>
    <w:rsid w:val="00AB506B"/>
    <w:rsid w:val="00AB6D6E"/>
    <w:rsid w:val="00AC2A20"/>
    <w:rsid w:val="00AC5661"/>
    <w:rsid w:val="00AD2347"/>
    <w:rsid w:val="00AD2594"/>
    <w:rsid w:val="00AD4BF8"/>
    <w:rsid w:val="00AE25BF"/>
    <w:rsid w:val="00AF4293"/>
    <w:rsid w:val="00B02F26"/>
    <w:rsid w:val="00B03C01"/>
    <w:rsid w:val="00B078D6"/>
    <w:rsid w:val="00B07EB8"/>
    <w:rsid w:val="00B116FC"/>
    <w:rsid w:val="00B3015C"/>
    <w:rsid w:val="00B43263"/>
    <w:rsid w:val="00B46819"/>
    <w:rsid w:val="00B721E9"/>
    <w:rsid w:val="00B776EC"/>
    <w:rsid w:val="00BA31B8"/>
    <w:rsid w:val="00BA3A53"/>
    <w:rsid w:val="00BA4095"/>
    <w:rsid w:val="00BA5B43"/>
    <w:rsid w:val="00BC246E"/>
    <w:rsid w:val="00BC4750"/>
    <w:rsid w:val="00BC642A"/>
    <w:rsid w:val="00BD26AB"/>
    <w:rsid w:val="00BE5175"/>
    <w:rsid w:val="00BE650C"/>
    <w:rsid w:val="00BF182B"/>
    <w:rsid w:val="00BF266B"/>
    <w:rsid w:val="00BF534C"/>
    <w:rsid w:val="00C002CA"/>
    <w:rsid w:val="00C003D7"/>
    <w:rsid w:val="00C0344A"/>
    <w:rsid w:val="00C132DA"/>
    <w:rsid w:val="00C232E4"/>
    <w:rsid w:val="00C43D1E"/>
    <w:rsid w:val="00C50F7C"/>
    <w:rsid w:val="00C55E80"/>
    <w:rsid w:val="00C56C70"/>
    <w:rsid w:val="00C57C50"/>
    <w:rsid w:val="00C627FB"/>
    <w:rsid w:val="00C62922"/>
    <w:rsid w:val="00C65391"/>
    <w:rsid w:val="00C70596"/>
    <w:rsid w:val="00C715CA"/>
    <w:rsid w:val="00C81A7C"/>
    <w:rsid w:val="00C81AA4"/>
    <w:rsid w:val="00C92708"/>
    <w:rsid w:val="00C954DA"/>
    <w:rsid w:val="00CA232F"/>
    <w:rsid w:val="00CA44BF"/>
    <w:rsid w:val="00D06394"/>
    <w:rsid w:val="00D14C1C"/>
    <w:rsid w:val="00D170B6"/>
    <w:rsid w:val="00D33BDB"/>
    <w:rsid w:val="00D51810"/>
    <w:rsid w:val="00D66B71"/>
    <w:rsid w:val="00D71F40"/>
    <w:rsid w:val="00D77416"/>
    <w:rsid w:val="00D81C14"/>
    <w:rsid w:val="00D929B4"/>
    <w:rsid w:val="00DA0920"/>
    <w:rsid w:val="00DA74F3"/>
    <w:rsid w:val="00DC01A3"/>
    <w:rsid w:val="00DC0276"/>
    <w:rsid w:val="00DD28BB"/>
    <w:rsid w:val="00DD58B7"/>
    <w:rsid w:val="00DD7082"/>
    <w:rsid w:val="00DE39FC"/>
    <w:rsid w:val="00DF2D32"/>
    <w:rsid w:val="00DF3113"/>
    <w:rsid w:val="00DF4604"/>
    <w:rsid w:val="00DF5819"/>
    <w:rsid w:val="00E033E0"/>
    <w:rsid w:val="00E1209F"/>
    <w:rsid w:val="00E13CB2"/>
    <w:rsid w:val="00E15C49"/>
    <w:rsid w:val="00E26E33"/>
    <w:rsid w:val="00E3209C"/>
    <w:rsid w:val="00E44C0E"/>
    <w:rsid w:val="00E46D0F"/>
    <w:rsid w:val="00E605F9"/>
    <w:rsid w:val="00E62CAA"/>
    <w:rsid w:val="00E63916"/>
    <w:rsid w:val="00E7727B"/>
    <w:rsid w:val="00E8302A"/>
    <w:rsid w:val="00E84B0E"/>
    <w:rsid w:val="00E8647A"/>
    <w:rsid w:val="00E879D8"/>
    <w:rsid w:val="00E90B85"/>
    <w:rsid w:val="00E96B9F"/>
    <w:rsid w:val="00E97026"/>
    <w:rsid w:val="00E970DC"/>
    <w:rsid w:val="00EA3418"/>
    <w:rsid w:val="00EA6BD6"/>
    <w:rsid w:val="00EC1665"/>
    <w:rsid w:val="00ED35C9"/>
    <w:rsid w:val="00ED7A5B"/>
    <w:rsid w:val="00EF0594"/>
    <w:rsid w:val="00F069EF"/>
    <w:rsid w:val="00F11E62"/>
    <w:rsid w:val="00F1651B"/>
    <w:rsid w:val="00F170DA"/>
    <w:rsid w:val="00F238C3"/>
    <w:rsid w:val="00F41A27"/>
    <w:rsid w:val="00F4338D"/>
    <w:rsid w:val="00F439AB"/>
    <w:rsid w:val="00F440D3"/>
    <w:rsid w:val="00F447A7"/>
    <w:rsid w:val="00F4578E"/>
    <w:rsid w:val="00F56432"/>
    <w:rsid w:val="00F634B4"/>
    <w:rsid w:val="00F72B22"/>
    <w:rsid w:val="00F921F1"/>
    <w:rsid w:val="00F92A21"/>
    <w:rsid w:val="00FA73A0"/>
    <w:rsid w:val="00FB5F69"/>
    <w:rsid w:val="00FB75EC"/>
    <w:rsid w:val="00FC0804"/>
    <w:rsid w:val="00FC3B6D"/>
    <w:rsid w:val="00FD2A30"/>
    <w:rsid w:val="00FD3A4E"/>
    <w:rsid w:val="00FE3F99"/>
    <w:rsid w:val="00FE4B37"/>
    <w:rsid w:val="00FF1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link w:val="TAHChar"/>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link w:val="TACChar"/>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link w:val="NOChar"/>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link w:val="THChar"/>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 w:type="paragraph" w:styleId="ListParagraph">
    <w:name w:val="List Paragraph"/>
    <w:basedOn w:val="Normal"/>
    <w:uiPriority w:val="34"/>
    <w:qFormat/>
    <w:rsid w:val="008C52CA"/>
    <w:pPr>
      <w:ind w:left="720"/>
      <w:contextualSpacing/>
    </w:pPr>
  </w:style>
  <w:style w:type="paragraph" w:customStyle="1" w:styleId="Reference">
    <w:name w:val="Reference"/>
    <w:aliases w:val="ref"/>
    <w:basedOn w:val="Normal"/>
    <w:rsid w:val="00B776EC"/>
    <w:pPr>
      <w:numPr>
        <w:ilvl w:val="1"/>
        <w:numId w:val="17"/>
      </w:numPr>
      <w:overflowPunct/>
      <w:autoSpaceDE/>
      <w:autoSpaceDN/>
      <w:adjustRightInd/>
      <w:spacing w:after="0"/>
      <w:jc w:val="both"/>
      <w:textAlignment w:val="auto"/>
    </w:pPr>
    <w:rPr>
      <w:rFonts w:ascii="Arial" w:eastAsia="SimSun" w:hAnsi="Arial"/>
      <w:lang w:val="sv-SE" w:eastAsia="en-US"/>
    </w:rPr>
  </w:style>
  <w:style w:type="character" w:customStyle="1" w:styleId="NOChar">
    <w:name w:val="NO Char"/>
    <w:link w:val="NO"/>
    <w:rsid w:val="005E1013"/>
    <w:rPr>
      <w:lang w:val="en-GB" w:eastAsia="en-GB"/>
    </w:rPr>
  </w:style>
  <w:style w:type="character" w:customStyle="1" w:styleId="TALChar">
    <w:name w:val="TAL Char"/>
    <w:link w:val="TAL"/>
    <w:locked/>
    <w:rsid w:val="00615677"/>
    <w:rPr>
      <w:rFonts w:ascii="Arial" w:hAnsi="Arial"/>
      <w:sz w:val="18"/>
      <w:lang w:val="en-GB" w:eastAsia="en-GB"/>
    </w:rPr>
  </w:style>
  <w:style w:type="character" w:customStyle="1" w:styleId="TACChar">
    <w:name w:val="TAC Char"/>
    <w:link w:val="TAC"/>
    <w:rsid w:val="00615677"/>
    <w:rPr>
      <w:rFonts w:ascii="Arial" w:hAnsi="Arial"/>
      <w:sz w:val="18"/>
      <w:lang w:val="en-GB" w:eastAsia="en-GB"/>
    </w:rPr>
  </w:style>
  <w:style w:type="character" w:customStyle="1" w:styleId="TAHChar">
    <w:name w:val="TAH Char"/>
    <w:link w:val="TAH"/>
    <w:locked/>
    <w:rsid w:val="00615677"/>
    <w:rPr>
      <w:rFonts w:ascii="Arial" w:hAnsi="Arial"/>
      <w:b/>
      <w:sz w:val="18"/>
      <w:lang w:val="en-GB" w:eastAsia="en-GB"/>
    </w:rPr>
  </w:style>
  <w:style w:type="character" w:customStyle="1" w:styleId="THChar">
    <w:name w:val="TH Char"/>
    <w:link w:val="TH"/>
    <w:rsid w:val="00615677"/>
    <w:rPr>
      <w:rFonts w:ascii="Arial"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link w:val="TAHChar"/>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link w:val="TACChar"/>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link w:val="NOChar"/>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link w:val="THChar"/>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 w:type="paragraph" w:styleId="ListParagraph">
    <w:name w:val="List Paragraph"/>
    <w:basedOn w:val="Normal"/>
    <w:uiPriority w:val="34"/>
    <w:qFormat/>
    <w:rsid w:val="008C52CA"/>
    <w:pPr>
      <w:ind w:left="720"/>
      <w:contextualSpacing/>
    </w:pPr>
  </w:style>
  <w:style w:type="paragraph" w:customStyle="1" w:styleId="Reference">
    <w:name w:val="Reference"/>
    <w:aliases w:val="ref"/>
    <w:basedOn w:val="Normal"/>
    <w:rsid w:val="00B776EC"/>
    <w:pPr>
      <w:numPr>
        <w:ilvl w:val="1"/>
        <w:numId w:val="17"/>
      </w:numPr>
      <w:overflowPunct/>
      <w:autoSpaceDE/>
      <w:autoSpaceDN/>
      <w:adjustRightInd/>
      <w:spacing w:after="0"/>
      <w:jc w:val="both"/>
      <w:textAlignment w:val="auto"/>
    </w:pPr>
    <w:rPr>
      <w:rFonts w:ascii="Arial" w:eastAsia="SimSun" w:hAnsi="Arial"/>
      <w:lang w:val="sv-SE" w:eastAsia="en-US"/>
    </w:rPr>
  </w:style>
  <w:style w:type="character" w:customStyle="1" w:styleId="NOChar">
    <w:name w:val="NO Char"/>
    <w:link w:val="NO"/>
    <w:rsid w:val="005E1013"/>
    <w:rPr>
      <w:lang w:val="en-GB" w:eastAsia="en-GB"/>
    </w:rPr>
  </w:style>
  <w:style w:type="character" w:customStyle="1" w:styleId="TALChar">
    <w:name w:val="TAL Char"/>
    <w:link w:val="TAL"/>
    <w:locked/>
    <w:rsid w:val="00615677"/>
    <w:rPr>
      <w:rFonts w:ascii="Arial" w:hAnsi="Arial"/>
      <w:sz w:val="18"/>
      <w:lang w:val="en-GB" w:eastAsia="en-GB"/>
    </w:rPr>
  </w:style>
  <w:style w:type="character" w:customStyle="1" w:styleId="TACChar">
    <w:name w:val="TAC Char"/>
    <w:link w:val="TAC"/>
    <w:rsid w:val="00615677"/>
    <w:rPr>
      <w:rFonts w:ascii="Arial" w:hAnsi="Arial"/>
      <w:sz w:val="18"/>
      <w:lang w:val="en-GB" w:eastAsia="en-GB"/>
    </w:rPr>
  </w:style>
  <w:style w:type="character" w:customStyle="1" w:styleId="TAHChar">
    <w:name w:val="TAH Char"/>
    <w:link w:val="TAH"/>
    <w:locked/>
    <w:rsid w:val="00615677"/>
    <w:rPr>
      <w:rFonts w:ascii="Arial" w:hAnsi="Arial"/>
      <w:b/>
      <w:sz w:val="18"/>
      <w:lang w:val="en-GB" w:eastAsia="en-GB"/>
    </w:rPr>
  </w:style>
  <w:style w:type="character" w:customStyle="1" w:styleId="THChar">
    <w:name w:val="TH Char"/>
    <w:link w:val="TH"/>
    <w:rsid w:val="00615677"/>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682389560">
          <w:marLeft w:val="0"/>
          <w:marRight w:val="0"/>
          <w:marTop w:val="0"/>
          <w:marBottom w:val="0"/>
          <w:divBdr>
            <w:top w:val="none" w:sz="0" w:space="0" w:color="auto"/>
            <w:left w:val="none" w:sz="0" w:space="0" w:color="auto"/>
            <w:bottom w:val="none" w:sz="0" w:space="0" w:color="auto"/>
            <w:right w:val="none" w:sz="0" w:space="0" w:color="auto"/>
          </w:divBdr>
          <w:divsChild>
            <w:div w:id="186031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753647">
      <w:bodyDiv w:val="1"/>
      <w:marLeft w:val="0"/>
      <w:marRight w:val="0"/>
      <w:marTop w:val="0"/>
      <w:marBottom w:val="0"/>
      <w:divBdr>
        <w:top w:val="none" w:sz="0" w:space="0" w:color="auto"/>
        <w:left w:val="none" w:sz="0" w:space="0" w:color="auto"/>
        <w:bottom w:val="none" w:sz="0" w:space="0" w:color="auto"/>
        <w:right w:val="none" w:sz="0" w:space="0" w:color="auto"/>
      </w:divBdr>
    </w:div>
    <w:div w:id="1162356635">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sChild>
        <w:div w:id="770199856">
          <w:marLeft w:val="0"/>
          <w:marRight w:val="0"/>
          <w:marTop w:val="0"/>
          <w:marBottom w:val="0"/>
          <w:divBdr>
            <w:top w:val="none" w:sz="0" w:space="0" w:color="auto"/>
            <w:left w:val="none" w:sz="0" w:space="0" w:color="auto"/>
            <w:bottom w:val="none" w:sz="0" w:space="0" w:color="auto"/>
            <w:right w:val="none" w:sz="0" w:space="0" w:color="auto"/>
          </w:divBdr>
          <w:divsChild>
            <w:div w:id="209959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25A04F-86E7-437B-92C2-FDEE47851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1650</Words>
  <Characters>9405</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BT</Company>
  <LinksUpToDate>false</LinksUpToDate>
  <CharactersWithSpaces>11033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Siva Subramani (Vodafone)</cp:lastModifiedBy>
  <cp:revision>4</cp:revision>
  <cp:lastPrinted>2000-02-29T10:31:00Z</cp:lastPrinted>
  <dcterms:created xsi:type="dcterms:W3CDTF">2015-09-29T14:10:00Z</dcterms:created>
  <dcterms:modified xsi:type="dcterms:W3CDTF">2015-09-29T14:59:00Z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new_ms_pID_72543">
    <vt:lpwstr>(3)CM3rTbdwupjk7ntoyrtVwNjMBdGjsIEWS4Chv4cldECoPVq1HGZW9X89pm94ZvWNFjZ+BROK_x000d_
TQwg7Avh8c/Z++itffRpznC2oIxq3BOTyMDW6V4ML+SANQO7K7j1EkPQMh/MPe1/HyNSPO1/_x000d_
QULbzwX24n80iplY6tOdUu0y8IS4XoKoIx/X24rqGCvqP8JyP9qguX3tBB2fwFog2qfdMfmX_x000d_
QLXD/ZhUUGCJIhZGCg</vt:lpwstr>
  </property>
  <property fmtid="{D5CDD505-2E9C-101B-9397-08002B2CF9AE}" pid="5" name="_new_ms_pID_72543_00">
    <vt:lpwstr>_new_ms_pID_72543</vt:lpwstr>
  </property>
  <property fmtid="{D5CDD505-2E9C-101B-9397-08002B2CF9AE}" pid="6" name="_new_ms_pID_725431">
    <vt:lpwstr>yw1h+Nymyy9omo8DeiTbgCvh7Te10o1jJoUJZrKSe9oIr4UcYIeoya_x000d_
cmVMqlAHZFN7zuDTiPPt7QOR4HtKnVfFaqD+1z7xGahZ+6ldtcGA+rhry+ML5PXKmqu9eU93_x000d_
VPg/j5vp1VZKwjRb1nrBaqZWV52OYdbI8JJtYJh/b0q7I8mvI5cKeXyAFwzsR/cz4m8mogQq_x000d_
ae8/ueMSyU16uLOuGM9HWvYa7bA41i0cJ0ip</vt:lpwstr>
  </property>
  <property fmtid="{D5CDD505-2E9C-101B-9397-08002B2CF9AE}" pid="7" name="_new_ms_pID_725431_00">
    <vt:lpwstr>_new_ms_pID_725431</vt:lpwstr>
  </property>
  <property fmtid="{D5CDD505-2E9C-101B-9397-08002B2CF9AE}" pid="8" name="_new_ms_pID_725432">
    <vt:lpwstr>hbio6Z20VvubZ3PuiO+mSmoI1phwkmHWrCDe_x000d_
6/0WnzxHUuE2+Vk/Jnp1Qp2Q+A1zn8CZ996B9t7PPQ5wMrXtJGNpoemwUwyWOCxUKG6BpIsS_x000d_
j9YC0fMkB9t6KL8val205iI9ibMln2GBaLFR5yw8BQ1H3I3MOtCYYzQL/67nRmIa</vt:lpwstr>
  </property>
  <property fmtid="{D5CDD505-2E9C-101B-9397-08002B2CF9AE}" pid="9" name="_new_ms_pID_725432_00">
    <vt:lpwstr>_new_ms_pID_725432</vt:lpwstr>
  </property>
  <property fmtid="{D5CDD505-2E9C-101B-9397-08002B2CF9AE}" pid="10" name="sflag">
    <vt:lpwstr>1437533611</vt:lpwstr>
  </property>
</Properties>
</file>