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016953">
      <w:pPr>
        <w:tabs>
          <w:tab w:val="right" w:pos="9072"/>
        </w:tabs>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w:t>
      </w:r>
      <w:r w:rsidR="00F64177">
        <w:rPr>
          <w:rFonts w:ascii="Arial" w:eastAsia="MS Mincho" w:hAnsi="Arial"/>
          <w:b/>
          <w:bCs/>
        </w:rPr>
        <w:t>9</w:t>
      </w:r>
      <w:r w:rsidR="0090367C">
        <w:rPr>
          <w:rFonts w:ascii="Arial" w:eastAsia="MS Mincho" w:hAnsi="Arial"/>
          <w:b/>
          <w:bCs/>
        </w:rPr>
        <w:t>,</w:t>
      </w:r>
      <w:r w:rsidR="0090367C">
        <w:rPr>
          <w:rFonts w:ascii="Arial" w:eastAsia="MS Mincho" w:hAnsi="Arial"/>
          <w:b/>
          <w:bCs/>
        </w:rPr>
        <w:tab/>
      </w:r>
      <w:r w:rsidR="00424112" w:rsidRPr="00424112">
        <w:rPr>
          <w:rFonts w:ascii="Arial" w:eastAsia="MS Mincho" w:hAnsi="Arial"/>
          <w:b/>
          <w:bCs/>
        </w:rPr>
        <w:t>R1-144770</w:t>
      </w:r>
    </w:p>
    <w:p w:rsidR="003F68FD" w:rsidRPr="003F68FD" w:rsidRDefault="00CE29A6" w:rsidP="00016953">
      <w:pPr>
        <w:pStyle w:val="Header"/>
        <w:tabs>
          <w:tab w:val="clear" w:pos="4536"/>
          <w:tab w:val="left" w:pos="1800"/>
        </w:tabs>
        <w:ind w:left="1800" w:hanging="1800"/>
        <w:rPr>
          <w:bCs/>
        </w:rPr>
      </w:pPr>
      <w:r>
        <w:rPr>
          <w:bCs/>
        </w:rPr>
        <w:t>San Francisco</w:t>
      </w:r>
      <w:r w:rsidR="003F68FD" w:rsidRPr="003F68FD">
        <w:rPr>
          <w:bCs/>
        </w:rPr>
        <w:t xml:space="preserve">, </w:t>
      </w:r>
      <w:r>
        <w:rPr>
          <w:bCs/>
        </w:rPr>
        <w:t>USA</w:t>
      </w:r>
      <w:r w:rsidR="003F68FD" w:rsidRPr="003F68FD">
        <w:rPr>
          <w:bCs/>
        </w:rPr>
        <w:t xml:space="preserve">, </w:t>
      </w:r>
      <w:r>
        <w:rPr>
          <w:bCs/>
        </w:rPr>
        <w:t>17</w:t>
      </w:r>
      <w:r w:rsidR="003F68FD" w:rsidRPr="003F68FD">
        <w:rPr>
          <w:rFonts w:hint="eastAsia"/>
          <w:bCs/>
          <w:vertAlign w:val="superscript"/>
        </w:rPr>
        <w:t>th</w:t>
      </w:r>
      <w:r w:rsidR="003F68FD" w:rsidRPr="003F68FD">
        <w:rPr>
          <w:bCs/>
        </w:rPr>
        <w:t xml:space="preserve"> – </w:t>
      </w:r>
      <w:r>
        <w:rPr>
          <w:bCs/>
        </w:rPr>
        <w:t>21</w:t>
      </w:r>
      <w:r w:rsidR="003F68FD" w:rsidRPr="003F68FD">
        <w:rPr>
          <w:rFonts w:hint="eastAsia"/>
          <w:bCs/>
          <w:vertAlign w:val="superscript"/>
        </w:rPr>
        <w:t>th</w:t>
      </w:r>
      <w:r w:rsidR="003F68FD" w:rsidRPr="003F68FD">
        <w:rPr>
          <w:bCs/>
        </w:rPr>
        <w:t xml:space="preserve"> </w:t>
      </w:r>
      <w:r>
        <w:rPr>
          <w:bCs/>
        </w:rPr>
        <w:t>November</w:t>
      </w:r>
      <w:r w:rsidR="003F68FD" w:rsidRPr="003F68FD">
        <w:rPr>
          <w:bCs/>
        </w:rPr>
        <w:t xml:space="preserve"> 2014</w:t>
      </w:r>
    </w:p>
    <w:p w:rsidR="00891F6D" w:rsidRDefault="00891F6D" w:rsidP="00016953">
      <w:pPr>
        <w:pStyle w:val="Header"/>
        <w:tabs>
          <w:tab w:val="clear" w:pos="4536"/>
          <w:tab w:val="left" w:pos="1800"/>
        </w:tabs>
        <w:ind w:left="1800" w:hanging="1800"/>
      </w:pPr>
    </w:p>
    <w:p w:rsidR="002A56A0" w:rsidRPr="00E70914" w:rsidRDefault="002A56A0" w:rsidP="00016953">
      <w:pPr>
        <w:pStyle w:val="Header"/>
        <w:tabs>
          <w:tab w:val="clear" w:pos="4536"/>
          <w:tab w:val="left" w:pos="1800"/>
        </w:tabs>
        <w:ind w:left="1800" w:hanging="1800"/>
      </w:pPr>
      <w:r w:rsidRPr="00E70914">
        <w:t>Source:</w:t>
      </w:r>
      <w:r w:rsidRPr="00E70914">
        <w:tab/>
        <w:t>Ericsson</w:t>
      </w:r>
    </w:p>
    <w:p w:rsidR="002A56A0" w:rsidRPr="00E70914" w:rsidRDefault="002A56A0" w:rsidP="00016953">
      <w:pPr>
        <w:pStyle w:val="Header"/>
        <w:tabs>
          <w:tab w:val="clear" w:pos="4536"/>
          <w:tab w:val="left" w:pos="1800"/>
        </w:tabs>
      </w:pPr>
      <w:r w:rsidRPr="00E70914">
        <w:t>Title:</w:t>
      </w:r>
      <w:r w:rsidRPr="00E70914">
        <w:tab/>
      </w:r>
      <w:r w:rsidR="00E37E8F">
        <w:t xml:space="preserve">Remaining issues on </w:t>
      </w:r>
      <w:r w:rsidR="00F64177" w:rsidRPr="00F64177">
        <w:t>UE capabilit</w:t>
      </w:r>
      <w:r w:rsidR="00F45320">
        <w:t>y design</w:t>
      </w:r>
    </w:p>
    <w:p w:rsidR="002A56A0" w:rsidRPr="00E70914" w:rsidRDefault="002A56A0" w:rsidP="00016953">
      <w:pPr>
        <w:pStyle w:val="Header"/>
        <w:tabs>
          <w:tab w:val="left" w:pos="1800"/>
        </w:tabs>
      </w:pPr>
      <w:r w:rsidRPr="00E70914">
        <w:t>Agenda Item:</w:t>
      </w:r>
      <w:r w:rsidRPr="00E70914">
        <w:tab/>
      </w:r>
      <w:r w:rsidR="00A7419C">
        <w:t>6.2</w:t>
      </w:r>
    </w:p>
    <w:p w:rsidR="002A56A0" w:rsidRPr="00E70914" w:rsidRDefault="002A56A0" w:rsidP="00016953">
      <w:pPr>
        <w:pStyle w:val="Header"/>
        <w:tabs>
          <w:tab w:val="left" w:pos="1800"/>
        </w:tabs>
      </w:pPr>
      <w:r w:rsidRPr="00E70914">
        <w:t>Document for:</w:t>
      </w:r>
      <w:r w:rsidRPr="00E70914">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2A56A0" w:rsidP="00016953">
      <w:pPr>
        <w:pStyle w:val="Heading1"/>
      </w:pPr>
      <w:bookmarkStart w:id="1" w:name="_Ref301342314"/>
      <w:r w:rsidRPr="00E70914">
        <w:t>Introduction</w:t>
      </w:r>
      <w:bookmarkEnd w:id="1"/>
    </w:p>
    <w:p w:rsidR="00CE29A6" w:rsidRDefault="00E37E8F" w:rsidP="008E418C">
      <w:pPr>
        <w:pStyle w:val="BodyText"/>
        <w:jc w:val="both"/>
      </w:pPr>
      <w:r>
        <w:t xml:space="preserve">This contribution discusses the remaining issues on UE capabilities. </w:t>
      </w:r>
      <w:r w:rsidR="00CE29A6">
        <w:t xml:space="preserve">In the last meeting the UE capabilities from RAN1 </w:t>
      </w:r>
      <w:r w:rsidR="000E1413">
        <w:t>perspective</w:t>
      </w:r>
      <w:r w:rsidR="00CE29A6">
        <w:t xml:space="preserve"> w</w:t>
      </w:r>
      <w:r w:rsidR="002E7B5B">
        <w:t>ere</w:t>
      </w:r>
      <w:r w:rsidR="00CE29A6">
        <w:t xml:space="preserve"> </w:t>
      </w:r>
      <w:r w:rsidR="002E7B5B">
        <w:t>concluded</w:t>
      </w:r>
      <w:r w:rsidR="00CE29A6">
        <w:t xml:space="preserve"> for NAICS and </w:t>
      </w:r>
      <w:r w:rsidR="002E7B5B">
        <w:t xml:space="preserve">the </w:t>
      </w:r>
      <w:r w:rsidR="000521BE">
        <w:t>feature groups for</w:t>
      </w:r>
      <w:r w:rsidR="002E7B5B">
        <w:t xml:space="preserve"> S</w:t>
      </w:r>
      <w:r w:rsidR="00CE29A6">
        <w:t xml:space="preserve">mall </w:t>
      </w:r>
      <w:r w:rsidR="00424112">
        <w:t>cell PHY</w:t>
      </w:r>
      <w:r w:rsidR="000521BE">
        <w:t xml:space="preserve"> capabilities were finalized</w:t>
      </w:r>
      <w:r w:rsidR="00424112">
        <w:t xml:space="preserve">. The remaining </w:t>
      </w:r>
      <w:r w:rsidR="002E7B5B">
        <w:t xml:space="preserve">aspects </w:t>
      </w:r>
      <w:r w:rsidR="00AC6E06">
        <w:t>are</w:t>
      </w:r>
      <w:r w:rsidR="00424112">
        <w:t xml:space="preserve"> </w:t>
      </w:r>
      <w:r w:rsidR="002E7B5B">
        <w:t xml:space="preserve">the </w:t>
      </w:r>
      <w:r w:rsidR="00424112">
        <w:t>D2D UE capabilities,</w:t>
      </w:r>
      <w:r w:rsidR="00AC6E06">
        <w:t xml:space="preserve"> the n</w:t>
      </w:r>
      <w:r w:rsidR="00424112" w:rsidRPr="000E1413">
        <w:t>eed of FDD/TDD differentiation</w:t>
      </w:r>
      <w:r w:rsidR="00424112">
        <w:t xml:space="preserve"> for small cell PHY features</w:t>
      </w:r>
      <w:r w:rsidR="000521BE">
        <w:t xml:space="preserve"> groups</w:t>
      </w:r>
      <w:r w:rsidR="00424112">
        <w:t xml:space="preserve"> </w:t>
      </w:r>
      <w:r w:rsidR="002E7B5B">
        <w:t xml:space="preserve">with respect to UE capabilities </w:t>
      </w:r>
      <w:r w:rsidR="00424112">
        <w:t xml:space="preserve">and the RAN1 recommendation </w:t>
      </w:r>
      <w:r w:rsidR="002E7B5B">
        <w:t>to consider the UE capabilities for most of the features</w:t>
      </w:r>
      <w:r w:rsidR="00424112">
        <w:t xml:space="preserve"> </w:t>
      </w:r>
      <w:r w:rsidR="00BD648B">
        <w:t xml:space="preserve">to be </w:t>
      </w:r>
      <w:r w:rsidR="00424112">
        <w:t>optional</w:t>
      </w:r>
      <w:r w:rsidR="002E7B5B">
        <w:t xml:space="preserve"> or </w:t>
      </w:r>
      <w:r w:rsidR="00424112">
        <w:t xml:space="preserve">mandatory. </w:t>
      </w:r>
    </w:p>
    <w:p w:rsidR="002A56A0" w:rsidRPr="00E70914" w:rsidRDefault="00424112" w:rsidP="008E418C">
      <w:pPr>
        <w:pStyle w:val="BodyText"/>
        <w:jc w:val="both"/>
      </w:pPr>
      <w:r>
        <w:t xml:space="preserve">This contributions treats all the above aspects except that the D2D capabilities that </w:t>
      </w:r>
      <w:r w:rsidR="002E7B5B">
        <w:t>are</w:t>
      </w:r>
      <w:r>
        <w:t xml:space="preserve"> handled in another contribution </w:t>
      </w:r>
      <w:r>
        <w:fldChar w:fldCharType="begin"/>
      </w:r>
      <w:r>
        <w:instrText xml:space="preserve"> REF _Ref402948552 \r \h </w:instrText>
      </w:r>
      <w:r>
        <w:fldChar w:fldCharType="separate"/>
      </w:r>
      <w:r>
        <w:t>[2]</w:t>
      </w:r>
      <w:r>
        <w:fldChar w:fldCharType="end"/>
      </w:r>
      <w:r>
        <w:t>.</w:t>
      </w:r>
      <w:r w:rsidR="00CE29A6">
        <w:t xml:space="preserve"> </w:t>
      </w:r>
      <w:r w:rsidR="00E37E8F">
        <w:t xml:space="preserve">The contribution </w:t>
      </w:r>
      <w:r w:rsidR="00F57CE0">
        <w:t xml:space="preserve">uses </w:t>
      </w:r>
      <w:r w:rsidR="00E37E8F">
        <w:t xml:space="preserve">as a starting point the </w:t>
      </w:r>
      <w:proofErr w:type="spellStart"/>
      <w:r w:rsidR="00E37E8F">
        <w:t>xls</w:t>
      </w:r>
      <w:proofErr w:type="spellEnd"/>
      <w:r w:rsidR="00E37E8F">
        <w:t xml:space="preserve"> file agreed at RAN1 #78</w:t>
      </w:r>
      <w:r>
        <w:t>bis</w:t>
      </w:r>
      <w:r w:rsidR="00E37E8F">
        <w:t xml:space="preserve"> </w:t>
      </w:r>
      <w:r w:rsidR="004877F4">
        <w:fldChar w:fldCharType="begin"/>
      </w:r>
      <w:r w:rsidR="004877F4">
        <w:instrText xml:space="preserve"> REF _Ref399347084 \r \h </w:instrText>
      </w:r>
      <w:r w:rsidR="004877F4">
        <w:fldChar w:fldCharType="separate"/>
      </w:r>
      <w:r w:rsidR="004877F4">
        <w:t>[1]</w:t>
      </w:r>
      <w:r w:rsidR="004877F4">
        <w:fldChar w:fldCharType="end"/>
      </w:r>
      <w:r w:rsidR="00E37E8F">
        <w:t xml:space="preserve">. </w:t>
      </w:r>
    </w:p>
    <w:p w:rsidR="002F00C3" w:rsidRDefault="002A56A0" w:rsidP="00F64177">
      <w:pPr>
        <w:pStyle w:val="Heading1"/>
      </w:pPr>
      <w:bookmarkStart w:id="2" w:name="_Ref346118000"/>
      <w:r w:rsidRPr="00E70914">
        <w:t>Discussion</w:t>
      </w:r>
      <w:bookmarkEnd w:id="2"/>
    </w:p>
    <w:p w:rsidR="00E37E8F" w:rsidRDefault="00E37E8F" w:rsidP="00E37E8F">
      <w:pPr>
        <w:pStyle w:val="Heading2"/>
      </w:pPr>
      <w:r>
        <w:t>Small cell on/off and discovery signal/procedure</w:t>
      </w:r>
    </w:p>
    <w:p w:rsidR="00E37E8F" w:rsidRDefault="00E37E8F" w:rsidP="008E418C">
      <w:pPr>
        <w:pStyle w:val="BodyText"/>
        <w:jc w:val="both"/>
      </w:pPr>
      <w:r>
        <w:t xml:space="preserve">In </w:t>
      </w:r>
      <w:r w:rsidR="00F57CE0">
        <w:t xml:space="preserve">the </w:t>
      </w:r>
      <w:r>
        <w:t>RAN1#78</w:t>
      </w:r>
      <w:r w:rsidR="00CE29A6">
        <w:t>bis</w:t>
      </w:r>
      <w:r>
        <w:t xml:space="preserve"> meeting, </w:t>
      </w:r>
      <w:r w:rsidR="00A7419C">
        <w:t>UE capabilities for small cell discovery and small cell on/off were</w:t>
      </w:r>
      <w:r w:rsidR="00CE29A6">
        <w:t xml:space="preserve"> concluded as show</w:t>
      </w:r>
      <w:r w:rsidR="00A7419C">
        <w:t>n</w:t>
      </w:r>
      <w:r w:rsidR="00CE29A6">
        <w:t xml:space="preserve"> below</w:t>
      </w:r>
      <w:r>
        <w:t>:</w:t>
      </w:r>
    </w:p>
    <w:p w:rsidR="00F64177" w:rsidRDefault="00F64177" w:rsidP="00F64177">
      <w:pPr>
        <w:pStyle w:val="BodyText"/>
      </w:pPr>
    </w:p>
    <w:tbl>
      <w:tblPr>
        <w:tblW w:w="8875" w:type="dxa"/>
        <w:tblInd w:w="93" w:type="dxa"/>
        <w:tblLook w:val="04A0" w:firstRow="1" w:lastRow="0" w:firstColumn="1" w:lastColumn="0" w:noHBand="0" w:noVBand="1"/>
      </w:tblPr>
      <w:tblGrid>
        <w:gridCol w:w="961"/>
        <w:gridCol w:w="506"/>
        <w:gridCol w:w="3062"/>
        <w:gridCol w:w="3062"/>
        <w:gridCol w:w="1284"/>
      </w:tblGrid>
      <w:tr w:rsidR="0051040B" w:rsidRPr="00F64177" w:rsidTr="000E1413">
        <w:trPr>
          <w:trHeight w:val="780"/>
        </w:trPr>
        <w:tc>
          <w:tcPr>
            <w:tcW w:w="961" w:type="dxa"/>
            <w:tcBorders>
              <w:top w:val="single" w:sz="8" w:space="0" w:color="auto"/>
              <w:left w:val="single" w:sz="8" w:space="0" w:color="auto"/>
              <w:bottom w:val="double" w:sz="6" w:space="0" w:color="auto"/>
              <w:right w:val="single" w:sz="4" w:space="0" w:color="auto"/>
            </w:tcBorders>
            <w:shd w:val="clear" w:color="000000" w:fill="8DB3E2" w:themeFill="text2" w:themeFillTint="66"/>
            <w:vAlign w:val="center"/>
            <w:hideMark/>
          </w:tcPr>
          <w:p w:rsidR="0051040B" w:rsidRPr="00F64177" w:rsidRDefault="0051040B" w:rsidP="00527E84">
            <w:pPr>
              <w:jc w:val="center"/>
              <w:rPr>
                <w:rFonts w:ascii="Arial" w:hAnsi="Arial" w:cs="Arial"/>
                <w:sz w:val="20"/>
                <w:szCs w:val="20"/>
              </w:rPr>
            </w:pPr>
            <w:r w:rsidRPr="00F64177">
              <w:rPr>
                <w:rFonts w:ascii="Arial" w:hAnsi="Arial" w:cs="Arial"/>
                <w:sz w:val="20"/>
                <w:szCs w:val="20"/>
              </w:rPr>
              <w:t>WI</w:t>
            </w:r>
          </w:p>
        </w:tc>
        <w:tc>
          <w:tcPr>
            <w:tcW w:w="506"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51040B" w:rsidRPr="00F64177" w:rsidRDefault="0051040B" w:rsidP="00527E84">
            <w:pPr>
              <w:jc w:val="center"/>
              <w:rPr>
                <w:rFonts w:ascii="Arial" w:hAnsi="Arial" w:cs="Arial"/>
                <w:sz w:val="20"/>
                <w:szCs w:val="20"/>
              </w:rPr>
            </w:pPr>
            <w:r w:rsidRPr="00F64177">
              <w:rPr>
                <w:rFonts w:ascii="Arial" w:hAnsi="Arial" w:cs="Arial"/>
                <w:sz w:val="20"/>
                <w:szCs w:val="20"/>
              </w:rPr>
              <w:t>#</w:t>
            </w:r>
          </w:p>
        </w:tc>
        <w:tc>
          <w:tcPr>
            <w:tcW w:w="3062"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51040B" w:rsidRPr="00F64177" w:rsidRDefault="0051040B" w:rsidP="00527E84">
            <w:pPr>
              <w:jc w:val="center"/>
              <w:rPr>
                <w:rFonts w:ascii="Arial" w:hAnsi="Arial" w:cs="Arial"/>
                <w:sz w:val="20"/>
                <w:szCs w:val="20"/>
              </w:rPr>
            </w:pPr>
            <w:r w:rsidRPr="00F64177">
              <w:rPr>
                <w:rFonts w:ascii="Arial" w:hAnsi="Arial" w:cs="Arial"/>
                <w:sz w:val="20"/>
                <w:szCs w:val="20"/>
              </w:rPr>
              <w:t>Feature group</w:t>
            </w:r>
          </w:p>
        </w:tc>
        <w:tc>
          <w:tcPr>
            <w:tcW w:w="3062"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51040B" w:rsidRPr="00F64177" w:rsidRDefault="0051040B" w:rsidP="00527E84">
            <w:pPr>
              <w:jc w:val="center"/>
              <w:rPr>
                <w:rFonts w:ascii="Arial" w:hAnsi="Arial" w:cs="Arial"/>
                <w:sz w:val="20"/>
                <w:szCs w:val="20"/>
              </w:rPr>
            </w:pPr>
            <w:r w:rsidRPr="00F64177">
              <w:rPr>
                <w:rFonts w:ascii="Arial" w:hAnsi="Arial" w:cs="Arial"/>
                <w:sz w:val="20"/>
                <w:szCs w:val="20"/>
              </w:rPr>
              <w:t>Components</w:t>
            </w:r>
          </w:p>
        </w:tc>
        <w:tc>
          <w:tcPr>
            <w:tcW w:w="1284"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51040B" w:rsidRPr="00F64177" w:rsidRDefault="0051040B" w:rsidP="00527E84">
            <w:pPr>
              <w:jc w:val="center"/>
              <w:rPr>
                <w:rFonts w:ascii="Arial" w:hAnsi="Arial" w:cs="Arial"/>
                <w:sz w:val="20"/>
                <w:szCs w:val="20"/>
              </w:rPr>
            </w:pPr>
            <w:r w:rsidRPr="00F64177">
              <w:rPr>
                <w:rFonts w:ascii="Arial" w:hAnsi="Arial" w:cs="Arial"/>
                <w:sz w:val="20"/>
                <w:szCs w:val="20"/>
              </w:rPr>
              <w:t xml:space="preserve">Prerequisite feature groups </w:t>
            </w:r>
            <w:r w:rsidRPr="00F64177">
              <w:rPr>
                <w:rFonts w:ascii="Arial" w:hAnsi="Arial" w:cs="Arial"/>
                <w:sz w:val="20"/>
                <w:szCs w:val="20"/>
              </w:rPr>
              <w:br/>
              <w:t>(listed in this sheet or Rel-8/9/10/11 features)</w:t>
            </w:r>
          </w:p>
        </w:tc>
      </w:tr>
      <w:tr w:rsidR="000E1413" w:rsidRPr="00F64177" w:rsidTr="000E1413">
        <w:trPr>
          <w:trHeight w:val="1035"/>
        </w:trPr>
        <w:tc>
          <w:tcPr>
            <w:tcW w:w="961" w:type="dxa"/>
            <w:vMerge w:val="restart"/>
            <w:tcBorders>
              <w:top w:val="double" w:sz="6" w:space="0" w:color="auto"/>
              <w:left w:val="single" w:sz="8"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sidRPr="00F64177">
              <w:rPr>
                <w:rFonts w:ascii="Arial" w:hAnsi="Arial" w:cs="Arial"/>
                <w:sz w:val="20"/>
                <w:szCs w:val="20"/>
              </w:rPr>
              <w:t>3. SCE Physical Layer</w:t>
            </w:r>
          </w:p>
        </w:tc>
        <w:tc>
          <w:tcPr>
            <w:tcW w:w="506" w:type="dxa"/>
            <w:tcBorders>
              <w:top w:val="double" w:sz="6" w:space="0" w:color="auto"/>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3-1</w:t>
            </w:r>
          </w:p>
        </w:tc>
        <w:tc>
          <w:tcPr>
            <w:tcW w:w="3062" w:type="dxa"/>
            <w:tcBorders>
              <w:top w:val="double" w:sz="6" w:space="0" w:color="auto"/>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256QAM for unicast transmission</w:t>
            </w:r>
          </w:p>
        </w:tc>
        <w:tc>
          <w:tcPr>
            <w:tcW w:w="3062" w:type="dxa"/>
            <w:tcBorders>
              <w:top w:val="double" w:sz="6" w:space="0" w:color="auto"/>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1) 256QAM demodulation</w:t>
            </w:r>
            <w:r>
              <w:rPr>
                <w:rFonts w:ascii="Arial" w:hAnsi="Arial" w:cs="Arial"/>
                <w:sz w:val="20"/>
                <w:szCs w:val="20"/>
              </w:rPr>
              <w:br/>
              <w:t>2) 256QAM CQI feedback</w:t>
            </w:r>
            <w:r>
              <w:rPr>
                <w:rFonts w:ascii="Arial" w:hAnsi="Arial" w:cs="Arial"/>
                <w:sz w:val="20"/>
                <w:szCs w:val="20"/>
              </w:rPr>
              <w:br/>
              <w:t>3) Increase in peak data rate with 256QAM</w:t>
            </w:r>
          </w:p>
        </w:tc>
        <w:tc>
          <w:tcPr>
            <w:tcW w:w="1284" w:type="dxa"/>
            <w:tcBorders>
              <w:top w:val="double" w:sz="6" w:space="0" w:color="auto"/>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None</w:t>
            </w:r>
          </w:p>
        </w:tc>
      </w:tr>
      <w:tr w:rsidR="000E1413" w:rsidRPr="00F64177" w:rsidTr="00A7419C">
        <w:trPr>
          <w:trHeight w:val="594"/>
        </w:trPr>
        <w:tc>
          <w:tcPr>
            <w:tcW w:w="961" w:type="dxa"/>
            <w:vMerge/>
            <w:tcBorders>
              <w:left w:val="single" w:sz="8" w:space="0" w:color="auto"/>
              <w:right w:val="single" w:sz="4" w:space="0" w:color="auto"/>
            </w:tcBorders>
            <w:vAlign w:val="center"/>
            <w:hideMark/>
          </w:tcPr>
          <w:p w:rsidR="000E1413" w:rsidRPr="00F64177" w:rsidRDefault="000E1413" w:rsidP="00527E84">
            <w:pPr>
              <w:rPr>
                <w:rFonts w:ascii="Arial" w:hAnsi="Arial" w:cs="Arial"/>
                <w:sz w:val="20"/>
                <w:szCs w:val="20"/>
              </w:rPr>
            </w:pPr>
          </w:p>
        </w:tc>
        <w:tc>
          <w:tcPr>
            <w:tcW w:w="506" w:type="dxa"/>
            <w:tcBorders>
              <w:top w:val="nil"/>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3-2</w:t>
            </w:r>
          </w:p>
        </w:tc>
        <w:tc>
          <w:tcPr>
            <w:tcW w:w="3062" w:type="dxa"/>
            <w:tcBorders>
              <w:top w:val="nil"/>
              <w:left w:val="nil"/>
              <w:bottom w:val="single" w:sz="4" w:space="0" w:color="auto"/>
              <w:right w:val="single" w:sz="4" w:space="0" w:color="auto"/>
            </w:tcBorders>
            <w:shd w:val="clear" w:color="auto" w:fill="auto"/>
            <w:hideMark/>
          </w:tcPr>
          <w:p w:rsidR="000E1413" w:rsidRPr="00F64177" w:rsidRDefault="000E1413" w:rsidP="0051040B">
            <w:pPr>
              <w:rPr>
                <w:rFonts w:ascii="Arial" w:hAnsi="Arial" w:cs="Arial"/>
                <w:sz w:val="20"/>
                <w:szCs w:val="20"/>
              </w:rPr>
            </w:pPr>
            <w:r>
              <w:rPr>
                <w:rFonts w:ascii="Arial" w:hAnsi="Arial" w:cs="Arial"/>
                <w:sz w:val="20"/>
                <w:szCs w:val="20"/>
              </w:rPr>
              <w:t>256QAM for MTCH on PMCH</w:t>
            </w:r>
          </w:p>
        </w:tc>
        <w:tc>
          <w:tcPr>
            <w:tcW w:w="3062" w:type="dxa"/>
            <w:tcBorders>
              <w:top w:val="nil"/>
              <w:left w:val="nil"/>
              <w:bottom w:val="single" w:sz="4" w:space="0" w:color="auto"/>
              <w:right w:val="single" w:sz="4" w:space="0" w:color="auto"/>
            </w:tcBorders>
            <w:shd w:val="clear" w:color="auto" w:fill="auto"/>
            <w:hideMark/>
          </w:tcPr>
          <w:p w:rsidR="000E1413" w:rsidRPr="00F64177" w:rsidRDefault="000E1413" w:rsidP="0051040B">
            <w:pPr>
              <w:rPr>
                <w:rFonts w:ascii="Arial" w:hAnsi="Arial" w:cs="Arial"/>
                <w:sz w:val="20"/>
                <w:szCs w:val="20"/>
              </w:rPr>
            </w:pPr>
            <w:r>
              <w:rPr>
                <w:rFonts w:ascii="Arial" w:hAnsi="Arial" w:cs="Arial"/>
                <w:sz w:val="20"/>
                <w:szCs w:val="20"/>
              </w:rPr>
              <w:t>1) 256QAM demodulation</w:t>
            </w:r>
          </w:p>
        </w:tc>
        <w:tc>
          <w:tcPr>
            <w:tcW w:w="1284" w:type="dxa"/>
            <w:tcBorders>
              <w:top w:val="nil"/>
              <w:left w:val="nil"/>
              <w:bottom w:val="single" w:sz="4" w:space="0" w:color="auto"/>
              <w:right w:val="single" w:sz="4" w:space="0" w:color="auto"/>
            </w:tcBorders>
            <w:shd w:val="clear" w:color="auto" w:fill="auto"/>
            <w:hideMark/>
          </w:tcPr>
          <w:p w:rsidR="000E1413" w:rsidRPr="00F64177" w:rsidRDefault="000E1413" w:rsidP="00527E84">
            <w:pPr>
              <w:rPr>
                <w:rFonts w:ascii="Arial" w:hAnsi="Arial" w:cs="Arial"/>
                <w:sz w:val="20"/>
                <w:szCs w:val="20"/>
              </w:rPr>
            </w:pPr>
            <w:r>
              <w:rPr>
                <w:rFonts w:ascii="Arial" w:hAnsi="Arial" w:cs="Arial"/>
                <w:sz w:val="20"/>
                <w:szCs w:val="20"/>
              </w:rPr>
              <w:t>3-1</w:t>
            </w:r>
          </w:p>
        </w:tc>
      </w:tr>
      <w:tr w:rsidR="000E1413" w:rsidRPr="00F64177" w:rsidTr="00A7419C">
        <w:trPr>
          <w:trHeight w:val="315"/>
        </w:trPr>
        <w:tc>
          <w:tcPr>
            <w:tcW w:w="961" w:type="dxa"/>
            <w:vMerge/>
            <w:tcBorders>
              <w:left w:val="single" w:sz="8" w:space="0" w:color="auto"/>
              <w:right w:val="single" w:sz="4" w:space="0" w:color="auto"/>
            </w:tcBorders>
            <w:vAlign w:val="center"/>
            <w:hideMark/>
          </w:tcPr>
          <w:p w:rsidR="000E1413" w:rsidRPr="00F64177" w:rsidRDefault="000E1413" w:rsidP="00527E84">
            <w:pPr>
              <w:rPr>
                <w:rFonts w:ascii="Arial" w:hAnsi="Arial" w:cs="Arial"/>
                <w:sz w:val="20"/>
                <w:szCs w:val="20"/>
              </w:rPr>
            </w:pPr>
          </w:p>
        </w:tc>
        <w:tc>
          <w:tcPr>
            <w:tcW w:w="506" w:type="dxa"/>
            <w:tcBorders>
              <w:top w:val="single" w:sz="4" w:space="0" w:color="auto"/>
              <w:left w:val="nil"/>
              <w:bottom w:val="single" w:sz="4" w:space="0" w:color="auto"/>
              <w:right w:val="single" w:sz="4" w:space="0" w:color="auto"/>
            </w:tcBorders>
            <w:shd w:val="clear" w:color="auto" w:fill="auto"/>
            <w:hideMark/>
          </w:tcPr>
          <w:p w:rsidR="000E1413" w:rsidRPr="000E1413" w:rsidRDefault="000E1413" w:rsidP="00527E84">
            <w:pPr>
              <w:rPr>
                <w:rFonts w:ascii="Arial" w:hAnsi="Arial" w:cs="Arial"/>
                <w:sz w:val="20"/>
                <w:szCs w:val="20"/>
              </w:rPr>
            </w:pPr>
            <w:r w:rsidRPr="000E1413">
              <w:rPr>
                <w:rFonts w:ascii="Arial" w:hAnsi="Arial" w:cs="Arial"/>
                <w:sz w:val="20"/>
                <w:szCs w:val="20"/>
              </w:rPr>
              <w:t>3-3</w:t>
            </w:r>
          </w:p>
        </w:tc>
        <w:tc>
          <w:tcPr>
            <w:tcW w:w="3062" w:type="dxa"/>
            <w:tcBorders>
              <w:top w:val="single" w:sz="4" w:space="0" w:color="auto"/>
              <w:left w:val="nil"/>
              <w:bottom w:val="single" w:sz="4" w:space="0" w:color="auto"/>
              <w:right w:val="single" w:sz="4" w:space="0" w:color="auto"/>
            </w:tcBorders>
            <w:shd w:val="clear" w:color="auto" w:fill="auto"/>
            <w:hideMark/>
          </w:tcPr>
          <w:p w:rsidR="000E1413" w:rsidRPr="000E1413" w:rsidRDefault="000E1413" w:rsidP="00527E84">
            <w:pPr>
              <w:rPr>
                <w:rFonts w:ascii="Arial" w:hAnsi="Arial" w:cs="Arial"/>
                <w:sz w:val="20"/>
                <w:szCs w:val="20"/>
              </w:rPr>
            </w:pPr>
            <w:r w:rsidRPr="00A7419C">
              <w:rPr>
                <w:rFonts w:ascii="Arial" w:hAnsi="Arial" w:cs="Arial"/>
                <w:sz w:val="20"/>
                <w:szCs w:val="20"/>
              </w:rPr>
              <w:t>UE procedure related to Small cell on/off by CA SCell activation/deactivation</w:t>
            </w:r>
          </w:p>
        </w:tc>
        <w:tc>
          <w:tcPr>
            <w:tcW w:w="3062" w:type="dxa"/>
            <w:tcBorders>
              <w:top w:val="single" w:sz="4" w:space="0" w:color="auto"/>
              <w:left w:val="nil"/>
              <w:bottom w:val="single" w:sz="4" w:space="0" w:color="auto"/>
              <w:right w:val="single" w:sz="4" w:space="0" w:color="auto"/>
            </w:tcBorders>
            <w:shd w:val="clear" w:color="auto" w:fill="auto"/>
            <w:hideMark/>
          </w:tcPr>
          <w:p w:rsidR="000E1413" w:rsidRPr="000E1413" w:rsidRDefault="000E1413" w:rsidP="0051040B">
            <w:pPr>
              <w:rPr>
                <w:rFonts w:ascii="Arial" w:hAnsi="Arial" w:cs="Arial"/>
                <w:sz w:val="20"/>
                <w:szCs w:val="20"/>
              </w:rPr>
            </w:pPr>
            <w:r w:rsidRPr="000E1413">
              <w:rPr>
                <w:rFonts w:ascii="Arial" w:hAnsi="Arial" w:cs="Arial"/>
                <w:sz w:val="20"/>
                <w:szCs w:val="20"/>
              </w:rPr>
              <w:t xml:space="preserve">1) Small cell on/off based on CA </w:t>
            </w:r>
            <w:r w:rsidRPr="00A7419C">
              <w:rPr>
                <w:rFonts w:ascii="Arial" w:hAnsi="Arial" w:cs="Arial"/>
                <w:sz w:val="20"/>
                <w:szCs w:val="20"/>
              </w:rPr>
              <w:t>SCell activation/deactivation</w:t>
            </w:r>
          </w:p>
        </w:tc>
        <w:tc>
          <w:tcPr>
            <w:tcW w:w="1284" w:type="dxa"/>
            <w:tcBorders>
              <w:top w:val="single" w:sz="4" w:space="0" w:color="auto"/>
              <w:left w:val="nil"/>
              <w:bottom w:val="single" w:sz="4" w:space="0" w:color="auto"/>
              <w:right w:val="single" w:sz="4" w:space="0" w:color="auto"/>
            </w:tcBorders>
            <w:shd w:val="clear" w:color="auto" w:fill="auto"/>
            <w:hideMark/>
          </w:tcPr>
          <w:p w:rsidR="000E1413" w:rsidRPr="000E1413" w:rsidRDefault="000E1413" w:rsidP="00527E84">
            <w:pPr>
              <w:rPr>
                <w:rFonts w:ascii="Arial" w:hAnsi="Arial" w:cs="Arial"/>
                <w:sz w:val="20"/>
                <w:szCs w:val="20"/>
              </w:rPr>
            </w:pPr>
            <w:r w:rsidRPr="00A7419C">
              <w:rPr>
                <w:rFonts w:ascii="Arial" w:hAnsi="Arial" w:cs="Arial"/>
                <w:sz w:val="20"/>
                <w:szCs w:val="20"/>
              </w:rPr>
              <w:t>CA and 3-4</w:t>
            </w:r>
          </w:p>
        </w:tc>
      </w:tr>
      <w:tr w:rsidR="000E1413" w:rsidRPr="00F64177" w:rsidTr="00A7419C">
        <w:trPr>
          <w:trHeight w:val="315"/>
        </w:trPr>
        <w:tc>
          <w:tcPr>
            <w:tcW w:w="961" w:type="dxa"/>
            <w:vMerge/>
            <w:tcBorders>
              <w:left w:val="single" w:sz="8" w:space="0" w:color="auto"/>
              <w:right w:val="single" w:sz="4" w:space="0" w:color="auto"/>
            </w:tcBorders>
            <w:vAlign w:val="center"/>
          </w:tcPr>
          <w:p w:rsidR="000E1413" w:rsidRPr="00F64177" w:rsidRDefault="000E1413" w:rsidP="00527E84">
            <w:pPr>
              <w:rPr>
                <w:rFonts w:ascii="Arial" w:hAnsi="Arial" w:cs="Arial"/>
                <w:sz w:val="20"/>
                <w:szCs w:val="20"/>
              </w:rPr>
            </w:pPr>
          </w:p>
        </w:tc>
        <w:tc>
          <w:tcPr>
            <w:tcW w:w="506"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0E1413">
              <w:rPr>
                <w:rFonts w:ascii="Arial" w:hAnsi="Arial" w:cs="Arial"/>
                <w:sz w:val="20"/>
                <w:szCs w:val="20"/>
              </w:rPr>
              <w:t>3-4</w:t>
            </w:r>
          </w:p>
        </w:tc>
        <w:tc>
          <w:tcPr>
            <w:tcW w:w="3062"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A7419C">
              <w:rPr>
                <w:rFonts w:ascii="Arial" w:hAnsi="Arial" w:cs="Arial"/>
                <w:sz w:val="20"/>
                <w:szCs w:val="20"/>
              </w:rPr>
              <w:t>CRS-based discovery signal/procedure</w:t>
            </w:r>
          </w:p>
        </w:tc>
        <w:tc>
          <w:tcPr>
            <w:tcW w:w="3062" w:type="dxa"/>
            <w:tcBorders>
              <w:top w:val="single" w:sz="4" w:space="0" w:color="auto"/>
              <w:left w:val="nil"/>
              <w:bottom w:val="single" w:sz="4" w:space="0" w:color="auto"/>
              <w:right w:val="single" w:sz="4" w:space="0" w:color="auto"/>
            </w:tcBorders>
            <w:shd w:val="clear" w:color="auto" w:fill="auto"/>
          </w:tcPr>
          <w:p w:rsidR="000E1413" w:rsidRPr="000E1413" w:rsidRDefault="000E1413" w:rsidP="0051040B">
            <w:pPr>
              <w:rPr>
                <w:rFonts w:ascii="Arial" w:hAnsi="Arial" w:cs="Arial"/>
                <w:sz w:val="20"/>
                <w:szCs w:val="20"/>
              </w:rPr>
            </w:pPr>
            <w:r w:rsidRPr="00A7419C">
              <w:rPr>
                <w:rFonts w:ascii="Arial" w:hAnsi="Arial" w:cs="Arial"/>
                <w:sz w:val="20"/>
                <w:szCs w:val="20"/>
              </w:rPr>
              <w:t>1) CRS-based RRM measurement</w:t>
            </w:r>
            <w:r w:rsidRPr="00A7419C">
              <w:rPr>
                <w:rFonts w:ascii="MS PGothic" w:eastAsia="MS PGothic" w:hAnsi="MS PGothic" w:cs="Arial" w:hint="eastAsia"/>
                <w:sz w:val="20"/>
                <w:szCs w:val="20"/>
              </w:rPr>
              <w:t xml:space="preserve">　</w:t>
            </w:r>
            <w:r w:rsidRPr="00A7419C">
              <w:rPr>
                <w:rFonts w:ascii="MS PGothic" w:eastAsia="MS PGothic" w:hAnsi="MS PGothic" w:cs="Arial"/>
                <w:sz w:val="20"/>
                <w:szCs w:val="20"/>
              </w:rPr>
              <w:br/>
            </w:r>
            <w:r w:rsidRPr="00A7419C">
              <w:rPr>
                <w:rFonts w:ascii="Arial" w:hAnsi="Arial" w:cs="Arial"/>
                <w:sz w:val="20"/>
                <w:szCs w:val="20"/>
              </w:rPr>
              <w:t>2) Rate-matching for zero-power CSI-RS</w:t>
            </w:r>
          </w:p>
        </w:tc>
        <w:tc>
          <w:tcPr>
            <w:tcW w:w="1284"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A7419C">
              <w:rPr>
                <w:rFonts w:ascii="Arial" w:hAnsi="Arial" w:cs="Arial"/>
                <w:sz w:val="20"/>
                <w:szCs w:val="20"/>
              </w:rPr>
              <w:t>None</w:t>
            </w:r>
          </w:p>
        </w:tc>
      </w:tr>
      <w:tr w:rsidR="000E1413" w:rsidRPr="00F64177" w:rsidTr="00A7419C">
        <w:trPr>
          <w:trHeight w:val="315"/>
        </w:trPr>
        <w:tc>
          <w:tcPr>
            <w:tcW w:w="961" w:type="dxa"/>
            <w:vMerge/>
            <w:tcBorders>
              <w:left w:val="single" w:sz="8" w:space="0" w:color="auto"/>
              <w:bottom w:val="double" w:sz="6" w:space="0" w:color="000000"/>
              <w:right w:val="single" w:sz="4" w:space="0" w:color="auto"/>
            </w:tcBorders>
            <w:vAlign w:val="center"/>
          </w:tcPr>
          <w:p w:rsidR="000E1413" w:rsidRPr="00F64177" w:rsidRDefault="000E1413" w:rsidP="00527E84">
            <w:pPr>
              <w:rPr>
                <w:rFonts w:ascii="Arial" w:hAnsi="Arial" w:cs="Arial"/>
                <w:sz w:val="20"/>
                <w:szCs w:val="20"/>
              </w:rPr>
            </w:pPr>
          </w:p>
        </w:tc>
        <w:tc>
          <w:tcPr>
            <w:tcW w:w="506"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0E1413">
              <w:rPr>
                <w:rFonts w:ascii="Arial" w:hAnsi="Arial" w:cs="Arial"/>
                <w:sz w:val="20"/>
                <w:szCs w:val="20"/>
              </w:rPr>
              <w:t>3-5</w:t>
            </w:r>
          </w:p>
        </w:tc>
        <w:tc>
          <w:tcPr>
            <w:tcW w:w="3062"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A7419C">
              <w:rPr>
                <w:rFonts w:ascii="Arial" w:hAnsi="Arial" w:cs="Arial"/>
                <w:sz w:val="20"/>
                <w:szCs w:val="20"/>
              </w:rPr>
              <w:t>CSI-RS-based discovery signal/procedure</w:t>
            </w:r>
          </w:p>
        </w:tc>
        <w:tc>
          <w:tcPr>
            <w:tcW w:w="3062" w:type="dxa"/>
            <w:tcBorders>
              <w:top w:val="single" w:sz="4" w:space="0" w:color="auto"/>
              <w:left w:val="nil"/>
              <w:bottom w:val="single" w:sz="4" w:space="0" w:color="auto"/>
              <w:right w:val="single" w:sz="4" w:space="0" w:color="auto"/>
            </w:tcBorders>
            <w:shd w:val="clear" w:color="auto" w:fill="auto"/>
          </w:tcPr>
          <w:p w:rsidR="000E1413" w:rsidRPr="000E1413" w:rsidRDefault="000E1413" w:rsidP="0051040B">
            <w:pPr>
              <w:rPr>
                <w:rFonts w:ascii="Arial" w:hAnsi="Arial" w:cs="Arial"/>
                <w:sz w:val="20"/>
                <w:szCs w:val="20"/>
              </w:rPr>
            </w:pPr>
            <w:r w:rsidRPr="00A7419C">
              <w:rPr>
                <w:rFonts w:ascii="Arial" w:hAnsi="Arial" w:cs="Arial"/>
                <w:sz w:val="20"/>
                <w:szCs w:val="20"/>
              </w:rPr>
              <w:t>1) CSI-RS-based RRM measurement</w:t>
            </w:r>
          </w:p>
        </w:tc>
        <w:tc>
          <w:tcPr>
            <w:tcW w:w="1284" w:type="dxa"/>
            <w:tcBorders>
              <w:top w:val="single" w:sz="4" w:space="0" w:color="auto"/>
              <w:left w:val="nil"/>
              <w:bottom w:val="single" w:sz="4" w:space="0" w:color="auto"/>
              <w:right w:val="single" w:sz="4" w:space="0" w:color="auto"/>
            </w:tcBorders>
            <w:shd w:val="clear" w:color="auto" w:fill="auto"/>
          </w:tcPr>
          <w:p w:rsidR="000E1413" w:rsidRPr="000E1413" w:rsidRDefault="000E1413" w:rsidP="00527E84">
            <w:pPr>
              <w:rPr>
                <w:rFonts w:ascii="Arial" w:hAnsi="Arial" w:cs="Arial"/>
                <w:sz w:val="20"/>
                <w:szCs w:val="20"/>
              </w:rPr>
            </w:pPr>
            <w:r w:rsidRPr="00A7419C">
              <w:rPr>
                <w:rFonts w:ascii="Arial" w:hAnsi="Arial" w:cs="Arial"/>
                <w:sz w:val="20"/>
                <w:szCs w:val="20"/>
              </w:rPr>
              <w:t>3-4</w:t>
            </w:r>
          </w:p>
        </w:tc>
      </w:tr>
    </w:tbl>
    <w:p w:rsidR="000E1413" w:rsidRDefault="000E1413" w:rsidP="008E418C">
      <w:pPr>
        <w:pStyle w:val="BodyText"/>
        <w:jc w:val="both"/>
      </w:pPr>
      <w:r>
        <w:lastRenderedPageBreak/>
        <w:t>For the “</w:t>
      </w:r>
      <w:r w:rsidRPr="000E1413">
        <w:t>Need of FDD/TDD differentiation</w:t>
      </w:r>
      <w:r>
        <w:t xml:space="preserve">” it is important to consider whether or not the features </w:t>
      </w:r>
      <w:r w:rsidR="00BD648B">
        <w:t>are</w:t>
      </w:r>
      <w:r>
        <w:t xml:space="preserve"> technical</w:t>
      </w:r>
      <w:r w:rsidR="00BD648B">
        <w:t>ly</w:t>
      </w:r>
      <w:r>
        <w:t xml:space="preserve"> differen</w:t>
      </w:r>
      <w:r w:rsidR="00BD648B">
        <w:t>t</w:t>
      </w:r>
      <w:r>
        <w:t xml:space="preserve"> between TDD and FDD. We here discuss this </w:t>
      </w:r>
      <w:r w:rsidR="00BD648B">
        <w:t xml:space="preserve">aspect </w:t>
      </w:r>
      <w:r>
        <w:t xml:space="preserve">for all the features given in the above table. For the 256QAM related feature the functionality is the same for both FDD and TDD and hence there should not be a need </w:t>
      </w:r>
      <w:r w:rsidR="00BD648B">
        <w:t>for</w:t>
      </w:r>
      <w:r>
        <w:t xml:space="preserve"> separat</w:t>
      </w:r>
      <w:r w:rsidR="00424112">
        <w:t>ing</w:t>
      </w:r>
      <w:r>
        <w:t xml:space="preserve"> the capabilities. </w:t>
      </w:r>
    </w:p>
    <w:p w:rsidR="000E1413" w:rsidRDefault="000E1413" w:rsidP="008E418C">
      <w:pPr>
        <w:pStyle w:val="BodyText"/>
        <w:jc w:val="both"/>
      </w:pPr>
      <w:r>
        <w:t>For the discovery signal design, i.e. both for feature</w:t>
      </w:r>
      <w:r w:rsidR="00BD648B">
        <w:t>s</w:t>
      </w:r>
      <w:r>
        <w:t xml:space="preserve"> 3-4 and 3-5 the functionality differs between TDD and FDD in the sense that in TDD it is possible to allow gaps in the discovery signal</w:t>
      </w:r>
      <w:r w:rsidR="00A7419C">
        <w:t>. At the same time each signal that build</w:t>
      </w:r>
      <w:r w:rsidR="00424112">
        <w:t>s</w:t>
      </w:r>
      <w:r w:rsidR="00A7419C">
        <w:t xml:space="preserve"> up the discovery signal is already defined for LTE </w:t>
      </w:r>
      <w:proofErr w:type="gramStart"/>
      <w:r w:rsidR="00A7419C">
        <w:t xml:space="preserve">and </w:t>
      </w:r>
      <w:r w:rsidR="00424112">
        <w:t xml:space="preserve"> the</w:t>
      </w:r>
      <w:proofErr w:type="gramEnd"/>
      <w:r w:rsidR="00424112">
        <w:t xml:space="preserve"> </w:t>
      </w:r>
      <w:r w:rsidR="00A7419C">
        <w:t xml:space="preserve">UE is capable of handling </w:t>
      </w:r>
      <w:r w:rsidR="00424112">
        <w:t>them individually</w:t>
      </w:r>
      <w:r w:rsidR="00A7419C">
        <w:t>. Still to be on the safe side we prefer to have separate TDD and FDD capabilities for feature</w:t>
      </w:r>
      <w:r w:rsidR="00BD648B">
        <w:t>s</w:t>
      </w:r>
      <w:r w:rsidR="00A7419C">
        <w:t xml:space="preserve"> 3-4 and 3-5.</w:t>
      </w:r>
    </w:p>
    <w:p w:rsidR="000E1413" w:rsidRDefault="000E1413" w:rsidP="008E418C">
      <w:pPr>
        <w:pStyle w:val="BodyText"/>
        <w:jc w:val="both"/>
      </w:pPr>
      <w:r>
        <w:t>With regards to the “</w:t>
      </w:r>
      <w:r w:rsidRPr="000E1413">
        <w:t>UE procedure related to Small cell on/off by CA SCell activation/deactivation</w:t>
      </w:r>
      <w:r>
        <w:t xml:space="preserve">”, in </w:t>
      </w:r>
      <w:r w:rsidR="00CF7F41">
        <w:t>itself</w:t>
      </w:r>
      <w:r>
        <w:t xml:space="preserve"> this feature would not require separation between TDD and FDD as the CA activation/deac</w:t>
      </w:r>
      <w:r w:rsidR="00CF7F41">
        <w:t>tivation procedure is the same between FDD and TDD.</w:t>
      </w:r>
    </w:p>
    <w:p w:rsidR="000E1413" w:rsidRPr="00A7419C" w:rsidRDefault="00CF7F41">
      <w:pPr>
        <w:pStyle w:val="BodyText"/>
        <w:rPr>
          <w:b/>
        </w:rPr>
      </w:pPr>
      <w:r w:rsidRPr="00A7419C">
        <w:rPr>
          <w:b/>
        </w:rPr>
        <w:t>Proposal</w:t>
      </w:r>
    </w:p>
    <w:p w:rsidR="00CF7F41" w:rsidRPr="00A7419C" w:rsidRDefault="00CF7F41" w:rsidP="00A7419C">
      <w:pPr>
        <w:pStyle w:val="BodyText"/>
        <w:numPr>
          <w:ilvl w:val="0"/>
          <w:numId w:val="39"/>
        </w:numPr>
        <w:rPr>
          <w:i/>
        </w:rPr>
      </w:pPr>
      <w:r w:rsidRPr="00A7419C">
        <w:rPr>
          <w:i/>
        </w:rPr>
        <w:t>Features 3-1, 3-2 and 3-3 do not require FDD and TDD differentiation</w:t>
      </w:r>
      <w:r w:rsidR="008C2C08">
        <w:rPr>
          <w:i/>
        </w:rPr>
        <w:t>.</w:t>
      </w:r>
    </w:p>
    <w:p w:rsidR="00CF7F41" w:rsidRPr="00A7419C" w:rsidRDefault="00CF7F41" w:rsidP="00A7419C">
      <w:pPr>
        <w:pStyle w:val="BodyText"/>
        <w:numPr>
          <w:ilvl w:val="0"/>
          <w:numId w:val="39"/>
        </w:numPr>
        <w:rPr>
          <w:i/>
        </w:rPr>
      </w:pPr>
      <w:r w:rsidRPr="00A7419C">
        <w:rPr>
          <w:i/>
        </w:rPr>
        <w:t>Features 3-4 and 3-5 require FDD and TDD differentiation</w:t>
      </w:r>
      <w:r w:rsidR="008C2C08">
        <w:rPr>
          <w:i/>
        </w:rPr>
        <w:t>.</w:t>
      </w:r>
    </w:p>
    <w:p w:rsidR="00C95E79" w:rsidRDefault="00C95E79" w:rsidP="00C95E79">
      <w:pPr>
        <w:pStyle w:val="Heading2"/>
      </w:pPr>
      <w:r>
        <w:t>Support of features in Rel-12</w:t>
      </w:r>
    </w:p>
    <w:p w:rsidR="00C95E79" w:rsidRDefault="00B20383" w:rsidP="008E418C">
      <w:pPr>
        <w:pStyle w:val="BodyText"/>
        <w:jc w:val="both"/>
      </w:pPr>
      <w:r>
        <w:t>Ultimately, the b</w:t>
      </w:r>
      <w:r w:rsidR="00C95E79">
        <w:t xml:space="preserve">est </w:t>
      </w:r>
      <w:r>
        <w:t xml:space="preserve">determining </w:t>
      </w:r>
      <w:r w:rsidR="00C95E79">
        <w:t xml:space="preserve">factor </w:t>
      </w:r>
      <w:r>
        <w:t>in</w:t>
      </w:r>
      <w:r w:rsidR="00C95E79">
        <w:t xml:space="preserve"> deciding if a feature </w:t>
      </w:r>
      <w:r w:rsidR="008C2C08">
        <w:t>can be considered</w:t>
      </w:r>
      <w:r w:rsidR="00C95E79">
        <w:t xml:space="preserve"> beneficial is the market</w:t>
      </w:r>
      <w:r w:rsidR="008C2C08">
        <w:t xml:space="preserve"> situation</w:t>
      </w:r>
      <w:r>
        <w:t>.</w:t>
      </w:r>
      <w:r w:rsidR="00C95E79">
        <w:t xml:space="preserve"> </w:t>
      </w:r>
      <w:r>
        <w:t>I</w:t>
      </w:r>
      <w:r w:rsidR="00C95E79">
        <w:t xml:space="preserve">f the feature is </w:t>
      </w:r>
      <w:r>
        <w:t>beneficial</w:t>
      </w:r>
      <w:r w:rsidR="00C95E79">
        <w:t xml:space="preserve"> it will be deployed independent </w:t>
      </w:r>
      <w:r>
        <w:t>of</w:t>
      </w:r>
      <w:r w:rsidR="00C95E79">
        <w:t xml:space="preserve"> </w:t>
      </w:r>
      <w:r>
        <w:t>being a</w:t>
      </w:r>
      <w:r w:rsidR="00C95E79">
        <w:t xml:space="preserve"> mandatory or </w:t>
      </w:r>
      <w:r>
        <w:t xml:space="preserve">an </w:t>
      </w:r>
      <w:r w:rsidR="00C95E79">
        <w:t>optional</w:t>
      </w:r>
      <w:r>
        <w:t xml:space="preserve"> feature</w:t>
      </w:r>
      <w:r w:rsidR="00C95E79">
        <w:t xml:space="preserve">. If the feature is not </w:t>
      </w:r>
      <w:r>
        <w:t xml:space="preserve">largely </w:t>
      </w:r>
      <w:r w:rsidR="00C95E79">
        <w:t xml:space="preserve">beneficial it will not be utilized in reality independent </w:t>
      </w:r>
      <w:r>
        <w:t>of</w:t>
      </w:r>
      <w:r w:rsidR="00C95E79">
        <w:t xml:space="preserve"> the feature </w:t>
      </w:r>
      <w:r>
        <w:t>being</w:t>
      </w:r>
      <w:r w:rsidR="00C95E79">
        <w:t xml:space="preserve"> optional or mandatory. Further</w:t>
      </w:r>
      <w:r>
        <w:t>more,</w:t>
      </w:r>
      <w:r w:rsidR="00C95E79">
        <w:t xml:space="preserve"> if the </w:t>
      </w:r>
      <w:r w:rsidR="00F45320">
        <w:t>numbers of mandatory features are</w:t>
      </w:r>
      <w:r w:rsidR="00C95E79">
        <w:t xml:space="preserve"> kept to a minimum or </w:t>
      </w:r>
      <w:r>
        <w:t>zero</w:t>
      </w:r>
      <w:r w:rsidR="00C95E79">
        <w:t xml:space="preserve"> it will speed up the time to market </w:t>
      </w:r>
      <w:r>
        <w:t>which is</w:t>
      </w:r>
      <w:r w:rsidR="00C95E79">
        <w:t xml:space="preserve"> </w:t>
      </w:r>
      <w:r>
        <w:t>overall</w:t>
      </w:r>
      <w:r w:rsidR="008C2C08">
        <w:t xml:space="preserve"> </w:t>
      </w:r>
      <w:r w:rsidR="000521BE">
        <w:t>advantageous</w:t>
      </w:r>
      <w:r>
        <w:t xml:space="preserve"> for </w:t>
      </w:r>
      <w:r w:rsidR="00C95E79">
        <w:t xml:space="preserve">Rel-12. </w:t>
      </w:r>
    </w:p>
    <w:p w:rsidR="00C95E79" w:rsidRPr="00C95E79" w:rsidRDefault="00C95E79" w:rsidP="00C95E79">
      <w:pPr>
        <w:pStyle w:val="BodyText"/>
        <w:rPr>
          <w:b/>
        </w:rPr>
      </w:pPr>
      <w:r w:rsidRPr="00C95E79">
        <w:rPr>
          <w:b/>
        </w:rPr>
        <w:t>Proposal</w:t>
      </w:r>
    </w:p>
    <w:p w:rsidR="00C95E79" w:rsidRPr="00A7419C" w:rsidRDefault="00C95E79" w:rsidP="00C95E79">
      <w:pPr>
        <w:pStyle w:val="BodyText"/>
        <w:numPr>
          <w:ilvl w:val="0"/>
          <w:numId w:val="35"/>
        </w:numPr>
        <w:rPr>
          <w:i/>
        </w:rPr>
      </w:pPr>
      <w:r w:rsidRPr="00A7419C">
        <w:rPr>
          <w:i/>
        </w:rPr>
        <w:t>RAN1 recommends that all features for which RAN1 has not yet made a</w:t>
      </w:r>
      <w:r w:rsidR="00C603D8" w:rsidRPr="00A7419C">
        <w:rPr>
          <w:i/>
        </w:rPr>
        <w:t xml:space="preserve"> </w:t>
      </w:r>
      <w:r w:rsidRPr="00A7419C">
        <w:rPr>
          <w:i/>
        </w:rPr>
        <w:t>recommendation</w:t>
      </w:r>
      <w:r w:rsidR="00BD648B">
        <w:rPr>
          <w:i/>
        </w:rPr>
        <w:t xml:space="preserve"> should </w:t>
      </w:r>
      <w:r w:rsidRPr="00A7419C">
        <w:rPr>
          <w:i/>
        </w:rPr>
        <w:t>be optionally supported in Rel-12</w:t>
      </w:r>
      <w:r w:rsidR="00BD648B">
        <w:rPr>
          <w:i/>
        </w:rPr>
        <w:t>.</w:t>
      </w:r>
      <w:r w:rsidRPr="00A7419C">
        <w:rPr>
          <w:i/>
        </w:rPr>
        <w:t xml:space="preserve"> </w:t>
      </w:r>
    </w:p>
    <w:p w:rsidR="002D4C4D" w:rsidRDefault="002D4C4D" w:rsidP="00016953">
      <w:pPr>
        <w:pStyle w:val="Heading1"/>
      </w:pPr>
      <w:r w:rsidRPr="00E70914">
        <w:t>Conclusions</w:t>
      </w:r>
    </w:p>
    <w:p w:rsidR="002D4C4D" w:rsidRDefault="00C603D8" w:rsidP="00016953">
      <w:pPr>
        <w:pStyle w:val="BodyText"/>
      </w:pPr>
      <w:r>
        <w:t>In this contribution</w:t>
      </w:r>
      <w:r w:rsidR="002D4C4D" w:rsidRPr="00E70914">
        <w:t xml:space="preserve"> we </w:t>
      </w:r>
      <w:r w:rsidR="003F68FD">
        <w:t>discussed</w:t>
      </w:r>
      <w:r w:rsidR="00B20383">
        <w:t xml:space="preserve"> the</w:t>
      </w:r>
      <w:r w:rsidR="003F68FD">
        <w:t xml:space="preserve"> remaining</w:t>
      </w:r>
      <w:r>
        <w:t xml:space="preserve"> UE capabilities issues</w:t>
      </w:r>
      <w:r w:rsidR="00B20383">
        <w:t xml:space="preserve"> and</w:t>
      </w:r>
      <w:r>
        <w:t xml:space="preserve"> based on the discussion in the contribution</w:t>
      </w:r>
      <w:r w:rsidR="00B20383">
        <w:t>,</w:t>
      </w:r>
      <w:r>
        <w:t xml:space="preserve"> we propose the following: </w:t>
      </w:r>
    </w:p>
    <w:p w:rsidR="00CF7F41" w:rsidRPr="00A7419C" w:rsidRDefault="00CF7F41" w:rsidP="00A7419C">
      <w:pPr>
        <w:pStyle w:val="BodyText"/>
        <w:numPr>
          <w:ilvl w:val="0"/>
          <w:numId w:val="35"/>
        </w:numPr>
      </w:pPr>
      <w:r w:rsidRPr="00A7419C">
        <w:t>Features 3-1, 3-2 and 3-3 do not require FDD and TDD differentiation</w:t>
      </w:r>
      <w:r w:rsidR="00BD648B">
        <w:t>.</w:t>
      </w:r>
    </w:p>
    <w:p w:rsidR="00CF7F41" w:rsidRPr="00CF7F41" w:rsidRDefault="00CF7F41">
      <w:pPr>
        <w:pStyle w:val="BodyText"/>
        <w:numPr>
          <w:ilvl w:val="0"/>
          <w:numId w:val="35"/>
        </w:numPr>
      </w:pPr>
      <w:r w:rsidRPr="00A7419C">
        <w:t>Features 3-4 and 3-5 require FDD and TDD differentiation</w:t>
      </w:r>
      <w:r w:rsidR="00BD648B">
        <w:t>.</w:t>
      </w:r>
    </w:p>
    <w:p w:rsidR="00C603D8" w:rsidRDefault="00C603D8" w:rsidP="00C603D8">
      <w:pPr>
        <w:pStyle w:val="BodyText"/>
        <w:numPr>
          <w:ilvl w:val="0"/>
          <w:numId w:val="35"/>
        </w:numPr>
      </w:pPr>
      <w:r>
        <w:t xml:space="preserve">RAN1 recommends that all features for which RAN1 has not yet made a recommendation </w:t>
      </w:r>
      <w:r w:rsidR="00B20383">
        <w:t xml:space="preserve">should be </w:t>
      </w:r>
      <w:r>
        <w:t>optionally supported in Rel-12</w:t>
      </w:r>
      <w:r w:rsidR="00BD648B">
        <w:t>.</w:t>
      </w:r>
      <w:r>
        <w:t xml:space="preserve"> </w:t>
      </w:r>
    </w:p>
    <w:p w:rsidR="002A56A0" w:rsidRPr="00E70914" w:rsidRDefault="002A56A0" w:rsidP="00016953">
      <w:pPr>
        <w:pStyle w:val="Heading1"/>
      </w:pPr>
      <w:r w:rsidRPr="00E70914">
        <w:t>References</w:t>
      </w:r>
    </w:p>
    <w:p w:rsidR="00CF5E33" w:rsidRDefault="003A753E" w:rsidP="003A753E">
      <w:pPr>
        <w:pStyle w:val="Reference"/>
      </w:pPr>
      <w:bookmarkStart w:id="3" w:name="_Ref394506093"/>
      <w:bookmarkStart w:id="4" w:name="_Ref377392850"/>
      <w:bookmarkStart w:id="5" w:name="_Ref381794187"/>
      <w:bookmarkStart w:id="6" w:name="_Ref382574181"/>
      <w:bookmarkStart w:id="7" w:name="_Ref399347084"/>
      <w:r w:rsidRPr="003A753E">
        <w:t>R1-144535</w:t>
      </w:r>
      <w:bookmarkEnd w:id="3"/>
      <w:bookmarkEnd w:id="4"/>
      <w:bookmarkEnd w:id="5"/>
      <w:bookmarkEnd w:id="6"/>
      <w:r w:rsidR="00F87CF8">
        <w:t>, “</w:t>
      </w:r>
      <w:r w:rsidR="00F87CF8" w:rsidRPr="00267F51">
        <w:rPr>
          <w:lang w:eastAsia="ja-JP"/>
        </w:rPr>
        <w:t>LS on updated LTE Rel-12 UE feature list</w:t>
      </w:r>
      <w:r w:rsidR="00F87CF8">
        <w:rPr>
          <w:lang w:eastAsia="ja-JP"/>
        </w:rPr>
        <w:t>”</w:t>
      </w:r>
      <w:bookmarkEnd w:id="7"/>
    </w:p>
    <w:p w:rsidR="00CF7F41" w:rsidRPr="008E418C" w:rsidRDefault="00CF7F41" w:rsidP="000521BE">
      <w:pPr>
        <w:pStyle w:val="Reference"/>
      </w:pPr>
      <w:bookmarkStart w:id="8" w:name="_Ref402948552"/>
      <w:r w:rsidRPr="008E418C">
        <w:rPr>
          <w:lang w:eastAsia="ja-JP"/>
        </w:rPr>
        <w:t>R1-</w:t>
      </w:r>
      <w:r w:rsidR="008E418C" w:rsidRPr="008E418C">
        <w:rPr>
          <w:lang w:eastAsia="ja-JP"/>
        </w:rPr>
        <w:t>14</w:t>
      </w:r>
      <w:r w:rsidR="008E418C" w:rsidRPr="008E418C">
        <w:rPr>
          <w:lang w:eastAsia="ja-JP"/>
        </w:rPr>
        <w:t>5148</w:t>
      </w:r>
      <w:r w:rsidRPr="008E418C">
        <w:rPr>
          <w:lang w:eastAsia="ja-JP"/>
        </w:rPr>
        <w:t>, “</w:t>
      </w:r>
      <w:r w:rsidR="000521BE" w:rsidRPr="008E418C">
        <w:rPr>
          <w:lang w:eastAsia="ja-JP"/>
        </w:rPr>
        <w:t>On D2D UE capabilities”</w:t>
      </w:r>
      <w:r w:rsidRPr="008E418C">
        <w:rPr>
          <w:lang w:eastAsia="ja-JP"/>
        </w:rPr>
        <w:tab/>
        <w:t>Ericsson</w:t>
      </w:r>
      <w:bookmarkStart w:id="9" w:name="_GoBack"/>
      <w:bookmarkEnd w:id="8"/>
      <w:bookmarkEnd w:id="9"/>
    </w:p>
    <w:p w:rsidR="00FB6508" w:rsidRDefault="00FB6508" w:rsidP="00AB7A0C">
      <w:pPr>
        <w:pStyle w:val="Reference"/>
        <w:numPr>
          <w:ilvl w:val="0"/>
          <w:numId w:val="0"/>
        </w:numPr>
      </w:pPr>
    </w:p>
    <w:sectPr w:rsidR="00FB65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5">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C66F9"/>
    <w:multiLevelType w:val="hybridMultilevel"/>
    <w:tmpl w:val="3A8A1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7">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8">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6"/>
  </w:num>
  <w:num w:numId="2">
    <w:abstractNumId w:val="6"/>
  </w:num>
  <w:num w:numId="3">
    <w:abstractNumId w:val="14"/>
  </w:num>
  <w:num w:numId="4">
    <w:abstractNumId w:val="17"/>
  </w:num>
  <w:num w:numId="5">
    <w:abstractNumId w:val="27"/>
  </w:num>
  <w:num w:numId="6">
    <w:abstractNumId w:val="5"/>
  </w:num>
  <w:num w:numId="7">
    <w:abstractNumId w:val="36"/>
  </w:num>
  <w:num w:numId="8">
    <w:abstractNumId w:val="11"/>
  </w:num>
  <w:num w:numId="9">
    <w:abstractNumId w:val="37"/>
  </w:num>
  <w:num w:numId="10">
    <w:abstractNumId w:val="32"/>
  </w:num>
  <w:num w:numId="11">
    <w:abstractNumId w:val="29"/>
  </w:num>
  <w:num w:numId="12">
    <w:abstractNumId w:val="0"/>
  </w:num>
  <w:num w:numId="13">
    <w:abstractNumId w:val="28"/>
  </w:num>
  <w:num w:numId="14">
    <w:abstractNumId w:val="20"/>
  </w:num>
  <w:num w:numId="15">
    <w:abstractNumId w:val="12"/>
  </w:num>
  <w:num w:numId="16">
    <w:abstractNumId w:val="1"/>
  </w:num>
  <w:num w:numId="17">
    <w:abstractNumId w:val="2"/>
  </w:num>
  <w:num w:numId="18">
    <w:abstractNumId w:val="24"/>
  </w:num>
  <w:num w:numId="19">
    <w:abstractNumId w:val="7"/>
  </w:num>
  <w:num w:numId="20">
    <w:abstractNumId w:val="18"/>
  </w:num>
  <w:num w:numId="21">
    <w:abstractNumId w:val="10"/>
  </w:num>
  <w:num w:numId="22">
    <w:abstractNumId w:val="25"/>
  </w:num>
  <w:num w:numId="23">
    <w:abstractNumId w:val="22"/>
  </w:num>
  <w:num w:numId="24">
    <w:abstractNumId w:val="23"/>
  </w:num>
  <w:num w:numId="25">
    <w:abstractNumId w:val="21"/>
  </w:num>
  <w:num w:numId="26">
    <w:abstractNumId w:val="3"/>
  </w:num>
  <w:num w:numId="27">
    <w:abstractNumId w:val="35"/>
  </w:num>
  <w:num w:numId="28">
    <w:abstractNumId w:val="19"/>
  </w:num>
  <w:num w:numId="29">
    <w:abstractNumId w:val="34"/>
  </w:num>
  <w:num w:numId="30">
    <w:abstractNumId w:val="8"/>
  </w:num>
  <w:num w:numId="31">
    <w:abstractNumId w:val="4"/>
  </w:num>
  <w:num w:numId="32">
    <w:abstractNumId w:val="16"/>
  </w:num>
  <w:num w:numId="33">
    <w:abstractNumId w:val="31"/>
  </w:num>
  <w:num w:numId="34">
    <w:abstractNumId w:val="26"/>
  </w:num>
  <w:num w:numId="35">
    <w:abstractNumId w:val="15"/>
  </w:num>
  <w:num w:numId="36">
    <w:abstractNumId w:val="13"/>
  </w:num>
  <w:num w:numId="37">
    <w:abstractNumId w:val="30"/>
  </w:num>
  <w:num w:numId="38">
    <w:abstractNumId w:val="33"/>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6"/>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21BE"/>
    <w:rsid w:val="0005697D"/>
    <w:rsid w:val="00083C64"/>
    <w:rsid w:val="000927A8"/>
    <w:rsid w:val="000A77CD"/>
    <w:rsid w:val="000C1F51"/>
    <w:rsid w:val="000C4D7C"/>
    <w:rsid w:val="000D3FEB"/>
    <w:rsid w:val="000E1413"/>
    <w:rsid w:val="000E557E"/>
    <w:rsid w:val="00102F2C"/>
    <w:rsid w:val="0016041A"/>
    <w:rsid w:val="001719D8"/>
    <w:rsid w:val="001740AD"/>
    <w:rsid w:val="001954DB"/>
    <w:rsid w:val="001B2088"/>
    <w:rsid w:val="001D7BD6"/>
    <w:rsid w:val="00205468"/>
    <w:rsid w:val="002335B8"/>
    <w:rsid w:val="00247958"/>
    <w:rsid w:val="00295FCC"/>
    <w:rsid w:val="002A1099"/>
    <w:rsid w:val="002A421C"/>
    <w:rsid w:val="002A56A0"/>
    <w:rsid w:val="002C0AFF"/>
    <w:rsid w:val="002C698F"/>
    <w:rsid w:val="002C7A9D"/>
    <w:rsid w:val="002D01D1"/>
    <w:rsid w:val="002D4C4D"/>
    <w:rsid w:val="002D52DF"/>
    <w:rsid w:val="002E7B5B"/>
    <w:rsid w:val="002F00C3"/>
    <w:rsid w:val="002F2AF1"/>
    <w:rsid w:val="003079D7"/>
    <w:rsid w:val="0032289E"/>
    <w:rsid w:val="00324A7A"/>
    <w:rsid w:val="00327F01"/>
    <w:rsid w:val="00350BC7"/>
    <w:rsid w:val="00364695"/>
    <w:rsid w:val="0036787F"/>
    <w:rsid w:val="003704BD"/>
    <w:rsid w:val="0037092D"/>
    <w:rsid w:val="0038270F"/>
    <w:rsid w:val="003A753E"/>
    <w:rsid w:val="003F68FD"/>
    <w:rsid w:val="00415CF8"/>
    <w:rsid w:val="00424112"/>
    <w:rsid w:val="00470B4C"/>
    <w:rsid w:val="0047238A"/>
    <w:rsid w:val="00475509"/>
    <w:rsid w:val="004801DE"/>
    <w:rsid w:val="004877F4"/>
    <w:rsid w:val="004B422F"/>
    <w:rsid w:val="004B6E1C"/>
    <w:rsid w:val="004C124D"/>
    <w:rsid w:val="00500656"/>
    <w:rsid w:val="0051040B"/>
    <w:rsid w:val="00515506"/>
    <w:rsid w:val="0054454E"/>
    <w:rsid w:val="00551D83"/>
    <w:rsid w:val="00593049"/>
    <w:rsid w:val="005D3BB7"/>
    <w:rsid w:val="005E028A"/>
    <w:rsid w:val="005E055B"/>
    <w:rsid w:val="005E2583"/>
    <w:rsid w:val="00661A34"/>
    <w:rsid w:val="006A7F8B"/>
    <w:rsid w:val="006E3BD6"/>
    <w:rsid w:val="00706709"/>
    <w:rsid w:val="007470B8"/>
    <w:rsid w:val="00753F9D"/>
    <w:rsid w:val="00776314"/>
    <w:rsid w:val="00787096"/>
    <w:rsid w:val="00787F69"/>
    <w:rsid w:val="00794B91"/>
    <w:rsid w:val="007A79C4"/>
    <w:rsid w:val="0082451F"/>
    <w:rsid w:val="00833C1F"/>
    <w:rsid w:val="00853E9E"/>
    <w:rsid w:val="00871A9A"/>
    <w:rsid w:val="00890C0B"/>
    <w:rsid w:val="00891F6D"/>
    <w:rsid w:val="00892C2C"/>
    <w:rsid w:val="008A28AE"/>
    <w:rsid w:val="008B706E"/>
    <w:rsid w:val="008C254D"/>
    <w:rsid w:val="008C2C08"/>
    <w:rsid w:val="008D0830"/>
    <w:rsid w:val="008E418C"/>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7DD9"/>
    <w:rsid w:val="009D5BFE"/>
    <w:rsid w:val="00A219D6"/>
    <w:rsid w:val="00A37D68"/>
    <w:rsid w:val="00A543CD"/>
    <w:rsid w:val="00A7069E"/>
    <w:rsid w:val="00A7419C"/>
    <w:rsid w:val="00A83DAA"/>
    <w:rsid w:val="00AA34BC"/>
    <w:rsid w:val="00AB6FC7"/>
    <w:rsid w:val="00AB7A0C"/>
    <w:rsid w:val="00AC6E06"/>
    <w:rsid w:val="00AE4E21"/>
    <w:rsid w:val="00AF47A5"/>
    <w:rsid w:val="00AF708E"/>
    <w:rsid w:val="00B15F44"/>
    <w:rsid w:val="00B20383"/>
    <w:rsid w:val="00B30865"/>
    <w:rsid w:val="00B31072"/>
    <w:rsid w:val="00B31134"/>
    <w:rsid w:val="00B83B20"/>
    <w:rsid w:val="00B83C26"/>
    <w:rsid w:val="00B87B6D"/>
    <w:rsid w:val="00BA7A6C"/>
    <w:rsid w:val="00BB18D0"/>
    <w:rsid w:val="00BC3F4F"/>
    <w:rsid w:val="00BC4672"/>
    <w:rsid w:val="00BD648B"/>
    <w:rsid w:val="00BD6497"/>
    <w:rsid w:val="00BF73C1"/>
    <w:rsid w:val="00C445AA"/>
    <w:rsid w:val="00C5320B"/>
    <w:rsid w:val="00C537D5"/>
    <w:rsid w:val="00C603D8"/>
    <w:rsid w:val="00C95E79"/>
    <w:rsid w:val="00CB7E92"/>
    <w:rsid w:val="00CC57AA"/>
    <w:rsid w:val="00CD3FD9"/>
    <w:rsid w:val="00CE29A6"/>
    <w:rsid w:val="00CF5E33"/>
    <w:rsid w:val="00CF7F41"/>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23C85"/>
    <w:rsid w:val="00E27C9F"/>
    <w:rsid w:val="00E37E8F"/>
    <w:rsid w:val="00E62924"/>
    <w:rsid w:val="00E636B0"/>
    <w:rsid w:val="00E74CA5"/>
    <w:rsid w:val="00E813AB"/>
    <w:rsid w:val="00EC1526"/>
    <w:rsid w:val="00EC61DA"/>
    <w:rsid w:val="00EC7B0D"/>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9A789-816F-4199-8C71-1ADD0A95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Daniel</cp:lastModifiedBy>
  <cp:revision>40</cp:revision>
  <dcterms:created xsi:type="dcterms:W3CDTF">2014-08-06T18:03:00Z</dcterms:created>
  <dcterms:modified xsi:type="dcterms:W3CDTF">2014-11-07T14:58:00Z</dcterms:modified>
</cp:coreProperties>
</file>