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716C7">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21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2504173</w:t>
      </w:r>
    </w:p>
    <w:p w14:paraId="6CD69AEC">
      <w:pPr>
        <w:tabs>
          <w:tab w:val="center" w:pos="4536"/>
          <w:tab w:val="right" w:pos="9072"/>
        </w:tabs>
        <w:rPr>
          <w:rFonts w:hint="eastAsia" w:ascii="Arial" w:hAnsi="Arial" w:eastAsia="宋体" w:cs="Arial"/>
          <w:b/>
          <w:bCs/>
          <w:sz w:val="24"/>
          <w:szCs w:val="24"/>
          <w:lang w:eastAsia="zh-CN"/>
        </w:rPr>
      </w:pPr>
      <w:r>
        <w:rPr>
          <w:rFonts w:hint="eastAsia" w:ascii="Arial" w:hAnsi="Arial" w:eastAsia="宋体" w:cs="Arial"/>
          <w:b/>
          <w:bCs/>
          <w:sz w:val="24"/>
          <w:szCs w:val="24"/>
          <w:lang w:val="en-US" w:eastAsia="zh-CN"/>
        </w:rPr>
        <w:t>St Julian</w:t>
      </w:r>
      <w:r>
        <w:rPr>
          <w:rFonts w:hint="default" w:ascii="Arial" w:hAnsi="Arial" w:cs="Arial"/>
          <w:b/>
          <w:bCs/>
          <w:sz w:val="24"/>
          <w:szCs w:val="24"/>
          <w:lang w:val="en-US" w:eastAsia="zh-CN"/>
        </w:rPr>
        <w:t>’</w:t>
      </w:r>
      <w:r>
        <w:rPr>
          <w:rFonts w:hint="eastAsia" w:ascii="Arial" w:hAnsi="Arial" w:eastAsia="宋体" w:cs="Arial"/>
          <w:b/>
          <w:bCs/>
          <w:sz w:val="24"/>
          <w:szCs w:val="24"/>
          <w:lang w:val="en-US" w:eastAsia="zh-CN"/>
        </w:rPr>
        <w:t xml:space="preserve">s, Malta, </w:t>
      </w:r>
      <w:r>
        <w:rPr>
          <w:rFonts w:hint="eastAsia" w:ascii="Arial" w:hAnsi="Arial" w:cs="Arial"/>
          <w:b/>
          <w:bCs/>
          <w:sz w:val="24"/>
          <w:szCs w:val="24"/>
          <w:lang w:val="en-US" w:eastAsia="zh-CN"/>
        </w:rPr>
        <w:t>May</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19</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23</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14:paraId="56E17ECB">
      <w:pPr>
        <w:pBdr>
          <w:top w:val="single" w:color="auto" w:sz="4" w:space="0"/>
        </w:pBdr>
        <w:spacing w:after="0"/>
        <w:jc w:val="left"/>
        <w:rPr>
          <w:b/>
          <w:bCs/>
          <w:sz w:val="16"/>
          <w:szCs w:val="16"/>
        </w:rPr>
      </w:pPr>
    </w:p>
    <w:p w14:paraId="3D3FB468">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w:t>
      </w:r>
      <w:r>
        <w:rPr>
          <w:rFonts w:hint="eastAsia"/>
          <w:b/>
          <w:lang w:val="en-US" w:eastAsia="zh-CN"/>
        </w:rPr>
        <w:t>4</w:t>
      </w:r>
    </w:p>
    <w:p w14:paraId="58D65023">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14:paraId="02717DA9">
      <w:pPr>
        <w:spacing w:after="60"/>
        <w:ind w:left="1555" w:hanging="1555"/>
        <w:jc w:val="left"/>
        <w:rPr>
          <w:rFonts w:hint="eastAsia" w:eastAsia="宋体"/>
          <w:b/>
          <w:lang w:val="en-US" w:eastAsia="zh-CN"/>
        </w:rPr>
      </w:pPr>
      <w:r>
        <w:rPr>
          <w:b/>
        </w:rPr>
        <w:t>Title:</w:t>
      </w:r>
      <w:r>
        <w:rPr>
          <w:b/>
        </w:rPr>
        <w:tab/>
      </w:r>
      <w:r>
        <w:rPr>
          <w:rFonts w:hint="eastAsia"/>
          <w:b/>
        </w:rPr>
        <w:t>Discussion on enhancements for asymmetric DL sTRP/UL mTRP scenarios</w:t>
      </w:r>
    </w:p>
    <w:p w14:paraId="41F1A951">
      <w:pPr>
        <w:spacing w:after="60"/>
        <w:ind w:left="1555" w:hanging="1555"/>
        <w:jc w:val="left"/>
        <w:rPr>
          <w:b/>
        </w:rPr>
      </w:pPr>
      <w:r>
        <w:rPr>
          <w:b/>
        </w:rPr>
        <w:t>Document for:</w:t>
      </w:r>
      <w:r>
        <w:rPr>
          <w:b/>
        </w:rPr>
        <w:tab/>
      </w:r>
      <w:r>
        <w:rPr>
          <w:b/>
        </w:rPr>
        <w:t>Discussion and decision</w:t>
      </w:r>
    </w:p>
    <w:p w14:paraId="42859DCE">
      <w:pPr>
        <w:pBdr>
          <w:bottom w:val="single" w:color="auto" w:sz="4" w:space="1"/>
        </w:pBdr>
        <w:spacing w:after="0"/>
        <w:jc w:val="left"/>
        <w:rPr>
          <w:b/>
          <w:sz w:val="16"/>
          <w:szCs w:val="16"/>
        </w:rPr>
      </w:pPr>
    </w:p>
    <w:p w14:paraId="50919789">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14:paraId="14730C49">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default"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 to </w:t>
      </w:r>
      <w:r>
        <w:rPr>
          <w:rFonts w:hint="eastAsia"/>
          <w:sz w:val="20"/>
          <w:szCs w:val="20"/>
          <w:lang w:val="en-US" w:eastAsia="zh-CN"/>
        </w:rPr>
        <w:t xml:space="preserve">support asymmetric DL sTRP/UL mTRP. </w:t>
      </w: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the enhancements for asymmetric DL sTRP/UL mTRP.</w:t>
      </w:r>
    </w:p>
    <w:p w14:paraId="34E76C6B">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6"/>
      <w:bookmarkStart w:id="1" w:name="OLE_LINK27"/>
      <w:bookmarkStart w:id="2" w:name="OLE_LINK8"/>
    </w:p>
    <w:bookmarkEnd w:id="0"/>
    <w:bookmarkEnd w:id="1"/>
    <w:bookmarkEnd w:id="2"/>
    <w:p w14:paraId="6E772075">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Two closed-loop power control for SRS</w:t>
      </w:r>
    </w:p>
    <w:p w14:paraId="5239DAD4">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In RAN1#120b meeting, the following agreements on two closed-loop PC adjustment states for SRS have been achieved</w:t>
      </w:r>
      <w:r>
        <w:rPr>
          <w:rFonts w:hint="eastAsia"/>
          <w:b w:val="0"/>
          <w:bCs/>
          <w:i w:val="0"/>
          <w:iCs/>
          <w:sz w:val="20"/>
          <w:szCs w:val="20"/>
          <w:highlight w:val="none"/>
          <w:lang w:val="en-US" w:eastAsia="zh-CN"/>
        </w:rPr>
        <w:t xml:space="preserve"> [2]</w:t>
      </w:r>
      <w:r>
        <w:rPr>
          <w:rFonts w:hint="eastAsia"/>
          <w:b w:val="0"/>
          <w:bCs/>
          <w:i w:val="0"/>
          <w:iCs/>
          <w:sz w:val="20"/>
          <w:szCs w:val="20"/>
          <w:lang w:val="en-US" w:eastAsia="zh-CN"/>
        </w:rPr>
        <w:t xml:space="preserve">: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30A1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61791662">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4"/>
                <w:lang w:val="en-GB"/>
              </w:rPr>
            </w:pPr>
            <w:r>
              <w:rPr>
                <w:rFonts w:hint="eastAsia" w:ascii="Times" w:hAnsi="Times" w:eastAsia="Batang"/>
                <w:sz w:val="20"/>
                <w:szCs w:val="24"/>
                <w:highlight w:val="green"/>
                <w:lang w:val="en-US"/>
              </w:rPr>
              <w:t>Agreement</w:t>
            </w:r>
          </w:p>
          <w:p w14:paraId="4974E120">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Arial"/>
                <w:sz w:val="20"/>
                <w:szCs w:val="18"/>
                <w:lang w:val="en-GB" w:eastAsia="zh-CN"/>
              </w:rPr>
            </w:pPr>
            <w:r>
              <w:rPr>
                <w:rFonts w:hint="eastAsia" w:ascii="Times" w:hAnsi="Times" w:eastAsia="等线" w:cs="Arial"/>
                <w:sz w:val="20"/>
                <w:szCs w:val="18"/>
                <w:lang w:val="en-GB" w:eastAsia="zh-CN"/>
              </w:rPr>
              <w:t xml:space="preserve">For an SRS resource set not configured with </w:t>
            </w:r>
            <w:r>
              <w:rPr>
                <w:rFonts w:hint="eastAsia" w:ascii="Times" w:hAnsi="Times" w:eastAsia="等线" w:cs="Arial"/>
                <w:i/>
                <w:iCs/>
                <w:sz w:val="20"/>
                <w:szCs w:val="18"/>
                <w:lang w:val="en-GB" w:eastAsia="zh-CN"/>
              </w:rPr>
              <w:t>followUnifiedTCI-StateSRS</w:t>
            </w:r>
            <w:r>
              <w:rPr>
                <w:rFonts w:hint="eastAsia" w:ascii="Times" w:hAnsi="Times" w:eastAsia="等线" w:cs="Arial"/>
                <w:sz w:val="20"/>
                <w:szCs w:val="18"/>
                <w:lang w:val="en-GB" w:eastAsia="zh-CN"/>
              </w:rPr>
              <w:t>, regarding how to determine the PL offset and the CLPC adjustment state</w:t>
            </w:r>
          </w:p>
          <w:p w14:paraId="53C07291">
            <w:pPr>
              <w:keepNext w:val="0"/>
              <w:keepLines w:val="0"/>
              <w:widowControl/>
              <w:numPr>
                <w:ilvl w:val="0"/>
                <w:numId w:val="5"/>
              </w:numPr>
              <w:suppressLineNumbers w:val="0"/>
              <w:autoSpaceDE/>
              <w:autoSpaceDN/>
              <w:adjustRightInd/>
              <w:snapToGrid/>
              <w:spacing w:before="0" w:beforeAutospacing="0" w:after="0" w:afterAutospacing="0" w:line="278" w:lineRule="auto"/>
              <w:ind w:left="720" w:right="0" w:hanging="360"/>
              <w:jc w:val="left"/>
              <w:rPr>
                <w:rFonts w:hint="eastAsia" w:ascii="Times" w:hAnsi="Times" w:eastAsia="等线" w:cs="Arial"/>
                <w:sz w:val="20"/>
                <w:szCs w:val="18"/>
                <w:lang w:val="en-GB" w:eastAsia="zh-CN"/>
              </w:rPr>
            </w:pPr>
            <w:r>
              <w:rPr>
                <w:rFonts w:hint="eastAsia" w:ascii="Times" w:hAnsi="Times" w:eastAsia="等线" w:cs="Arial"/>
                <w:sz w:val="20"/>
                <w:szCs w:val="18"/>
                <w:lang w:val="en-GB" w:eastAsia="zh-CN"/>
              </w:rPr>
              <w:t>Alt1: The PL offset and CLPC adjustment state indicated by the TCI state configured to the SRS resource with lowest ID (i.e., reusing the rule specified in Rel-17) and no additional enhancement.</w:t>
            </w:r>
          </w:p>
          <w:p w14:paraId="6D7A169C">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Malgun Gothic"/>
                <w:sz w:val="20"/>
                <w:szCs w:val="20"/>
                <w:lang w:val="en-GB" w:eastAsia="zh-CN"/>
              </w:rPr>
            </w:pPr>
            <w:r>
              <w:rPr>
                <w:rFonts w:hint="eastAsia" w:ascii="Times" w:hAnsi="Times" w:eastAsia="等线" w:cs="Batang"/>
                <w:sz w:val="20"/>
                <w:szCs w:val="20"/>
                <w:lang w:val="en-GB"/>
              </w:rPr>
              <w:t>When the UE is configured with Rel-19 2 TA, the above design is also applied to TAG.</w:t>
            </w:r>
          </w:p>
        </w:tc>
      </w:tr>
    </w:tbl>
    <w:p w14:paraId="5E09EB73">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b w:val="0"/>
          <w:bCs w:val="0"/>
          <w:i w:val="0"/>
          <w:iCs w:val="0"/>
          <w:sz w:val="20"/>
          <w:szCs w:val="20"/>
          <w:lang w:val="en-US" w:eastAsia="zh-CN"/>
        </w:rPr>
      </w:pPr>
      <w:r>
        <w:rPr>
          <w:rFonts w:hint="eastAsia" w:ascii="Times New Roman" w:eastAsia="宋体"/>
          <w:b w:val="0"/>
          <w:bCs w:val="0"/>
          <w:i w:val="0"/>
          <w:iCs w:val="0"/>
          <w:sz w:val="20"/>
          <w:szCs w:val="20"/>
          <w:lang w:val="en-US" w:eastAsia="zh-CN"/>
        </w:rPr>
        <w:t xml:space="preserve">In legacy, </w:t>
      </w:r>
      <w:r>
        <w:rPr>
          <w:rFonts w:hint="default"/>
          <w:b w:val="0"/>
          <w:bCs w:val="0"/>
          <w:i/>
          <w:iCs/>
          <w:sz w:val="20"/>
          <w:szCs w:val="20"/>
          <w:lang w:val="en-US" w:eastAsia="zh-CN"/>
        </w:rPr>
        <w:t>SRS-CarrierSwitching</w:t>
      </w:r>
      <w:r>
        <w:rPr>
          <w:rFonts w:hint="default"/>
          <w:b w:val="0"/>
          <w:bCs w:val="0"/>
          <w:i w:val="0"/>
          <w:iCs w:val="0"/>
          <w:sz w:val="20"/>
          <w:szCs w:val="20"/>
          <w:lang w:val="en-US" w:eastAsia="zh-CN"/>
        </w:rPr>
        <w:t xml:space="preserve"> is used to configure for SRS carrier switching when a UE is not configured for PUSCH/PUCCH transmission and independent power control adjustment state between SRS transmissions and PUSCH transmissions</w:t>
      </w:r>
      <w:r>
        <w:rPr>
          <w:rFonts w:hint="eastAsia" w:ascii="Times New Roman" w:eastAsia="宋体"/>
          <w:b w:val="0"/>
          <w:bCs w:val="0"/>
          <w:i w:val="0"/>
          <w:iCs w:val="0"/>
          <w:sz w:val="20"/>
          <w:szCs w:val="20"/>
          <w:lang w:val="en-US" w:eastAsia="zh-CN"/>
        </w:rPr>
        <w:t xml:space="preserve">, where DCI format 2_3 is used for the transmission of a group of TPC commands for SRS carrier switching. When </w:t>
      </w:r>
      <w:r>
        <w:rPr>
          <w:rFonts w:hint="eastAsia" w:ascii="Times New Roman" w:eastAsia="宋体"/>
          <w:b w:val="0"/>
          <w:bCs w:val="0"/>
          <w:i/>
          <w:iCs/>
          <w:sz w:val="20"/>
          <w:szCs w:val="20"/>
          <w:lang w:val="en-US" w:eastAsia="zh-CN"/>
        </w:rPr>
        <w:t>srs-TPC-PDCCH-Group</w:t>
      </w:r>
      <w:r>
        <w:rPr>
          <w:rFonts w:hint="eastAsia" w:ascii="Times New Roman" w:eastAsia="宋体"/>
          <w:b w:val="0"/>
          <w:bCs w:val="0"/>
          <w:i w:val="0"/>
          <w:iCs w:val="0"/>
          <w:sz w:val="20"/>
          <w:szCs w:val="20"/>
          <w:lang w:val="en-US" w:eastAsia="zh-CN"/>
        </w:rPr>
        <w:t xml:space="preserve"> configured in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is set to either 'typeA' or 'typeB', DCI format 2_3 can be used for SRS transmissions by one or more UEs. It means that DCI format 2_3 is tied to the configuration of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However, regarding asymmetric DL sTRP/UL mTRP, there is no need to associate the configuration of </w:t>
      </w:r>
      <w:r>
        <w:rPr>
          <w:rFonts w:hint="eastAsia" w:ascii="Times New Roman" w:eastAsia="宋体"/>
          <w:b w:val="0"/>
          <w:bCs w:val="0"/>
          <w:i/>
          <w:iCs/>
          <w:sz w:val="20"/>
          <w:szCs w:val="20"/>
          <w:lang w:val="en-US" w:eastAsia="zh-CN"/>
        </w:rPr>
        <w:t xml:space="preserve">SRS-CarrierSwitching </w:t>
      </w:r>
      <w:r>
        <w:rPr>
          <w:rFonts w:hint="eastAsia" w:ascii="Times New Roman" w:eastAsia="宋体"/>
          <w:b w:val="0"/>
          <w:bCs w:val="0"/>
          <w:i w:val="0"/>
          <w:iCs w:val="0"/>
          <w:sz w:val="20"/>
          <w:szCs w:val="20"/>
          <w:lang w:val="en-US" w:eastAsia="zh-CN"/>
        </w:rPr>
        <w:t xml:space="preserve">and two separate SRS CLPC adjustment states for SRS. Therefore, when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is not configured, the DCI format 2_3 can still be used to indicate TPC commands for separate SRS CLPC adjustment states for a UE configured with two SRS CLPC adjustment states.</w:t>
      </w:r>
    </w:p>
    <w:p w14:paraId="582CD58F">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ascii="Times New Roman" w:eastAsia="宋体"/>
          <w:b/>
          <w:b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xml:space="preserve">: </w:t>
      </w:r>
      <w:r>
        <w:rPr>
          <w:b/>
          <w:bCs/>
          <w:sz w:val="20"/>
          <w:szCs w:val="20"/>
        </w:rPr>
        <w:t xml:space="preserve">When </w:t>
      </w:r>
      <w:r>
        <w:rPr>
          <w:b/>
          <w:bCs/>
          <w:i/>
          <w:iCs/>
          <w:sz w:val="20"/>
          <w:szCs w:val="20"/>
        </w:rPr>
        <w:t>SRS-CarrierSwitching</w:t>
      </w:r>
      <w:r>
        <w:rPr>
          <w:b/>
          <w:bCs/>
          <w:sz w:val="20"/>
          <w:szCs w:val="20"/>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0"/>
          <w:szCs w:val="20"/>
          <w:lang w:val="en-US" w:eastAsia="zh-CN"/>
        </w:rPr>
        <w:t>.</w:t>
      </w:r>
    </w:p>
    <w:p w14:paraId="5056F538">
      <w:pPr>
        <w:keepNext/>
        <w:keepLines w:val="0"/>
        <w:pageBreakBefore w:val="0"/>
        <w:widowControl/>
        <w:numPr>
          <w:ilvl w:val="0"/>
          <w:numId w:val="0"/>
        </w:numPr>
        <w:kinsoku/>
        <w:wordWrap/>
        <w:overflowPunct/>
        <w:topLinePunct w:val="0"/>
        <w:autoSpaceDE w:val="0"/>
        <w:autoSpaceDN w:val="0"/>
        <w:bidi w:val="0"/>
        <w:adjustRightInd w:val="0"/>
        <w:snapToGrid w:val="0"/>
        <w:spacing w:before="12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2.2 CLPC reset when 2TA is configured</w:t>
      </w:r>
    </w:p>
    <w:p w14:paraId="7B432708">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RAN1#120b meeting, the following agreements on the CLPC reset of PUSCH/PUCCH/SRS have been achieved </w:t>
      </w:r>
      <w:r>
        <w:rPr>
          <w:rFonts w:hint="eastAsia"/>
          <w:b w:val="0"/>
          <w:bCs/>
          <w:i w:val="0"/>
          <w:iCs/>
          <w:sz w:val="20"/>
          <w:szCs w:val="20"/>
          <w:highlight w:val="none"/>
          <w:lang w:val="en-US" w:eastAsia="zh-CN"/>
        </w:rPr>
        <w:t>[2]</w:t>
      </w:r>
      <w:r>
        <w:rPr>
          <w:rFonts w:hint="eastAsia"/>
          <w:b w:val="0"/>
          <w:bCs/>
          <w:i w:val="0"/>
          <w:iCs/>
          <w:sz w:val="20"/>
          <w:szCs w:val="20"/>
          <w:lang w:val="en-US" w:eastAsia="zh-CN"/>
        </w:rPr>
        <w:t xml:space="preserve">: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2A76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5645AEE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w:sz w:val="20"/>
                <w:szCs w:val="24"/>
                <w:lang w:val="en-US"/>
              </w:rPr>
            </w:pPr>
            <w:r>
              <w:rPr>
                <w:rFonts w:hint="eastAsia" w:ascii="Times" w:hAnsi="Times" w:eastAsia="Batang" w:cs="Times"/>
                <w:sz w:val="20"/>
                <w:szCs w:val="24"/>
                <w:highlight w:val="green"/>
                <w:lang w:val="en-US"/>
              </w:rPr>
              <w:t>Agreement</w:t>
            </w:r>
          </w:p>
          <w:p w14:paraId="14BD8CCB">
            <w:pPr>
              <w:keepNext w:val="0"/>
              <w:keepLines w:val="0"/>
              <w:widowControl/>
              <w:suppressLineNumbers w:val="0"/>
              <w:autoSpaceDE/>
              <w:autoSpaceDN/>
              <w:adjustRightInd/>
              <w:snapToGrid/>
              <w:spacing w:before="0" w:beforeAutospacing="0" w:after="0" w:afterAutospacing="0"/>
              <w:ind w:left="0" w:right="0"/>
              <w:jc w:val="both"/>
              <w:rPr>
                <w:rFonts w:hint="eastAsia" w:ascii="Times" w:hAnsi="Times" w:eastAsia="等线" w:cs="Times"/>
                <w:sz w:val="20"/>
                <w:szCs w:val="20"/>
                <w:lang w:val="en-CA" w:eastAsia="zh-CN"/>
              </w:rPr>
            </w:pPr>
            <w:r>
              <w:rPr>
                <w:rFonts w:hint="eastAsia" w:ascii="Times" w:hAnsi="Times" w:eastAsia="等线" w:cs="Times"/>
                <w:sz w:val="20"/>
                <w:szCs w:val="20"/>
                <w:lang w:val="en-CA" w:eastAsia="zh-CN"/>
              </w:rPr>
              <w:t>Study whether/how to reset the CLPC of PUSCH/PUCCH/SRS based on the following alternatives (including if any enhancement is necessary and other alternatives are not precluded)</w:t>
            </w:r>
          </w:p>
          <w:p w14:paraId="63408168">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w:hAnsi="Times" w:eastAsia="等线" w:cs="Times"/>
                <w:sz w:val="20"/>
                <w:szCs w:val="20"/>
                <w:lang w:val="en-CA" w:eastAsia="zh-CN"/>
              </w:rPr>
            </w:pPr>
            <w:r>
              <w:rPr>
                <w:rFonts w:hint="eastAsia" w:ascii="Times" w:hAnsi="Times" w:eastAsia="等线" w:cs="Times"/>
                <w:sz w:val="20"/>
                <w:szCs w:val="20"/>
                <w:lang w:val="en-CA" w:eastAsia="zh-CN"/>
              </w:rPr>
              <w:t>Alt1: For a UE configured with two TAGs, when the UE receives a RAR of a PDCCH-order PRACH, according to the new 1-bit DCI field PL offset indication in DCI format 1_0:</w:t>
            </w:r>
          </w:p>
          <w:p w14:paraId="06BB2E8A">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both"/>
              <w:rPr>
                <w:rFonts w:hint="eastAsia" w:ascii="Times" w:hAnsi="Times" w:eastAsia="等线" w:cs="Times"/>
                <w:sz w:val="20"/>
                <w:szCs w:val="20"/>
                <w:lang w:val="en-CA" w:eastAsia="zh-CN"/>
              </w:rPr>
            </w:pPr>
            <w:r>
              <w:rPr>
                <w:rFonts w:hint="eastAsia" w:ascii="Times" w:hAnsi="Times" w:eastAsia="等线" w:cs="Times"/>
                <w:sz w:val="20"/>
                <w:szCs w:val="20"/>
                <w:lang w:val="en-CA" w:eastAsia="zh-CN"/>
              </w:rPr>
              <w:t>When there is one indicated joint/UL TCI state in Rel-17 Unified TCI:</w:t>
            </w:r>
          </w:p>
          <w:p w14:paraId="38A5634A">
            <w:pPr>
              <w:keepNext w:val="0"/>
              <w:keepLines w:val="0"/>
              <w:widowControl/>
              <w:numPr>
                <w:ilvl w:val="2"/>
                <w:numId w:val="6"/>
              </w:numPr>
              <w:suppressLineNumbers w:val="0"/>
              <w:autoSpaceDE/>
              <w:autoSpaceDN/>
              <w:adjustRightInd/>
              <w:snapToGrid/>
              <w:spacing w:before="0" w:beforeAutospacing="0" w:after="0" w:afterAutospacing="0"/>
              <w:ind w:left="2160" w:right="0" w:hanging="360"/>
              <w:jc w:val="both"/>
              <w:rPr>
                <w:rFonts w:hint="eastAsia" w:ascii="Times" w:hAnsi="Times" w:eastAsia="等线" w:cs="Times"/>
                <w:sz w:val="20"/>
                <w:szCs w:val="20"/>
                <w:lang w:val="en-CA" w:eastAsia="zh-CN"/>
              </w:rPr>
            </w:pPr>
            <w:r>
              <w:rPr>
                <w:rFonts w:hint="eastAsia" w:ascii="Times" w:hAnsi="Times" w:eastAsia="等线" w:cs="Times"/>
                <w:sz w:val="20"/>
                <w:szCs w:val="20"/>
                <w:lang w:val="en-CA" w:eastAsia="zh-CN"/>
              </w:rPr>
              <w:t>If the 1-bit DCI field is 0, the UE resets the CLPC that is different from the CLPC associated with the indicated joint/UL TCI state.</w:t>
            </w:r>
          </w:p>
          <w:p w14:paraId="2602E331">
            <w:pPr>
              <w:keepNext w:val="0"/>
              <w:keepLines w:val="0"/>
              <w:widowControl/>
              <w:numPr>
                <w:ilvl w:val="2"/>
                <w:numId w:val="6"/>
              </w:numPr>
              <w:suppressLineNumbers w:val="0"/>
              <w:autoSpaceDE/>
              <w:autoSpaceDN/>
              <w:adjustRightInd/>
              <w:snapToGrid/>
              <w:spacing w:before="0" w:beforeAutospacing="0" w:after="0" w:afterAutospacing="0"/>
              <w:ind w:left="2160" w:right="0" w:hanging="360"/>
              <w:jc w:val="both"/>
              <w:rPr>
                <w:rFonts w:hint="eastAsia" w:ascii="Times" w:hAnsi="Times" w:eastAsia="等线" w:cs="Times"/>
                <w:sz w:val="20"/>
                <w:szCs w:val="20"/>
                <w:lang w:val="en-CA" w:eastAsia="zh-CN"/>
              </w:rPr>
            </w:pPr>
            <w:r>
              <w:rPr>
                <w:rFonts w:hint="eastAsia" w:ascii="Times" w:hAnsi="Times" w:eastAsia="等线" w:cs="Times"/>
                <w:sz w:val="20"/>
                <w:szCs w:val="20"/>
                <w:lang w:val="en-CA" w:eastAsia="zh-CN"/>
              </w:rPr>
              <w:t>If the 1-bit DCI field is 1, the UE resets the CLPC associated with the indicated joint/UL TCI state.</w:t>
            </w:r>
          </w:p>
          <w:p w14:paraId="7B4EF53E">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both"/>
              <w:rPr>
                <w:rFonts w:hint="eastAsia" w:ascii="Times" w:hAnsi="Times" w:eastAsia="等线" w:cs="Times"/>
                <w:sz w:val="20"/>
                <w:szCs w:val="20"/>
                <w:lang w:val="en-CA" w:eastAsia="zh-CN"/>
              </w:rPr>
            </w:pPr>
            <w:r>
              <w:rPr>
                <w:rFonts w:hint="eastAsia" w:ascii="Times" w:hAnsi="Times" w:eastAsia="等线" w:cs="Times"/>
                <w:sz w:val="20"/>
                <w:szCs w:val="20"/>
                <w:lang w:val="en-CA" w:eastAsia="zh-CN"/>
              </w:rPr>
              <w:t>When there are two indicated joint/UL TCI states in Rel-18 Unified TCI:</w:t>
            </w:r>
          </w:p>
          <w:p w14:paraId="022152C0">
            <w:pPr>
              <w:keepNext w:val="0"/>
              <w:keepLines w:val="0"/>
              <w:widowControl/>
              <w:numPr>
                <w:ilvl w:val="2"/>
                <w:numId w:val="6"/>
              </w:numPr>
              <w:suppressLineNumbers w:val="0"/>
              <w:autoSpaceDE/>
              <w:autoSpaceDN/>
              <w:adjustRightInd/>
              <w:snapToGrid/>
              <w:spacing w:before="0" w:beforeAutospacing="0" w:after="0" w:afterAutospacing="0"/>
              <w:ind w:left="2160" w:right="0" w:hanging="360"/>
              <w:jc w:val="both"/>
              <w:rPr>
                <w:rFonts w:hint="eastAsia" w:ascii="Times" w:hAnsi="Times" w:eastAsia="等线" w:cs="Times"/>
                <w:sz w:val="20"/>
                <w:szCs w:val="20"/>
                <w:lang w:val="en-CA" w:eastAsia="zh-CN"/>
              </w:rPr>
            </w:pPr>
            <w:r>
              <w:rPr>
                <w:rFonts w:hint="eastAsia" w:ascii="Times" w:hAnsi="Times" w:eastAsia="等线" w:cs="Times"/>
                <w:sz w:val="20"/>
                <w:szCs w:val="20"/>
                <w:lang w:val="en-CA" w:eastAsia="zh-CN"/>
              </w:rPr>
              <w:t>If the 1-bit DCI field is 0, the UE resets the CLPC associated with the first indicated joint/UL TCI state;</w:t>
            </w:r>
          </w:p>
          <w:p w14:paraId="0558C879">
            <w:pPr>
              <w:keepNext w:val="0"/>
              <w:keepLines w:val="0"/>
              <w:widowControl/>
              <w:numPr>
                <w:ilvl w:val="2"/>
                <w:numId w:val="6"/>
              </w:numPr>
              <w:suppressLineNumbers w:val="0"/>
              <w:autoSpaceDE/>
              <w:autoSpaceDN/>
              <w:adjustRightInd/>
              <w:snapToGrid/>
              <w:spacing w:before="0" w:beforeAutospacing="0" w:after="0" w:afterAutospacing="0"/>
              <w:ind w:left="2160" w:right="0" w:hanging="360"/>
              <w:jc w:val="both"/>
              <w:rPr>
                <w:rFonts w:hint="eastAsia" w:ascii="Times" w:hAnsi="Times" w:eastAsia="等线" w:cs="Times"/>
                <w:sz w:val="20"/>
                <w:szCs w:val="20"/>
                <w:lang w:val="en-CA" w:eastAsia="zh-CN"/>
              </w:rPr>
            </w:pPr>
            <w:r>
              <w:rPr>
                <w:rFonts w:hint="eastAsia" w:ascii="Times" w:hAnsi="Times" w:eastAsia="等线" w:cs="Times"/>
                <w:sz w:val="20"/>
                <w:szCs w:val="20"/>
                <w:lang w:val="en-CA" w:eastAsia="zh-CN"/>
              </w:rPr>
              <w:t>If the 1-bit DCI field is 1, the UE resets the CLPC associated with the second indicated joint/UL TCI state</w:t>
            </w:r>
          </w:p>
          <w:p w14:paraId="69AC983A">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w:hAnsi="Times" w:eastAsia="等线" w:cs="Times"/>
                <w:sz w:val="20"/>
                <w:szCs w:val="20"/>
                <w:lang w:val="en-GB" w:eastAsia="zh-CN"/>
              </w:rPr>
            </w:pPr>
            <w:r>
              <w:rPr>
                <w:rFonts w:hint="eastAsia" w:ascii="Times" w:hAnsi="Times" w:eastAsia="等线" w:cs="Times"/>
                <w:sz w:val="20"/>
                <w:szCs w:val="20"/>
                <w:lang w:val="en-CA" w:eastAsia="zh-CN"/>
              </w:rPr>
              <w:t>Alt 2:</w:t>
            </w:r>
            <w:r>
              <w:rPr>
                <w:rFonts w:hint="eastAsia" w:ascii="Times" w:hAnsi="Times" w:eastAsia="Batang" w:cs="Times"/>
                <w:sz w:val="20"/>
                <w:szCs w:val="20"/>
                <w:lang w:val="en-GB" w:eastAsia="zh-CN"/>
              </w:rPr>
              <w:t xml:space="preserve"> For a UE configured with two TAGs, </w:t>
            </w:r>
            <w:r>
              <w:rPr>
                <w:rFonts w:hint="eastAsia" w:ascii="Times" w:hAnsi="Times" w:eastAsia="等线" w:cs="Times"/>
                <w:sz w:val="20"/>
                <w:szCs w:val="20"/>
                <w:lang w:val="en-GB" w:eastAsia="zh-CN"/>
              </w:rPr>
              <w:t>one TAG ID is indicated in the RAR</w:t>
            </w:r>
          </w:p>
          <w:p w14:paraId="5CD94672">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both"/>
              <w:rPr>
                <w:rFonts w:hint="eastAsia" w:ascii="Times" w:hAnsi="Times" w:eastAsia="等线"/>
                <w:sz w:val="20"/>
                <w:szCs w:val="20"/>
                <w:lang w:val="en-GB" w:eastAsia="zh-CN"/>
              </w:rPr>
            </w:pPr>
            <w:r>
              <w:rPr>
                <w:rFonts w:hint="eastAsia" w:ascii="Times" w:hAnsi="Times" w:eastAsia="等线" w:cs="Times"/>
                <w:sz w:val="20"/>
                <w:szCs w:val="20"/>
                <w:lang w:val="en-US" w:eastAsia="zh-CN"/>
              </w:rPr>
              <w:t xml:space="preserve">The UE resets the closed loop power control adjustment state associated with a joint/UL TCI state associated with the indicated TAG. </w:t>
            </w:r>
          </w:p>
        </w:tc>
      </w:tr>
    </w:tbl>
    <w:p w14:paraId="7F89AA1D">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b w:val="0"/>
          <w:bCs w:val="0"/>
          <w:i w:val="0"/>
          <w:iCs w:val="0"/>
          <w:sz w:val="20"/>
          <w:szCs w:val="20"/>
          <w:lang w:val="en-US" w:eastAsia="zh-CN"/>
        </w:rPr>
      </w:pPr>
      <w:r>
        <w:rPr>
          <w:rFonts w:hint="eastAsia" w:ascii="Times New Roman" w:eastAsia="宋体"/>
          <w:b w:val="0"/>
          <w:bCs w:val="0"/>
          <w:i w:val="0"/>
          <w:iCs w:val="0"/>
          <w:sz w:val="20"/>
          <w:szCs w:val="20"/>
          <w:lang w:val="en-GB" w:eastAsia="zh-CN"/>
        </w:rPr>
        <w:t xml:space="preserve">In </w:t>
      </w:r>
      <w:r>
        <w:rPr>
          <w:rFonts w:hint="eastAsia" w:ascii="Times New Roman" w:eastAsia="宋体"/>
          <w:b w:val="0"/>
          <w:bCs w:val="0"/>
          <w:i w:val="0"/>
          <w:iCs w:val="0"/>
          <w:sz w:val="20"/>
          <w:szCs w:val="20"/>
          <w:lang w:val="en-US" w:eastAsia="zh-CN"/>
        </w:rPr>
        <w:t>legacy</w:t>
      </w:r>
      <w:r>
        <w:rPr>
          <w:rFonts w:hint="eastAsia" w:ascii="Times New Roman" w:eastAsia="宋体"/>
          <w:b w:val="0"/>
          <w:bCs w:val="0"/>
          <w:i w:val="0"/>
          <w:iCs w:val="0"/>
          <w:sz w:val="20"/>
          <w:szCs w:val="20"/>
          <w:lang w:val="en-GB" w:eastAsia="zh-CN"/>
        </w:rPr>
        <w:t xml:space="preserve">, </w:t>
      </w:r>
      <w:r>
        <w:rPr>
          <w:rFonts w:hint="eastAsia" w:ascii="Times New Roman" w:eastAsia="宋体"/>
          <w:b w:val="0"/>
          <w:bCs w:val="0"/>
          <w:i w:val="0"/>
          <w:iCs w:val="0"/>
          <w:sz w:val="20"/>
          <w:szCs w:val="20"/>
          <w:lang w:val="en-GB" w:eastAsia="ko-KR"/>
        </w:rPr>
        <w:t xml:space="preserve">the closed loop power control adjustment state for </w:t>
      </w:r>
      <m:oMath>
        <m:r>
          <m:rPr>
            <m:sty m:val="p"/>
          </m:rPr>
          <w:rPr>
            <w:rFonts w:hint="eastAsia" w:ascii="Cambria Math" w:hAnsi="Cambria Math" w:eastAsia="宋体"/>
            <w:sz w:val="20"/>
            <w:szCs w:val="20"/>
            <w:lang w:val="en-US" w:eastAsia="zh-CN"/>
          </w:rPr>
          <m:t>l=0</m:t>
        </m:r>
      </m:oMath>
      <w:r>
        <w:rPr>
          <w:rFonts w:hint="eastAsia" w:ascii="Times New Roman" w:eastAsia="宋体"/>
          <w:b w:val="0"/>
          <w:bCs w:val="0"/>
          <w:i w:val="0"/>
          <w:iCs w:val="0"/>
          <w:sz w:val="20"/>
          <w:szCs w:val="20"/>
          <w:lang w:val="en-US" w:eastAsia="zh-CN"/>
        </w:rPr>
        <w:t xml:space="preserve"> for PUSCH/PUCCH/SRS is reset after receiving a RAR</w:t>
      </w:r>
      <w:r>
        <w:rPr>
          <w:rFonts w:hint="eastAsia"/>
          <w:b w:val="0"/>
          <w:bCs w:val="0"/>
          <w:i w:val="0"/>
          <w:iCs w:val="0"/>
          <w:sz w:val="20"/>
          <w:szCs w:val="20"/>
          <w:lang w:val="en-US" w:eastAsia="zh-CN"/>
        </w:rPr>
        <w:t xml:space="preserve">. Regarding two TAs, when two closed loop power control adjustment states are configured for </w:t>
      </w:r>
      <w:r>
        <w:rPr>
          <w:rFonts w:hint="eastAsia" w:ascii="Times New Roman" w:eastAsia="宋体"/>
          <w:b w:val="0"/>
          <w:bCs w:val="0"/>
          <w:i w:val="0"/>
          <w:iCs w:val="0"/>
          <w:sz w:val="20"/>
          <w:szCs w:val="20"/>
          <w:lang w:val="en-US" w:eastAsia="zh-CN"/>
        </w:rPr>
        <w:t>PUSCH/PUCCH/SRS</w:t>
      </w:r>
      <w:r>
        <w:rPr>
          <w:rFonts w:hint="eastAsia"/>
          <w:b w:val="0"/>
          <w:bCs w:val="0"/>
          <w:i w:val="0"/>
          <w:iCs w:val="0"/>
          <w:sz w:val="20"/>
          <w:szCs w:val="20"/>
          <w:lang w:val="en-US" w:eastAsia="zh-CN"/>
        </w:rPr>
        <w:t>, the existing resetting mechanism may not be suitable since the first closed loop power control adjustment state (e.g.,</w:t>
      </w:r>
      <w:r>
        <w:rPr>
          <w:rFonts w:hint="eastAsia" w:ascii="Times New Roman" w:eastAsia="宋体"/>
          <w:b w:val="0"/>
          <w:bCs w:val="0"/>
          <w:i w:val="0"/>
          <w:iCs w:val="0"/>
          <w:sz w:val="20"/>
          <w:szCs w:val="20"/>
          <w:lang w:val="en-GB" w:eastAsia="ko-KR"/>
        </w:rPr>
        <w:t xml:space="preserve"> </w:t>
      </w:r>
      <m:oMath>
        <m:r>
          <m:rPr/>
          <w:rPr>
            <w:rFonts w:hint="default" w:ascii="Cambria Math" w:hAnsi="Cambria Math" w:eastAsia="宋体"/>
            <w:sz w:val="20"/>
            <w:szCs w:val="20"/>
            <w:lang w:val="en-US" w:eastAsia="zh-CN"/>
          </w:rPr>
          <m:t>l</m:t>
        </m:r>
        <m:r>
          <m:rPr>
            <m:sty m:val="p"/>
          </m:rPr>
          <w:rPr>
            <w:rFonts w:hint="eastAsia" w:ascii="Cambria Math" w:hAnsi="Cambria Math" w:eastAsia="宋体"/>
            <w:sz w:val="20"/>
            <w:szCs w:val="20"/>
            <w:lang w:val="en-US" w:eastAsia="zh-CN"/>
          </w:rPr>
          <m:t>=0</m:t>
        </m:r>
      </m:oMath>
      <w:r>
        <w:rPr>
          <w:rFonts w:hint="eastAsia"/>
          <w:b w:val="0"/>
          <w:bCs w:val="0"/>
          <w:i w:val="0"/>
          <w:iCs w:val="0"/>
          <w:sz w:val="20"/>
          <w:szCs w:val="20"/>
          <w:lang w:val="en-US" w:eastAsia="zh-CN"/>
        </w:rPr>
        <w:t xml:space="preserve">) is always reset regardless of PRACH is towards the anchor TRP or the </w:t>
      </w:r>
      <w:r>
        <w:rPr>
          <w:rFonts w:hint="eastAsia" w:cs="Times New Roman"/>
          <w:b w:val="0"/>
          <w:bCs w:val="0"/>
          <w:sz w:val="20"/>
          <w:szCs w:val="16"/>
          <w:lang w:val="en-US" w:eastAsia="zh-CN" w:bidi="ar-SA"/>
        </w:rPr>
        <w:t>UL-only TRP.</w:t>
      </w:r>
    </w:p>
    <w:p w14:paraId="317DB565">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ascii="Times New Roman" w:eastAsia="宋体"/>
          <w:b w:val="0"/>
          <w:bCs w:val="0"/>
          <w:i w:val="0"/>
          <w:iCs w:val="0"/>
          <w:sz w:val="20"/>
          <w:szCs w:val="20"/>
          <w:lang w:val="en-US" w:eastAsia="zh-CN"/>
        </w:rPr>
      </w:pPr>
      <w:r>
        <w:rPr>
          <w:rFonts w:hint="eastAsia"/>
          <w:b w:val="0"/>
          <w:bCs w:val="0"/>
          <w:i w:val="0"/>
          <w:iCs w:val="0"/>
          <w:sz w:val="20"/>
          <w:szCs w:val="20"/>
          <w:lang w:val="en-US" w:eastAsia="zh-CN"/>
        </w:rPr>
        <w:t xml:space="preserve">In </w:t>
      </w:r>
      <w:r>
        <w:rPr>
          <w:rFonts w:hint="eastAsia"/>
          <w:b w:val="0"/>
          <w:bCs/>
          <w:i w:val="0"/>
          <w:iCs/>
          <w:sz w:val="20"/>
          <w:szCs w:val="20"/>
          <w:lang w:val="en-US" w:eastAsia="zh-CN"/>
        </w:rPr>
        <w:t>RAN1#120 meeting, regarding CLPC reset of PUSCH/PUCCH/SRS, two alternatives were achieved. Regarding Alt1, if PL offset is configured in joint/UL TCI state(s), the new 1-bit DCI field PL offset indication in DCI format 1_0 can be use to indicate which CLPC adjustment state is reset, which is used to indicate the PRACH is transmitted towards which TRP. Regarding Alt2, a</w:t>
      </w:r>
      <w:r>
        <w:rPr>
          <w:rFonts w:hint="eastAsia"/>
          <w:b w:val="0"/>
          <w:bCs w:val="0"/>
          <w:i w:val="0"/>
          <w:iCs w:val="0"/>
          <w:sz w:val="20"/>
          <w:szCs w:val="20"/>
          <w:lang w:val="en-US" w:eastAsia="zh-CN"/>
        </w:rPr>
        <w:t xml:space="preserve">dditional </w:t>
      </w:r>
      <w:r>
        <w:rPr>
          <w:rFonts w:hint="eastAsia" w:ascii="Times New Roman" w:eastAsia="宋体"/>
          <w:b w:val="0"/>
          <w:bCs w:val="0"/>
          <w:i w:val="0"/>
          <w:iCs w:val="0"/>
          <w:sz w:val="20"/>
          <w:szCs w:val="20"/>
          <w:lang w:val="en-US" w:eastAsia="zh-CN"/>
        </w:rPr>
        <w:t xml:space="preserve">restriction that </w:t>
      </w:r>
      <w:r>
        <w:rPr>
          <w:rFonts w:hint="eastAsia"/>
          <w:b w:val="0"/>
          <w:bCs/>
          <w:i w:val="0"/>
          <w:iCs/>
          <w:sz w:val="20"/>
          <w:szCs w:val="20"/>
          <w:lang w:val="en-US" w:eastAsia="zh-CN"/>
        </w:rPr>
        <w:t>joint/UL TCI state(s)</w:t>
      </w:r>
      <w:r>
        <w:rPr>
          <w:rFonts w:hint="eastAsia" w:ascii="Times New Roman" w:eastAsia="宋体"/>
          <w:b w:val="0"/>
          <w:bCs w:val="0"/>
          <w:i w:val="0"/>
          <w:iCs w:val="0"/>
          <w:sz w:val="20"/>
          <w:szCs w:val="20"/>
          <w:lang w:val="en-US" w:eastAsia="zh-CN"/>
        </w:rPr>
        <w:t xml:space="preserve"> associated with the same TAG </w:t>
      </w:r>
      <w:r>
        <w:rPr>
          <w:rFonts w:hint="eastAsia"/>
          <w:b w:val="0"/>
          <w:bCs w:val="0"/>
          <w:i w:val="0"/>
          <w:iCs w:val="0"/>
          <w:sz w:val="20"/>
          <w:szCs w:val="20"/>
          <w:lang w:val="en-US" w:eastAsia="zh-CN"/>
        </w:rPr>
        <w:t xml:space="preserve">should </w:t>
      </w:r>
      <w:r>
        <w:rPr>
          <w:rFonts w:hint="eastAsia" w:ascii="Times New Roman" w:eastAsia="宋体"/>
          <w:b w:val="0"/>
          <w:bCs w:val="0"/>
          <w:i w:val="0"/>
          <w:iCs w:val="0"/>
          <w:sz w:val="20"/>
          <w:szCs w:val="20"/>
          <w:lang w:val="en-US" w:eastAsia="zh-CN"/>
        </w:rPr>
        <w:t>be associated with the same CLPC amusement state</w:t>
      </w:r>
      <w:r>
        <w:rPr>
          <w:rFonts w:hint="eastAsia"/>
          <w:b w:val="0"/>
          <w:bCs w:val="0"/>
          <w:i w:val="0"/>
          <w:iCs w:val="0"/>
          <w:sz w:val="20"/>
          <w:szCs w:val="20"/>
          <w:lang w:val="en-US" w:eastAsia="zh-CN"/>
        </w:rPr>
        <w:t xml:space="preserve"> is not necessary. Therefore,regarding the CLPC reset of PUSCH/PUCCH/SRS, we support Alt1.</w:t>
      </w:r>
    </w:p>
    <w:p w14:paraId="40456BF9">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eastAsia" w:ascii="Times New Roman" w:eastAsia="宋体"/>
          <w:b/>
          <w:bCs/>
          <w:sz w:val="20"/>
          <w:szCs w:val="20"/>
          <w:lang w:val="en-US" w:eastAsia="zh-CN"/>
        </w:rPr>
        <w:t>the CLPC reset of PUSCH/PUCCH/SR</w:t>
      </w:r>
      <w:r>
        <w:rPr>
          <w:rFonts w:hint="eastAsia"/>
          <w:b/>
          <w:bCs/>
          <w:sz w:val="20"/>
          <w:szCs w:val="20"/>
          <w:lang w:val="en-US" w:eastAsia="zh-CN"/>
        </w:rPr>
        <w:t>S, support Alt1:</w:t>
      </w:r>
    </w:p>
    <w:p w14:paraId="2A7EB769">
      <w:pPr>
        <w:numPr>
          <w:ilvl w:val="0"/>
          <w:numId w:val="6"/>
        </w:numPr>
        <w:autoSpaceDE/>
        <w:autoSpaceDN/>
        <w:adjustRightInd/>
        <w:snapToGrid/>
        <w:spacing w:after="0"/>
        <w:ind w:left="72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Alt1: For a UE configured with two TAGs, when the UE receives a RAR of a PDCCH-order PRACH, according to the new 1-bit DCI field PL offset indication in DCI format 1_0:</w:t>
      </w:r>
    </w:p>
    <w:p w14:paraId="1BD1152D">
      <w:pPr>
        <w:numPr>
          <w:ilvl w:val="1"/>
          <w:numId w:val="6"/>
        </w:numPr>
        <w:autoSpaceDE/>
        <w:autoSpaceDN/>
        <w:adjustRightInd/>
        <w:snapToGrid/>
        <w:spacing w:after="0"/>
        <w:ind w:left="144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When there is one indicated joint/UL TCI state in Rel-17 Unified TCI:</w:t>
      </w:r>
    </w:p>
    <w:p w14:paraId="4B4E9E13">
      <w:pPr>
        <w:numPr>
          <w:ilvl w:val="2"/>
          <w:numId w:val="6"/>
        </w:numPr>
        <w:autoSpaceDE/>
        <w:autoSpaceDN/>
        <w:adjustRightInd/>
        <w:snapToGrid/>
        <w:spacing w:after="0"/>
        <w:ind w:left="216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If the 1-bit DCI field is 0, the UE resets the CLPC that is different from the CLPC associated with the indicated joint/UL TCI state.</w:t>
      </w:r>
    </w:p>
    <w:p w14:paraId="70C7BAFC">
      <w:pPr>
        <w:numPr>
          <w:ilvl w:val="2"/>
          <w:numId w:val="6"/>
        </w:numPr>
        <w:autoSpaceDE/>
        <w:autoSpaceDN/>
        <w:adjustRightInd/>
        <w:snapToGrid/>
        <w:spacing w:after="0"/>
        <w:ind w:left="216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If the 1-bit DCI field is 1, the UE resets the CLPC associated with the indicated joint/UL TCI state.</w:t>
      </w:r>
    </w:p>
    <w:p w14:paraId="7B9C4EE8">
      <w:pPr>
        <w:numPr>
          <w:ilvl w:val="1"/>
          <w:numId w:val="6"/>
        </w:numPr>
        <w:autoSpaceDE/>
        <w:autoSpaceDN/>
        <w:adjustRightInd/>
        <w:snapToGrid/>
        <w:spacing w:after="0"/>
        <w:ind w:left="144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When there are two indicated joint/UL TCI states in Rel-18 Unified TCI:</w:t>
      </w:r>
    </w:p>
    <w:p w14:paraId="31AE622D">
      <w:pPr>
        <w:numPr>
          <w:ilvl w:val="2"/>
          <w:numId w:val="6"/>
        </w:numPr>
        <w:autoSpaceDE/>
        <w:autoSpaceDN/>
        <w:adjustRightInd/>
        <w:snapToGrid/>
        <w:spacing w:after="0"/>
        <w:ind w:left="216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If the 1-bit DCI field is 0, the UE resets the CLPC associated with the first indicated joint/UL TCI state;</w:t>
      </w:r>
    </w:p>
    <w:p w14:paraId="0B48944C">
      <w:pPr>
        <w:numPr>
          <w:ilvl w:val="2"/>
          <w:numId w:val="6"/>
        </w:numPr>
        <w:autoSpaceDE/>
        <w:autoSpaceDN/>
        <w:adjustRightInd/>
        <w:snapToGrid/>
        <w:spacing w:after="0"/>
        <w:ind w:left="216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If the 1-bit DCI field is 1, the UE resets the CLPC associated with the second indicated joint/UL TCI state</w:t>
      </w:r>
      <w:r>
        <w:rPr>
          <w:rFonts w:hint="eastAsia" w:ascii="Times" w:hAnsi="Times" w:eastAsia="等线" w:cs="Times"/>
          <w:b/>
          <w:bCs/>
          <w:sz w:val="20"/>
          <w:szCs w:val="20"/>
          <w:lang w:val="en-US" w:eastAsia="zh-CN"/>
        </w:rPr>
        <w:t>.</w:t>
      </w:r>
    </w:p>
    <w:p w14:paraId="7694170E">
      <w:pPr>
        <w:keepNext/>
        <w:keepLines w:val="0"/>
        <w:pageBreakBefore w:val="0"/>
        <w:widowControl/>
        <w:numPr>
          <w:ilvl w:val="0"/>
          <w:numId w:val="0"/>
        </w:numPr>
        <w:kinsoku/>
        <w:wordWrap/>
        <w:overflowPunct/>
        <w:topLinePunct w:val="0"/>
        <w:autoSpaceDE w:val="0"/>
        <w:autoSpaceDN w:val="0"/>
        <w:bidi w:val="0"/>
        <w:adjustRightInd w:val="0"/>
        <w:snapToGrid w:val="0"/>
        <w:spacing w:before="12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2.3 Unified TCI framework</w:t>
      </w:r>
    </w:p>
    <w:p w14:paraId="171F98EA">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ascii="Times New Roman" w:eastAsia="宋体"/>
          <w:b w:val="0"/>
          <w:bCs/>
          <w:i w:val="0"/>
          <w:iCs/>
          <w:sz w:val="20"/>
          <w:szCs w:val="20"/>
          <w:lang w:val="en-US" w:eastAsia="zh-CN"/>
        </w:rPr>
        <w:t>In RAN1#</w:t>
      </w:r>
      <w:r>
        <w:rPr>
          <w:rFonts w:hint="eastAsia" w:ascii="Times New Roman" w:eastAsia="宋体"/>
          <w:b w:val="0"/>
          <w:bCs/>
          <w:i w:val="0"/>
          <w:iCs/>
          <w:sz w:val="20"/>
          <w:szCs w:val="20"/>
          <w:highlight w:val="none"/>
          <w:lang w:val="en-US" w:eastAsia="zh-CN"/>
        </w:rPr>
        <w:t xml:space="preserve">116 </w:t>
      </w:r>
      <w:r>
        <w:rPr>
          <w:rFonts w:hint="eastAsia" w:ascii="Times New Roman" w:eastAsia="宋体"/>
          <w:b w:val="0"/>
          <w:bCs/>
          <w:i w:val="0"/>
          <w:iCs/>
          <w:sz w:val="20"/>
          <w:szCs w:val="20"/>
          <w:lang w:val="en-US" w:eastAsia="zh-CN"/>
        </w:rPr>
        <w:t>meeting, the following agreements on beam indication framework have been achieved [</w:t>
      </w:r>
      <w:r>
        <w:rPr>
          <w:rFonts w:hint="eastAsia"/>
          <w:b w:val="0"/>
          <w:bCs/>
          <w:i w:val="0"/>
          <w:iCs/>
          <w:sz w:val="20"/>
          <w:szCs w:val="20"/>
          <w:lang w:val="en-US" w:eastAsia="zh-CN"/>
        </w:rPr>
        <w:t>4</w:t>
      </w:r>
      <w:r>
        <w:rPr>
          <w:rFonts w:hint="eastAsia" w:ascii="Times New Roman" w:eastAsia="宋体"/>
          <w:b w:val="0"/>
          <w:bCs/>
          <w:i w:val="0"/>
          <w:iCs/>
          <w:sz w:val="20"/>
          <w:szCs w:val="20"/>
          <w:lang w:val="en-US" w:eastAsia="zh-CN"/>
        </w:rPr>
        <w:t xml:space="preserve">]: </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30B5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32AF93CA">
            <w:pPr>
              <w:keepNext w:val="0"/>
              <w:keepLines w:val="0"/>
              <w:widowControl/>
              <w:suppressLineNumbers w:val="0"/>
              <w:autoSpaceDE/>
              <w:autoSpaceDN/>
              <w:adjustRightInd/>
              <w:snapToGrid/>
              <w:spacing w:before="0" w:beforeAutospacing="0" w:after="0" w:afterAutospacing="0" w:line="264" w:lineRule="auto"/>
              <w:ind w:left="0" w:right="0"/>
              <w:jc w:val="left"/>
              <w:rPr>
                <w:rFonts w:hint="eastAsia" w:ascii="Times" w:hAnsi="Times" w:eastAsia="等线" w:cs="Batang"/>
                <w:sz w:val="20"/>
                <w:szCs w:val="20"/>
                <w:highlight w:val="green"/>
                <w:lang w:val="en-GB"/>
              </w:rPr>
            </w:pPr>
            <w:r>
              <w:rPr>
                <w:rFonts w:hint="eastAsia" w:ascii="Times" w:hAnsi="Times" w:eastAsia="等线" w:cs="Batang"/>
                <w:sz w:val="20"/>
                <w:szCs w:val="20"/>
                <w:highlight w:val="green"/>
                <w:lang w:val="en-GB"/>
              </w:rPr>
              <w:t>Agreement</w:t>
            </w:r>
          </w:p>
          <w:p w14:paraId="2FFC345D">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For the asymmetric DL sTRP/UL mTRP deployment scenarios, separate DL/UL TCI state mode of Rel-17/18 unified TCI framework can be configured for both FR1 and FR2.</w:t>
            </w:r>
          </w:p>
          <w:p w14:paraId="3DA57A9B">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PMingLiU" w:cs="Times New Roman"/>
                <w:sz w:val="20"/>
                <w:szCs w:val="20"/>
                <w:lang w:val="en-GB" w:eastAsia="zh-TW" w:bidi="ar-SA"/>
              </w:rPr>
              <w:t>Joint TCI state mode can be configured at least for FR1</w:t>
            </w:r>
          </w:p>
        </w:tc>
      </w:tr>
    </w:tbl>
    <w:p w14:paraId="0687EED5">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hAnsi="Cambria Math" w:eastAsia="宋体"/>
          <w:i w:val="0"/>
          <w:sz w:val="20"/>
          <w:szCs w:val="20"/>
          <w:lang w:val="en-US" w:eastAsia="zh-CN"/>
        </w:rPr>
      </w:pPr>
      <w:r>
        <w:rPr>
          <w:rFonts w:hint="eastAsia" w:ascii="Times" w:hAnsi="Times" w:eastAsia="宋体" w:cs="Times New Roman"/>
          <w:sz w:val="20"/>
          <w:szCs w:val="24"/>
          <w:lang w:val="en-US" w:eastAsia="zh-CN"/>
        </w:rPr>
        <w:t xml:space="preserve">Regarding separate DL/UL TCI state mode of </w:t>
      </w:r>
      <w:r>
        <w:rPr>
          <w:rFonts w:ascii="Times" w:hAnsi="Times" w:eastAsia="Batang" w:cs="Times New Roman"/>
          <w:sz w:val="20"/>
          <w:szCs w:val="24"/>
          <w:lang w:val="en-GB"/>
        </w:rPr>
        <w:t>Rel-18 unified TCI framework</w:t>
      </w:r>
      <w:r>
        <w:rPr>
          <w:rFonts w:hint="eastAsia" w:ascii="Times" w:hAnsi="Times" w:eastAsia="宋体" w:cs="Times New Roman"/>
          <w:sz w:val="20"/>
          <w:szCs w:val="24"/>
          <w:lang w:val="en-US" w:eastAsia="zh-CN"/>
        </w:rPr>
        <w:t>, up to two DL TCI state(s) for DL channels/signals and up to two UL TCI state(s) for UL channels/signals can be mapped to the codepoint of the DCI field '</w:t>
      </w:r>
      <w:r>
        <w:rPr>
          <w:rFonts w:hint="eastAsia" w:ascii="Times" w:hAnsi="Times" w:eastAsia="宋体" w:cs="Times New Roman"/>
          <w:i/>
          <w:iCs/>
          <w:sz w:val="20"/>
          <w:szCs w:val="24"/>
          <w:lang w:val="en-US" w:eastAsia="zh-CN"/>
        </w:rPr>
        <w:t>Transmission Configuration Indication</w:t>
      </w:r>
      <w:r>
        <w:rPr>
          <w:rFonts w:hint="eastAsia" w:ascii="Times" w:hAnsi="Times" w:eastAsia="宋体" w:cs="Times New Roman"/>
          <w:sz w:val="20"/>
          <w:szCs w:val="24"/>
          <w:lang w:val="en-US" w:eastAsia="zh-CN"/>
        </w:rPr>
        <w:t>' for one or for a set of CCs/DL BWPs.</w:t>
      </w:r>
      <w:r>
        <w:rPr>
          <w:rFonts w:hint="eastAsia" w:ascii="Times" w:hAnsi="Times" w:cs="Times New Roman"/>
          <w:sz w:val="20"/>
          <w:szCs w:val="24"/>
          <w:lang w:val="en-US" w:eastAsia="zh-CN"/>
        </w:rPr>
        <w:t xml:space="preserve"> W</w:t>
      </w:r>
      <w:r>
        <w:rPr>
          <w:rFonts w:hint="eastAsia" w:ascii="Times" w:hAnsi="Times" w:eastAsia="宋体" w:cs="Times New Roman"/>
          <w:sz w:val="20"/>
          <w:szCs w:val="24"/>
          <w:lang w:val="en-US" w:eastAsia="zh-CN"/>
        </w:rPr>
        <w:t>hen the UE receives a DCI format 1_1/1_2 schedul</w:t>
      </w:r>
      <w:r>
        <w:rPr>
          <w:rFonts w:hint="eastAsia" w:ascii="Times" w:hAnsi="Times" w:cs="Times New Roman"/>
          <w:sz w:val="20"/>
          <w:szCs w:val="24"/>
          <w:lang w:val="en-US" w:eastAsia="zh-CN"/>
        </w:rPr>
        <w:t>ing</w:t>
      </w:r>
      <w:r>
        <w:rPr>
          <w:rFonts w:hint="eastAsia" w:ascii="Times" w:hAnsi="Times" w:eastAsia="宋体" w:cs="Times New Roman"/>
          <w:sz w:val="20"/>
          <w:szCs w:val="24"/>
          <w:lang w:val="en-US" w:eastAsia="zh-CN"/>
        </w:rPr>
        <w:t xml:space="preserve"> PDSCH, the UE determine</w:t>
      </w:r>
      <w:r>
        <w:rPr>
          <w:rFonts w:hint="eastAsia" w:ascii="Times" w:hAnsi="Times" w:cs="Times New Roman"/>
          <w:sz w:val="20"/>
          <w:szCs w:val="24"/>
          <w:lang w:val="en-US" w:eastAsia="zh-CN"/>
        </w:rPr>
        <w:t>s</w:t>
      </w:r>
      <w:r>
        <w:rPr>
          <w:rFonts w:hint="eastAsia" w:ascii="Times" w:hAnsi="Times" w:eastAsia="宋体" w:cs="Times New Roman"/>
          <w:sz w:val="20"/>
          <w:szCs w:val="24"/>
          <w:lang w:val="en-US" w:eastAsia="zh-CN"/>
        </w:rPr>
        <w:t xml:space="preserve"> the indicated joint/DL TCI state</w:t>
      </w:r>
      <w:r>
        <w:rPr>
          <w:rFonts w:hint="eastAsia" w:ascii="Times" w:hAnsi="Times" w:cs="Times New Roman"/>
          <w:sz w:val="20"/>
          <w:szCs w:val="24"/>
          <w:lang w:val="en-US" w:eastAsia="zh-CN"/>
        </w:rPr>
        <w:t xml:space="preserve">(s) </w:t>
      </w:r>
      <w:r>
        <w:rPr>
          <w:rFonts w:hint="eastAsia" w:ascii="Times" w:hAnsi="Times" w:eastAsia="宋体" w:cs="Times New Roman"/>
          <w:sz w:val="20"/>
          <w:szCs w:val="24"/>
          <w:lang w:val="en-US" w:eastAsia="zh-CN"/>
        </w:rPr>
        <w:t>for the PDSCH according to '</w:t>
      </w:r>
      <w:r>
        <w:rPr>
          <w:rFonts w:hint="eastAsia" w:ascii="Times" w:hAnsi="Times" w:eastAsia="宋体" w:cs="Times New Roman"/>
          <w:i/>
          <w:iCs/>
          <w:sz w:val="20"/>
          <w:szCs w:val="24"/>
          <w:lang w:val="en-US" w:eastAsia="zh-CN"/>
        </w:rPr>
        <w:t>TCI selection</w:t>
      </w:r>
      <w:r>
        <w:rPr>
          <w:rFonts w:hint="eastAsia" w:ascii="Times" w:hAnsi="Times" w:eastAsia="宋体" w:cs="Times New Roman"/>
          <w:sz w:val="20"/>
          <w:szCs w:val="24"/>
          <w:lang w:val="en-US" w:eastAsia="zh-CN"/>
        </w:rPr>
        <w:t>'</w:t>
      </w:r>
      <w:r>
        <w:rPr>
          <w:rFonts w:hint="eastAsia" w:ascii="Times" w:hAnsi="Times" w:cs="Times New Roman"/>
          <w:sz w:val="20"/>
          <w:szCs w:val="24"/>
          <w:lang w:val="en-US" w:eastAsia="zh-CN"/>
        </w:rPr>
        <w:t>. However, f</w:t>
      </w:r>
      <w:r>
        <w:rPr>
          <w:rFonts w:hint="eastAsia" w:ascii="Times" w:hAnsi="Times" w:eastAsia="宋体" w:cs="Times New Roman"/>
          <w:sz w:val="20"/>
          <w:szCs w:val="24"/>
          <w:lang w:val="en-US" w:eastAsia="zh-CN"/>
        </w:rPr>
        <w:t xml:space="preserve">or asymmetric DL sTRP/UL mTRP deployment scenarios, </w:t>
      </w:r>
      <w:r>
        <w:rPr>
          <w:rFonts w:hint="eastAsia" w:ascii="Times" w:hAnsi="Times" w:cs="Times New Roman"/>
          <w:sz w:val="20"/>
          <w:szCs w:val="24"/>
          <w:lang w:val="en-US" w:eastAsia="zh-CN"/>
        </w:rPr>
        <w:t xml:space="preserve">two joint </w:t>
      </w:r>
      <w:r>
        <w:rPr>
          <w:rFonts w:hint="eastAsia" w:ascii="Times" w:hAnsi="Times" w:eastAsia="宋体" w:cs="Times New Roman"/>
          <w:sz w:val="20"/>
          <w:szCs w:val="24"/>
          <w:lang w:val="en-US" w:eastAsia="zh-CN"/>
        </w:rPr>
        <w:t>DL TCI state</w:t>
      </w:r>
      <w:r>
        <w:rPr>
          <w:rFonts w:hint="eastAsia" w:ascii="Times" w:hAnsi="Times" w:cs="Times New Roman"/>
          <w:sz w:val="20"/>
          <w:szCs w:val="24"/>
          <w:lang w:val="en-US" w:eastAsia="zh-CN"/>
        </w:rPr>
        <w:t xml:space="preserve">s or </w:t>
      </w:r>
      <w:r>
        <w:rPr>
          <w:rFonts w:hint="eastAsia" w:ascii="Times" w:hAnsi="Times" w:eastAsia="宋体" w:cs="Times New Roman"/>
          <w:sz w:val="20"/>
          <w:szCs w:val="24"/>
          <w:lang w:val="en-US" w:eastAsia="zh-CN"/>
        </w:rPr>
        <w:t xml:space="preserve">only one DL TCI state and two UL TCI states </w:t>
      </w:r>
      <w:r>
        <w:rPr>
          <w:rFonts w:hint="eastAsia" w:ascii="Times" w:hAnsi="Times" w:cs="Times New Roman"/>
          <w:sz w:val="20"/>
          <w:szCs w:val="24"/>
          <w:lang w:val="en-US" w:eastAsia="zh-CN"/>
        </w:rPr>
        <w:t xml:space="preserve">can be mapped </w:t>
      </w:r>
      <w:r>
        <w:rPr>
          <w:rFonts w:hint="eastAsia" w:ascii="Times" w:hAnsi="Times" w:eastAsia="宋体" w:cs="Times New Roman"/>
          <w:sz w:val="20"/>
          <w:szCs w:val="24"/>
          <w:lang w:val="en-US" w:eastAsia="zh-CN"/>
        </w:rPr>
        <w:t>to the codepoint of</w:t>
      </w:r>
      <w:r>
        <w:rPr>
          <w:rFonts w:hint="eastAsia" w:ascii="Times" w:hAnsi="Times" w:cs="Times New Roman"/>
          <w:sz w:val="20"/>
          <w:szCs w:val="24"/>
          <w:lang w:val="en-US" w:eastAsia="zh-CN"/>
        </w:rPr>
        <w:t xml:space="preserve"> TCI field</w:t>
      </w:r>
      <w:r>
        <w:rPr>
          <w:rFonts w:hint="eastAsia" w:ascii="Times" w:hAnsi="Times" w:eastAsia="宋体" w:cs="Times New Roman"/>
          <w:sz w:val="20"/>
          <w:szCs w:val="24"/>
          <w:lang w:val="en-US" w:eastAsia="zh-CN"/>
        </w:rPr>
        <w:t xml:space="preserve">. </w:t>
      </w:r>
      <w:r>
        <w:rPr>
          <w:rFonts w:hint="eastAsia" w:ascii="Times" w:hAnsi="Times" w:cs="Times New Roman"/>
          <w:sz w:val="20"/>
          <w:szCs w:val="24"/>
          <w:lang w:val="en-US" w:eastAsia="zh-CN"/>
        </w:rPr>
        <w:t xml:space="preserve">Since DL beam indication is only applied to </w:t>
      </w:r>
      <w:r>
        <w:rPr>
          <w:rFonts w:hint="eastAsia" w:ascii="Times" w:hAnsi="Times" w:eastAsia="宋体" w:cs="Times New Roman"/>
          <w:sz w:val="20"/>
          <w:szCs w:val="24"/>
          <w:lang w:val="en-US" w:eastAsia="zh-CN"/>
        </w:rPr>
        <w:t>the TRP with both DL and UL transmission</w:t>
      </w:r>
      <w:r>
        <w:rPr>
          <w:rFonts w:hint="eastAsia" w:ascii="Times" w:hAnsi="Times" w:cs="Times New Roman"/>
          <w:sz w:val="20"/>
          <w:szCs w:val="24"/>
          <w:lang w:val="en-US" w:eastAsia="zh-CN"/>
        </w:rPr>
        <w:t xml:space="preserve">, </w:t>
      </w:r>
      <w:r>
        <w:rPr>
          <w:rFonts w:hint="eastAsia" w:ascii="Times" w:hAnsi="Times" w:eastAsia="宋体" w:cs="Times New Roman"/>
          <w:sz w:val="20"/>
          <w:szCs w:val="24"/>
          <w:lang w:val="en-US" w:eastAsia="zh-CN"/>
        </w:rPr>
        <w:t>'</w:t>
      </w:r>
      <w:r>
        <w:rPr>
          <w:rFonts w:hint="eastAsia" w:ascii="Times" w:hAnsi="Times" w:eastAsia="宋体" w:cs="Times New Roman"/>
          <w:i/>
          <w:iCs/>
          <w:sz w:val="20"/>
          <w:szCs w:val="24"/>
          <w:lang w:val="en-US" w:eastAsia="zh-CN"/>
        </w:rPr>
        <w:t>TCI selection</w:t>
      </w:r>
      <w:r>
        <w:rPr>
          <w:rFonts w:hint="eastAsia" w:ascii="Times" w:hAnsi="Times" w:eastAsia="宋体" w:cs="Times New Roman"/>
          <w:sz w:val="20"/>
          <w:szCs w:val="24"/>
          <w:lang w:val="en-US" w:eastAsia="zh-CN"/>
        </w:rPr>
        <w:t>'</w:t>
      </w:r>
      <w:r>
        <w:rPr>
          <w:rFonts w:hint="eastAsia" w:ascii="Times" w:hAnsi="Times" w:cs="Times New Roman"/>
          <w:sz w:val="20"/>
          <w:szCs w:val="24"/>
          <w:lang w:val="en-US" w:eastAsia="zh-CN"/>
        </w:rPr>
        <w:t xml:space="preserve"> for DL beam indication for </w:t>
      </w:r>
      <w:r>
        <w:rPr>
          <w:rFonts w:hint="eastAsia" w:ascii="Times" w:hAnsi="Times" w:eastAsia="宋体" w:cs="Times New Roman"/>
          <w:sz w:val="20"/>
          <w:szCs w:val="24"/>
          <w:lang w:val="en-US" w:eastAsia="zh-CN"/>
        </w:rPr>
        <w:t>asymmetric DL sTRP/UL mTRP deployment scenarios</w:t>
      </w:r>
      <w:r>
        <w:rPr>
          <w:rFonts w:hint="eastAsia" w:ascii="Times" w:hAnsi="Times" w:cs="Times New Roman"/>
          <w:sz w:val="20"/>
          <w:szCs w:val="24"/>
          <w:lang w:val="en-US" w:eastAsia="zh-CN"/>
        </w:rPr>
        <w:t xml:space="preserve"> is not necessary and default </w:t>
      </w:r>
      <w:r>
        <w:rPr>
          <w:rFonts w:hint="eastAsia" w:ascii="Times" w:hAnsi="Times" w:eastAsia="宋体" w:cs="Times New Roman"/>
          <w:sz w:val="20"/>
          <w:szCs w:val="24"/>
          <w:lang w:val="en-US" w:eastAsia="zh-CN"/>
        </w:rPr>
        <w:t>TCI state</w:t>
      </w:r>
      <w:r>
        <w:rPr>
          <w:rFonts w:hint="eastAsia" w:ascii="Times" w:hAnsi="Times" w:cs="Times New Roman"/>
          <w:sz w:val="20"/>
          <w:szCs w:val="24"/>
          <w:lang w:val="en-US" w:eastAsia="zh-CN"/>
        </w:rPr>
        <w:t>(e.g., first one of two indicated states) can be applied for PDSCH reception.</w:t>
      </w:r>
    </w:p>
    <w:p w14:paraId="7A0CA7F9">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default" w:eastAsia="宋体"/>
          <w:b/>
          <w:bCs/>
          <w:i w:val="0"/>
          <w:iCs w:val="0"/>
          <w:sz w:val="20"/>
          <w:szCs w:val="20"/>
          <w:lang w:val="en-US" w:eastAsia="zh-CN"/>
        </w:rPr>
        <w:t>asymmetric DL sTRP/UL mTRP deployment scenarios</w:t>
      </w:r>
      <w:r>
        <w:rPr>
          <w:rFonts w:hint="eastAsia"/>
          <w:b/>
          <w:bCs/>
          <w:i w:val="0"/>
          <w:iCs w:val="0"/>
          <w:sz w:val="20"/>
          <w:szCs w:val="20"/>
          <w:lang w:val="en-US" w:eastAsia="zh-CN"/>
        </w:rPr>
        <w:t>, 'TCI selection' is not necessary and default TCI state(e.g., first one of two indicated states) can be applied for PDSCH reception.</w:t>
      </w:r>
    </w:p>
    <w:p w14:paraId="09AAD56B">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sz w:val="20"/>
          <w:szCs w:val="24"/>
          <w:lang w:val="en-US" w:eastAsia="zh-CN"/>
        </w:rPr>
      </w:pPr>
      <w:r>
        <w:rPr>
          <w:rFonts w:hint="eastAsia" w:ascii="Times" w:hAnsi="Times" w:eastAsia="宋体" w:cs="Times New Roman"/>
          <w:sz w:val="20"/>
          <w:szCs w:val="24"/>
          <w:lang w:val="en-US" w:eastAsia="zh-CN"/>
        </w:rPr>
        <w:t>Regarding separate DL/UL TCI state mode of Rel-18 unified TCI framework, up to two DL TCI state(s) for DL channels/signals and up to two UL TCI state(s) for UL channels/signals can be mapped to the codepoint of the DCI field '</w:t>
      </w:r>
      <w:r>
        <w:rPr>
          <w:rFonts w:hint="eastAsia" w:ascii="Times" w:hAnsi="Times" w:eastAsia="宋体" w:cs="Times New Roman"/>
          <w:i/>
          <w:iCs/>
          <w:sz w:val="20"/>
          <w:szCs w:val="24"/>
          <w:lang w:val="en-US" w:eastAsia="zh-CN"/>
        </w:rPr>
        <w:t>Transmission Configuration Indication</w:t>
      </w:r>
      <w:r>
        <w:rPr>
          <w:rFonts w:hint="eastAsia" w:ascii="Times" w:hAnsi="Times" w:eastAsia="宋体" w:cs="Times New Roman"/>
          <w:sz w:val="20"/>
          <w:szCs w:val="24"/>
          <w:lang w:val="en-US" w:eastAsia="zh-CN"/>
        </w:rPr>
        <w:t>' for one or for a set of CCs/DL BWPs. For asymmetric DL sTRP/UL mTRP deployment scenarios, mapping up to one DL TCI state and up to two UL TCI states to the codepoint of TCI field is enough. In addition, UE needs to maintain up to one DL TCI state and up to two UL TCI states.</w:t>
      </w:r>
    </w:p>
    <w:p w14:paraId="1D473FEA">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b/>
          <w:bCs/>
          <w:sz w:val="20"/>
          <w:szCs w:val="24"/>
          <w:lang w:val="en-US" w:eastAsia="zh-CN"/>
        </w:rPr>
      </w:pPr>
      <w:r>
        <w:rPr>
          <w:rFonts w:hint="eastAsia" w:ascii="Times" w:hAnsi="Times" w:eastAsia="宋体" w:cs="Times New Roman"/>
          <w:b/>
          <w:bCs/>
          <w:sz w:val="20"/>
          <w:szCs w:val="24"/>
          <w:lang w:val="en-US" w:eastAsia="zh-CN"/>
        </w:rPr>
        <w:t xml:space="preserve">Proposal </w:t>
      </w:r>
      <w:r>
        <w:rPr>
          <w:rFonts w:hint="eastAsia" w:ascii="Times" w:hAnsi="Times" w:cs="Times New Roman"/>
          <w:b/>
          <w:bCs/>
          <w:sz w:val="20"/>
          <w:szCs w:val="24"/>
          <w:lang w:val="en-US" w:eastAsia="zh-CN"/>
        </w:rPr>
        <w:t>4</w:t>
      </w:r>
      <w:r>
        <w:rPr>
          <w:rFonts w:hint="eastAsia" w:ascii="Times" w:hAnsi="Times" w:eastAsia="宋体" w:cs="Times New Roman"/>
          <w:b/>
          <w:bCs/>
          <w:sz w:val="20"/>
          <w:szCs w:val="24"/>
          <w:lang w:val="en-US" w:eastAsia="zh-CN"/>
        </w:rPr>
        <w:t>: Regarding separate DL/UL TCI state mode, up to one DL TCI state and up to two UL TCI states are mapped to the codepoint of TCI field.</w:t>
      </w:r>
    </w:p>
    <w:p w14:paraId="703DC724">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14:paraId="0841F310">
      <w:pPr>
        <w:rPr>
          <w:rFonts w:hint="eastAsia" w:eastAsia="宋体"/>
          <w:sz w:val="20"/>
          <w:szCs w:val="20"/>
          <w:highlight w:val="none"/>
          <w:lang w:val="en-US" w:eastAsia="zh-CN"/>
        </w:rPr>
      </w:pPr>
      <w:bookmarkStart w:id="3" w:name="OLE_LINK6"/>
      <w:bookmarkStart w:id="4" w:name="OLE_LINK39"/>
      <w:bookmarkStart w:id="5" w:name="OLE_LINK4"/>
      <w:bookmarkStart w:id="6" w:name="OLE_LINK3"/>
      <w:bookmarkStart w:id="7" w:name="OLE_LINK40"/>
      <w:bookmarkStart w:id="8" w:name="OLE_LINK5"/>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the potential enhancements for asymmetric DL sTRP/UL mTRP</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14:paraId="2DB801AE">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ascii="Times New Roman" w:eastAsia="宋体"/>
          <w:b/>
          <w:b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xml:space="preserve">: </w:t>
      </w:r>
      <w:r>
        <w:rPr>
          <w:b/>
          <w:bCs/>
          <w:sz w:val="20"/>
          <w:szCs w:val="20"/>
        </w:rPr>
        <w:t xml:space="preserve">When </w:t>
      </w:r>
      <w:r>
        <w:rPr>
          <w:b/>
          <w:bCs/>
          <w:i/>
          <w:iCs/>
          <w:sz w:val="20"/>
          <w:szCs w:val="20"/>
        </w:rPr>
        <w:t>SRS-CarrierSwitching</w:t>
      </w:r>
      <w:r>
        <w:rPr>
          <w:b/>
          <w:bCs/>
          <w:sz w:val="20"/>
          <w:szCs w:val="20"/>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0"/>
          <w:szCs w:val="20"/>
          <w:lang w:val="en-US" w:eastAsia="zh-CN"/>
        </w:rPr>
        <w:t>.</w:t>
      </w:r>
    </w:p>
    <w:p w14:paraId="20F70EB2">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Regarding </w:t>
      </w:r>
      <w:r>
        <w:rPr>
          <w:rFonts w:hint="eastAsia" w:ascii="Times New Roman" w:eastAsia="宋体"/>
          <w:b/>
          <w:bCs/>
          <w:sz w:val="20"/>
          <w:szCs w:val="20"/>
          <w:lang w:val="en-US" w:eastAsia="zh-CN"/>
        </w:rPr>
        <w:t>the CLPC reset of PUSCH/PUCCH/SRS, support Alt1:</w:t>
      </w:r>
    </w:p>
    <w:p w14:paraId="4D7A01DF">
      <w:pPr>
        <w:numPr>
          <w:ilvl w:val="0"/>
          <w:numId w:val="6"/>
        </w:numPr>
        <w:autoSpaceDE/>
        <w:autoSpaceDN/>
        <w:adjustRightInd/>
        <w:snapToGrid/>
        <w:spacing w:after="0"/>
        <w:ind w:left="72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Alt1: For a UE configured with two TAGs, when the UE receives a RAR of a PDCCH-order PRACH, according to the new 1-bit DCI field PL offset indication in DCI format 1_0:</w:t>
      </w:r>
    </w:p>
    <w:p w14:paraId="36C191DB">
      <w:pPr>
        <w:numPr>
          <w:ilvl w:val="1"/>
          <w:numId w:val="6"/>
        </w:numPr>
        <w:autoSpaceDE/>
        <w:autoSpaceDN/>
        <w:adjustRightInd/>
        <w:snapToGrid/>
        <w:spacing w:after="0"/>
        <w:ind w:left="144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When there is one indicated joint/UL TCI state in Rel-17 Unified TCI:</w:t>
      </w:r>
    </w:p>
    <w:p w14:paraId="7DEB467B">
      <w:pPr>
        <w:numPr>
          <w:ilvl w:val="2"/>
          <w:numId w:val="6"/>
        </w:numPr>
        <w:autoSpaceDE/>
        <w:autoSpaceDN/>
        <w:adjustRightInd/>
        <w:snapToGrid/>
        <w:spacing w:after="0"/>
        <w:ind w:left="216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If the 1-bit DCI field is 0, the UE resets the CLPC that is different from the CLPC associated with the indicated joint/UL TCI state.</w:t>
      </w:r>
    </w:p>
    <w:p w14:paraId="514EC18A">
      <w:pPr>
        <w:numPr>
          <w:ilvl w:val="2"/>
          <w:numId w:val="6"/>
        </w:numPr>
        <w:autoSpaceDE/>
        <w:autoSpaceDN/>
        <w:adjustRightInd/>
        <w:snapToGrid/>
        <w:spacing w:after="0"/>
        <w:ind w:left="216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If the 1-bit DCI field is 1, the UE resets the CLPC associated with the indicated joint/UL TCI state.</w:t>
      </w:r>
    </w:p>
    <w:p w14:paraId="55D4A974">
      <w:pPr>
        <w:numPr>
          <w:ilvl w:val="1"/>
          <w:numId w:val="6"/>
        </w:numPr>
        <w:autoSpaceDE/>
        <w:autoSpaceDN/>
        <w:adjustRightInd/>
        <w:snapToGrid/>
        <w:spacing w:after="0"/>
        <w:ind w:left="144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When there are two indicated joint/UL TCI states in Rel-18 Unified TCI:</w:t>
      </w:r>
    </w:p>
    <w:p w14:paraId="6CAFFEEB">
      <w:pPr>
        <w:numPr>
          <w:ilvl w:val="2"/>
          <w:numId w:val="6"/>
        </w:numPr>
        <w:autoSpaceDE/>
        <w:autoSpaceDN/>
        <w:adjustRightInd/>
        <w:snapToGrid/>
        <w:spacing w:after="0"/>
        <w:ind w:left="216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If the 1-bit DCI field is 0, the UE resets the CLPC associated with the first indicated joint/UL TCI state;</w:t>
      </w:r>
    </w:p>
    <w:p w14:paraId="31351306">
      <w:pPr>
        <w:numPr>
          <w:ilvl w:val="2"/>
          <w:numId w:val="6"/>
        </w:numPr>
        <w:autoSpaceDE/>
        <w:autoSpaceDN/>
        <w:adjustRightInd/>
        <w:snapToGrid/>
        <w:spacing w:after="0"/>
        <w:ind w:left="2160" w:hanging="360"/>
        <w:jc w:val="both"/>
        <w:rPr>
          <w:rFonts w:ascii="Times" w:hAnsi="Times" w:eastAsia="等线" w:cs="Times"/>
          <w:b/>
          <w:bCs/>
          <w:sz w:val="20"/>
          <w:szCs w:val="20"/>
          <w:lang w:val="en-CA" w:eastAsia="zh-CN"/>
        </w:rPr>
      </w:pPr>
      <w:r>
        <w:rPr>
          <w:rFonts w:ascii="Times" w:hAnsi="Times" w:eastAsia="等线" w:cs="Times"/>
          <w:b/>
          <w:bCs/>
          <w:sz w:val="20"/>
          <w:szCs w:val="20"/>
          <w:lang w:val="en-CA" w:eastAsia="zh-CN"/>
        </w:rPr>
        <w:t>If the 1-bit DCI field is 1, the UE resets the CLPC associated with the second indicated joint/UL TCI state</w:t>
      </w:r>
      <w:r>
        <w:rPr>
          <w:rFonts w:hint="eastAsia" w:ascii="Times" w:hAnsi="Times" w:eastAsia="等线" w:cs="Times"/>
          <w:b/>
          <w:bCs/>
          <w:sz w:val="20"/>
          <w:szCs w:val="20"/>
          <w:lang w:val="en-US" w:eastAsia="zh-CN"/>
        </w:rPr>
        <w:t>.</w:t>
      </w:r>
    </w:p>
    <w:p w14:paraId="35C11908">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Regarding </w:t>
      </w:r>
      <w:r>
        <w:rPr>
          <w:rFonts w:hint="default" w:eastAsia="宋体"/>
          <w:b/>
          <w:bCs/>
          <w:i w:val="0"/>
          <w:iCs w:val="0"/>
          <w:sz w:val="20"/>
          <w:szCs w:val="20"/>
          <w:lang w:val="en-US" w:eastAsia="zh-CN"/>
        </w:rPr>
        <w:t>asymmetric DL sTRP/UL mTRP deployment scenarios</w:t>
      </w:r>
      <w:r>
        <w:rPr>
          <w:rFonts w:hint="eastAsia" w:ascii="Times New Roman" w:eastAsia="宋体"/>
          <w:b/>
          <w:bCs/>
          <w:i w:val="0"/>
          <w:iCs w:val="0"/>
          <w:sz w:val="20"/>
          <w:szCs w:val="20"/>
          <w:lang w:val="en-US" w:eastAsia="zh-CN"/>
        </w:rPr>
        <w:t>, 'TCI selection' is not necessary and default TCI state(e.g., first one of two indicated states) can be applied for PDSCH reception.</w:t>
      </w:r>
    </w:p>
    <w:p w14:paraId="5132C429">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b/>
          <w:bCs/>
          <w:sz w:val="20"/>
          <w:szCs w:val="24"/>
          <w:lang w:val="en-US" w:eastAsia="zh-CN"/>
        </w:rPr>
      </w:pPr>
      <w:r>
        <w:rPr>
          <w:rFonts w:hint="eastAsia" w:ascii="Times" w:hAnsi="Times" w:eastAsia="宋体" w:cs="Times New Roman"/>
          <w:b/>
          <w:bCs/>
          <w:sz w:val="20"/>
          <w:szCs w:val="24"/>
          <w:lang w:val="en-US" w:eastAsia="zh-CN"/>
        </w:rPr>
        <w:t xml:space="preserve">Proposal </w:t>
      </w:r>
      <w:r>
        <w:rPr>
          <w:rFonts w:hint="eastAsia" w:ascii="Times" w:hAnsi="Times" w:cs="Times New Roman"/>
          <w:b/>
          <w:bCs/>
          <w:sz w:val="20"/>
          <w:szCs w:val="24"/>
          <w:lang w:val="en-US" w:eastAsia="zh-CN"/>
        </w:rPr>
        <w:t>4</w:t>
      </w:r>
      <w:r>
        <w:rPr>
          <w:rFonts w:hint="eastAsia" w:ascii="Times" w:hAnsi="Times" w:eastAsia="宋体" w:cs="Times New Roman"/>
          <w:b/>
          <w:bCs/>
          <w:sz w:val="20"/>
          <w:szCs w:val="24"/>
          <w:lang w:val="en-US" w:eastAsia="zh-CN"/>
        </w:rPr>
        <w:t>: Regarding separate DL/UL TCI state mode, up to one DL TCI state and up to two UL TCI states are mapped to the codepoint of TCI field.</w:t>
      </w:r>
    </w:p>
    <w:bookmarkEnd w:id="3"/>
    <w:bookmarkEnd w:id="4"/>
    <w:bookmarkEnd w:id="5"/>
    <w:bookmarkEnd w:id="6"/>
    <w:bookmarkEnd w:id="7"/>
    <w:bookmarkEnd w:id="8"/>
    <w:p w14:paraId="2B63E941">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14:paraId="33448C87">
      <w:pPr>
        <w:numPr>
          <w:ilvl w:val="0"/>
          <w:numId w:val="8"/>
        </w:numPr>
        <w:rPr>
          <w:rFonts w:hint="eastAsia"/>
          <w:bCs/>
          <w:sz w:val="20"/>
          <w:szCs w:val="20"/>
        </w:rPr>
      </w:pPr>
      <w:r>
        <w:rPr>
          <w:rFonts w:hint="eastAsia"/>
          <w:bCs/>
          <w:sz w:val="20"/>
          <w:szCs w:val="20"/>
        </w:rPr>
        <w:t>RP-234007, New WID: NR MIMO Phase 5, Samsung (Moderator)</w:t>
      </w:r>
    </w:p>
    <w:p w14:paraId="2227FF0C">
      <w:pPr>
        <w:numPr>
          <w:ilvl w:val="0"/>
          <w:numId w:val="8"/>
        </w:numPr>
        <w:rPr>
          <w:rFonts w:hint="eastAsia"/>
          <w:bCs/>
          <w:sz w:val="20"/>
          <w:szCs w:val="20"/>
        </w:rPr>
      </w:pPr>
      <w:r>
        <w:rPr>
          <w:rFonts w:hint="eastAsia"/>
          <w:bCs/>
          <w:sz w:val="20"/>
          <w:szCs w:val="20"/>
        </w:rPr>
        <w:t>Draft Report of 3GPP TSG RAN WG1 #120bis v0.1.0, Chairman, RAN1#120</w:t>
      </w:r>
      <w:r>
        <w:rPr>
          <w:rFonts w:hint="eastAsia"/>
          <w:bCs/>
          <w:sz w:val="20"/>
          <w:szCs w:val="20"/>
          <w:lang w:val="en-US" w:eastAsia="zh-CN"/>
        </w:rPr>
        <w:t>b</w:t>
      </w:r>
      <w:r>
        <w:rPr>
          <w:rFonts w:hint="eastAsia"/>
          <w:bCs/>
          <w:sz w:val="20"/>
          <w:szCs w:val="20"/>
        </w:rPr>
        <w:t>, April 7th–11th, 2025</w:t>
      </w:r>
      <w:bookmarkStart w:id="9" w:name="_GoBack"/>
      <w:bookmarkEnd w:id="9"/>
    </w:p>
    <w:p w14:paraId="1500E376">
      <w:pPr>
        <w:numPr>
          <w:ilvl w:val="0"/>
          <w:numId w:val="8"/>
        </w:numPr>
        <w:rPr>
          <w:rFonts w:hint="eastAsia"/>
          <w:bCs/>
          <w:sz w:val="20"/>
          <w:szCs w:val="20"/>
        </w:rPr>
      </w:pPr>
      <w:r>
        <w:rPr>
          <w:rFonts w:hint="eastAsia"/>
          <w:bCs/>
          <w:sz w:val="20"/>
          <w:szCs w:val="20"/>
        </w:rPr>
        <w:t>Draft Report of 3GPP TSG RAN WG1 #116 v0.3.0, Chairman, RAN1#116,</w:t>
      </w:r>
      <w:r>
        <w:rPr>
          <w:rFonts w:hint="eastAsia" w:ascii="Times New Roman" w:eastAsia="宋体"/>
          <w:bCs/>
          <w:sz w:val="20"/>
          <w:szCs w:val="20"/>
          <w:lang w:val="en-US" w:eastAsia="zh-CN"/>
        </w:rPr>
        <w:t xml:space="preserve"> </w:t>
      </w:r>
      <w:r>
        <w:rPr>
          <w:rFonts w:ascii="Times New Roman" w:hAnsi="Times New Roman"/>
          <w:sz w:val="20"/>
        </w:rPr>
        <w:t>February 26th - March 1st,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 w:name="Segoe UI">
    <w:panose1 w:val="020B0502040204020203"/>
    <w:charset w:val="00"/>
    <w:family w:val="auto"/>
    <w:pitch w:val="variable"/>
    <w:sig w:usb0="E4002EFF" w:usb1="C000E47F" w:usb2="00000009" w:usb3="00000000" w:csb0="2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1BB65B1B"/>
    <w:multiLevelType w:val="multilevel"/>
    <w:tmpl w:val="1BB65B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5"/>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6"/>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6CC7596"/>
    <w:multiLevelType w:val="multilevel"/>
    <w:tmpl w:val="36CC7596"/>
    <w:lvl w:ilvl="0" w:tentative="0">
      <w:start w:val="1"/>
      <w:numFmt w:val="bullet"/>
      <w:pStyle w:val="33"/>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65E480B"/>
    <w:multiLevelType w:val="multilevel"/>
    <w:tmpl w:val="465E48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D173788"/>
    <w:multiLevelType w:val="multilevel"/>
    <w:tmpl w:val="7D1737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5"/>
  </w:num>
  <w:num w:numId="5">
    <w:abstractNumId w:val="6"/>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4C398A"/>
    <w:rsid w:val="00801B48"/>
    <w:rsid w:val="00852BEA"/>
    <w:rsid w:val="00B32A70"/>
    <w:rsid w:val="00D94872"/>
    <w:rsid w:val="00FA4DA7"/>
    <w:rsid w:val="013160EA"/>
    <w:rsid w:val="015B7463"/>
    <w:rsid w:val="015F30A6"/>
    <w:rsid w:val="01750673"/>
    <w:rsid w:val="019D44F6"/>
    <w:rsid w:val="01B60283"/>
    <w:rsid w:val="01D55A0F"/>
    <w:rsid w:val="01EC51F9"/>
    <w:rsid w:val="01F0403A"/>
    <w:rsid w:val="021C20FD"/>
    <w:rsid w:val="02673D2E"/>
    <w:rsid w:val="02933759"/>
    <w:rsid w:val="02952B3E"/>
    <w:rsid w:val="02C2571D"/>
    <w:rsid w:val="02EF419F"/>
    <w:rsid w:val="02F14250"/>
    <w:rsid w:val="034C6D12"/>
    <w:rsid w:val="03921535"/>
    <w:rsid w:val="03AA7AEB"/>
    <w:rsid w:val="03B71CD9"/>
    <w:rsid w:val="03CD1A9F"/>
    <w:rsid w:val="03E37CED"/>
    <w:rsid w:val="03F32506"/>
    <w:rsid w:val="03F41A14"/>
    <w:rsid w:val="04243B94"/>
    <w:rsid w:val="043930DC"/>
    <w:rsid w:val="04405E89"/>
    <w:rsid w:val="04544226"/>
    <w:rsid w:val="04587CAC"/>
    <w:rsid w:val="04797E90"/>
    <w:rsid w:val="047B6F67"/>
    <w:rsid w:val="04870C01"/>
    <w:rsid w:val="048C19AA"/>
    <w:rsid w:val="05024D75"/>
    <w:rsid w:val="050A0E00"/>
    <w:rsid w:val="05266597"/>
    <w:rsid w:val="052765C6"/>
    <w:rsid w:val="05627265"/>
    <w:rsid w:val="05664AE4"/>
    <w:rsid w:val="0598007E"/>
    <w:rsid w:val="05B314C7"/>
    <w:rsid w:val="05B922DB"/>
    <w:rsid w:val="05BD0878"/>
    <w:rsid w:val="06024C1C"/>
    <w:rsid w:val="061752D8"/>
    <w:rsid w:val="06361B61"/>
    <w:rsid w:val="067563E0"/>
    <w:rsid w:val="067A44AE"/>
    <w:rsid w:val="068421E9"/>
    <w:rsid w:val="06DA7D4B"/>
    <w:rsid w:val="06E728E4"/>
    <w:rsid w:val="06FB1B4F"/>
    <w:rsid w:val="0701348E"/>
    <w:rsid w:val="072A2FCD"/>
    <w:rsid w:val="074628FE"/>
    <w:rsid w:val="07527B34"/>
    <w:rsid w:val="07705CC0"/>
    <w:rsid w:val="07D02006"/>
    <w:rsid w:val="07FB7B6C"/>
    <w:rsid w:val="083B16CD"/>
    <w:rsid w:val="08B82ECE"/>
    <w:rsid w:val="08BA0261"/>
    <w:rsid w:val="08DE6C5B"/>
    <w:rsid w:val="0906407A"/>
    <w:rsid w:val="09132AFC"/>
    <w:rsid w:val="091A6792"/>
    <w:rsid w:val="093F0D49"/>
    <w:rsid w:val="094F59D1"/>
    <w:rsid w:val="09535507"/>
    <w:rsid w:val="09697100"/>
    <w:rsid w:val="098B26BC"/>
    <w:rsid w:val="09B15CE4"/>
    <w:rsid w:val="09DA06B8"/>
    <w:rsid w:val="09ED1BCF"/>
    <w:rsid w:val="09F95CF3"/>
    <w:rsid w:val="0A016C1D"/>
    <w:rsid w:val="0A080661"/>
    <w:rsid w:val="0A503B7A"/>
    <w:rsid w:val="0A7F7185"/>
    <w:rsid w:val="0A983F6E"/>
    <w:rsid w:val="0A9B4108"/>
    <w:rsid w:val="0AAD6492"/>
    <w:rsid w:val="0AB20B7F"/>
    <w:rsid w:val="0B0D77B0"/>
    <w:rsid w:val="0B3B19D0"/>
    <w:rsid w:val="0B863DB7"/>
    <w:rsid w:val="0B8D7CFF"/>
    <w:rsid w:val="0BDD5611"/>
    <w:rsid w:val="0BF615FE"/>
    <w:rsid w:val="0C0F2856"/>
    <w:rsid w:val="0C2F7405"/>
    <w:rsid w:val="0C510D41"/>
    <w:rsid w:val="0C552316"/>
    <w:rsid w:val="0C5651C9"/>
    <w:rsid w:val="0C831159"/>
    <w:rsid w:val="0D1E4452"/>
    <w:rsid w:val="0D3C6F97"/>
    <w:rsid w:val="0D4B5F8A"/>
    <w:rsid w:val="0DAF68A6"/>
    <w:rsid w:val="0DE162B1"/>
    <w:rsid w:val="0DE7465B"/>
    <w:rsid w:val="0E03571F"/>
    <w:rsid w:val="0E444572"/>
    <w:rsid w:val="0E47248F"/>
    <w:rsid w:val="0E4833FA"/>
    <w:rsid w:val="0E52228D"/>
    <w:rsid w:val="0E73251E"/>
    <w:rsid w:val="0E760F3B"/>
    <w:rsid w:val="0E7843D7"/>
    <w:rsid w:val="0E8335E0"/>
    <w:rsid w:val="0E8E1971"/>
    <w:rsid w:val="0E9618F3"/>
    <w:rsid w:val="0EA16757"/>
    <w:rsid w:val="0EAB2EBF"/>
    <w:rsid w:val="0EB12E2A"/>
    <w:rsid w:val="0F0A6D3C"/>
    <w:rsid w:val="0F143729"/>
    <w:rsid w:val="0F1552D5"/>
    <w:rsid w:val="0F601CC9"/>
    <w:rsid w:val="0F887312"/>
    <w:rsid w:val="0FA54B7F"/>
    <w:rsid w:val="0FAC242A"/>
    <w:rsid w:val="0FC4616A"/>
    <w:rsid w:val="0FC469D3"/>
    <w:rsid w:val="0FD934C0"/>
    <w:rsid w:val="101B7910"/>
    <w:rsid w:val="102313C5"/>
    <w:rsid w:val="102C47A2"/>
    <w:rsid w:val="102D5161"/>
    <w:rsid w:val="105C2E66"/>
    <w:rsid w:val="108A5F33"/>
    <w:rsid w:val="108F1D6A"/>
    <w:rsid w:val="10C45D0D"/>
    <w:rsid w:val="10DC5453"/>
    <w:rsid w:val="10E62A72"/>
    <w:rsid w:val="10F42D61"/>
    <w:rsid w:val="110732FE"/>
    <w:rsid w:val="110D797F"/>
    <w:rsid w:val="1110038B"/>
    <w:rsid w:val="11212786"/>
    <w:rsid w:val="115F5E25"/>
    <w:rsid w:val="11E54EEB"/>
    <w:rsid w:val="11F25C87"/>
    <w:rsid w:val="127C300E"/>
    <w:rsid w:val="12F2264E"/>
    <w:rsid w:val="12F627A9"/>
    <w:rsid w:val="136B2AB1"/>
    <w:rsid w:val="139748B1"/>
    <w:rsid w:val="13E36F2F"/>
    <w:rsid w:val="143F2D26"/>
    <w:rsid w:val="14426F48"/>
    <w:rsid w:val="1475649E"/>
    <w:rsid w:val="14892F40"/>
    <w:rsid w:val="148A4F57"/>
    <w:rsid w:val="14B44CE1"/>
    <w:rsid w:val="14D13334"/>
    <w:rsid w:val="15027B20"/>
    <w:rsid w:val="15157163"/>
    <w:rsid w:val="15714A4D"/>
    <w:rsid w:val="15776508"/>
    <w:rsid w:val="15CA6DCF"/>
    <w:rsid w:val="15CB0E9D"/>
    <w:rsid w:val="15E613BF"/>
    <w:rsid w:val="162B19EB"/>
    <w:rsid w:val="16821EB8"/>
    <w:rsid w:val="16857815"/>
    <w:rsid w:val="16D258FA"/>
    <w:rsid w:val="16E24019"/>
    <w:rsid w:val="16FD5875"/>
    <w:rsid w:val="17450531"/>
    <w:rsid w:val="175029F7"/>
    <w:rsid w:val="17522997"/>
    <w:rsid w:val="176E675D"/>
    <w:rsid w:val="179E5B2C"/>
    <w:rsid w:val="17A91C7B"/>
    <w:rsid w:val="17CC454C"/>
    <w:rsid w:val="18103806"/>
    <w:rsid w:val="18261E12"/>
    <w:rsid w:val="184C6A57"/>
    <w:rsid w:val="1889564E"/>
    <w:rsid w:val="189A1A6C"/>
    <w:rsid w:val="18A21A93"/>
    <w:rsid w:val="18F47AB6"/>
    <w:rsid w:val="1904614D"/>
    <w:rsid w:val="190E77FA"/>
    <w:rsid w:val="19353BC9"/>
    <w:rsid w:val="19444E47"/>
    <w:rsid w:val="19CE27FE"/>
    <w:rsid w:val="19E81E23"/>
    <w:rsid w:val="19F55BA5"/>
    <w:rsid w:val="1A493BFB"/>
    <w:rsid w:val="1AA822B7"/>
    <w:rsid w:val="1AA8653E"/>
    <w:rsid w:val="1AE17147"/>
    <w:rsid w:val="1AED1EA2"/>
    <w:rsid w:val="1B0360E6"/>
    <w:rsid w:val="1B905946"/>
    <w:rsid w:val="1BAD1E38"/>
    <w:rsid w:val="1BD758F9"/>
    <w:rsid w:val="1BEC025E"/>
    <w:rsid w:val="1C511810"/>
    <w:rsid w:val="1C5C39A1"/>
    <w:rsid w:val="1C895B5E"/>
    <w:rsid w:val="1C990377"/>
    <w:rsid w:val="1CA70991"/>
    <w:rsid w:val="1CB56259"/>
    <w:rsid w:val="1CC03ABA"/>
    <w:rsid w:val="1CF87F2D"/>
    <w:rsid w:val="1D4D14D4"/>
    <w:rsid w:val="1D801B18"/>
    <w:rsid w:val="1D84721B"/>
    <w:rsid w:val="1D894E4C"/>
    <w:rsid w:val="1D8B40F0"/>
    <w:rsid w:val="1DEA0522"/>
    <w:rsid w:val="1DED6D38"/>
    <w:rsid w:val="1E1E4F79"/>
    <w:rsid w:val="1E285DF8"/>
    <w:rsid w:val="1E3C6B0E"/>
    <w:rsid w:val="1E825658"/>
    <w:rsid w:val="1E8D7EF7"/>
    <w:rsid w:val="1E9639F9"/>
    <w:rsid w:val="1EC272B3"/>
    <w:rsid w:val="1EDC1290"/>
    <w:rsid w:val="1F125588"/>
    <w:rsid w:val="1F18035E"/>
    <w:rsid w:val="1F371804"/>
    <w:rsid w:val="1F466CDC"/>
    <w:rsid w:val="1F7A5EB1"/>
    <w:rsid w:val="1F7B3932"/>
    <w:rsid w:val="1F8D4ED2"/>
    <w:rsid w:val="1F943ED7"/>
    <w:rsid w:val="1FDA4FD1"/>
    <w:rsid w:val="20116206"/>
    <w:rsid w:val="20294462"/>
    <w:rsid w:val="20982E05"/>
    <w:rsid w:val="209B3D8A"/>
    <w:rsid w:val="211E3D79"/>
    <w:rsid w:val="219D08AB"/>
    <w:rsid w:val="21EC5CB5"/>
    <w:rsid w:val="221B2AE9"/>
    <w:rsid w:val="226C6BFB"/>
    <w:rsid w:val="228009F3"/>
    <w:rsid w:val="22B6537E"/>
    <w:rsid w:val="233413AC"/>
    <w:rsid w:val="23531D85"/>
    <w:rsid w:val="235C0A1E"/>
    <w:rsid w:val="2366364A"/>
    <w:rsid w:val="2377553B"/>
    <w:rsid w:val="23873D3C"/>
    <w:rsid w:val="23950AF7"/>
    <w:rsid w:val="23A5431A"/>
    <w:rsid w:val="23A56339"/>
    <w:rsid w:val="23BE6F12"/>
    <w:rsid w:val="23C245B7"/>
    <w:rsid w:val="23C50DBF"/>
    <w:rsid w:val="23DE6169"/>
    <w:rsid w:val="23E2706A"/>
    <w:rsid w:val="2430046E"/>
    <w:rsid w:val="245629B3"/>
    <w:rsid w:val="245F7E75"/>
    <w:rsid w:val="24777489"/>
    <w:rsid w:val="24A86E33"/>
    <w:rsid w:val="24D02576"/>
    <w:rsid w:val="24D032B6"/>
    <w:rsid w:val="24FF6CAD"/>
    <w:rsid w:val="25036BCC"/>
    <w:rsid w:val="25630792"/>
    <w:rsid w:val="25B03517"/>
    <w:rsid w:val="25BE2592"/>
    <w:rsid w:val="25C42A83"/>
    <w:rsid w:val="25DE3A8F"/>
    <w:rsid w:val="25F71FD8"/>
    <w:rsid w:val="25FF7D29"/>
    <w:rsid w:val="26151588"/>
    <w:rsid w:val="264B4F7E"/>
    <w:rsid w:val="26637757"/>
    <w:rsid w:val="268C71B4"/>
    <w:rsid w:val="26BB5CEB"/>
    <w:rsid w:val="26CD6E46"/>
    <w:rsid w:val="271E0236"/>
    <w:rsid w:val="272B05F5"/>
    <w:rsid w:val="274E038B"/>
    <w:rsid w:val="27750300"/>
    <w:rsid w:val="27781034"/>
    <w:rsid w:val="27EC118E"/>
    <w:rsid w:val="27ED43AC"/>
    <w:rsid w:val="280D55CC"/>
    <w:rsid w:val="28264546"/>
    <w:rsid w:val="286374B5"/>
    <w:rsid w:val="286E6374"/>
    <w:rsid w:val="287B557A"/>
    <w:rsid w:val="28944E1F"/>
    <w:rsid w:val="28AC24C6"/>
    <w:rsid w:val="28B318D9"/>
    <w:rsid w:val="28E11877"/>
    <w:rsid w:val="28E76E28"/>
    <w:rsid w:val="29247F90"/>
    <w:rsid w:val="293B2135"/>
    <w:rsid w:val="2941300F"/>
    <w:rsid w:val="295C4868"/>
    <w:rsid w:val="297A769B"/>
    <w:rsid w:val="298B7936"/>
    <w:rsid w:val="29920D79"/>
    <w:rsid w:val="29C00EFB"/>
    <w:rsid w:val="29C8521C"/>
    <w:rsid w:val="29EF4BE3"/>
    <w:rsid w:val="29EF5058"/>
    <w:rsid w:val="2A246B9F"/>
    <w:rsid w:val="2A334B72"/>
    <w:rsid w:val="2A484543"/>
    <w:rsid w:val="2A874634"/>
    <w:rsid w:val="2AC749E7"/>
    <w:rsid w:val="2AF54989"/>
    <w:rsid w:val="2AFC4314"/>
    <w:rsid w:val="2B0D0850"/>
    <w:rsid w:val="2B255F21"/>
    <w:rsid w:val="2B2704BF"/>
    <w:rsid w:val="2B6F2FCE"/>
    <w:rsid w:val="2B75075B"/>
    <w:rsid w:val="2B751DD6"/>
    <w:rsid w:val="2B98044F"/>
    <w:rsid w:val="2BC12DDB"/>
    <w:rsid w:val="2BCB36E8"/>
    <w:rsid w:val="2BD54D7B"/>
    <w:rsid w:val="2BEB3C1D"/>
    <w:rsid w:val="2C190B2D"/>
    <w:rsid w:val="2C237D4B"/>
    <w:rsid w:val="2C512FD6"/>
    <w:rsid w:val="2C856399"/>
    <w:rsid w:val="2CC47634"/>
    <w:rsid w:val="2CCE569A"/>
    <w:rsid w:val="2CF27D6E"/>
    <w:rsid w:val="2D4F12E5"/>
    <w:rsid w:val="2D5A693B"/>
    <w:rsid w:val="2D855AFD"/>
    <w:rsid w:val="2DA15497"/>
    <w:rsid w:val="2DB85923"/>
    <w:rsid w:val="2DD86A94"/>
    <w:rsid w:val="2DEA2441"/>
    <w:rsid w:val="2E047B0F"/>
    <w:rsid w:val="2E144526"/>
    <w:rsid w:val="2E4A2577"/>
    <w:rsid w:val="2E4D1CB1"/>
    <w:rsid w:val="2E9D61B9"/>
    <w:rsid w:val="2F3632AC"/>
    <w:rsid w:val="2F532CB4"/>
    <w:rsid w:val="2FAE3CA2"/>
    <w:rsid w:val="2FC071F5"/>
    <w:rsid w:val="2FE63BE9"/>
    <w:rsid w:val="2FEE54F5"/>
    <w:rsid w:val="30197A30"/>
    <w:rsid w:val="30CA63B5"/>
    <w:rsid w:val="30D92455"/>
    <w:rsid w:val="30DD1A9D"/>
    <w:rsid w:val="31290177"/>
    <w:rsid w:val="316A1D5C"/>
    <w:rsid w:val="3195441F"/>
    <w:rsid w:val="31C10AF9"/>
    <w:rsid w:val="31D75713"/>
    <w:rsid w:val="3206512E"/>
    <w:rsid w:val="320878CE"/>
    <w:rsid w:val="3238450B"/>
    <w:rsid w:val="32657BC9"/>
    <w:rsid w:val="32855FEF"/>
    <w:rsid w:val="328E46F0"/>
    <w:rsid w:val="32970F2C"/>
    <w:rsid w:val="32BE75E9"/>
    <w:rsid w:val="32C87D5D"/>
    <w:rsid w:val="32D520C3"/>
    <w:rsid w:val="32E31C0C"/>
    <w:rsid w:val="32EF2AEF"/>
    <w:rsid w:val="33047BC2"/>
    <w:rsid w:val="33355DB3"/>
    <w:rsid w:val="334D7B0E"/>
    <w:rsid w:val="33732C8D"/>
    <w:rsid w:val="337A01F5"/>
    <w:rsid w:val="339D48BD"/>
    <w:rsid w:val="34052FE8"/>
    <w:rsid w:val="340F3AEE"/>
    <w:rsid w:val="343A3101"/>
    <w:rsid w:val="343F6D1F"/>
    <w:rsid w:val="34673F86"/>
    <w:rsid w:val="346C4EB3"/>
    <w:rsid w:val="34E238D0"/>
    <w:rsid w:val="355E1B0D"/>
    <w:rsid w:val="356D4C1C"/>
    <w:rsid w:val="356F3389"/>
    <w:rsid w:val="35841B88"/>
    <w:rsid w:val="35920655"/>
    <w:rsid w:val="35B14C51"/>
    <w:rsid w:val="35D03558"/>
    <w:rsid w:val="36235561"/>
    <w:rsid w:val="363776A6"/>
    <w:rsid w:val="363D610B"/>
    <w:rsid w:val="3672034A"/>
    <w:rsid w:val="36915B95"/>
    <w:rsid w:val="36B93F76"/>
    <w:rsid w:val="36C572E8"/>
    <w:rsid w:val="36D45384"/>
    <w:rsid w:val="370B27EA"/>
    <w:rsid w:val="3733791C"/>
    <w:rsid w:val="37761015"/>
    <w:rsid w:val="37AF57D1"/>
    <w:rsid w:val="37C56D05"/>
    <w:rsid w:val="37CE75B8"/>
    <w:rsid w:val="37FD60EC"/>
    <w:rsid w:val="3810372D"/>
    <w:rsid w:val="382B2371"/>
    <w:rsid w:val="384C0455"/>
    <w:rsid w:val="385641FC"/>
    <w:rsid w:val="38617EBA"/>
    <w:rsid w:val="38632BB2"/>
    <w:rsid w:val="388A60C7"/>
    <w:rsid w:val="38CA6159"/>
    <w:rsid w:val="38D22C11"/>
    <w:rsid w:val="39401BFB"/>
    <w:rsid w:val="39625815"/>
    <w:rsid w:val="398F2FFF"/>
    <w:rsid w:val="39C9414C"/>
    <w:rsid w:val="39D733F3"/>
    <w:rsid w:val="3A26548A"/>
    <w:rsid w:val="3A48262C"/>
    <w:rsid w:val="3A780D8C"/>
    <w:rsid w:val="3A811618"/>
    <w:rsid w:val="3A871F12"/>
    <w:rsid w:val="3AC84000"/>
    <w:rsid w:val="3B0C0E48"/>
    <w:rsid w:val="3B1278F8"/>
    <w:rsid w:val="3B246918"/>
    <w:rsid w:val="3B385709"/>
    <w:rsid w:val="3B3C6BDC"/>
    <w:rsid w:val="3B7017BE"/>
    <w:rsid w:val="3B8A62BD"/>
    <w:rsid w:val="3B8F13E4"/>
    <w:rsid w:val="3C8C1362"/>
    <w:rsid w:val="3CA72347"/>
    <w:rsid w:val="3CC36BB7"/>
    <w:rsid w:val="3CF555AF"/>
    <w:rsid w:val="3D2902E7"/>
    <w:rsid w:val="3D2C41CD"/>
    <w:rsid w:val="3D635B43"/>
    <w:rsid w:val="3D653E7E"/>
    <w:rsid w:val="3D7041F7"/>
    <w:rsid w:val="3D7B518E"/>
    <w:rsid w:val="3D9E6F85"/>
    <w:rsid w:val="3DDD580C"/>
    <w:rsid w:val="3DE42F47"/>
    <w:rsid w:val="3DF77869"/>
    <w:rsid w:val="3E1023BB"/>
    <w:rsid w:val="3E262B97"/>
    <w:rsid w:val="3E380E7B"/>
    <w:rsid w:val="3E651A1E"/>
    <w:rsid w:val="3E8168B5"/>
    <w:rsid w:val="3E8E5630"/>
    <w:rsid w:val="3E9B6EC4"/>
    <w:rsid w:val="3EA70758"/>
    <w:rsid w:val="3EA72C03"/>
    <w:rsid w:val="3EA93C5B"/>
    <w:rsid w:val="3EBA1977"/>
    <w:rsid w:val="3ED951C1"/>
    <w:rsid w:val="3EFB495F"/>
    <w:rsid w:val="3F021D6B"/>
    <w:rsid w:val="3F16680E"/>
    <w:rsid w:val="3F1D58D3"/>
    <w:rsid w:val="3F3160EA"/>
    <w:rsid w:val="3F5F4684"/>
    <w:rsid w:val="3F8A6EA3"/>
    <w:rsid w:val="3F9119DB"/>
    <w:rsid w:val="3FA376F7"/>
    <w:rsid w:val="3FA75801"/>
    <w:rsid w:val="3FD47EC6"/>
    <w:rsid w:val="3FFF200F"/>
    <w:rsid w:val="40243148"/>
    <w:rsid w:val="40650AFA"/>
    <w:rsid w:val="40857AC1"/>
    <w:rsid w:val="40A11D0E"/>
    <w:rsid w:val="40E23A76"/>
    <w:rsid w:val="40FA572A"/>
    <w:rsid w:val="410305B7"/>
    <w:rsid w:val="41152B71"/>
    <w:rsid w:val="411959C4"/>
    <w:rsid w:val="41B57819"/>
    <w:rsid w:val="42F9196C"/>
    <w:rsid w:val="4311654F"/>
    <w:rsid w:val="431D1053"/>
    <w:rsid w:val="432702BD"/>
    <w:rsid w:val="432D21C6"/>
    <w:rsid w:val="43354D77"/>
    <w:rsid w:val="43672AD4"/>
    <w:rsid w:val="43764680"/>
    <w:rsid w:val="43B41379"/>
    <w:rsid w:val="43B86527"/>
    <w:rsid w:val="43BA782C"/>
    <w:rsid w:val="43BF1735"/>
    <w:rsid w:val="43C95804"/>
    <w:rsid w:val="43F32078"/>
    <w:rsid w:val="43FF67FA"/>
    <w:rsid w:val="445D471B"/>
    <w:rsid w:val="44900788"/>
    <w:rsid w:val="449E633A"/>
    <w:rsid w:val="44BB3B8B"/>
    <w:rsid w:val="44DC1504"/>
    <w:rsid w:val="44F87590"/>
    <w:rsid w:val="45004DF1"/>
    <w:rsid w:val="45177768"/>
    <w:rsid w:val="45316488"/>
    <w:rsid w:val="453B2FDD"/>
    <w:rsid w:val="45581FC9"/>
    <w:rsid w:val="455945D3"/>
    <w:rsid w:val="4574469F"/>
    <w:rsid w:val="45853F88"/>
    <w:rsid w:val="458D1FD6"/>
    <w:rsid w:val="458D47CC"/>
    <w:rsid w:val="45EA0818"/>
    <w:rsid w:val="45EB2FC3"/>
    <w:rsid w:val="461721C9"/>
    <w:rsid w:val="464D77E5"/>
    <w:rsid w:val="465F64F8"/>
    <w:rsid w:val="46664330"/>
    <w:rsid w:val="46783E04"/>
    <w:rsid w:val="468751C1"/>
    <w:rsid w:val="46936C54"/>
    <w:rsid w:val="469F3CE9"/>
    <w:rsid w:val="46A318D8"/>
    <w:rsid w:val="46D16525"/>
    <w:rsid w:val="4797437E"/>
    <w:rsid w:val="47D71054"/>
    <w:rsid w:val="47ED4ACB"/>
    <w:rsid w:val="47F0302B"/>
    <w:rsid w:val="47FC65D3"/>
    <w:rsid w:val="482A57C6"/>
    <w:rsid w:val="4838361C"/>
    <w:rsid w:val="48695BB6"/>
    <w:rsid w:val="48D760DD"/>
    <w:rsid w:val="48FD384B"/>
    <w:rsid w:val="48FE4B50"/>
    <w:rsid w:val="491442C2"/>
    <w:rsid w:val="491F72E5"/>
    <w:rsid w:val="496766AE"/>
    <w:rsid w:val="49B358F8"/>
    <w:rsid w:val="49B731BC"/>
    <w:rsid w:val="49DE7388"/>
    <w:rsid w:val="4A007BF5"/>
    <w:rsid w:val="4A0B5E3B"/>
    <w:rsid w:val="4A3B18D8"/>
    <w:rsid w:val="4A412E3D"/>
    <w:rsid w:val="4AE46FAA"/>
    <w:rsid w:val="4AE607D1"/>
    <w:rsid w:val="4AEE1D33"/>
    <w:rsid w:val="4B1D282A"/>
    <w:rsid w:val="4B6C7D72"/>
    <w:rsid w:val="4BBC374F"/>
    <w:rsid w:val="4C62195E"/>
    <w:rsid w:val="4C632EB8"/>
    <w:rsid w:val="4C8B505A"/>
    <w:rsid w:val="4D925639"/>
    <w:rsid w:val="4DB12E65"/>
    <w:rsid w:val="4DBF769C"/>
    <w:rsid w:val="4E123DD2"/>
    <w:rsid w:val="4E3E0E1E"/>
    <w:rsid w:val="4E676AE7"/>
    <w:rsid w:val="4E7848CC"/>
    <w:rsid w:val="4E7D2F52"/>
    <w:rsid w:val="4EFD2805"/>
    <w:rsid w:val="4F110D45"/>
    <w:rsid w:val="4F1A4A7A"/>
    <w:rsid w:val="4F2C6535"/>
    <w:rsid w:val="4FB754D4"/>
    <w:rsid w:val="50303C1D"/>
    <w:rsid w:val="50565A62"/>
    <w:rsid w:val="50935200"/>
    <w:rsid w:val="50A53155"/>
    <w:rsid w:val="515D765F"/>
    <w:rsid w:val="516D3C38"/>
    <w:rsid w:val="519E3DF4"/>
    <w:rsid w:val="51EE606E"/>
    <w:rsid w:val="51F14AEA"/>
    <w:rsid w:val="5210111A"/>
    <w:rsid w:val="521605BB"/>
    <w:rsid w:val="52190875"/>
    <w:rsid w:val="522378D0"/>
    <w:rsid w:val="523C1897"/>
    <w:rsid w:val="524428E6"/>
    <w:rsid w:val="528B20A3"/>
    <w:rsid w:val="529430F7"/>
    <w:rsid w:val="52CC0FE3"/>
    <w:rsid w:val="52D62BF7"/>
    <w:rsid w:val="52EB1898"/>
    <w:rsid w:val="53155F5F"/>
    <w:rsid w:val="53563145"/>
    <w:rsid w:val="53853DBC"/>
    <w:rsid w:val="539042C5"/>
    <w:rsid w:val="5395234A"/>
    <w:rsid w:val="53994EB3"/>
    <w:rsid w:val="539A508A"/>
    <w:rsid w:val="53AB6B56"/>
    <w:rsid w:val="53C336DC"/>
    <w:rsid w:val="540E06F6"/>
    <w:rsid w:val="541B7B33"/>
    <w:rsid w:val="547A29E1"/>
    <w:rsid w:val="548206B4"/>
    <w:rsid w:val="548C496F"/>
    <w:rsid w:val="54AC63DB"/>
    <w:rsid w:val="54C47EA3"/>
    <w:rsid w:val="54D7075E"/>
    <w:rsid w:val="54E603D9"/>
    <w:rsid w:val="5524243C"/>
    <w:rsid w:val="5556068C"/>
    <w:rsid w:val="5557610E"/>
    <w:rsid w:val="555C2F6B"/>
    <w:rsid w:val="55735655"/>
    <w:rsid w:val="55835CD9"/>
    <w:rsid w:val="55A64F94"/>
    <w:rsid w:val="55A77192"/>
    <w:rsid w:val="55BF1DB3"/>
    <w:rsid w:val="55CE2502"/>
    <w:rsid w:val="55E81280"/>
    <w:rsid w:val="560669DB"/>
    <w:rsid w:val="56586FB6"/>
    <w:rsid w:val="56735468"/>
    <w:rsid w:val="567A51F0"/>
    <w:rsid w:val="573F74DD"/>
    <w:rsid w:val="57642061"/>
    <w:rsid w:val="576519E4"/>
    <w:rsid w:val="576F457F"/>
    <w:rsid w:val="578E395C"/>
    <w:rsid w:val="57F77DC4"/>
    <w:rsid w:val="580A4859"/>
    <w:rsid w:val="580C61B7"/>
    <w:rsid w:val="583D43BE"/>
    <w:rsid w:val="585339EA"/>
    <w:rsid w:val="586C1C5E"/>
    <w:rsid w:val="58723133"/>
    <w:rsid w:val="58AF3655"/>
    <w:rsid w:val="58B06210"/>
    <w:rsid w:val="58D34A11"/>
    <w:rsid w:val="58DD7FD9"/>
    <w:rsid w:val="592B6D10"/>
    <w:rsid w:val="59862596"/>
    <w:rsid w:val="5999038C"/>
    <w:rsid w:val="59AB3DA5"/>
    <w:rsid w:val="59C76153"/>
    <w:rsid w:val="59CC1E60"/>
    <w:rsid w:val="5A1830DC"/>
    <w:rsid w:val="5A36150F"/>
    <w:rsid w:val="5A715E71"/>
    <w:rsid w:val="5A985B25"/>
    <w:rsid w:val="5ACA1D83"/>
    <w:rsid w:val="5AD90D18"/>
    <w:rsid w:val="5AE106EB"/>
    <w:rsid w:val="5AFB6E83"/>
    <w:rsid w:val="5B13347C"/>
    <w:rsid w:val="5B2150BE"/>
    <w:rsid w:val="5B255422"/>
    <w:rsid w:val="5BA92AD9"/>
    <w:rsid w:val="5BB36DF8"/>
    <w:rsid w:val="5BC62896"/>
    <w:rsid w:val="5C061C34"/>
    <w:rsid w:val="5C081E39"/>
    <w:rsid w:val="5C140E2A"/>
    <w:rsid w:val="5C1E64FE"/>
    <w:rsid w:val="5CA360E0"/>
    <w:rsid w:val="5CB62FD2"/>
    <w:rsid w:val="5CB80DD5"/>
    <w:rsid w:val="5CFD071C"/>
    <w:rsid w:val="5D2E6FEF"/>
    <w:rsid w:val="5D3A4FFF"/>
    <w:rsid w:val="5D6D4555"/>
    <w:rsid w:val="5D731CE1"/>
    <w:rsid w:val="5D775294"/>
    <w:rsid w:val="5D8C264E"/>
    <w:rsid w:val="5E257B0C"/>
    <w:rsid w:val="5E4F470C"/>
    <w:rsid w:val="5E5C1C5F"/>
    <w:rsid w:val="5E803118"/>
    <w:rsid w:val="5E9F4F32"/>
    <w:rsid w:val="5F070B58"/>
    <w:rsid w:val="5F0A6B75"/>
    <w:rsid w:val="5F32523B"/>
    <w:rsid w:val="5FA446C4"/>
    <w:rsid w:val="5FD24E35"/>
    <w:rsid w:val="5FD62BC4"/>
    <w:rsid w:val="5FED586D"/>
    <w:rsid w:val="5FF6617D"/>
    <w:rsid w:val="60161254"/>
    <w:rsid w:val="602B65CF"/>
    <w:rsid w:val="603833F8"/>
    <w:rsid w:val="606D3035"/>
    <w:rsid w:val="60BF5BC6"/>
    <w:rsid w:val="60D85C84"/>
    <w:rsid w:val="60F1769A"/>
    <w:rsid w:val="610D3747"/>
    <w:rsid w:val="61571B12"/>
    <w:rsid w:val="615E5EC7"/>
    <w:rsid w:val="618343F7"/>
    <w:rsid w:val="618A6779"/>
    <w:rsid w:val="61937245"/>
    <w:rsid w:val="61AC7DCD"/>
    <w:rsid w:val="61D91F13"/>
    <w:rsid w:val="61F84EA5"/>
    <w:rsid w:val="624B3D42"/>
    <w:rsid w:val="624D49A8"/>
    <w:rsid w:val="625E1DEF"/>
    <w:rsid w:val="62815D1E"/>
    <w:rsid w:val="628E2591"/>
    <w:rsid w:val="62C2375E"/>
    <w:rsid w:val="62FA005D"/>
    <w:rsid w:val="63041683"/>
    <w:rsid w:val="630C0C8E"/>
    <w:rsid w:val="633D725E"/>
    <w:rsid w:val="638E5D64"/>
    <w:rsid w:val="63B2145E"/>
    <w:rsid w:val="64336AC5"/>
    <w:rsid w:val="646F46AB"/>
    <w:rsid w:val="648775E1"/>
    <w:rsid w:val="64C92268"/>
    <w:rsid w:val="650D3C56"/>
    <w:rsid w:val="65817756"/>
    <w:rsid w:val="65AC22AE"/>
    <w:rsid w:val="65E55EB8"/>
    <w:rsid w:val="660C34FD"/>
    <w:rsid w:val="66192E8F"/>
    <w:rsid w:val="665367F8"/>
    <w:rsid w:val="6679092A"/>
    <w:rsid w:val="669C3468"/>
    <w:rsid w:val="669F4016"/>
    <w:rsid w:val="66DC6450"/>
    <w:rsid w:val="66DF584A"/>
    <w:rsid w:val="66E2321F"/>
    <w:rsid w:val="66EA44C5"/>
    <w:rsid w:val="66ED66EB"/>
    <w:rsid w:val="66F150F1"/>
    <w:rsid w:val="66F43DA7"/>
    <w:rsid w:val="67230DC3"/>
    <w:rsid w:val="67416E8F"/>
    <w:rsid w:val="67574764"/>
    <w:rsid w:val="67886E84"/>
    <w:rsid w:val="67926549"/>
    <w:rsid w:val="67B13F49"/>
    <w:rsid w:val="67E1412C"/>
    <w:rsid w:val="67E75254"/>
    <w:rsid w:val="68594E0E"/>
    <w:rsid w:val="6873631B"/>
    <w:rsid w:val="687F6DAB"/>
    <w:rsid w:val="6894192B"/>
    <w:rsid w:val="68D15906"/>
    <w:rsid w:val="69052A8C"/>
    <w:rsid w:val="69277B67"/>
    <w:rsid w:val="693365A4"/>
    <w:rsid w:val="69811020"/>
    <w:rsid w:val="699A485A"/>
    <w:rsid w:val="69AD47E6"/>
    <w:rsid w:val="69C0748D"/>
    <w:rsid w:val="69D60BF7"/>
    <w:rsid w:val="69E718CB"/>
    <w:rsid w:val="69FC5123"/>
    <w:rsid w:val="6A042548"/>
    <w:rsid w:val="6A1A5DB4"/>
    <w:rsid w:val="6A2D45F4"/>
    <w:rsid w:val="6A7502B2"/>
    <w:rsid w:val="6A7B4437"/>
    <w:rsid w:val="6A93071D"/>
    <w:rsid w:val="6AC05E9A"/>
    <w:rsid w:val="6ADB7467"/>
    <w:rsid w:val="6B255B24"/>
    <w:rsid w:val="6B261E4C"/>
    <w:rsid w:val="6B426304"/>
    <w:rsid w:val="6B8E6784"/>
    <w:rsid w:val="6BA1401F"/>
    <w:rsid w:val="6BEF027A"/>
    <w:rsid w:val="6BF64EAE"/>
    <w:rsid w:val="6C1B3D71"/>
    <w:rsid w:val="6C27270E"/>
    <w:rsid w:val="6C3478BA"/>
    <w:rsid w:val="6C4944F8"/>
    <w:rsid w:val="6CCC0825"/>
    <w:rsid w:val="6CD22B83"/>
    <w:rsid w:val="6D4B7102"/>
    <w:rsid w:val="6D7A4909"/>
    <w:rsid w:val="6D9F2D94"/>
    <w:rsid w:val="6DB92180"/>
    <w:rsid w:val="6E334459"/>
    <w:rsid w:val="6E3D06F9"/>
    <w:rsid w:val="6E976A5C"/>
    <w:rsid w:val="6E9944A2"/>
    <w:rsid w:val="6EB06A9D"/>
    <w:rsid w:val="6EBB30B8"/>
    <w:rsid w:val="6ECE63E5"/>
    <w:rsid w:val="6EDB548A"/>
    <w:rsid w:val="6F141040"/>
    <w:rsid w:val="6F252AE8"/>
    <w:rsid w:val="6F2E6A64"/>
    <w:rsid w:val="6F3429E5"/>
    <w:rsid w:val="6F370FC4"/>
    <w:rsid w:val="6F536F56"/>
    <w:rsid w:val="6F8336CE"/>
    <w:rsid w:val="6F917A44"/>
    <w:rsid w:val="702A0582"/>
    <w:rsid w:val="703F2EFC"/>
    <w:rsid w:val="705F2589"/>
    <w:rsid w:val="71066EA0"/>
    <w:rsid w:val="713118C3"/>
    <w:rsid w:val="714F68F5"/>
    <w:rsid w:val="715447B2"/>
    <w:rsid w:val="716F3FB7"/>
    <w:rsid w:val="7176095D"/>
    <w:rsid w:val="71A053FA"/>
    <w:rsid w:val="71AE0A27"/>
    <w:rsid w:val="71E9735E"/>
    <w:rsid w:val="7202419A"/>
    <w:rsid w:val="72314CE9"/>
    <w:rsid w:val="725C5A9E"/>
    <w:rsid w:val="728A58AF"/>
    <w:rsid w:val="728D20FF"/>
    <w:rsid w:val="72FE6D4D"/>
    <w:rsid w:val="73252FF8"/>
    <w:rsid w:val="733D22AC"/>
    <w:rsid w:val="73855277"/>
    <w:rsid w:val="738A4755"/>
    <w:rsid w:val="738B621F"/>
    <w:rsid w:val="73AD5399"/>
    <w:rsid w:val="73B726D3"/>
    <w:rsid w:val="73B87048"/>
    <w:rsid w:val="73CB0E8D"/>
    <w:rsid w:val="7455371B"/>
    <w:rsid w:val="74597B71"/>
    <w:rsid w:val="74BA6911"/>
    <w:rsid w:val="74CA3328"/>
    <w:rsid w:val="74E057BF"/>
    <w:rsid w:val="750A4C07"/>
    <w:rsid w:val="75597714"/>
    <w:rsid w:val="760B1816"/>
    <w:rsid w:val="76D0681C"/>
    <w:rsid w:val="76F779E7"/>
    <w:rsid w:val="770F1364"/>
    <w:rsid w:val="772F6429"/>
    <w:rsid w:val="7748459B"/>
    <w:rsid w:val="77912322"/>
    <w:rsid w:val="77D309AE"/>
    <w:rsid w:val="7811029E"/>
    <w:rsid w:val="78304CBF"/>
    <w:rsid w:val="783578AC"/>
    <w:rsid w:val="785139D4"/>
    <w:rsid w:val="786D1EFA"/>
    <w:rsid w:val="78A10475"/>
    <w:rsid w:val="78A413FA"/>
    <w:rsid w:val="78A93460"/>
    <w:rsid w:val="79027215"/>
    <w:rsid w:val="793242A5"/>
    <w:rsid w:val="79602E32"/>
    <w:rsid w:val="79980F9D"/>
    <w:rsid w:val="79B157E7"/>
    <w:rsid w:val="79C83CA2"/>
    <w:rsid w:val="79D143EB"/>
    <w:rsid w:val="7A0016B7"/>
    <w:rsid w:val="7A0974EF"/>
    <w:rsid w:val="7A48166A"/>
    <w:rsid w:val="7A5C152B"/>
    <w:rsid w:val="7AAC462C"/>
    <w:rsid w:val="7AD64885"/>
    <w:rsid w:val="7AEB776A"/>
    <w:rsid w:val="7AFA5152"/>
    <w:rsid w:val="7B563DBB"/>
    <w:rsid w:val="7B894C94"/>
    <w:rsid w:val="7B8A11BD"/>
    <w:rsid w:val="7BF2279A"/>
    <w:rsid w:val="7C481B70"/>
    <w:rsid w:val="7C496A46"/>
    <w:rsid w:val="7C5E7961"/>
    <w:rsid w:val="7C8021FC"/>
    <w:rsid w:val="7CB155B3"/>
    <w:rsid w:val="7D087430"/>
    <w:rsid w:val="7D161201"/>
    <w:rsid w:val="7D1D5F8E"/>
    <w:rsid w:val="7D202E40"/>
    <w:rsid w:val="7D264462"/>
    <w:rsid w:val="7D5804B4"/>
    <w:rsid w:val="7D631D66"/>
    <w:rsid w:val="7D6F12B3"/>
    <w:rsid w:val="7DBD7E58"/>
    <w:rsid w:val="7DC57B2F"/>
    <w:rsid w:val="7DD50326"/>
    <w:rsid w:val="7E163DBB"/>
    <w:rsid w:val="7E2A4812"/>
    <w:rsid w:val="7E4C7A01"/>
    <w:rsid w:val="7E6A1339"/>
    <w:rsid w:val="7E875323"/>
    <w:rsid w:val="7E935DD4"/>
    <w:rsid w:val="7E947EBC"/>
    <w:rsid w:val="7EAD0921"/>
    <w:rsid w:val="7EB85AF2"/>
    <w:rsid w:val="7EC34AF2"/>
    <w:rsid w:val="7ECD6C75"/>
    <w:rsid w:val="7EEC634C"/>
    <w:rsid w:val="7EFA7860"/>
    <w:rsid w:val="7F066EF6"/>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annotation text"/>
    <w:basedOn w:val="1"/>
    <w:qFormat/>
    <w:uiPriority w:val="0"/>
    <w:pPr>
      <w:jc w:val="left"/>
    </w:pPr>
  </w:style>
  <w:style w:type="paragraph" w:styleId="8">
    <w:name w:val="Body Text"/>
    <w:basedOn w:val="1"/>
    <w:qFormat/>
    <w:uiPriority w:val="0"/>
    <w:rPr>
      <w:sz w:val="20"/>
      <w:szCs w:val="20"/>
    </w:rPr>
  </w:style>
  <w:style w:type="table" w:styleId="10">
    <w:name w:val="Table Grid"/>
    <w:basedOn w:val="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Emphasis"/>
    <w:qFormat/>
    <w:uiPriority w:val="20"/>
    <w:rPr>
      <w:i/>
      <w:iCs/>
    </w:rPr>
  </w:style>
  <w:style w:type="character" w:styleId="13">
    <w:name w:val="Hyperlink"/>
    <w:basedOn w:val="11"/>
    <w:qFormat/>
    <w:uiPriority w:val="0"/>
    <w:rPr>
      <w:color w:val="0000FF"/>
      <w:u w:val="single"/>
    </w:rPr>
  </w:style>
  <w:style w:type="character" w:customStyle="1" w:styleId="14">
    <w:name w:val="MTEquationSection"/>
    <w:basedOn w:val="11"/>
    <w:qFormat/>
    <w:uiPriority w:val="0"/>
    <w:rPr>
      <w:b/>
      <w:vanish/>
      <w:color w:val="FF0000"/>
      <w:lang w:eastAsia="zh-CN"/>
    </w:rPr>
  </w:style>
  <w:style w:type="paragraph" w:styleId="15">
    <w:name w:val="List Paragraph"/>
    <w:basedOn w:val="1"/>
    <w:qFormat/>
    <w:uiPriority w:val="34"/>
    <w:pPr>
      <w:ind w:firstLine="420" w:firstLineChars="200"/>
    </w:pPr>
    <w:rPr>
      <w:rFonts w:ascii="宋体" w:hAnsi="宋体" w:eastAsia="宋体"/>
      <w:sz w:val="24"/>
      <w:szCs w:val="24"/>
    </w:rPr>
  </w:style>
  <w:style w:type="paragraph" w:customStyle="1" w:styleId="16">
    <w:name w:val="00_text"/>
    <w:basedOn w:val="1"/>
    <w:qFormat/>
    <w:uiPriority w:val="0"/>
    <w:pPr>
      <w:spacing w:before="120" w:after="100" w:afterAutospacing="1" w:line="288" w:lineRule="auto"/>
      <w:ind w:firstLine="360"/>
      <w:jc w:val="both"/>
    </w:pPr>
    <w:rPr>
      <w:sz w:val="21"/>
      <w:lang w:eastAsia="zh-CN"/>
    </w:rPr>
  </w:style>
  <w:style w:type="character" w:customStyle="1" w:styleId="17">
    <w:name w:val="fontstyle01"/>
    <w:basedOn w:val="11"/>
    <w:qFormat/>
    <w:uiPriority w:val="0"/>
    <w:rPr>
      <w:rFonts w:ascii="CIDFont + F14" w:hAnsi="CIDFont + F14" w:eastAsia="CIDFont + F14" w:cs="CIDFont + F14"/>
      <w:color w:val="000000"/>
      <w:sz w:val="16"/>
      <w:szCs w:val="16"/>
    </w:rPr>
  </w:style>
  <w:style w:type="character" w:customStyle="1" w:styleId="18">
    <w:name w:val="apple-converted-space"/>
    <w:basedOn w:val="11"/>
    <w:qFormat/>
    <w:uiPriority w:val="0"/>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 w:type="paragraph" w:customStyle="1" w:styleId="23">
    <w:name w:val="B3"/>
    <w:basedOn w:val="1"/>
    <w:qFormat/>
    <w:uiPriority w:val="0"/>
    <w:pPr>
      <w:ind w:left="1135" w:hanging="284"/>
    </w:pPr>
    <w:rPr>
      <w:lang w:val="zh-CN"/>
    </w:rPr>
  </w:style>
  <w:style w:type="paragraph" w:customStyle="1" w:styleId="24">
    <w:name w:val="B4"/>
    <w:basedOn w:val="1"/>
    <w:qFormat/>
    <w:uiPriority w:val="0"/>
    <w:pPr>
      <w:ind w:left="1418" w:hanging="284"/>
    </w:pPr>
  </w:style>
  <w:style w:type="paragraph" w:customStyle="1" w:styleId="25">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6">
    <w:name w:val="title 2"/>
    <w:basedOn w:val="3"/>
    <w:next w:val="1"/>
    <w:qFormat/>
    <w:uiPriority w:val="0"/>
    <w:pPr>
      <w:numPr>
        <w:ilvl w:val="1"/>
        <w:numId w:val="3"/>
      </w:numPr>
    </w:pPr>
    <w:rPr>
      <w:rFonts w:eastAsia="Arial"/>
      <w:sz w:val="28"/>
    </w:rPr>
  </w:style>
  <w:style w:type="paragraph" w:customStyle="1" w:styleId="27">
    <w:name w:val="B1"/>
    <w:basedOn w:val="1"/>
    <w:qFormat/>
    <w:uiPriority w:val="0"/>
    <w:pPr>
      <w:ind w:left="568" w:hanging="284"/>
    </w:pPr>
    <w:rPr>
      <w:lang w:val="zh-CN"/>
    </w:rPr>
  </w:style>
  <w:style w:type="paragraph" w:customStyle="1" w:styleId="28">
    <w:name w:val="B2"/>
    <w:basedOn w:val="1"/>
    <w:qFormat/>
    <w:uiPriority w:val="0"/>
    <w:pPr>
      <w:ind w:left="851" w:hanging="284"/>
    </w:pPr>
    <w:rPr>
      <w:lang w:val="zh-CN"/>
    </w:rPr>
  </w:style>
  <w:style w:type="paragraph" w:customStyle="1" w:styleId="2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0">
    <w:name w:val="0 Main text"/>
    <w:basedOn w:val="31"/>
    <w:qFormat/>
    <w:uiPriority w:val="0"/>
    <w:pPr>
      <w:spacing w:before="0" w:after="100" w:afterAutospacing="1"/>
      <w:ind w:firstLine="360" w:firstLineChars="0"/>
    </w:pPr>
    <w:rPr>
      <w:sz w:val="20"/>
      <w:lang w:eastAsia="en-US"/>
    </w:rPr>
  </w:style>
  <w:style w:type="paragraph" w:customStyle="1" w:styleId="31">
    <w:name w:val="main text"/>
    <w:basedOn w:val="1"/>
    <w:qFormat/>
    <w:uiPriority w:val="0"/>
    <w:pPr>
      <w:spacing w:before="60" w:after="60" w:line="288" w:lineRule="auto"/>
      <w:ind w:firstLine="200" w:firstLineChars="200"/>
      <w:jc w:val="both"/>
    </w:pPr>
    <w:rPr>
      <w:rFonts w:cs="바탕"/>
      <w:lang w:eastAsia="ko-KR"/>
    </w:rPr>
  </w:style>
  <w:style w:type="paragraph" w:customStyle="1" w:styleId="32">
    <w:name w:val="boldbullet1"/>
    <w:basedOn w:val="33"/>
    <w:qFormat/>
    <w:uiPriority w:val="0"/>
    <w:rPr>
      <w:b/>
    </w:rPr>
  </w:style>
  <w:style w:type="paragraph" w:customStyle="1" w:styleId="33">
    <w:name w:val="bullet1"/>
    <w:basedOn w:val="1"/>
    <w:qFormat/>
    <w:uiPriority w:val="0"/>
    <w:pPr>
      <w:numPr>
        <w:ilvl w:val="0"/>
        <w:numId w:val="4"/>
      </w:numPr>
      <w:spacing w:after="120"/>
      <w:jc w:val="both"/>
    </w:pPr>
    <w:rPr>
      <w:rFonts w:ascii="Times New Roman" w:hAnsi="Times New Roman" w:eastAsia="宋体"/>
      <w:lang w:val="en-US" w:eastAsia="zh-CN"/>
    </w:rPr>
  </w:style>
  <w:style w:type="table" w:customStyle="1" w:styleId="34">
    <w:name w:val="TableGrid47"/>
    <w:basedOn w:val="9"/>
    <w:qFormat/>
    <w:uiPriority w:val="3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1589</Words>
  <Characters>7930</Characters>
  <Lines>0</Lines>
  <Paragraphs>0</Paragraphs>
  <TotalTime>0</TotalTime>
  <ScaleCrop>false</ScaleCrop>
  <LinksUpToDate>false</LinksUpToDate>
  <CharactersWithSpaces>9486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2025-05-09T02:39:13Z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B37428DAC52042C1A576FD53DFAB4D55</vt:lpwstr>
  </property>
  <property fmtid="{D5CDD505-2E9C-101B-9397-08002B2CF9AE}" pid="4" name="KSOTemplateDocerSaveRecord">
    <vt:lpwstr>eyJoZGlkIjoiZDcxYjQ3OWZkYzQ1OTAyY2YyYWY0Y2Q0MzZmOGRhZGEifQ==</vt:lpwstr>
  </property>
</Properties>
</file>