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3969"/>
          <w:tab w:val="right" w:pos="8280"/>
          <w:tab w:val="right" w:pos="9781"/>
        </w:tabs>
        <w:snapToGrid w:val="0"/>
        <w:spacing w:before="0" w:after="0" w:line="240" w:lineRule="auto"/>
        <w:ind w:left="-2" w:right="-2" w:firstLine="0"/>
        <w:rPr>
          <w:rFonts w:ascii="Arial" w:hAnsi="Arial" w:eastAsia="MS Mincho"/>
          <w:b/>
          <w:bCs/>
          <w:sz w:val="22"/>
          <w:szCs w:val="22"/>
          <w:lang w:val="zh-CN"/>
        </w:rPr>
      </w:pPr>
      <w:r>
        <w:rPr>
          <w:rFonts w:ascii="Arial" w:hAnsi="Arial" w:eastAsia="MS Mincho"/>
          <w:b/>
          <w:bCs/>
          <w:sz w:val="22"/>
          <w:szCs w:val="22"/>
          <w:lang w:val="zh-CN"/>
        </w:rPr>
        <w:t xml:space="preserve">3GPP TSG RAN WG1 </w:t>
      </w:r>
      <w:r>
        <w:rPr>
          <w:rFonts w:ascii="Arial" w:hAnsi="Arial" w:eastAsia="SimSun" w:cs="Arial"/>
          <w:b/>
          <w:bCs/>
          <w:sz w:val="22"/>
          <w:szCs w:val="22"/>
          <w:lang w:val="en-GB"/>
        </w:rPr>
        <w:t>#117                                                                R1-2405241</w:t>
      </w:r>
      <w:bookmarkStart w:id="4" w:name="_GoBack"/>
      <w:bookmarkEnd w:id="4"/>
      <w:r>
        <w:rPr>
          <w:rFonts w:ascii="Arial" w:hAnsi="Arial" w:eastAsia="SimSun" w:cs="Arial"/>
          <w:b/>
          <w:bCs/>
          <w:sz w:val="22"/>
          <w:szCs w:val="22"/>
          <w:lang w:val="en-GB"/>
        </w:rPr>
        <w:t xml:space="preserve">    </w:t>
      </w:r>
    </w:p>
    <w:p>
      <w:pPr>
        <w:tabs>
          <w:tab w:val="center" w:pos="4536"/>
          <w:tab w:val="right" w:pos="9072"/>
        </w:tabs>
        <w:spacing w:before="0" w:after="0" w:line="240" w:lineRule="auto"/>
        <w:ind w:left="-2" w:firstLine="0"/>
        <w:rPr>
          <w:rFonts w:ascii="Arial" w:hAnsi="Arial" w:eastAsia="MS Mincho" w:cs="Times New Roman"/>
          <w:b/>
          <w:bCs/>
          <w:color w:val="auto"/>
          <w:kern w:val="0"/>
          <w:sz w:val="22"/>
          <w:szCs w:val="22"/>
          <w:lang w:val="en-US" w:eastAsia="en-US" w:bidi="ar-SA"/>
        </w:rPr>
      </w:pPr>
      <w:r>
        <w:rPr>
          <w:rFonts w:ascii="Arial" w:hAnsi="Arial" w:eastAsia="MS Mincho" w:cs="Times New Roman"/>
          <w:b/>
          <w:bCs/>
          <w:color w:val="auto"/>
          <w:kern w:val="0"/>
          <w:sz w:val="22"/>
          <w:szCs w:val="22"/>
          <w:lang w:val="en-US" w:eastAsia="en-US" w:bidi="ar-SA"/>
        </w:rPr>
        <w:t>Fukuoka city, Fukuoka, Japan, May 20</w:t>
      </w:r>
      <w:r>
        <w:rPr>
          <w:rFonts w:ascii="Arial" w:hAnsi="Arial" w:eastAsia="MS Mincho" w:cs="Times New Roman"/>
          <w:b/>
          <w:bCs/>
          <w:color w:val="auto"/>
          <w:kern w:val="0"/>
          <w:sz w:val="22"/>
          <w:szCs w:val="22"/>
          <w:vertAlign w:val="superscript"/>
          <w:lang w:val="en-US" w:eastAsia="en-US" w:bidi="ar-SA"/>
        </w:rPr>
        <w:t>th</w:t>
      </w:r>
      <w:r>
        <w:rPr>
          <w:rFonts w:ascii="Arial" w:hAnsi="Arial" w:eastAsia="MS Mincho" w:cs="Times New Roman"/>
          <w:b/>
          <w:bCs/>
          <w:color w:val="auto"/>
          <w:kern w:val="0"/>
          <w:sz w:val="22"/>
          <w:szCs w:val="22"/>
          <w:lang w:val="en-US" w:eastAsia="en-US" w:bidi="ar-SA"/>
        </w:rPr>
        <w:t xml:space="preserve"> – 24</w:t>
      </w:r>
      <w:r>
        <w:rPr>
          <w:rFonts w:ascii="Arial" w:hAnsi="Arial" w:eastAsia="MS Mincho" w:cs="Times New Roman"/>
          <w:b/>
          <w:bCs/>
          <w:color w:val="auto"/>
          <w:kern w:val="0"/>
          <w:sz w:val="22"/>
          <w:szCs w:val="22"/>
          <w:vertAlign w:val="superscript"/>
          <w:lang w:val="en-US" w:eastAsia="en-US" w:bidi="ar-SA"/>
        </w:rPr>
        <w:t>th</w:t>
      </w:r>
      <w:r>
        <w:rPr>
          <w:rFonts w:ascii="Arial" w:hAnsi="Arial" w:eastAsia="MS Mincho" w:cs="Times New Roman"/>
          <w:b/>
          <w:bCs/>
          <w:color w:val="auto"/>
          <w:kern w:val="0"/>
          <w:sz w:val="22"/>
          <w:szCs w:val="22"/>
          <w:lang w:val="en-US" w:eastAsia="en-US" w:bidi="ar-SA"/>
        </w:rPr>
        <w:t>, 2024</w:t>
      </w:r>
    </w:p>
    <w:p>
      <w:pPr>
        <w:tabs>
          <w:tab w:val="center" w:pos="4536"/>
          <w:tab w:val="right" w:pos="9072"/>
        </w:tabs>
        <w:spacing w:before="0" w:after="0" w:line="240" w:lineRule="auto"/>
        <w:rPr>
          <w:rFonts w:ascii="Arial" w:hAnsi="Arial" w:eastAsia="MS Mincho"/>
          <w:b/>
          <w:bCs/>
          <w:sz w:val="22"/>
          <w:szCs w:val="22"/>
          <w:lang w:val="zh-CN"/>
        </w:rPr>
      </w:pPr>
    </w:p>
    <w:p>
      <w:pPr>
        <w:tabs>
          <w:tab w:val="left" w:pos="1843"/>
          <w:tab w:val="center" w:pos="4536"/>
          <w:tab w:val="right" w:pos="9072"/>
        </w:tabs>
        <w:spacing w:before="0" w:after="0"/>
        <w:rPr>
          <w:rFonts w:ascii="Arial" w:hAnsi="Arial" w:eastAsiaTheme="minorEastAsia"/>
          <w:b/>
          <w:sz w:val="22"/>
          <w:lang w:val="zh-CN" w:eastAsia="zh-CN"/>
        </w:rPr>
      </w:pPr>
      <w:r>
        <w:rPr>
          <w:rFonts w:ascii="Arial" w:hAnsi="Arial" w:eastAsia="MS Mincho"/>
          <w:b/>
          <w:sz w:val="22"/>
          <w:lang w:val="zh-CN"/>
        </w:rPr>
        <w:t>Source:</w:t>
      </w:r>
      <w:r>
        <w:rPr>
          <w:rFonts w:ascii="Arial" w:hAnsi="Arial" w:eastAsia="MS Mincho"/>
          <w:b/>
          <w:sz w:val="22"/>
          <w:lang w:val="zh-CN"/>
        </w:rPr>
        <w:tab/>
      </w:r>
      <w:r>
        <w:rPr>
          <w:rFonts w:ascii="Arial" w:hAnsi="Arial" w:eastAsiaTheme="minorEastAsia"/>
          <w:b/>
          <w:sz w:val="22"/>
          <w:lang w:val="zh-CN" w:eastAsia="zh-CN"/>
        </w:rPr>
        <w:t>CEWiT</w:t>
      </w:r>
    </w:p>
    <w:p>
      <w:pPr>
        <w:tabs>
          <w:tab w:val="left" w:pos="1843"/>
          <w:tab w:val="center" w:pos="4536"/>
          <w:tab w:val="right" w:pos="9072"/>
        </w:tabs>
        <w:spacing w:before="0" w:after="0"/>
        <w:rPr>
          <w:rFonts w:ascii="Arial" w:hAnsi="Arial" w:eastAsia="MS Mincho"/>
          <w:b/>
          <w:sz w:val="22"/>
          <w:lang w:val="zh-CN"/>
        </w:rPr>
      </w:pPr>
      <w:r>
        <w:rPr>
          <w:rFonts w:ascii="Arial" w:hAnsi="Arial" w:eastAsia="MS Mincho"/>
          <w:b/>
          <w:sz w:val="22"/>
          <w:lang w:val="zh-CN"/>
        </w:rPr>
        <w:t>Title:</w:t>
      </w:r>
      <w:bookmarkStart w:id="0" w:name="Title"/>
      <w:bookmarkEnd w:id="0"/>
      <w:r>
        <w:rPr>
          <w:rFonts w:ascii="Arial" w:hAnsi="Arial" w:eastAsia="MS Mincho"/>
          <w:b/>
          <w:sz w:val="22"/>
          <w:lang w:val="zh-CN"/>
        </w:rPr>
        <w:tab/>
      </w:r>
      <w:r>
        <w:rPr>
          <w:rFonts w:ascii="Arial" w:hAnsi="Arial" w:eastAsia="MS Mincho"/>
          <w:b/>
          <w:sz w:val="22"/>
          <w:lang w:val="zh-CN"/>
        </w:rPr>
        <w:t>Discussion on CLI handling</w:t>
      </w:r>
    </w:p>
    <w:p>
      <w:pPr>
        <w:tabs>
          <w:tab w:val="left" w:pos="1843"/>
          <w:tab w:val="center" w:pos="4536"/>
          <w:tab w:val="right" w:pos="9072"/>
        </w:tabs>
        <w:spacing w:before="0" w:after="0"/>
        <w:rPr>
          <w:rFonts w:ascii="Arial" w:hAnsi="Arial" w:eastAsiaTheme="minorEastAsia"/>
          <w:b/>
          <w:sz w:val="22"/>
          <w:lang w:val="zh-CN" w:eastAsia="zh-CN"/>
        </w:rPr>
      </w:pPr>
      <w:r>
        <w:rPr>
          <w:rFonts w:ascii="Arial" w:hAnsi="Arial" w:eastAsia="MS Mincho"/>
          <w:b/>
          <w:sz w:val="22"/>
          <w:lang w:val="zh-CN"/>
        </w:rPr>
        <w:t>Agenda Item:</w:t>
      </w:r>
      <w:bookmarkStart w:id="1" w:name="Source"/>
      <w:bookmarkEnd w:id="1"/>
      <w:r>
        <w:rPr>
          <w:rFonts w:ascii="Arial" w:hAnsi="Arial" w:eastAsia="MS Mincho"/>
          <w:b/>
          <w:sz w:val="22"/>
          <w:lang w:val="zh-CN"/>
        </w:rPr>
        <w:tab/>
      </w:r>
      <w:r>
        <w:rPr>
          <w:rFonts w:ascii="Arial" w:hAnsi="Arial" w:eastAsia="SimSun"/>
          <w:b/>
          <w:sz w:val="22"/>
          <w:lang w:val="zh-CN"/>
        </w:rPr>
        <w:t>9.3.3</w:t>
      </w:r>
    </w:p>
    <w:p>
      <w:pPr>
        <w:tabs>
          <w:tab w:val="left" w:pos="1843"/>
          <w:tab w:val="center" w:pos="4536"/>
          <w:tab w:val="right" w:pos="9072"/>
        </w:tabs>
        <w:spacing w:before="0" w:after="0"/>
        <w:rPr>
          <w:rFonts w:ascii="Arial" w:hAnsi="Arial" w:eastAsia="MS Mincho"/>
          <w:b/>
          <w:sz w:val="22"/>
          <w:lang w:val="zh-CN"/>
        </w:rPr>
      </w:pPr>
      <w:r>
        <w:rPr>
          <w:rFonts w:ascii="Arial" w:hAnsi="Arial" w:eastAsia="MS Mincho"/>
          <w:b/>
          <w:sz w:val="22"/>
          <w:lang w:val="zh-CN"/>
        </w:rPr>
        <w:t>Document for:</w:t>
      </w:r>
      <w:r>
        <w:rPr>
          <w:rFonts w:ascii="Arial" w:hAnsi="Arial" w:eastAsia="MS Mincho"/>
          <w:b/>
          <w:sz w:val="22"/>
          <w:lang w:val="zh-CN"/>
        </w:rPr>
        <w:tab/>
      </w:r>
      <w:bookmarkStart w:id="2" w:name="DocumentFor"/>
      <w:bookmarkEnd w:id="2"/>
      <w:r>
        <w:rPr>
          <w:rFonts w:ascii="Arial" w:hAnsi="Arial" w:eastAsia="MS Mincho"/>
          <w:b/>
          <w:sz w:val="22"/>
          <w:lang w:val="zh-CN"/>
        </w:rPr>
        <w:t>Discussion and Decision</w:t>
      </w:r>
    </w:p>
    <w:p>
      <w:pPr>
        <w:pStyle w:val="22"/>
        <w:pBdr>
          <w:bottom w:val="single" w:color="000000" w:sz="6" w:space="0"/>
        </w:pBdr>
        <w:tabs>
          <w:tab w:val="left" w:pos="1843"/>
        </w:tabs>
        <w:spacing w:before="0" w:after="120"/>
        <w:rPr>
          <w:rFonts w:eastAsia="SimSun"/>
          <w:lang w:eastAsia="zh-CN"/>
        </w:rPr>
      </w:pPr>
    </w:p>
    <w:p>
      <w:pPr>
        <w:pStyle w:val="2"/>
        <w:numPr>
          <w:ilvl w:val="0"/>
          <w:numId w:val="2"/>
        </w:numPr>
      </w:pPr>
      <w:bookmarkStart w:id="3" w:name="_Ref521334010"/>
      <w:r>
        <w:t>Introduction</w:t>
      </w:r>
      <w:bookmarkEnd w:id="3"/>
    </w:p>
    <w:p>
      <w:pPr>
        <w:spacing w:before="120" w:after="0"/>
        <w:jc w:val="both"/>
      </w:pPr>
      <w:r>
        <w:rPr>
          <w:rFonts w:eastAsia="SimSun" w:cs="Times New Roman"/>
          <w:sz w:val="20"/>
          <w:szCs w:val="20"/>
        </w:rPr>
        <w:t xml:space="preserve">In RAN#103 meeting, the WID on </w:t>
      </w:r>
      <w:r>
        <w:rPr>
          <w:rFonts w:eastAsia="SimSun" w:cs="Times New Roman"/>
          <w:sz w:val="20"/>
          <w:szCs w:val="20"/>
          <w:lang w:eastAsia="fi-FI"/>
        </w:rPr>
        <w:t xml:space="preserve">Evolution of NR Duplex Operation </w:t>
      </w:r>
      <w:r>
        <w:rPr>
          <w:rFonts w:eastAsia="SimSun" w:cs="Times New Roman"/>
          <w:sz w:val="20"/>
          <w:szCs w:val="20"/>
        </w:rPr>
        <w:t xml:space="preserve">was updated [1]. </w:t>
      </w:r>
      <w:r>
        <w:rPr>
          <w:rFonts w:eastAsia="Malgun Gothic" w:cs="Times New Roman"/>
          <w:sz w:val="20"/>
          <w:szCs w:val="20"/>
          <w:lang w:val="en-US" w:eastAsia="ko-KR"/>
        </w:rPr>
        <w:t xml:space="preserve">According to the </w:t>
      </w:r>
      <w:r>
        <w:rPr>
          <w:rFonts w:eastAsia="Malgun Gothic" w:cs="Times New Roman"/>
          <w:color w:val="auto"/>
          <w:kern w:val="0"/>
          <w:sz w:val="20"/>
          <w:szCs w:val="20"/>
          <w:lang w:val="en-US" w:eastAsia="ko-KR" w:bidi="ar-SA"/>
        </w:rPr>
        <w:t>WID</w:t>
      </w:r>
      <w:r>
        <w:rPr>
          <w:rFonts w:eastAsia="Malgun Gothic" w:cs="Times New Roman"/>
          <w:sz w:val="20"/>
          <w:szCs w:val="20"/>
          <w:lang w:val="en-US" w:eastAsia="ko-KR"/>
        </w:rPr>
        <w:t xml:space="preserve">, the CLI handling scheme(s) are to be down-selected from those in TR38.858 by RAN#117. </w:t>
      </w:r>
      <w:r>
        <w:rPr>
          <w:rFonts w:eastAsia="Times New Roman" w:cs="Times New Roman"/>
          <w:color w:val="000000" w:themeColor="text1" w:themeTint="FF"/>
          <w:sz w:val="20"/>
          <w:szCs w:val="20"/>
          <w:lang w:val="en-US"/>
          <w14:textFill>
            <w14:solidFill>
              <w14:schemeClr w14:val="tx1">
                <w14:lumMod w14:val="100000"/>
                <w14:lumOff w14:val="0"/>
              </w14:schemeClr>
            </w14:solidFill>
          </w14:textFill>
        </w:rPr>
        <w:t>This contribution discusses the various UE-to-UE co-channel CLI management procedures and down-selects the UE-to-UE co-channel CLI handling schemes from TR 38.858. Also, it provides the details of the schemes based on the agreements in RAN#116bis meeting [2]. Further, the contribution also discusses the CLI handling schemes for sub band non-overlapping full duplexing (SBFD).</w:t>
      </w:r>
    </w:p>
    <w:p>
      <w:pPr>
        <w:spacing w:before="120" w:after="0"/>
        <w:jc w:val="both"/>
        <w:rPr>
          <w:rFonts w:ascii="Times New Roman" w:hAnsi="Times New Roman" w:eastAsia="Times New Roman" w:cs="Times New Roman"/>
          <w:color w:val="000000" w:themeColor="text1" w:themeTint="FF"/>
          <w:sz w:val="20"/>
          <w:szCs w:val="20"/>
          <w:lang w:val="en-US"/>
          <w14:textFill>
            <w14:solidFill>
              <w14:schemeClr w14:val="tx1">
                <w14:lumMod w14:val="100000"/>
                <w14:lumOff w14:val="0"/>
              </w14:schemeClr>
            </w14:solidFill>
          </w14:textFill>
        </w:rPr>
      </w:pPr>
    </w:p>
    <w:p>
      <w:pPr>
        <w:widowControl/>
        <w:overflowPunct w:val="0"/>
        <w:bidi w:val="0"/>
        <w:spacing w:before="0" w:after="160" w:line="252" w:lineRule="auto"/>
        <w:jc w:val="both"/>
        <w:textAlignment w:val="auto"/>
      </w:pPr>
      <w:r>
        <w:rPr>
          <w:rFonts w:eastAsia="Malgun Gothic" w:cs="Times New Roman"/>
          <w:b w:val="0"/>
          <w:i w:val="0"/>
          <w:spacing w:val="0"/>
          <w:kern w:val="0"/>
          <w:sz w:val="20"/>
          <w:szCs w:val="20"/>
          <w:lang w:val="en-US" w:eastAsia="ko-KR"/>
        </w:rPr>
        <w:t>Also, according to the agreement in the last meeting,</w:t>
      </w:r>
    </w:p>
    <w:p>
      <w:pPr>
        <w:widowControl/>
        <w:overflowPunct w:val="0"/>
        <w:bidi w:val="0"/>
        <w:spacing w:before="0" w:after="160" w:line="252" w:lineRule="auto"/>
        <w:jc w:val="both"/>
        <w:textAlignment w:val="auto"/>
      </w:pPr>
      <w:r>
        <w:rPr>
          <w:b/>
          <w:bCs/>
          <w:lang w:val="en-US"/>
        </w:rPr>
        <w:t>For future RAN1 meetings:</w:t>
      </w:r>
    </w:p>
    <w:p>
      <w:pPr>
        <w:rPr>
          <w:bCs/>
          <w:szCs w:val="20"/>
        </w:rPr>
      </w:pPr>
      <w:r>
        <w:rPr>
          <w:bCs/>
          <w:szCs w:val="20"/>
        </w:rPr>
        <w:t>For the down-selection of gNB-to-gNB CLI handling scheme(s) and UE-to-UE CLI handling scheme(s), companies are encouraged to check whether the candidate co-channel CLI handling scheme can be applicable for inter-operator and/or intra-operator adjacent channel CLI handling.</w:t>
      </w:r>
    </w:p>
    <w:p>
      <w:pPr>
        <w:numPr>
          <w:ilvl w:val="0"/>
          <w:numId w:val="3"/>
        </w:numPr>
      </w:pPr>
      <w:r>
        <w:rPr>
          <w:bCs/>
          <w:szCs w:val="20"/>
        </w:rPr>
        <w:t xml:space="preserve">Note: Whether flexible symbol(s)/slot(s) with SBFD subband configurations can be convert into DL/UL symbols by </w:t>
      </w:r>
      <w:r>
        <w:rPr>
          <w:rFonts w:eastAsia="Malgun Gothic"/>
          <w:i/>
          <w:szCs w:val="20"/>
        </w:rPr>
        <w:t>TDD-UL-DL-ConfigDedicated</w:t>
      </w:r>
      <w:r>
        <w:rPr>
          <w:bCs/>
          <w:szCs w:val="20"/>
        </w:rPr>
        <w:t xml:space="preserve"> is discussed under AI 9.3.1.</w:t>
      </w:r>
    </w:p>
    <w:p>
      <w:pPr>
        <w:widowControl/>
        <w:numPr>
          <w:ilvl w:val="0"/>
          <w:numId w:val="3"/>
        </w:numPr>
        <w:overflowPunct w:val="0"/>
        <w:bidi w:val="0"/>
        <w:spacing w:before="0" w:after="160" w:line="252" w:lineRule="auto"/>
        <w:jc w:val="both"/>
        <w:textAlignment w:val="auto"/>
        <w:rPr>
          <w:bCs/>
          <w:szCs w:val="20"/>
        </w:rPr>
      </w:pPr>
      <w:r>
        <w:rPr>
          <w:rFonts w:eastAsia="Malgun Gothic" w:cs="Times New Roman"/>
          <w:b w:val="0"/>
          <w:bCs w:val="0"/>
          <w:i w:val="0"/>
          <w:caps w:val="0"/>
          <w:smallCaps w:val="0"/>
          <w:strike w:val="0"/>
          <w:dstrike w:val="0"/>
          <w:color w:val="auto"/>
          <w:spacing w:val="0"/>
          <w:kern w:val="0"/>
          <w:sz w:val="20"/>
          <w:szCs w:val="20"/>
          <w:u w:val="none"/>
          <w:lang w:val="en-US" w:eastAsia="ko-KR" w:bidi="ar-SA"/>
        </w:rPr>
        <w:t>Note: Whether UE-specific SBFD subband time domain location indication is supported is discussed under AI 9.3.1.</w:t>
      </w:r>
    </w:p>
    <w:p>
      <w:pPr>
        <w:spacing w:before="120" w:after="120"/>
        <w:rPr>
          <w:rFonts w:ascii="Arial" w:hAnsi="Arial" w:eastAsia="SimSun"/>
          <w:b/>
          <w:bCs/>
          <w:kern w:val="2"/>
          <w:sz w:val="28"/>
          <w:szCs w:val="28"/>
          <w:lang w:val="zh-CN" w:eastAsia="zh-CN"/>
        </w:rPr>
      </w:pPr>
      <w:r>
        <w:rPr>
          <w:rFonts w:ascii="Arial" w:hAnsi="Arial" w:eastAsia="SimSun"/>
          <w:b/>
          <w:bCs/>
          <w:kern w:val="2"/>
          <w:sz w:val="28"/>
          <w:szCs w:val="28"/>
          <w:lang w:val="zh-CN" w:eastAsia="zh-CN"/>
        </w:rPr>
        <w:t>2.  UE-to-UE co-channel CLI management</w:t>
      </w:r>
    </w:p>
    <w:p>
      <w:pPr>
        <w:spacing w:before="120" w:after="120"/>
        <w:rPr>
          <w:b/>
          <w:bCs/>
          <w:sz w:val="26"/>
          <w:szCs w:val="26"/>
        </w:rPr>
      </w:pPr>
      <w:r>
        <w:rPr>
          <w:rFonts w:eastAsia="Malgun Gothic"/>
          <w:b/>
          <w:bCs/>
          <w:i w:val="0"/>
          <w:iCs w:val="0"/>
          <w:caps w:val="0"/>
          <w:smallCaps w:val="0"/>
          <w:strike w:val="0"/>
          <w:dstrike w:val="0"/>
          <w:color w:val="000000"/>
          <w:spacing w:val="0"/>
          <w:sz w:val="26"/>
          <w:szCs w:val="26"/>
          <w:u w:val="none"/>
          <w:lang w:val="en-US" w:eastAsia="ko-KR"/>
        </w:rPr>
        <w:t>2.1 Relevant information exchange between gNBs for UE-UE CLI management</w:t>
      </w:r>
    </w:p>
    <w:p>
      <w:pPr>
        <w:widowControl/>
        <w:spacing w:before="0" w:after="156" w:line="240" w:lineRule="auto"/>
        <w:jc w:val="left"/>
        <w:rPr>
          <w:rFonts w:ascii="Times New Roman" w:hAnsi="Times New Roman" w:eastAsia="Times New Roman" w:cs="Times New Roman"/>
          <w:b w:val="0"/>
          <w:bCs w:val="0"/>
          <w:i w:val="0"/>
          <w:iCs w:val="0"/>
          <w:sz w:val="20"/>
          <w:szCs w:val="20"/>
          <w:lang w:val="en-US"/>
        </w:rPr>
      </w:pPr>
      <w:r>
        <w:rPr>
          <w:rFonts w:eastAsia="Times New Roman" w:cs="Times New Roman"/>
          <w:b w:val="0"/>
          <w:bCs w:val="0"/>
          <w:i w:val="0"/>
          <w:iCs w:val="0"/>
          <w:sz w:val="20"/>
          <w:szCs w:val="20"/>
          <w:lang w:val="en-US"/>
        </w:rPr>
        <w:t>Proposal 3-4b of R1-2403514 that was discussed in the last meeting RAN#116bis contains the following:</w:t>
      </w:r>
    </w:p>
    <w:tbl>
      <w:tblPr>
        <w:tblStyle w:val="27"/>
        <w:tblW w:w="906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0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trPr>
        <w:tc>
          <w:tcPr>
            <w:tcW w:w="9060" w:type="dxa"/>
          </w:tcPr>
          <w:p>
            <w:pPr>
              <w:spacing w:before="0" w:after="156" w:line="240" w:lineRule="auto"/>
            </w:pPr>
            <w:r>
              <w:rPr>
                <w:rFonts w:eastAsia="SimSun" w:cs="Times New Roman"/>
                <w:sz w:val="20"/>
                <w:szCs w:val="20"/>
              </w:rPr>
              <w:t>If enhancements to L3 based UE-to-UE CLI measurement and reporting are supported for UE-to-UE CLI handling, the following are recommended to be specified</w:t>
            </w:r>
          </w:p>
          <w:p>
            <w:pPr>
              <w:pStyle w:val="45"/>
              <w:numPr>
                <w:ilvl w:val="0"/>
                <w:numId w:val="4"/>
              </w:numPr>
              <w:spacing w:before="0" w:after="156" w:line="240" w:lineRule="auto"/>
            </w:pPr>
            <w:r>
              <w:rPr>
                <w:sz w:val="20"/>
                <w:szCs w:val="20"/>
              </w:rPr>
              <w:t>Information exchange of SRS resource configurations among gNBs</w:t>
            </w:r>
          </w:p>
          <w:p>
            <w:pPr>
              <w:pStyle w:val="45"/>
              <w:numPr>
                <w:ilvl w:val="0"/>
                <w:numId w:val="4"/>
              </w:numPr>
              <w:spacing w:before="0" w:after="156" w:line="240" w:lineRule="auto"/>
            </w:pPr>
            <w:r>
              <w:rPr>
                <w:sz w:val="20"/>
                <w:szCs w:val="20"/>
              </w:rPr>
              <w:t xml:space="preserve">Reduce the value of </w:t>
            </w:r>
            <w:r>
              <w:rPr>
                <w:i/>
                <w:iCs/>
                <w:sz w:val="20"/>
                <w:szCs w:val="20"/>
              </w:rPr>
              <w:t>ReportInterval</w:t>
            </w:r>
            <w:r>
              <w:rPr>
                <w:sz w:val="20"/>
                <w:szCs w:val="20"/>
              </w:rPr>
              <w:t xml:space="preserve"> for L3 based UE-to-UE CLI measurement</w:t>
            </w:r>
          </w:p>
          <w:p>
            <w:pPr>
              <w:pStyle w:val="45"/>
              <w:numPr>
                <w:ilvl w:val="0"/>
                <w:numId w:val="4"/>
              </w:numPr>
              <w:spacing w:before="0" w:after="156" w:line="240" w:lineRule="auto"/>
            </w:pPr>
            <w:r>
              <w:rPr>
                <w:sz w:val="20"/>
                <w:szCs w:val="20"/>
              </w:rPr>
              <w:t>CLI measurement accuracy requirement [RAN4]</w:t>
            </w:r>
          </w:p>
          <w:p>
            <w:pPr>
              <w:pStyle w:val="45"/>
              <w:numPr>
                <w:ilvl w:val="0"/>
                <w:numId w:val="4"/>
              </w:numPr>
              <w:spacing w:before="0" w:after="156" w:line="240" w:lineRule="auto"/>
            </w:pPr>
            <w:r>
              <w:rPr>
                <w:rStyle w:val="16"/>
                <w:rFonts w:ascii="Times New Roman" w:hAnsi="Times New Roman" w:eastAsia="Malgun Gothic" w:cs="Times New Roman"/>
                <w:b w:val="0"/>
                <w:bCs w:val="0"/>
                <w:i w:val="0"/>
                <w:iCs w:val="0"/>
                <w:caps w:val="0"/>
                <w:smallCaps w:val="0"/>
                <w:strike w:val="0"/>
                <w:dstrike w:val="0"/>
                <w:color w:val="FF0000"/>
                <w:sz w:val="20"/>
                <w:szCs w:val="20"/>
                <w:u w:val="none"/>
                <w:lang w:val="en-US" w:eastAsia="ko-KR" w:bidi="ar-SA"/>
              </w:rPr>
              <w:t>[Reference signals for measurement, e.g., SRS with dedicated usage for CLI measurement]</w:t>
            </w:r>
          </w:p>
          <w:p>
            <w:pPr>
              <w:spacing w:before="0" w:after="50"/>
              <w:rPr>
                <w:rFonts w:ascii="Times New Roman" w:hAnsi="Times New Roman" w:eastAsia="Times New Roman" w:cs="Times New Roman"/>
                <w:b w:val="0"/>
                <w:bCs w:val="0"/>
                <w:i w:val="0"/>
                <w:iCs w:val="0"/>
                <w:sz w:val="20"/>
                <w:szCs w:val="20"/>
                <w:lang w:val="en-US"/>
              </w:rPr>
            </w:pPr>
          </w:p>
        </w:tc>
      </w:tr>
    </w:tbl>
    <w:p>
      <w:pPr>
        <w:widowControl/>
        <w:spacing w:before="0" w:after="156" w:line="240" w:lineRule="auto"/>
        <w:jc w:val="left"/>
        <w:rPr>
          <w:rFonts w:ascii="Times New Roman" w:hAnsi="Times New Roman" w:eastAsia="Times New Roman" w:cs="Times New Roman"/>
          <w:b w:val="0"/>
          <w:bCs w:val="0"/>
          <w:i w:val="0"/>
          <w:iCs w:val="0"/>
          <w:sz w:val="20"/>
          <w:szCs w:val="20"/>
          <w:lang w:val="en-US"/>
        </w:rPr>
      </w:pPr>
    </w:p>
    <w:p>
      <w:pPr>
        <w:jc w:val="both"/>
      </w:pPr>
      <w:r>
        <w:rPr>
          <w:rStyle w:val="16"/>
          <w:rFonts w:eastAsia="Malgun Gothic" w:cs="Times New Roman"/>
          <w:b w:val="0"/>
          <w:bCs w:val="0"/>
          <w:i w:val="0"/>
          <w:iCs w:val="0"/>
          <w:caps w:val="0"/>
          <w:smallCaps w:val="0"/>
          <w:strike w:val="0"/>
          <w:dstrike w:val="0"/>
          <w:color w:val="auto"/>
          <w:spacing w:val="0"/>
          <w:kern w:val="0"/>
          <w:sz w:val="20"/>
          <w:szCs w:val="20"/>
          <w:u w:val="none"/>
          <w:lang w:val="en-US" w:eastAsia="ko-KR" w:bidi="ar-SA"/>
        </w:rPr>
        <w:t xml:space="preserve">Rel. 16 CLI management requires the aggressor to transmit SRS and the victim to measure CLI RSRP on the transmitted SRS. Hence, the configuration of the SRS transmitted by the aggressor should be known by the serving gNB of the victim UE to ensure proper measurement configuration is given to the victim. This requires the SRS configuration parameters to be shared between the aggressor and victim gNBs. However, Rel. 16 does not specify these parameters to be shared. for better coordination among the cells to manage CLI, relevant information can be exchanged among the serving gNBs of victim UE and aggressor UE. </w:t>
      </w:r>
    </w:p>
    <w:p>
      <w:pPr>
        <w:jc w:val="both"/>
      </w:pPr>
      <w:r>
        <w:rPr>
          <w:rStyle w:val="16"/>
          <w:rFonts w:eastAsia="Malgun Gothic" w:cs="Times New Roman"/>
          <w:b w:val="0"/>
          <w:bCs w:val="0"/>
          <w:i w:val="0"/>
          <w:iCs w:val="0"/>
          <w:caps w:val="0"/>
          <w:smallCaps w:val="0"/>
          <w:strike w:val="0"/>
          <w:dstrike w:val="0"/>
          <w:color w:val="auto"/>
          <w:spacing w:val="0"/>
          <w:kern w:val="0"/>
          <w:sz w:val="20"/>
          <w:szCs w:val="20"/>
          <w:u w:val="none"/>
          <w:lang w:val="en-US" w:eastAsia="ko-KR" w:bidi="ar-SA"/>
        </w:rPr>
        <w:t>Thus, additional information exchange will help in better inter-cell UE-UE CLI management, (e.g., SRS) in terms of better coordination across gNBs and better CLI measurement accuracy.</w:t>
      </w:r>
    </w:p>
    <w:p>
      <w:pPr>
        <w:spacing w:before="120" w:after="120"/>
        <w:jc w:val="both"/>
      </w:pPr>
      <w:r>
        <w:rPr>
          <w:rStyle w:val="16"/>
          <w:rFonts w:eastAsia="Malgun Gothic" w:cs="Times New Roman"/>
          <w:b/>
          <w:bCs/>
          <w:i w:val="0"/>
          <w:caps w:val="0"/>
          <w:smallCaps w:val="0"/>
          <w:strike w:val="0"/>
          <w:dstrike w:val="0"/>
          <w:color w:val="auto"/>
          <w:spacing w:val="0"/>
          <w:kern w:val="0"/>
          <w:sz w:val="20"/>
          <w:szCs w:val="20"/>
          <w:u w:val="none"/>
          <w:lang w:val="en-US" w:eastAsia="ko-KR" w:bidi="ar-SA"/>
        </w:rPr>
        <w:t>Observation 1: Rel. 16 CLI management does not specify relevant information exchange among gNBs for UE-to-UE CLI management, e.g., SRS configuration parameters.</w:t>
      </w:r>
    </w:p>
    <w:p>
      <w:pPr>
        <w:spacing w:before="240" w:beforeAutospacing="0" w:after="240" w:afterAutospacing="0"/>
        <w:rPr>
          <w:b/>
          <w:bCs/>
          <w:i w:val="0"/>
          <w:spacing w:val="0"/>
          <w:kern w:val="0"/>
          <w:lang w:val="en-US"/>
        </w:rPr>
      </w:pPr>
      <w:r>
        <w:rPr>
          <w:rStyle w:val="16"/>
          <w:rFonts w:eastAsia="Malgun Gothic" w:cs="Times New Roman"/>
          <w:b/>
          <w:bCs/>
          <w:i w:val="0"/>
          <w:iCs w:val="0"/>
          <w:caps w:val="0"/>
          <w:smallCaps w:val="0"/>
          <w:strike w:val="0"/>
          <w:dstrike w:val="0"/>
          <w:color w:val="auto"/>
          <w:spacing w:val="0"/>
          <w:kern w:val="0"/>
          <w:sz w:val="20"/>
          <w:szCs w:val="20"/>
          <w:u w:val="none"/>
          <w:lang w:val="en-US" w:eastAsia="ko-KR" w:bidi="ar-SA"/>
        </w:rPr>
        <w:t xml:space="preserve">Proposal 1: Relevant information exchange, e.g. SRS configuration parameter among gNBs is supported for efficient UE-to-UE CLI management. </w:t>
      </w:r>
    </w:p>
    <w:p>
      <w:pPr>
        <w:pStyle w:val="45"/>
        <w:ind w:left="0" w:firstLine="0"/>
        <w:jc w:val="both"/>
      </w:pPr>
      <w:r>
        <w:rPr>
          <w:rStyle w:val="16"/>
          <w:rFonts w:ascii="Times New Roman" w:hAnsi="Times New Roman" w:eastAsia="Malgun Gothic" w:cs="Times New Roman"/>
          <w:b w:val="0"/>
          <w:bCs w:val="0"/>
          <w:i w:val="0"/>
          <w:iCs w:val="0"/>
          <w:caps w:val="0"/>
          <w:smallCaps w:val="0"/>
          <w:strike w:val="0"/>
          <w:dstrike w:val="0"/>
          <w:color w:val="auto"/>
          <w:spacing w:val="0"/>
          <w:kern w:val="0"/>
          <w:sz w:val="20"/>
          <w:szCs w:val="20"/>
          <w:u w:val="none"/>
          <w:lang w:val="en-US" w:eastAsia="ko-KR" w:bidi="ar-SA"/>
        </w:rPr>
        <w:t xml:space="preserve">Further, consider a scenario where the aggressor UE and the victim UE uses partially overlapping bandwidth parts (BWPs) as shown in Fig. 1. In this case, the aggressor UE will transmit SRS within its own allocated BWP as shown in Fig. 1 while victim UE can measure SRS RSRP only in the overlapping resources. Therefore, only a part of the SRS will be received by the victim UE for RSRP measurement. The aggressor UE generates and fills the SRS sequence from P1 as the reference point up to the end of its BWP. The victim UE should generate the same SRS sequence for correlating and obtaining the RSRP. However, the victim UE will assume that the SRS sequence is filled at the transmitter starting from P2 as the reference point.  As a result, in the overlapping portion of the 2 BWPs, there will be a mismatch between the sequence transmitted by the aggressor UE and the sequence assumed by the victim UE. Thus, there will be a mismatch in how the SRS sequence is filled by the aggressor and how SRS sequence is interpreted by the victim. This discrepancy will affect the accuracy of the measured RSRP. </w:t>
      </w:r>
    </w:p>
    <w:p>
      <w:pPr>
        <w:jc w:val="left"/>
        <w:rPr>
          <w:b/>
          <w:bCs/>
        </w:rPr>
      </w:pPr>
    </w:p>
    <w:p>
      <w:pPr>
        <w:pStyle w:val="45"/>
        <w:jc w:val="center"/>
      </w:pPr>
      <w:r>
        <w:drawing>
          <wp:anchor distT="0" distB="0" distL="0" distR="0" simplePos="0" relativeHeight="251659264" behindDoc="0" locked="0" layoutInCell="1" allowOverlap="1">
            <wp:simplePos x="0" y="0"/>
            <wp:positionH relativeFrom="column">
              <wp:posOffset>822325</wp:posOffset>
            </wp:positionH>
            <wp:positionV relativeFrom="paragraph">
              <wp:posOffset>-53975</wp:posOffset>
            </wp:positionV>
            <wp:extent cx="4375785" cy="2461260"/>
            <wp:effectExtent l="0" t="0" r="0" b="0"/>
            <wp:wrapTopAndBottom/>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pic:cNvPicPr>
                      <a:picLocks noChangeAspect="1" noChangeArrowheads="1"/>
                    </pic:cNvPicPr>
                  </pic:nvPicPr>
                  <pic:blipFill>
                    <a:blip r:embed="rId7"/>
                    <a:srcRect l="-33" t="-59" r="-33" b="-59"/>
                    <a:stretch>
                      <a:fillRect/>
                    </a:stretch>
                  </pic:blipFill>
                  <pic:spPr>
                    <a:xfrm>
                      <a:off x="0" y="0"/>
                      <a:ext cx="4375785" cy="2461260"/>
                    </a:xfrm>
                    <a:prstGeom prst="rect">
                      <a:avLst/>
                    </a:prstGeom>
                  </pic:spPr>
                </pic:pic>
              </a:graphicData>
            </a:graphic>
          </wp:anchor>
        </w:drawing>
      </w:r>
      <w:r>
        <w:rPr>
          <w:rStyle w:val="16"/>
          <w:rFonts w:ascii="Times New Roman" w:hAnsi="Times New Roman" w:eastAsia="Malgun Gothic" w:cs="Times New Roman"/>
          <w:b w:val="0"/>
          <w:bCs w:val="0"/>
          <w:i w:val="0"/>
          <w:caps w:val="0"/>
          <w:smallCaps w:val="0"/>
          <w:strike w:val="0"/>
          <w:dstrike w:val="0"/>
          <w:color w:val="auto"/>
          <w:spacing w:val="0"/>
          <w:kern w:val="0"/>
          <w:sz w:val="20"/>
          <w:szCs w:val="20"/>
          <w:u w:val="none"/>
          <w:lang w:val="en-US" w:eastAsia="ko-KR" w:bidi="ar-SA"/>
        </w:rPr>
        <w:t>Fig. 1 Partially overlapping between BWPs of victim and aggressor UEs</w:t>
      </w:r>
    </w:p>
    <w:p>
      <w:pPr>
        <w:pStyle w:val="45"/>
        <w:jc w:val="both"/>
        <w:rPr>
          <w:b/>
          <w:bCs/>
        </w:rPr>
      </w:pPr>
    </w:p>
    <w:p>
      <w:pPr>
        <w:pStyle w:val="45"/>
        <w:ind w:left="0" w:firstLine="0"/>
        <w:jc w:val="both"/>
      </w:pPr>
      <w:r>
        <w:rPr>
          <w:rStyle w:val="16"/>
          <w:rFonts w:ascii="Times New Roman" w:hAnsi="Times New Roman" w:eastAsia="Malgun Gothic" w:cs="Times New Roman"/>
          <w:b/>
          <w:bCs/>
          <w:i w:val="0"/>
          <w:caps w:val="0"/>
          <w:smallCaps w:val="0"/>
          <w:strike w:val="0"/>
          <w:dstrike w:val="0"/>
          <w:color w:val="auto"/>
          <w:spacing w:val="0"/>
          <w:kern w:val="0"/>
          <w:sz w:val="20"/>
          <w:szCs w:val="20"/>
          <w:u w:val="none"/>
          <w:lang w:val="en-US" w:eastAsia="ko-KR" w:bidi="ar-SA"/>
        </w:rPr>
        <w:t xml:space="preserve">Observation 2:  In case of partial overlap of BWPs, the victim UE receives only a part of the SRS transmitted by the aggressor UE for measurement of CLI RSRP leading to mismatch in how the SRS sequence is filled by the aggressor and how SRS sequence is interpreted by the victim. </w:t>
      </w:r>
    </w:p>
    <w:p>
      <w:pPr>
        <w:pStyle w:val="45"/>
        <w:ind w:left="0" w:firstLine="0"/>
        <w:rPr>
          <w:rFonts w:eastAsia="Calibri" w:cs="Calibri"/>
          <w:color w:val="000000" w:themeColor="text1"/>
          <w:sz w:val="22"/>
          <w:szCs w:val="22"/>
          <w:lang w:eastAsia="zh-CN"/>
          <w14:textFill>
            <w14:solidFill>
              <w14:schemeClr w14:val="tx1"/>
            </w14:solidFill>
          </w14:textFill>
        </w:rPr>
      </w:pPr>
    </w:p>
    <w:p>
      <w:pPr>
        <w:pStyle w:val="45"/>
        <w:ind w:left="0" w:firstLine="0"/>
        <w:jc w:val="both"/>
      </w:pPr>
      <w:r>
        <w:rPr>
          <w:rStyle w:val="16"/>
          <w:rFonts w:ascii="Times New Roman" w:hAnsi="Times New Roman" w:eastAsia="Malgun Gothic" w:cs="Times New Roman"/>
          <w:b w:val="0"/>
          <w:bCs w:val="0"/>
          <w:i w:val="0"/>
          <w:caps w:val="0"/>
          <w:smallCaps w:val="0"/>
          <w:strike w:val="0"/>
          <w:dstrike w:val="0"/>
          <w:color w:val="auto"/>
          <w:spacing w:val="0"/>
          <w:kern w:val="0"/>
          <w:sz w:val="20"/>
          <w:szCs w:val="20"/>
          <w:u w:val="none"/>
          <w:lang w:val="en-US" w:eastAsia="ko-KR" w:bidi="ar-SA"/>
        </w:rPr>
        <w:t xml:space="preserve">For SRS resource filling, either subcarrier 0 in common resource block 0 or the lowest subcarrier of the BWP. Thus, if there is a mismatch in the BWPs of the victim and aggressor UEs (both have different lowest subcarriers of respective BWPs), a knowledge of a reference point across the gNB will help to tackle the problem. For example, wrt Fig. 1, point P1 is the reference point that can be shared across the gNBs. As a result, the victim UE can generate the SRS sequence from point P1 instead of P2. This will ensure that the interpretation of the filled SRS sequence is same for both victim and aggressor UEs. </w:t>
      </w:r>
    </w:p>
    <w:p>
      <w:pPr>
        <w:jc w:val="both"/>
      </w:pPr>
      <w:r>
        <w:rPr>
          <w:rStyle w:val="16"/>
          <w:rFonts w:eastAsia="Malgun Gothic" w:cs="Times New Roman"/>
          <w:b w:val="0"/>
          <w:bCs w:val="0"/>
          <w:i w:val="0"/>
          <w:caps w:val="0"/>
          <w:smallCaps w:val="0"/>
          <w:strike w:val="0"/>
          <w:dstrike w:val="0"/>
          <w:color w:val="auto"/>
          <w:spacing w:val="0"/>
          <w:kern w:val="0"/>
          <w:sz w:val="20"/>
          <w:szCs w:val="20"/>
          <w:u w:val="none"/>
          <w:lang w:val="en-US" w:eastAsia="ko-KR" w:bidi="ar-SA"/>
        </w:rPr>
        <w:t>Further, different UEs across cells in a network might be operating at different numerologies. In Rel. 16 CLI management, t</w:t>
      </w:r>
      <w:r>
        <w:rPr>
          <w:rStyle w:val="16"/>
          <w:rFonts w:eastAsia="Malgun Gothic" w:cs="Times New Roman"/>
          <w:b w:val="0"/>
          <w:bCs w:val="0"/>
          <w:i w:val="0"/>
          <w:iCs w:val="0"/>
          <w:caps w:val="0"/>
          <w:smallCaps w:val="0"/>
          <w:strike w:val="0"/>
          <w:dstrike w:val="0"/>
          <w:color w:val="auto"/>
          <w:spacing w:val="0"/>
          <w:kern w:val="0"/>
          <w:sz w:val="20"/>
          <w:szCs w:val="20"/>
          <w:u w:val="none"/>
          <w:lang w:val="en-US" w:eastAsia="ko-KR" w:bidi="ar-SA"/>
        </w:rPr>
        <w:t>he UE is not required to measure SRS using different SCS compared to the downlink active BWP SCS of the same carrier.</w:t>
      </w:r>
    </w:p>
    <w:p>
      <w:pPr>
        <w:jc w:val="both"/>
      </w:pPr>
      <w:r>
        <w:rPr>
          <w:rStyle w:val="16"/>
          <w:rFonts w:eastAsia="Malgun Gothic" w:cs="Times New Roman"/>
          <w:b w:val="0"/>
          <w:bCs w:val="0"/>
          <w:i w:val="0"/>
          <w:iCs w:val="0"/>
          <w:caps w:val="0"/>
          <w:smallCaps w:val="0"/>
          <w:strike w:val="0"/>
          <w:dstrike w:val="0"/>
          <w:color w:val="auto"/>
          <w:spacing w:val="0"/>
          <w:kern w:val="0"/>
          <w:sz w:val="20"/>
          <w:szCs w:val="20"/>
          <w:u w:val="none"/>
          <w:lang w:val="en-US" w:eastAsia="ko-KR" w:bidi="ar-SA"/>
        </w:rPr>
        <w:t xml:space="preserve">Thus, if the numerology of the downlink active BWP of the victim UE is different from the numerology of the transmitted SRS by aggressor UE, the victim UE will not measure the RSRP using the numerology of the transmitted SRS. E.g., the aggressor UE 2 operates at 30 kHz while victim UE 1 operates at 15 kHz. The SRS for CLI measurement will be transmitted at 30 kHz by UE 2. However, UE 1 measures the received SRS using 15 kHz numerology. This discrepancy in the transmitted and received SRS numerologies will affect the accuracy of CLI RSRP measurement. </w:t>
      </w:r>
    </w:p>
    <w:p>
      <w:pPr>
        <w:jc w:val="both"/>
      </w:pPr>
      <w:r>
        <w:rPr>
          <w:rStyle w:val="16"/>
          <w:rFonts w:eastAsia="Malgun Gothic" w:cs="Times New Roman"/>
          <w:b/>
          <w:bCs/>
          <w:i w:val="0"/>
          <w:iCs w:val="0"/>
          <w:caps w:val="0"/>
          <w:smallCaps w:val="0"/>
          <w:strike w:val="0"/>
          <w:dstrike w:val="0"/>
          <w:color w:val="auto"/>
          <w:spacing w:val="0"/>
          <w:kern w:val="0"/>
          <w:sz w:val="20"/>
          <w:szCs w:val="20"/>
          <w:u w:val="none"/>
          <w:lang w:val="en-US" w:eastAsia="ko-KR" w:bidi="ar-SA"/>
        </w:rPr>
        <w:t xml:space="preserve">Observation 3: When aggressor and victim UE are operating at different numerology, discrepancy arises in the transmitted and received SRS numerologies that will affect the accuracy of CLI RSRP measurement. </w:t>
      </w:r>
    </w:p>
    <w:p>
      <w:pPr>
        <w:jc w:val="both"/>
      </w:pPr>
      <w:r>
        <w:rPr>
          <w:rStyle w:val="16"/>
          <w:rFonts w:eastAsia="Malgun Gothic" w:cs="Times New Roman"/>
          <w:b w:val="0"/>
          <w:bCs w:val="0"/>
          <w:i w:val="0"/>
          <w:iCs w:val="0"/>
          <w:caps w:val="0"/>
          <w:smallCaps w:val="0"/>
          <w:strike w:val="0"/>
          <w:dstrike w:val="0"/>
          <w:color w:val="auto"/>
          <w:spacing w:val="0"/>
          <w:kern w:val="0"/>
          <w:sz w:val="20"/>
          <w:szCs w:val="20"/>
          <w:u w:val="none"/>
          <w:lang w:val="en-US" w:eastAsia="ko-KR" w:bidi="ar-SA"/>
        </w:rPr>
        <w:t xml:space="preserve">The above-mentioned issue can be handled in implementation specific ways if the gNB serving the victim UE is aware of the numerology of SRS transmission by aggressor UE and it informs the victim UE to process SRS using the numerology of the aggressor. </w:t>
      </w:r>
    </w:p>
    <w:p>
      <w:pPr>
        <w:jc w:val="both"/>
      </w:pPr>
      <w:r>
        <w:rPr>
          <w:rStyle w:val="16"/>
          <w:rFonts w:eastAsia="Malgun Gothic" w:cs="Times New Roman"/>
          <w:b w:val="0"/>
          <w:bCs w:val="0"/>
          <w:i w:val="0"/>
          <w:caps w:val="0"/>
          <w:smallCaps w:val="0"/>
          <w:strike w:val="0"/>
          <w:dstrike w:val="0"/>
          <w:color w:val="auto"/>
          <w:spacing w:val="0"/>
          <w:kern w:val="0"/>
          <w:sz w:val="20"/>
          <w:szCs w:val="20"/>
          <w:u w:val="none"/>
          <w:lang w:val="en-US" w:eastAsia="ko-KR" w:bidi="ar-SA"/>
        </w:rPr>
        <w:t>The following proposal is made wrt the previous observations.</w:t>
      </w:r>
    </w:p>
    <w:p>
      <w:pPr>
        <w:pStyle w:val="45"/>
        <w:ind w:left="0" w:firstLine="0"/>
        <w:rPr>
          <w:rFonts w:eastAsia="Calibri" w:cs="Calibri"/>
          <w:color w:val="000000" w:themeColor="text1"/>
          <w14:textFill>
            <w14:solidFill>
              <w14:schemeClr w14:val="tx1"/>
            </w14:solidFill>
          </w14:textFill>
        </w:rPr>
      </w:pPr>
      <w:r>
        <w:rPr>
          <w:rFonts w:eastAsia="Calibri" w:cs="Calibri"/>
          <w:b/>
          <w:bCs/>
          <w:color w:val="000000" w:themeColor="text1"/>
          <w14:textFill>
            <w14:solidFill>
              <w14:schemeClr w14:val="tx1"/>
            </w14:solidFill>
          </w14:textFill>
        </w:rPr>
        <w:t xml:space="preserve">Proposal 2: Further study the following SRS related information exchange between gNBs for efficient UE-to-UE CLI measurement: a. Numerology of transmission of SRS and </w:t>
      </w:r>
      <w:r>
        <w:rPr>
          <w:b/>
          <w:bCs/>
        </w:rPr>
        <w:t xml:space="preserve">b.  </w:t>
      </w:r>
      <w:r>
        <w:rPr>
          <w:rFonts w:eastAsia="Calibri" w:cs="Calibri"/>
          <w:b/>
          <w:bCs/>
          <w:color w:val="000000" w:themeColor="text1"/>
          <w14:textFill>
            <w14:solidFill>
              <w14:schemeClr w14:val="tx1"/>
            </w14:solidFill>
          </w14:textFill>
        </w:rPr>
        <w:t>A reference point for CLI RSRP measurement.</w:t>
      </w:r>
    </w:p>
    <w:p>
      <w:pPr>
        <w:spacing w:before="120" w:after="120"/>
        <w:jc w:val="both"/>
        <w:rPr>
          <w:b/>
          <w:bCs/>
          <w:sz w:val="26"/>
          <w:szCs w:val="26"/>
        </w:rPr>
      </w:pPr>
      <w:r>
        <w:rPr>
          <w:rFonts w:eastAsia="Malgun Gothic"/>
          <w:b/>
          <w:bCs/>
          <w:i w:val="0"/>
          <w:iCs w:val="0"/>
          <w:caps w:val="0"/>
          <w:smallCaps w:val="0"/>
          <w:strike w:val="0"/>
          <w:dstrike w:val="0"/>
          <w:color w:val="000000"/>
          <w:spacing w:val="0"/>
          <w:sz w:val="26"/>
          <w:szCs w:val="26"/>
          <w:u w:val="none"/>
          <w:lang w:val="en-US" w:eastAsia="ko-KR"/>
        </w:rPr>
        <w:t>2.2 Spatial domain enhancements</w:t>
      </w:r>
    </w:p>
    <w:p>
      <w:pPr>
        <w:spacing w:before="120" w:after="120"/>
        <w:jc w:val="both"/>
        <w:rPr>
          <w:b/>
          <w:bCs/>
          <w:sz w:val="26"/>
          <w:szCs w:val="26"/>
        </w:rPr>
      </w:pPr>
      <w:r>
        <w:rPr>
          <w:rFonts w:eastAsia="Times New Roman" w:cs="Times New Roman"/>
          <w:b w:val="0"/>
          <w:bCs w:val="0"/>
          <w:i w:val="0"/>
          <w:iCs w:val="0"/>
          <w:sz w:val="20"/>
          <w:szCs w:val="20"/>
          <w:lang w:val="en-US"/>
        </w:rPr>
        <w:t>Proposal 3-4b of R1- 2403514 that was discussed in the last meeting RAN#116bis contains the following:</w:t>
      </w:r>
    </w:p>
    <w:tbl>
      <w:tblPr>
        <w:tblStyle w:val="27"/>
        <w:tblW w:w="906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0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trPr>
        <w:tc>
          <w:tcPr>
            <w:tcW w:w="9060" w:type="dxa"/>
          </w:tcPr>
          <w:p>
            <w:pPr>
              <w:widowControl/>
              <w:spacing w:before="0" w:after="156" w:line="240" w:lineRule="auto"/>
              <w:jc w:val="left"/>
              <w:rPr>
                <w:rFonts w:ascii="Times New Roman" w:hAnsi="Times New Roman" w:eastAsia="Times New Roman" w:cs="Times New Roman"/>
                <w:b w:val="0"/>
                <w:bCs w:val="0"/>
                <w:i w:val="0"/>
                <w:iCs w:val="0"/>
                <w:sz w:val="20"/>
                <w:szCs w:val="20"/>
                <w:lang w:val="en-US"/>
              </w:rPr>
            </w:pPr>
            <w:r>
              <w:rPr>
                <w:rFonts w:eastAsia="Times New Roman" w:cs="Times New Roman"/>
                <w:b w:val="0"/>
                <w:bCs w:val="0"/>
                <w:i w:val="0"/>
                <w:iCs w:val="0"/>
                <w:sz w:val="20"/>
                <w:szCs w:val="20"/>
                <w:lang w:val="en-US"/>
              </w:rPr>
              <w:t>If spatial domain-based schemes are supported for UE-to-UE CLI handling, the following are recommended to be specified</w:t>
            </w:r>
          </w:p>
          <w:p>
            <w:pPr>
              <w:pStyle w:val="45"/>
              <w:numPr>
                <w:ilvl w:val="0"/>
                <w:numId w:val="5"/>
              </w:numPr>
              <w:spacing w:before="200" w:beforeAutospacing="0" w:after="200" w:afterAutospacing="0"/>
              <w:rPr>
                <w:rFonts w:ascii="Times New Roman" w:hAnsi="Times New Roman" w:eastAsia="Times New Roman" w:cs="Times New Roman"/>
                <w:b w:val="0"/>
                <w:bCs w:val="0"/>
                <w:i w:val="0"/>
                <w:iCs w:val="0"/>
                <w:sz w:val="20"/>
                <w:szCs w:val="20"/>
                <w:lang w:val="en-GB"/>
              </w:rPr>
            </w:pPr>
            <w:r>
              <w:rPr>
                <w:rFonts w:ascii="Times New Roman" w:hAnsi="Times New Roman" w:eastAsia="Times New Roman" w:cs="Times New Roman"/>
                <w:b w:val="0"/>
                <w:bCs w:val="0"/>
                <w:i w:val="0"/>
                <w:iCs w:val="0"/>
                <w:sz w:val="20"/>
                <w:szCs w:val="20"/>
                <w:lang w:val="en-GB"/>
              </w:rPr>
              <w:t>Rx beams configuration for UE-to-UE CLI measurement</w:t>
            </w:r>
          </w:p>
        </w:tc>
      </w:tr>
    </w:tbl>
    <w:p>
      <w:pPr>
        <w:ind w:left="-20" w:right="-20" w:firstLine="0"/>
        <w:jc w:val="both"/>
        <w:rPr>
          <w:rStyle w:val="16"/>
          <w:rFonts w:eastAsia="Malgun Gothic" w:cs="Times New Roman"/>
          <w:b w:val="0"/>
          <w:bCs w:val="0"/>
          <w:i w:val="0"/>
          <w:iCs w:val="0"/>
          <w:caps w:val="0"/>
          <w:smallCaps w:val="0"/>
          <w:strike w:val="0"/>
          <w:dstrike w:val="0"/>
          <w:color w:val="auto"/>
          <w:sz w:val="20"/>
          <w:szCs w:val="20"/>
          <w:u w:val="none"/>
          <w:lang w:val="en-US" w:eastAsia="ko-KR" w:bidi="ar-SA"/>
        </w:rPr>
      </w:pPr>
    </w:p>
    <w:p>
      <w:pPr>
        <w:ind w:left="-20" w:right="-20" w:firstLine="0"/>
        <w:jc w:val="both"/>
      </w:pPr>
      <w:r>
        <w:rPr>
          <w:rStyle w:val="16"/>
          <w:rFonts w:eastAsia="Malgun Gothic" w:cs="Times New Roman"/>
          <w:b w:val="0"/>
          <w:bCs w:val="0"/>
          <w:i w:val="0"/>
          <w:iCs w:val="0"/>
          <w:caps w:val="0"/>
          <w:smallCaps w:val="0"/>
          <w:strike w:val="0"/>
          <w:dstrike w:val="0"/>
          <w:color w:val="auto"/>
          <w:spacing w:val="0"/>
          <w:kern w:val="0"/>
          <w:sz w:val="20"/>
          <w:szCs w:val="20"/>
          <w:u w:val="none"/>
          <w:lang w:val="en-US" w:eastAsia="ko-KR" w:bidi="ar-SA"/>
        </w:rPr>
        <w:t xml:space="preserve">As shown in the figure below, the victim UE (UE 1) can have multiple Rx beams. Each Rx beam can be identified with a QCL-D relation with one of the DL Tx beams from the gNB. E.g., the QCL-D can be with a particular CSI-RS resource. In Rel. 16 UE-UE CLI management framework, beam specific CLI measurement or reporting is not defined. However, in a practical scenario, the strength of the CLI from an aggressor UE will vary across different receive beams at the victim UE. If the serving gNB has an idea of the measured CLI strengths across various Rx beams at the UE, it can take this information into account to instruct the UE about which Rx beam to use for downlink reception. </w:t>
      </w:r>
    </w:p>
    <w:p>
      <w:pPr>
        <w:ind w:left="-20" w:right="-20" w:firstLine="0"/>
        <w:jc w:val="both"/>
        <w:rPr>
          <w:rStyle w:val="16"/>
          <w:rFonts w:ascii="Times New Roman" w:hAnsi="Times New Roman" w:eastAsia="Malgun Gothic" w:cs="Times New Roman"/>
          <w:b w:val="0"/>
          <w:bCs w:val="0"/>
          <w:i w:val="0"/>
          <w:iCs w:val="0"/>
          <w:caps w:val="0"/>
          <w:smallCaps w:val="0"/>
          <w:strike w:val="0"/>
          <w:dstrike w:val="0"/>
          <w:color w:val="auto"/>
          <w:spacing w:val="0"/>
          <w:kern w:val="0"/>
          <w:sz w:val="20"/>
          <w:szCs w:val="20"/>
          <w:u w:val="none"/>
          <w:lang w:val="en-US" w:eastAsia="ko-KR" w:bidi="ar-SA"/>
        </w:rPr>
      </w:pPr>
    </w:p>
    <w:p>
      <w:r>
        <w:rPr>
          <w:rStyle w:val="16"/>
          <w:rFonts w:eastAsia="Malgun Gothic" w:cs="Times New Roman"/>
          <w:b/>
          <w:bCs/>
          <w:i w:val="0"/>
          <w:caps w:val="0"/>
          <w:smallCaps w:val="0"/>
          <w:strike w:val="0"/>
          <w:dstrike w:val="0"/>
          <w:color w:val="auto"/>
          <w:spacing w:val="0"/>
          <w:kern w:val="0"/>
          <w:sz w:val="20"/>
          <w:szCs w:val="20"/>
          <w:u w:val="none"/>
          <w:lang w:val="en-US" w:eastAsia="ko-KR" w:bidi="ar-SA"/>
        </w:rPr>
        <w:t>Observation 4: In Rel. 16, the gNB cannot configure a UE to measure/report CLI using beam sweeping/ different Rx beams.</w:t>
      </w:r>
    </w:p>
    <w:p>
      <w:pPr>
        <w:ind w:left="-20" w:right="-20" w:firstLine="0"/>
        <w:jc w:val="both"/>
        <w:rPr>
          <w:rStyle w:val="16"/>
          <w:rFonts w:ascii="Times New Roman" w:hAnsi="Times New Roman" w:eastAsia="Malgun Gothic" w:cs="Times New Roman"/>
          <w:b/>
          <w:bCs/>
          <w:i w:val="0"/>
          <w:caps w:val="0"/>
          <w:smallCaps w:val="0"/>
          <w:strike w:val="0"/>
          <w:dstrike w:val="0"/>
          <w:color w:val="auto"/>
          <w:spacing w:val="0"/>
          <w:kern w:val="0"/>
          <w:sz w:val="20"/>
          <w:szCs w:val="20"/>
          <w:u w:val="none"/>
          <w:lang w:val="en-US" w:eastAsia="ko-KR" w:bidi="ar-SA"/>
        </w:rPr>
      </w:pPr>
    </w:p>
    <w:p>
      <w:pPr>
        <w:ind w:left="-20" w:right="-20" w:firstLine="0"/>
        <w:jc w:val="both"/>
        <w:rPr>
          <w:rFonts w:ascii="Times New Roman" w:hAnsi="Times New Roman" w:eastAsia="Times New Roman" w:cs="Times New Roman"/>
        </w:rPr>
      </w:pPr>
      <w:r>
        <w:rPr>
          <w:rFonts w:eastAsia="Times New Roman" w:cs="Times New Roman"/>
        </w:rPr>
        <w:t xml:space="preserve">To resolve this, gNB can configure Rx QCL-D for each CLI resource </w:t>
      </w:r>
      <w:r>
        <w:rPr>
          <w:rFonts w:eastAsia="Times New Roman" w:cs="Times New Roman"/>
          <w:color w:val="auto"/>
          <w:kern w:val="0"/>
          <w:sz w:val="20"/>
          <w:szCs w:val="20"/>
          <w:lang w:val="en-US" w:eastAsia="en-US" w:bidi="ar-SA"/>
        </w:rPr>
        <w:t>corresponding to the DL Tx beams</w:t>
      </w:r>
      <w:r>
        <w:rPr>
          <w:rFonts w:eastAsia="Times New Roman" w:cs="Times New Roman"/>
        </w:rPr>
        <w:t xml:space="preserve">. The victim UE measures RSRP/RSSI using these Rx beams as indicated by the gNB (using QCL-D). If the victim UE's Rx beam, which is linked to the best DL beam, has severe CLI, gNB may decide to switch to a different DL beam with a low CLI level associated with UEs Rx beam. Based on the above discussion, the </w:t>
      </w:r>
      <w:r>
        <w:rPr>
          <w:rFonts w:eastAsia="Times New Roman" w:cs="Times New Roman"/>
          <w:color w:val="auto"/>
          <w:kern w:val="0"/>
          <w:sz w:val="20"/>
          <w:szCs w:val="20"/>
          <w:lang w:val="en-US" w:eastAsia="en-US" w:bidi="ar-SA"/>
        </w:rPr>
        <w:t>following</w:t>
      </w:r>
      <w:r>
        <w:rPr>
          <w:rFonts w:eastAsia="Times New Roman" w:cs="Times New Roman"/>
        </w:rPr>
        <w:t xml:space="preserve"> is proposed.</w:t>
      </w:r>
    </w:p>
    <w:p>
      <w:pPr>
        <w:ind w:left="-20" w:right="-20" w:firstLine="0"/>
        <w:jc w:val="both"/>
        <w:rPr>
          <w:rFonts w:ascii="Times New Roman" w:hAnsi="Times New Roman" w:eastAsia="Times New Roman" w:cs="Times New Roman"/>
        </w:rPr>
      </w:pPr>
    </w:p>
    <w:p>
      <w:pPr>
        <w:pStyle w:val="45"/>
        <w:ind w:left="0" w:firstLine="0"/>
        <w:jc w:val="left"/>
        <w:rPr>
          <w:rFonts w:ascii="Times New Roman" w:hAnsi="Times New Roman" w:eastAsia="Times New Roman" w:cs="Times New Roman"/>
        </w:rPr>
      </w:pPr>
      <w:r>
        <w:rPr>
          <w:rStyle w:val="16"/>
          <w:rFonts w:ascii="Times New Roman" w:hAnsi="Times New Roman" w:eastAsia="Malgun Gothic" w:cs="Times New Roman"/>
          <w:b/>
          <w:bCs/>
          <w:i w:val="0"/>
          <w:caps w:val="0"/>
          <w:smallCaps w:val="0"/>
          <w:strike w:val="0"/>
          <w:dstrike w:val="0"/>
          <w:color w:val="auto"/>
          <w:spacing w:val="0"/>
          <w:kern w:val="0"/>
          <w:sz w:val="20"/>
          <w:szCs w:val="20"/>
          <w:u w:val="none"/>
          <w:lang w:val="en-US" w:eastAsia="ko-KR" w:bidi="ar-SA"/>
        </w:rPr>
        <w:t>Proposal 3: Support gNB configuring different Rx beams for UE-to-UE CLI RSSI/RSRP measurement.</w:t>
      </w:r>
    </w:p>
    <w:p>
      <w:pPr>
        <w:rPr>
          <w:rFonts w:ascii="Times New Roman" w:hAnsi="Times New Roman" w:eastAsia="Times New Roman" w:cs="Times New Roman"/>
        </w:rPr>
      </w:pPr>
    </w:p>
    <w:p>
      <w:pPr>
        <w:bidi w:val="0"/>
        <w:spacing w:before="0" w:beforeAutospacing="0" w:after="160" w:afterAutospacing="0" w:line="276" w:lineRule="auto"/>
        <w:ind w:left="0" w:right="0" w:firstLine="0"/>
        <w:jc w:val="left"/>
      </w:pPr>
      <w:r>
        <w:t xml:space="preserve">                   </w:t>
      </w:r>
      <w:r>
        <w:drawing>
          <wp:inline distT="0" distB="0" distL="0" distR="0">
            <wp:extent cx="4238625" cy="1610995"/>
            <wp:effectExtent l="0" t="0" r="0" b="0"/>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8"/>
                    <a:stretch>
                      <a:fillRect/>
                    </a:stretch>
                  </pic:blipFill>
                  <pic:spPr>
                    <a:xfrm>
                      <a:off x="0" y="0"/>
                      <a:ext cx="4238625" cy="1610995"/>
                    </a:xfrm>
                    <a:prstGeom prst="rect">
                      <a:avLst/>
                    </a:prstGeom>
                  </pic:spPr>
                </pic:pic>
              </a:graphicData>
            </a:graphic>
          </wp:inline>
        </w:drawing>
      </w:r>
    </w:p>
    <w:p>
      <w:pPr>
        <w:bidi w:val="0"/>
        <w:spacing w:before="0" w:beforeAutospacing="0" w:after="160" w:afterAutospacing="0" w:line="276" w:lineRule="auto"/>
        <w:ind w:left="0" w:right="0" w:firstLine="0"/>
        <w:jc w:val="left"/>
      </w:pPr>
      <w:r>
        <w:rPr>
          <w:rStyle w:val="16"/>
          <w:rFonts w:eastAsia="Times New Roman" w:cs="Times New Roman"/>
          <w:b w:val="0"/>
          <w:bCs w:val="0"/>
          <w:i w:val="0"/>
          <w:iCs w:val="0"/>
          <w:caps w:val="0"/>
          <w:smallCaps w:val="0"/>
          <w:strike w:val="0"/>
          <w:dstrike w:val="0"/>
          <w:color w:val="auto"/>
          <w:spacing w:val="0"/>
          <w:kern w:val="0"/>
          <w:sz w:val="20"/>
          <w:szCs w:val="20"/>
          <w:u w:val="none"/>
          <w:lang w:val="en-US" w:eastAsia="ko-KR" w:bidi="ar-SA"/>
        </w:rPr>
        <w:t xml:space="preserve">                   Fig. 2: Multiple Rx beams of UE corresponding to different Tx beams from the gNB</w:t>
      </w:r>
    </w:p>
    <w:p>
      <w:pPr>
        <w:widowControl/>
        <w:numPr>
          <w:ilvl w:val="0"/>
          <w:numId w:val="0"/>
        </w:numPr>
        <w:suppressAutoHyphens/>
        <w:bidi w:val="0"/>
        <w:spacing w:before="0" w:after="156" w:line="240" w:lineRule="auto"/>
        <w:ind w:left="720" w:right="0" w:firstLine="0"/>
        <w:jc w:val="left"/>
        <w:rPr>
          <w:rFonts w:ascii="Times New Roman" w:hAnsi="Times New Roman" w:eastAsia="Times New Roman" w:cs="Times New Roman"/>
          <w:b w:val="0"/>
          <w:bCs w:val="0"/>
          <w:i w:val="0"/>
          <w:iCs w:val="0"/>
          <w:sz w:val="20"/>
          <w:szCs w:val="20"/>
          <w:lang w:val="en-US"/>
        </w:rPr>
      </w:pPr>
      <w:r>
        <w:rPr>
          <w:rFonts w:eastAsia="Times New Roman" w:cs="Times New Roman"/>
          <w:b w:val="0"/>
          <w:bCs w:val="0"/>
          <w:i w:val="0"/>
          <w:iCs w:val="0"/>
          <w:sz w:val="20"/>
          <w:szCs w:val="20"/>
          <w:lang w:val="en-US"/>
        </w:rPr>
        <w:t>Proposal 3-4b of R1-2403514 that was discussed in the last meeting RAN#116bis contains the following:</w:t>
      </w:r>
    </w:p>
    <w:tbl>
      <w:tblPr>
        <w:tblStyle w:val="27"/>
        <w:tblW w:w="906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0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trPr>
        <w:tc>
          <w:tcPr>
            <w:tcW w:w="9060" w:type="dxa"/>
          </w:tcPr>
          <w:p>
            <w:pPr>
              <w:numPr>
                <w:ilvl w:val="0"/>
                <w:numId w:val="4"/>
              </w:numPr>
              <w:spacing w:before="0" w:after="156" w:line="240" w:lineRule="auto"/>
            </w:pPr>
            <w:r>
              <w:rPr>
                <w:rFonts w:eastAsia="SimSun" w:cs="Times New Roman"/>
                <w:sz w:val="20"/>
                <w:szCs w:val="20"/>
              </w:rPr>
              <w:t>If enhancements to L3 based UE-to-UE CLI measurement and reporting are supported for UE-to-UE CLI handling, the following are recommended to be specified</w:t>
            </w:r>
          </w:p>
          <w:p>
            <w:pPr>
              <w:pStyle w:val="45"/>
              <w:numPr>
                <w:ilvl w:val="0"/>
                <w:numId w:val="4"/>
              </w:numPr>
              <w:spacing w:before="0" w:after="156" w:line="240" w:lineRule="auto"/>
            </w:pPr>
            <w:r>
              <w:rPr>
                <w:sz w:val="20"/>
                <w:szCs w:val="20"/>
              </w:rPr>
              <w:t>Information exchange of SRS resource configurations among gNBs</w:t>
            </w:r>
          </w:p>
          <w:p>
            <w:pPr>
              <w:pStyle w:val="45"/>
              <w:numPr>
                <w:ilvl w:val="0"/>
                <w:numId w:val="4"/>
              </w:numPr>
              <w:spacing w:before="0" w:after="156" w:line="240" w:lineRule="auto"/>
            </w:pPr>
            <w:r>
              <w:rPr>
                <w:sz w:val="20"/>
                <w:szCs w:val="20"/>
              </w:rPr>
              <w:t xml:space="preserve">Reduce the value of </w:t>
            </w:r>
            <w:r>
              <w:rPr>
                <w:i/>
                <w:iCs/>
                <w:sz w:val="20"/>
                <w:szCs w:val="20"/>
              </w:rPr>
              <w:t>ReportInterval</w:t>
            </w:r>
            <w:r>
              <w:rPr>
                <w:sz w:val="20"/>
                <w:szCs w:val="20"/>
              </w:rPr>
              <w:t xml:space="preserve"> for L3 based UE-to-UE CLI measurement</w:t>
            </w:r>
          </w:p>
          <w:p>
            <w:pPr>
              <w:pStyle w:val="45"/>
              <w:numPr>
                <w:ilvl w:val="0"/>
                <w:numId w:val="4"/>
              </w:numPr>
              <w:spacing w:before="0" w:after="156" w:line="240" w:lineRule="auto"/>
            </w:pPr>
            <w:r>
              <w:rPr>
                <w:sz w:val="20"/>
                <w:szCs w:val="20"/>
              </w:rPr>
              <w:t>CLI measurement accuracy requirement [RAN4]</w:t>
            </w:r>
          </w:p>
          <w:p>
            <w:pPr>
              <w:pStyle w:val="45"/>
              <w:numPr>
                <w:ilvl w:val="0"/>
                <w:numId w:val="4"/>
              </w:numPr>
              <w:spacing w:before="0" w:after="156" w:line="240" w:lineRule="auto"/>
            </w:pPr>
            <w:r>
              <w:rPr>
                <w:rStyle w:val="16"/>
                <w:rFonts w:ascii="Times New Roman" w:hAnsi="Times New Roman" w:eastAsia="Malgun Gothic" w:cs="Times New Roman"/>
                <w:b w:val="0"/>
                <w:bCs w:val="0"/>
                <w:i w:val="0"/>
                <w:iCs w:val="0"/>
                <w:caps w:val="0"/>
                <w:smallCaps w:val="0"/>
                <w:strike w:val="0"/>
                <w:dstrike w:val="0"/>
                <w:color w:val="FF0000"/>
                <w:sz w:val="20"/>
                <w:szCs w:val="20"/>
                <w:u w:val="none"/>
                <w:lang w:val="en-US" w:eastAsia="ko-KR" w:bidi="ar-SA"/>
              </w:rPr>
              <w:t>[Reference signals for measurement, e.g., SRS with dedicated usage for CLI measurement]</w:t>
            </w:r>
          </w:p>
        </w:tc>
      </w:tr>
    </w:tbl>
    <w:p>
      <w:pPr>
        <w:pStyle w:val="45"/>
        <w:numPr>
          <w:ilvl w:val="0"/>
          <w:numId w:val="0"/>
        </w:numPr>
        <w:spacing w:before="0" w:after="156" w:line="240" w:lineRule="auto"/>
        <w:ind w:left="1560" w:firstLine="0"/>
        <w:jc w:val="both"/>
        <w:rPr>
          <w:rStyle w:val="16"/>
          <w:rFonts w:eastAsia="Times New Roman" w:cs="Times New Roman"/>
          <w:b w:val="0"/>
          <w:bCs w:val="0"/>
          <w:i w:val="0"/>
          <w:iCs w:val="0"/>
          <w:caps w:val="0"/>
          <w:smallCaps w:val="0"/>
          <w:strike w:val="0"/>
          <w:dstrike w:val="0"/>
          <w:color w:val="FF0000"/>
          <w:sz w:val="20"/>
          <w:szCs w:val="20"/>
          <w:u w:val="none"/>
          <w:lang w:val="en-US" w:eastAsia="ko-KR" w:bidi="ar-SA"/>
        </w:rPr>
      </w:pPr>
    </w:p>
    <w:p>
      <w:pPr>
        <w:jc w:val="both"/>
        <w:rPr>
          <w:rStyle w:val="16"/>
          <w:rFonts w:eastAsia="Times New Roman" w:cs="Times New Roman"/>
          <w:b w:val="0"/>
          <w:bCs w:val="0"/>
          <w:i w:val="0"/>
          <w:iCs w:val="0"/>
          <w:caps w:val="0"/>
          <w:smallCaps w:val="0"/>
          <w:strike w:val="0"/>
          <w:dstrike w:val="0"/>
          <w:color w:val="auto"/>
          <w:sz w:val="20"/>
          <w:szCs w:val="20"/>
          <w:u w:val="none"/>
          <w:lang w:val="en-US" w:eastAsia="ko-KR" w:bidi="ar-SA"/>
        </w:rPr>
      </w:pPr>
      <w:r>
        <w:rPr>
          <w:rStyle w:val="16"/>
          <w:rFonts w:eastAsia="Times New Roman" w:cs="Times New Roman"/>
          <w:b w:val="0"/>
          <w:bCs w:val="0"/>
          <w:i w:val="0"/>
          <w:iCs w:val="0"/>
          <w:caps w:val="0"/>
          <w:smallCaps w:val="0"/>
          <w:strike w:val="0"/>
          <w:dstrike w:val="0"/>
          <w:color w:val="auto"/>
          <w:spacing w:val="0"/>
          <w:kern w:val="0"/>
          <w:sz w:val="20"/>
          <w:szCs w:val="20"/>
          <w:u w:val="none"/>
          <w:lang w:val="en-US" w:eastAsia="ko-KR" w:bidi="ar-SA"/>
        </w:rPr>
        <w:t>For the measurement of the CLI on each Rx beam, the same CLI resources can be transmitted repeatedly by the aggressor UE at different time instants using the same Tx beam. This can be done over consecutive OFDM symbols. In Rel. 16 T</w:t>
      </w:r>
      <w:r>
        <w:rPr>
          <w:rStyle w:val="16"/>
          <w:rFonts w:eastAsia="Malgun Gothic" w:cs="Times New Roman"/>
          <w:b w:val="0"/>
          <w:bCs w:val="0"/>
          <w:i w:val="0"/>
          <w:iCs w:val="0"/>
          <w:caps w:val="0"/>
          <w:smallCaps w:val="0"/>
          <w:strike w:val="0"/>
          <w:dstrike w:val="0"/>
          <w:color w:val="auto"/>
          <w:sz w:val="20"/>
          <w:szCs w:val="20"/>
          <w:u w:val="none"/>
          <w:lang w:val="en-US" w:eastAsia="ko-KR" w:bidi="ar-SA"/>
        </w:rPr>
        <w:t>S 38.331,</w:t>
      </w:r>
      <w:r>
        <w:rPr>
          <w:rStyle w:val="16"/>
          <w:rFonts w:eastAsia="Times New Roman" w:cs="Times New Roman"/>
          <w:b w:val="0"/>
          <w:bCs w:val="0"/>
          <w:i w:val="0"/>
          <w:iCs w:val="0"/>
          <w:caps w:val="0"/>
          <w:smallCaps w:val="0"/>
          <w:strike w:val="0"/>
          <w:dstrike w:val="0"/>
          <w:color w:val="auto"/>
          <w:spacing w:val="0"/>
          <w:kern w:val="0"/>
          <w:sz w:val="20"/>
          <w:szCs w:val="20"/>
          <w:u w:val="none"/>
          <w:lang w:val="en-US" w:eastAsia="ko-KR" w:bidi="ar-SA"/>
        </w:rPr>
        <w:t xml:space="preserve"> for CLI-RSRP measurement, the network configures the number of OFDM symbols and repetition factor to ‘n1’. It represents the number of OFDM symbols and repetition of SRS resources for CLI measurement restricted to one. </w:t>
      </w:r>
    </w:p>
    <w:p>
      <w:pPr>
        <w:spacing w:before="240" w:beforeAutospacing="0" w:after="240" w:afterAutospacing="0"/>
        <w:jc w:val="both"/>
        <w:rPr>
          <w:rFonts w:ascii="Times New Roman" w:hAnsi="Times New Roman" w:eastAsia="Times New Roman" w:cs="Times New Roman"/>
          <w:sz w:val="20"/>
          <w:szCs w:val="20"/>
          <w:lang w:val="en-US"/>
        </w:rPr>
      </w:pPr>
      <w:r>
        <w:rPr>
          <w:rFonts w:eastAsia="Times New Roman" w:cs="Times New Roman"/>
          <w:sz w:val="20"/>
          <w:szCs w:val="20"/>
          <w:lang w:val="en-US"/>
        </w:rPr>
        <w:t xml:space="preserve">In scenarios where the network configures the number of OFDM symbols and repetition factor to 'n2' or 'n4' (involving more than one OFDM symbol and SRS resources) for CLI-RSRP measurement, CLI resources can be transmitted over consecutive OFDM symbols. This facilitates the measurement of CLI levels on each RX beam individually. The victim UE can be configured by the gNB  to perform Rx beam sweeping, enabling it to measure the CLI level on each receive beam. Subsequently, based on the CLI levels measured on each Rx beam, the serving gNB of the victim UE can make decisions regarding Downlink (DL) beam for transmission. Furthermore, if the network configures the number of OFDM symbols and repetition factor to 'n2' and 'n4', respectively, it becomes easier for the </w:t>
      </w:r>
      <w:r>
        <w:rPr>
          <w:rFonts w:eastAsia="Times New Roman" w:cs="Times New Roman"/>
          <w:color w:val="auto"/>
          <w:kern w:val="0"/>
          <w:sz w:val="20"/>
          <w:szCs w:val="20"/>
          <w:lang w:val="en-US" w:eastAsia="en-US" w:bidi="ar-SA"/>
        </w:rPr>
        <w:t xml:space="preserve">gNB </w:t>
      </w:r>
      <w:r>
        <w:rPr>
          <w:rFonts w:eastAsia="Times New Roman" w:cs="Times New Roman"/>
          <w:sz w:val="20"/>
          <w:szCs w:val="20"/>
          <w:lang w:val="en-US"/>
        </w:rPr>
        <w:t xml:space="preserve">to configure SRS resources. If SRS resources are restricted to only one, then the </w:t>
      </w:r>
      <w:r>
        <w:rPr>
          <w:rFonts w:eastAsia="Times New Roman" w:cs="Times New Roman"/>
          <w:color w:val="auto"/>
          <w:kern w:val="0"/>
          <w:sz w:val="20"/>
          <w:szCs w:val="20"/>
          <w:lang w:val="en-US" w:eastAsia="en-US" w:bidi="ar-SA"/>
        </w:rPr>
        <w:t>gNB</w:t>
      </w:r>
      <w:r>
        <w:rPr>
          <w:rFonts w:eastAsia="Times New Roman" w:cs="Times New Roman"/>
          <w:sz w:val="20"/>
          <w:szCs w:val="20"/>
          <w:lang w:val="en-US"/>
        </w:rPr>
        <w:t xml:space="preserve"> needs to configure resources for each transmit beam individually. Conversely, if the network configures more than one SRS resource, the </w:t>
      </w:r>
      <w:r>
        <w:rPr>
          <w:rFonts w:eastAsia="Times New Roman" w:cs="Times New Roman"/>
          <w:color w:val="auto"/>
          <w:kern w:val="0"/>
          <w:sz w:val="20"/>
          <w:szCs w:val="20"/>
          <w:lang w:val="en-US" w:eastAsia="en-US" w:bidi="ar-SA"/>
        </w:rPr>
        <w:t>gNB</w:t>
      </w:r>
      <w:r>
        <w:rPr>
          <w:rFonts w:eastAsia="Times New Roman" w:cs="Times New Roman"/>
          <w:sz w:val="20"/>
          <w:szCs w:val="20"/>
          <w:lang w:val="en-US"/>
        </w:rPr>
        <w:t xml:space="preserve"> does not need to configure SRS resources for each transmit beam separately. For instance, if the number of OFDM symbols and repetition factor is set to 'n4' (indicating 4 OFDM symbols and a repetition factor of 4 for SRS resources), the network can configure 4 SRS resources for 4 transmit beams simultaneously. Subsequently, the same SRS resources can be transmitted repeatedly over 4 consecutive OFDM symbols at different time instants. </w:t>
      </w:r>
      <w:r>
        <w:rPr>
          <w:rStyle w:val="16"/>
          <w:rFonts w:eastAsia="Times New Roman" w:cs="Times New Roman"/>
          <w:b w:val="0"/>
          <w:bCs w:val="0"/>
          <w:i w:val="0"/>
          <w:caps w:val="0"/>
          <w:smallCaps w:val="0"/>
          <w:strike w:val="0"/>
          <w:dstrike w:val="0"/>
          <w:color w:val="auto"/>
          <w:spacing w:val="0"/>
          <w:kern w:val="0"/>
          <w:u w:val="none"/>
          <w:lang w:val="en-US" w:eastAsia="ko-KR" w:bidi="ar-SA"/>
        </w:rPr>
        <w:t xml:space="preserve">Thus, an SRS </w:t>
      </w:r>
      <w:r>
        <w:rPr>
          <w:rStyle w:val="16"/>
          <w:rFonts w:eastAsia="Times New Roman" w:cs="Times New Roman"/>
          <w:b w:val="0"/>
          <w:bCs w:val="0"/>
          <w:i w:val="0"/>
          <w:caps w:val="0"/>
          <w:smallCaps w:val="0"/>
          <w:strike w:val="0"/>
          <w:dstrike w:val="0"/>
          <w:color w:val="auto"/>
          <w:spacing w:val="0"/>
          <w:kern w:val="0"/>
          <w:sz w:val="21"/>
          <w:szCs w:val="21"/>
          <w:u w:val="none"/>
          <w:lang w:val="en-US" w:eastAsia="ko-KR" w:bidi="ar-SA"/>
        </w:rPr>
        <w:t>with</w:t>
      </w:r>
      <w:r>
        <w:rPr>
          <w:rStyle w:val="16"/>
          <w:rFonts w:eastAsia="Times New Roman" w:cs="Times New Roman"/>
          <w:b w:val="0"/>
          <w:bCs w:val="0"/>
          <w:i w:val="0"/>
          <w:caps w:val="0"/>
          <w:smallCaps w:val="0"/>
          <w:strike w:val="0"/>
          <w:dstrike w:val="0"/>
          <w:color w:val="auto"/>
          <w:spacing w:val="0"/>
          <w:kern w:val="0"/>
          <w:u w:val="none"/>
          <w:lang w:val="en-US" w:eastAsia="ko-KR" w:bidi="ar-SA"/>
        </w:rPr>
        <w:t xml:space="preserve"> dedicated usage for CLI measurement will facilitate CLI measurement.</w:t>
      </w:r>
    </w:p>
    <w:p>
      <w:pPr>
        <w:jc w:val="both"/>
        <w:rPr>
          <w:rStyle w:val="16"/>
          <w:rFonts w:eastAsia="Times New Roman" w:cs="Times New Roman"/>
          <w:b/>
          <w:bCs/>
          <w:i w:val="0"/>
          <w:iCs w:val="0"/>
          <w:caps w:val="0"/>
          <w:smallCaps w:val="0"/>
          <w:strike w:val="0"/>
          <w:dstrike w:val="0"/>
          <w:color w:val="auto"/>
          <w:sz w:val="20"/>
          <w:szCs w:val="20"/>
          <w:u w:val="none"/>
          <w:lang w:val="en-US" w:eastAsia="ko-KR" w:bidi="ar-SA"/>
        </w:rPr>
      </w:pPr>
      <w:r>
        <w:rPr>
          <w:rStyle w:val="16"/>
          <w:rFonts w:eastAsia="Times New Roman" w:cs="Times New Roman"/>
          <w:b/>
          <w:bCs/>
          <w:i w:val="0"/>
          <w:iCs w:val="0"/>
          <w:caps w:val="0"/>
          <w:smallCaps w:val="0"/>
          <w:strike w:val="0"/>
          <w:dstrike w:val="0"/>
          <w:color w:val="auto"/>
          <w:spacing w:val="0"/>
          <w:kern w:val="0"/>
          <w:sz w:val="20"/>
          <w:szCs w:val="20"/>
          <w:u w:val="none"/>
          <w:lang w:val="en-US" w:eastAsia="ko-KR" w:bidi="ar-SA"/>
        </w:rPr>
        <w:t xml:space="preserve">Observation 5: Rel. 16 UE-to-UE CLI does not support SRS with dedicated usage for CLI measurement. </w:t>
      </w:r>
    </w:p>
    <w:p>
      <w:pPr>
        <w:jc w:val="both"/>
        <w:rPr>
          <w:rStyle w:val="16"/>
          <w:rFonts w:eastAsia="Times New Roman" w:cs="Times New Roman"/>
          <w:b/>
          <w:bCs/>
          <w:i w:val="0"/>
          <w:iCs w:val="0"/>
          <w:caps w:val="0"/>
          <w:smallCaps w:val="0"/>
          <w:strike w:val="0"/>
          <w:dstrike w:val="0"/>
          <w:color w:val="auto"/>
          <w:sz w:val="20"/>
          <w:szCs w:val="20"/>
          <w:u w:val="none"/>
          <w:lang w:val="en-US" w:eastAsia="ko-KR" w:bidi="ar-SA"/>
        </w:rPr>
      </w:pPr>
    </w:p>
    <w:p>
      <w:pPr>
        <w:jc w:val="both"/>
      </w:pPr>
      <w:r>
        <w:rPr>
          <w:rStyle w:val="16"/>
          <w:rFonts w:eastAsia="Times New Roman" w:cs="Times New Roman"/>
          <w:b/>
          <w:bCs/>
          <w:i w:val="0"/>
          <w:iCs w:val="0"/>
          <w:caps w:val="0"/>
          <w:smallCaps w:val="0"/>
          <w:strike w:val="0"/>
          <w:dstrike w:val="0"/>
          <w:color w:val="auto"/>
          <w:spacing w:val="0"/>
          <w:kern w:val="0"/>
          <w:sz w:val="20"/>
          <w:szCs w:val="20"/>
          <w:u w:val="none"/>
          <w:lang w:val="en-US" w:eastAsia="ko-KR" w:bidi="ar-SA"/>
        </w:rPr>
        <w:t>Proposal 4: Support SRS with dedicated usage for CLI measurement.</w:t>
      </w:r>
    </w:p>
    <w:p>
      <w:pPr>
        <w:jc w:val="both"/>
        <w:rPr>
          <w:rStyle w:val="16"/>
          <w:rFonts w:ascii="Times New Roman" w:hAnsi="Times New Roman" w:eastAsia="Times New Roman" w:cs="Times New Roman"/>
          <w:b w:val="0"/>
          <w:bCs w:val="0"/>
          <w:i w:val="0"/>
          <w:iCs w:val="0"/>
          <w:caps w:val="0"/>
          <w:smallCaps w:val="0"/>
          <w:strike w:val="0"/>
          <w:dstrike w:val="0"/>
          <w:color w:val="auto"/>
          <w:spacing w:val="0"/>
          <w:kern w:val="0"/>
          <w:u w:val="none"/>
          <w:lang w:val="en-US" w:eastAsia="ko-KR" w:bidi="ar-SA"/>
        </w:rPr>
      </w:pPr>
    </w:p>
    <w:p>
      <w:pPr>
        <w:jc w:val="both"/>
      </w:pPr>
      <w:r>
        <w:rPr>
          <w:rStyle w:val="16"/>
          <w:rFonts w:eastAsia="Times New Roman" w:cs="Times New Roman"/>
          <w:b w:val="0"/>
          <w:bCs w:val="0"/>
          <w:i w:val="0"/>
          <w:caps w:val="0"/>
          <w:smallCaps w:val="0"/>
          <w:strike w:val="0"/>
          <w:dstrike w:val="0"/>
          <w:color w:val="auto"/>
          <w:spacing w:val="0"/>
          <w:kern w:val="0"/>
          <w:sz w:val="20"/>
          <w:szCs w:val="20"/>
          <w:u w:val="none"/>
          <w:lang w:val="en-US" w:eastAsia="ko-KR" w:bidi="ar-SA"/>
        </w:rPr>
        <w:t xml:space="preserve">Once the measurement is done, the UE reports the measurements of CLI level of each beam to the serving gNB. UE can be configured to report the measurements of CLI level of beams to the serving gNB in several ways. For instance, the measurements on the number of beams for which the CLI metric is strongest can be reported by the victim UE. Moreover, the CLI report can be provided for all the receive beams or just a subset of them. If the report addresses just one receiving beam, it can be chosen using a criterion such as reporting the beam with the lowest CLI. For multi-beam report, the order of the report can also be defined. For e.g, the beams are reported in the decreasing order of CLI. </w:t>
      </w:r>
    </w:p>
    <w:p>
      <w:pPr>
        <w:pStyle w:val="45"/>
        <w:spacing w:before="120" w:after="120"/>
        <w:ind w:left="0" w:firstLine="0"/>
        <w:jc w:val="left"/>
      </w:pPr>
      <w:r>
        <w:rPr>
          <w:rStyle w:val="16"/>
          <w:rFonts w:ascii="Times New Roman" w:hAnsi="Times New Roman" w:eastAsia="Malgun Gothic" w:cs="Times New Roman"/>
          <w:b/>
          <w:bCs/>
          <w:i w:val="0"/>
          <w:iCs w:val="0"/>
          <w:caps w:val="0"/>
          <w:smallCaps w:val="0"/>
          <w:strike w:val="0"/>
          <w:dstrike w:val="0"/>
          <w:color w:val="auto"/>
          <w:spacing w:val="0"/>
          <w:kern w:val="0"/>
          <w:sz w:val="20"/>
          <w:szCs w:val="20"/>
          <w:u w:val="none"/>
          <w:lang w:val="en-US" w:eastAsia="ko-KR" w:bidi="ar-SA"/>
        </w:rPr>
        <w:t>Proposal 5: Support separate UE-to-UE CLI measurement report corresponding to different receive beams.</w:t>
      </w:r>
    </w:p>
    <w:p>
      <w:pPr>
        <w:spacing w:before="120" w:after="120"/>
        <w:rPr>
          <w:b/>
          <w:bCs/>
          <w:sz w:val="26"/>
          <w:szCs w:val="26"/>
        </w:rPr>
      </w:pPr>
      <w:r>
        <w:rPr>
          <w:rFonts w:eastAsia="Malgun Gothic"/>
          <w:b/>
          <w:bCs/>
          <w:i w:val="0"/>
          <w:iCs w:val="0"/>
          <w:caps w:val="0"/>
          <w:smallCaps w:val="0"/>
          <w:strike w:val="0"/>
          <w:dstrike w:val="0"/>
          <w:color w:val="000000"/>
          <w:spacing w:val="0"/>
          <w:sz w:val="26"/>
          <w:szCs w:val="26"/>
          <w:u w:val="none"/>
          <w:lang w:val="en-US" w:eastAsia="ko-KR"/>
        </w:rPr>
        <w:t>2.3 L1/L2 based UE-UE CLI measurement and reporting</w:t>
      </w:r>
    </w:p>
    <w:tbl>
      <w:tblPr>
        <w:tblStyle w:val="12"/>
        <w:tblW w:w="9070" w:type="dxa"/>
        <w:tblInd w:w="0" w:type="dxa"/>
        <w:tblLayout w:type="autofit"/>
        <w:tblCellMar>
          <w:top w:w="55" w:type="dxa"/>
          <w:left w:w="55" w:type="dxa"/>
          <w:bottom w:w="55" w:type="dxa"/>
          <w:right w:w="55" w:type="dxa"/>
        </w:tblCellMar>
      </w:tblPr>
      <w:tblGrid>
        <w:gridCol w:w="9070"/>
      </w:tblGrid>
      <w:tr>
        <w:tblPrEx>
          <w:tblCellMar>
            <w:top w:w="55" w:type="dxa"/>
            <w:left w:w="55" w:type="dxa"/>
            <w:bottom w:w="55" w:type="dxa"/>
            <w:right w:w="55" w:type="dxa"/>
          </w:tblCellMar>
        </w:tblPrEx>
        <w:tc>
          <w:tcPr>
            <w:tcW w:w="9070" w:type="dxa"/>
            <w:tcBorders>
              <w:top w:val="single" w:color="000000" w:sz="2" w:space="0"/>
              <w:left w:val="single" w:color="000000" w:sz="2" w:space="0"/>
              <w:bottom w:val="single" w:color="000000" w:sz="2" w:space="0"/>
              <w:right w:val="single" w:color="000000" w:sz="2" w:space="0"/>
            </w:tcBorders>
          </w:tcPr>
          <w:p>
            <w:pPr>
              <w:suppressAutoHyphens/>
              <w:rPr>
                <w:rFonts w:eastAsia="SimSun;宋体"/>
                <w:b/>
                <w:highlight w:val="green"/>
              </w:rPr>
            </w:pPr>
            <w:r>
              <w:rPr>
                <w:rFonts w:eastAsia="SimSun;宋体"/>
                <w:b/>
                <w:highlight w:val="green"/>
              </w:rPr>
              <w:t>Agreement</w:t>
            </w:r>
          </w:p>
          <w:p>
            <w:pPr>
              <w:suppressAutoHyphens/>
              <w:rPr>
                <w:rFonts w:eastAsia="SimSun;宋体"/>
              </w:rPr>
            </w:pPr>
            <w:r>
              <w:rPr>
                <w:rFonts w:eastAsia="SimSun;宋体"/>
              </w:rPr>
              <w:t>Consider the following alternatives for down selection in RAN1#117.</w:t>
            </w:r>
          </w:p>
          <w:p>
            <w:pPr>
              <w:suppressAutoHyphens/>
              <w:rPr>
                <w:rFonts w:eastAsia="SimSun;宋体"/>
                <w:b/>
                <w:bCs/>
              </w:rPr>
            </w:pPr>
            <w:r>
              <w:rPr>
                <w:rFonts w:eastAsia="SimSun;宋体"/>
                <w:b/>
                <w:bCs/>
              </w:rPr>
              <w:t>Alt.1:</w:t>
            </w:r>
          </w:p>
          <w:p>
            <w:pPr>
              <w:suppressAutoHyphens/>
              <w:rPr>
                <w:rFonts w:eastAsia="SimSun;宋体"/>
              </w:rPr>
            </w:pPr>
            <w:r>
              <w:rPr>
                <w:rFonts w:eastAsia="SimSun;宋体"/>
              </w:rPr>
              <w:t xml:space="preserve">If L1 based UE-to-UE CLI measurement and reporting based on existing CSI framework are supported for UE-to-UE CLI handling, the following are recommended to be specified </w:t>
            </w:r>
          </w:p>
          <w:p>
            <w:pPr>
              <w:numPr>
                <w:ilvl w:val="0"/>
                <w:numId w:val="3"/>
              </w:numPr>
              <w:rPr>
                <w:rFonts w:eastAsia="SimSun;宋体"/>
              </w:rPr>
            </w:pPr>
            <w:r>
              <w:rPr>
                <w:rFonts w:eastAsia="SimSun;宋体"/>
              </w:rPr>
              <w:t>Measurement resources</w:t>
            </w:r>
          </w:p>
          <w:p>
            <w:pPr>
              <w:numPr>
                <w:ilvl w:val="1"/>
                <w:numId w:val="3"/>
              </w:numPr>
              <w:rPr>
                <w:rFonts w:eastAsia="SimSun;宋体"/>
              </w:rPr>
            </w:pPr>
            <w:r>
              <w:rPr>
                <w:rFonts w:eastAsia="SimSun;宋体"/>
              </w:rPr>
              <w:t>Periodic, semi-persistent, or aperiodic measurement resource (set) i.e., SRS-RSRP resource or CLI-RSSI resource</w:t>
            </w:r>
          </w:p>
          <w:p>
            <w:pPr>
              <w:numPr>
                <w:ilvl w:val="0"/>
                <w:numId w:val="3"/>
              </w:numPr>
              <w:rPr>
                <w:rFonts w:eastAsia="SimSun;宋体"/>
              </w:rPr>
            </w:pPr>
            <w:r>
              <w:rPr>
                <w:rFonts w:eastAsia="SimSun;宋体"/>
              </w:rPr>
              <w:t>Measurement reporting</w:t>
            </w:r>
          </w:p>
          <w:p>
            <w:pPr>
              <w:numPr>
                <w:ilvl w:val="1"/>
                <w:numId w:val="3"/>
              </w:numPr>
              <w:rPr>
                <w:rFonts w:eastAsia="SimSun;宋体"/>
              </w:rPr>
            </w:pPr>
            <w:r>
              <w:rPr>
                <w:rFonts w:eastAsia="SimSun;宋体"/>
              </w:rPr>
              <w:t xml:space="preserve">Periodic, semi-persistent or aperiodic reporting on PUCCH/PUSCH </w:t>
            </w:r>
          </w:p>
          <w:p>
            <w:pPr>
              <w:numPr>
                <w:ilvl w:val="1"/>
                <w:numId w:val="3"/>
              </w:numPr>
              <w:rPr>
                <w:rFonts w:eastAsia="SimSun;宋体"/>
              </w:rPr>
            </w:pPr>
            <w:r>
              <w:rPr>
                <w:rFonts w:eastAsia="SimSun;宋体"/>
              </w:rPr>
              <w:t>New report quantities: e.g L1-SRS-RSRP, L1-CLI-RSSI and/or RS indexes</w:t>
            </w:r>
          </w:p>
          <w:p>
            <w:pPr>
              <w:numPr>
                <w:ilvl w:val="1"/>
                <w:numId w:val="3"/>
              </w:numPr>
              <w:rPr>
                <w:rFonts w:eastAsia="SimSun;宋体"/>
              </w:rPr>
            </w:pPr>
            <w:r>
              <w:rPr>
                <w:rFonts w:eastAsia="SimSun;宋体"/>
              </w:rPr>
              <w:t xml:space="preserve">UCI bits generation </w:t>
            </w:r>
          </w:p>
          <w:p>
            <w:pPr>
              <w:numPr>
                <w:ilvl w:val="1"/>
                <w:numId w:val="3"/>
              </w:numPr>
              <w:rPr>
                <w:rFonts w:eastAsia="SimSun;宋体"/>
              </w:rPr>
            </w:pPr>
            <w:r>
              <w:rPr>
                <w:rFonts w:eastAsia="SimSun;宋体"/>
              </w:rPr>
              <w:t xml:space="preserve">UCI omission rule </w:t>
            </w:r>
          </w:p>
          <w:p>
            <w:pPr>
              <w:numPr>
                <w:ilvl w:val="1"/>
                <w:numId w:val="3"/>
              </w:numPr>
              <w:rPr>
                <w:rFonts w:eastAsia="SimSun;宋体"/>
              </w:rPr>
            </w:pPr>
            <w:r>
              <w:rPr>
                <w:rFonts w:eastAsia="SimSun;宋体"/>
              </w:rPr>
              <w:t>Priority rules for multiple CSI reporting</w:t>
            </w:r>
          </w:p>
          <w:p>
            <w:pPr>
              <w:numPr>
                <w:ilvl w:val="1"/>
                <w:numId w:val="3"/>
              </w:numPr>
              <w:rPr>
                <w:rFonts w:eastAsia="SimSun;宋体"/>
              </w:rPr>
            </w:pPr>
            <w:r>
              <w:rPr>
                <w:rFonts w:eastAsia="SimSun;宋体"/>
              </w:rPr>
              <w:t>CSI processing unit and CPU occupation rule</w:t>
            </w:r>
          </w:p>
          <w:p>
            <w:pPr>
              <w:numPr>
                <w:ilvl w:val="1"/>
                <w:numId w:val="3"/>
              </w:numPr>
              <w:rPr>
                <w:rFonts w:eastAsia="SimSun;宋体"/>
              </w:rPr>
            </w:pPr>
            <w:r>
              <w:rPr>
                <w:rFonts w:eastAsia="SimSun;宋体"/>
              </w:rPr>
              <w:t>Timeline and related UE behaviours</w:t>
            </w:r>
          </w:p>
          <w:p>
            <w:pPr>
              <w:numPr>
                <w:ilvl w:val="0"/>
                <w:numId w:val="3"/>
              </w:numPr>
              <w:rPr>
                <w:rFonts w:eastAsia="SimSun;宋体"/>
              </w:rPr>
            </w:pPr>
            <w:r>
              <w:rPr>
                <w:rFonts w:eastAsia="SimSun;宋体"/>
              </w:rPr>
              <w:t>CLI measurement accuracy requirement [RAN4]</w:t>
            </w:r>
          </w:p>
          <w:p>
            <w:pPr>
              <w:suppressAutoHyphens/>
              <w:rPr>
                <w:rFonts w:eastAsia="SimSun;宋体"/>
                <w:b/>
                <w:bCs/>
              </w:rPr>
            </w:pPr>
            <w:r>
              <w:rPr>
                <w:rFonts w:eastAsia="SimSun;宋体"/>
                <w:b/>
                <w:bCs/>
              </w:rPr>
              <w:t xml:space="preserve">Alt.2: </w:t>
            </w:r>
          </w:p>
          <w:p>
            <w:pPr>
              <w:suppressAutoHyphens/>
              <w:rPr>
                <w:rFonts w:eastAsia="SimSun;宋体"/>
              </w:rPr>
            </w:pPr>
            <w:r>
              <w:rPr>
                <w:rFonts w:eastAsia="SimSun;宋体"/>
              </w:rPr>
              <w:t xml:space="preserve">If L1 based UE-to-UE CLI measurement and reporting based on existing CSI framework are supported for UE-to-UE CLI handling, the following are recommended to be specified </w:t>
            </w:r>
          </w:p>
          <w:p>
            <w:pPr>
              <w:numPr>
                <w:ilvl w:val="0"/>
                <w:numId w:val="3"/>
              </w:numPr>
              <w:rPr>
                <w:rFonts w:eastAsia="SimSun;宋体"/>
              </w:rPr>
            </w:pPr>
            <w:r>
              <w:rPr>
                <w:rFonts w:eastAsia="SimSun;宋体"/>
              </w:rPr>
              <w:t>Measurement resources</w:t>
            </w:r>
          </w:p>
          <w:p>
            <w:pPr>
              <w:numPr>
                <w:ilvl w:val="1"/>
                <w:numId w:val="3"/>
              </w:numPr>
              <w:rPr>
                <w:rFonts w:eastAsia="SimSun;宋体"/>
              </w:rPr>
            </w:pPr>
            <w:r>
              <w:rPr>
                <w:rFonts w:eastAsia="SimSun;宋体"/>
              </w:rPr>
              <w:t>Periodic, semi-persistent, or aperiodic measurement resource (set), i.e., CLI-IMR</w:t>
            </w:r>
          </w:p>
          <w:p>
            <w:pPr>
              <w:numPr>
                <w:ilvl w:val="0"/>
                <w:numId w:val="3"/>
              </w:numPr>
              <w:rPr>
                <w:rFonts w:eastAsia="SimSun;宋体"/>
              </w:rPr>
            </w:pPr>
            <w:r>
              <w:rPr>
                <w:rFonts w:eastAsia="SimSun;宋体"/>
              </w:rPr>
              <w:t>Measurement reporting</w:t>
            </w:r>
          </w:p>
          <w:p>
            <w:pPr>
              <w:numPr>
                <w:ilvl w:val="1"/>
                <w:numId w:val="3"/>
              </w:numPr>
              <w:rPr>
                <w:rFonts w:eastAsia="SimSun;宋体"/>
              </w:rPr>
            </w:pPr>
            <w:r>
              <w:rPr>
                <w:rFonts w:eastAsia="SimSun;宋体"/>
              </w:rPr>
              <w:t>CSI measurement procedure integrating CLI measurement</w:t>
            </w:r>
          </w:p>
          <w:p>
            <w:pPr>
              <w:numPr>
                <w:ilvl w:val="1"/>
                <w:numId w:val="3"/>
              </w:numPr>
              <w:rPr>
                <w:rFonts w:eastAsia="SimSun;宋体"/>
              </w:rPr>
            </w:pPr>
            <w:r>
              <w:rPr>
                <w:rFonts w:eastAsia="SimSun;宋体"/>
              </w:rPr>
              <w:t xml:space="preserve">Note: Reuse the existing periodic, semi-persistent and aperiodic reporting on PUCCH/PUSCH </w:t>
            </w:r>
          </w:p>
          <w:p>
            <w:pPr>
              <w:numPr>
                <w:ilvl w:val="1"/>
                <w:numId w:val="3"/>
              </w:numPr>
              <w:rPr>
                <w:rFonts w:eastAsia="SimSun;宋体"/>
              </w:rPr>
            </w:pPr>
            <w:r>
              <w:rPr>
                <w:rFonts w:eastAsia="SimSun;宋体"/>
              </w:rPr>
              <w:t xml:space="preserve">Note: </w:t>
            </w:r>
            <w:r>
              <w:rPr>
                <w:rFonts w:eastAsia="SimSun;宋体"/>
                <w:lang w:val="fr-FR"/>
              </w:rPr>
              <w:t>Reuse the existing report quantities, i.e., CQI, L1-SINR, a</w:t>
            </w:r>
            <w:r>
              <w:rPr>
                <w:rFonts w:eastAsia="SimSun;宋体"/>
              </w:rPr>
              <w:t>nd the new measurements on CLI-IMR are included in the interference measurement term for the existing report quantities</w:t>
            </w:r>
          </w:p>
          <w:p>
            <w:pPr>
              <w:rPr>
                <w:b/>
                <w:bCs/>
              </w:rPr>
            </w:pPr>
            <w:r>
              <w:rPr>
                <w:b/>
                <w:bCs/>
              </w:rPr>
              <w:t>Alt.3:</w:t>
            </w:r>
          </w:p>
          <w:p>
            <w:pPr>
              <w:suppressAutoHyphens/>
              <w:rPr>
                <w:rFonts w:eastAsia="SimSun;宋体"/>
              </w:rPr>
            </w:pPr>
            <w:r>
              <w:rPr>
                <w:rFonts w:eastAsia="SimSun;宋体"/>
              </w:rPr>
              <w:t xml:space="preserve">If L1 based UE-to-UE CLI measurement and reporting based on existing CSI framework are supported for UE-to-UE CLI handling, the following are recommended to be specified </w:t>
            </w:r>
          </w:p>
          <w:p>
            <w:pPr>
              <w:numPr>
                <w:ilvl w:val="0"/>
                <w:numId w:val="3"/>
              </w:numPr>
              <w:rPr>
                <w:rFonts w:eastAsia="SimSun;宋体"/>
              </w:rPr>
            </w:pPr>
            <w:r>
              <w:rPr>
                <w:rFonts w:eastAsia="SimSun;宋体"/>
              </w:rPr>
              <w:t>Measurement resources</w:t>
            </w:r>
          </w:p>
          <w:p>
            <w:pPr>
              <w:numPr>
                <w:ilvl w:val="1"/>
                <w:numId w:val="3"/>
              </w:numPr>
              <w:rPr>
                <w:rFonts w:eastAsia="SimSun;宋体"/>
              </w:rPr>
            </w:pPr>
            <w:r>
              <w:rPr>
                <w:rFonts w:eastAsia="SimSun;宋体"/>
              </w:rPr>
              <w:t>Periodic, semi-persistent, or aperiodic measurement resource (set) i.e., SRS-RSRP resource or CLI-RSSI resource or CLI-IMR</w:t>
            </w:r>
          </w:p>
          <w:p>
            <w:pPr>
              <w:numPr>
                <w:ilvl w:val="0"/>
                <w:numId w:val="3"/>
              </w:numPr>
              <w:rPr>
                <w:rFonts w:eastAsia="SimSun;宋体"/>
              </w:rPr>
            </w:pPr>
            <w:r>
              <w:rPr>
                <w:rFonts w:eastAsia="SimSun;宋体"/>
              </w:rPr>
              <w:t>Measurement reporting</w:t>
            </w:r>
          </w:p>
          <w:p>
            <w:pPr>
              <w:numPr>
                <w:ilvl w:val="1"/>
                <w:numId w:val="3"/>
              </w:numPr>
              <w:rPr>
                <w:rFonts w:eastAsia="SimSun;宋体"/>
              </w:rPr>
            </w:pPr>
            <w:r>
              <w:rPr>
                <w:rFonts w:eastAsia="SimSun;宋体"/>
              </w:rPr>
              <w:t xml:space="preserve">Periodic, semi-persistent or aperiodic reporting on PUCCH/PUSCH </w:t>
            </w:r>
          </w:p>
          <w:p>
            <w:pPr>
              <w:numPr>
                <w:ilvl w:val="1"/>
                <w:numId w:val="3"/>
              </w:numPr>
              <w:rPr>
                <w:rFonts w:eastAsia="SimSun;宋体"/>
              </w:rPr>
            </w:pPr>
            <w:r>
              <w:rPr>
                <w:rFonts w:eastAsia="SimSun;宋体"/>
              </w:rPr>
              <w:t>New report quantities: e.g. L1-SRS-RSRP, L1-CLI-RSSI and/or RS indexes</w:t>
            </w:r>
          </w:p>
          <w:p>
            <w:pPr>
              <w:numPr>
                <w:ilvl w:val="1"/>
                <w:numId w:val="3"/>
              </w:numPr>
              <w:rPr>
                <w:rFonts w:eastAsia="SimSun;宋体"/>
              </w:rPr>
            </w:pPr>
            <w:r>
              <w:rPr>
                <w:rFonts w:eastAsia="SimSun;宋体"/>
              </w:rPr>
              <w:t xml:space="preserve">UCI bits generation </w:t>
            </w:r>
          </w:p>
          <w:p>
            <w:pPr>
              <w:numPr>
                <w:ilvl w:val="1"/>
                <w:numId w:val="3"/>
              </w:numPr>
              <w:rPr>
                <w:rFonts w:eastAsia="SimSun;宋体"/>
              </w:rPr>
            </w:pPr>
            <w:r>
              <w:rPr>
                <w:rFonts w:eastAsia="SimSun;宋体"/>
              </w:rPr>
              <w:t xml:space="preserve">UCI omission rule </w:t>
            </w:r>
          </w:p>
          <w:p>
            <w:pPr>
              <w:numPr>
                <w:ilvl w:val="1"/>
                <w:numId w:val="3"/>
              </w:numPr>
              <w:rPr>
                <w:rFonts w:eastAsia="SimSun;宋体"/>
              </w:rPr>
            </w:pPr>
            <w:r>
              <w:rPr>
                <w:rFonts w:eastAsia="SimSun;宋体"/>
              </w:rPr>
              <w:t>Priority rules for multiple CSI reporting</w:t>
            </w:r>
          </w:p>
          <w:p>
            <w:pPr>
              <w:numPr>
                <w:ilvl w:val="1"/>
                <w:numId w:val="3"/>
              </w:numPr>
              <w:rPr>
                <w:rFonts w:eastAsia="SimSun;宋体"/>
              </w:rPr>
            </w:pPr>
            <w:r>
              <w:rPr>
                <w:rFonts w:eastAsia="SimSun;宋体"/>
              </w:rPr>
              <w:t>CSI processing unit and CPU occupation rule</w:t>
            </w:r>
          </w:p>
          <w:p>
            <w:pPr>
              <w:numPr>
                <w:ilvl w:val="1"/>
                <w:numId w:val="3"/>
              </w:numPr>
              <w:rPr>
                <w:rFonts w:eastAsia="SimSun;宋体"/>
              </w:rPr>
            </w:pPr>
            <w:r>
              <w:rPr>
                <w:rFonts w:eastAsia="SimSun;宋体"/>
              </w:rPr>
              <w:t>Timeline and related UE behaviors</w:t>
            </w:r>
          </w:p>
          <w:p>
            <w:pPr>
              <w:numPr>
                <w:ilvl w:val="1"/>
                <w:numId w:val="3"/>
              </w:numPr>
              <w:rPr>
                <w:rFonts w:eastAsia="SimSun;宋体"/>
              </w:rPr>
            </w:pPr>
            <w:r>
              <w:rPr>
                <w:rFonts w:eastAsia="SimSun;宋体"/>
              </w:rPr>
              <w:t>CSI measurement procedure integrating CLI measurement</w:t>
            </w:r>
          </w:p>
          <w:p>
            <w:pPr>
              <w:numPr>
                <w:ilvl w:val="0"/>
                <w:numId w:val="3"/>
              </w:numPr>
              <w:rPr>
                <w:rFonts w:eastAsia="SimSun;宋体"/>
              </w:rPr>
            </w:pPr>
            <w:r>
              <w:rPr>
                <w:rFonts w:eastAsia="SimSun;宋体"/>
              </w:rPr>
              <w:t>CLI measurement accuracy requirement [RAN4]</w:t>
            </w:r>
          </w:p>
          <w:p>
            <w:pPr>
              <w:bidi w:val="0"/>
              <w:spacing w:before="0" w:beforeAutospacing="0" w:after="160" w:afterAutospacing="0" w:line="276" w:lineRule="auto"/>
              <w:ind w:left="0" w:right="0" w:firstLine="0"/>
              <w:jc w:val="both"/>
              <w:rPr>
                <w:rFonts w:ascii="Times New Roman" w:hAnsi="Times New Roman" w:eastAsia="SimSun;宋体" w:cs="Times New Roman"/>
                <w:color w:val="auto"/>
                <w:kern w:val="0"/>
                <w:sz w:val="20"/>
                <w:szCs w:val="20"/>
                <w:lang w:val="en-US" w:eastAsia="en-US" w:bidi="ar-SA"/>
              </w:rPr>
            </w:pPr>
            <w:r>
              <w:rPr>
                <w:rFonts w:eastAsia="SimSun;宋体" w:cs="Times New Roman"/>
                <w:b w:val="0"/>
                <w:bCs w:val="0"/>
                <w:color w:val="auto"/>
                <w:kern w:val="0"/>
                <w:sz w:val="20"/>
                <w:szCs w:val="20"/>
                <w:lang w:val="en-US" w:eastAsia="en-US" w:bidi="ar-SA"/>
              </w:rPr>
              <w:t>Note: The new measurements on CLI-IMR are included in the interference measurement term for the existing report quantities, i.e., CQI, L1-SINR.</w:t>
            </w:r>
          </w:p>
        </w:tc>
      </w:tr>
    </w:tbl>
    <w:p>
      <w:pPr>
        <w:bidi w:val="0"/>
        <w:spacing w:before="0" w:after="160" w:line="276" w:lineRule="auto"/>
        <w:jc w:val="both"/>
      </w:pPr>
      <w:r>
        <w:rPr>
          <w:rStyle w:val="16"/>
          <w:rFonts w:eastAsia="Times New Roman" w:cs="Times New Roman"/>
          <w:b w:val="0"/>
          <w:bCs w:val="0"/>
          <w:i w:val="0"/>
          <w:iCs w:val="0"/>
          <w:caps w:val="0"/>
          <w:smallCaps w:val="0"/>
          <w:strike w:val="0"/>
          <w:dstrike w:val="0"/>
          <w:color w:val="auto"/>
          <w:spacing w:val="0"/>
          <w:kern w:val="0"/>
          <w:sz w:val="20"/>
          <w:szCs w:val="20"/>
          <w:u w:val="none"/>
          <w:lang w:val="en-US" w:eastAsia="ko-KR" w:bidi="ar-SA"/>
        </w:rPr>
        <w:t>To capture the short term CLI with minimal latency, L1 based UE-to-UE CLI measurement and reporting should be sufficient. This will allow the gNB to dynamically schedule UEs for inter-UE CLI reduction. When it comes to L3 measurement and reporting the UE and gNB sides will experience an increase in measurement and reporting latency. Therefore, the network is unable to keep track of the instantaneous CLI. Furthermore, an L1-based UE-to-UE CLI measurement and reporting procedure can be developed with the current CSI framework as a baseline, reducing specification implications yet providing the benefits of L1-based UE-to-UE CLI measurement and reporting.</w:t>
      </w:r>
    </w:p>
    <w:p>
      <w:pPr>
        <w:suppressAutoHyphens/>
        <w:bidi w:val="0"/>
        <w:spacing w:before="0" w:after="0" w:line="276" w:lineRule="auto"/>
        <w:ind w:left="0" w:firstLine="0"/>
        <w:jc w:val="both"/>
        <w:rPr>
          <w:rFonts w:ascii="Times New Roman" w:hAnsi="Times New Roman" w:eastAsia="Times New Roman" w:cs="Times New Roman"/>
          <w:b w:val="0"/>
          <w:bCs w:val="0"/>
          <w:i w:val="0"/>
          <w:iCs w:val="0"/>
          <w:sz w:val="24"/>
          <w:szCs w:val="24"/>
          <w:lang w:val="en-US"/>
        </w:rPr>
      </w:pPr>
    </w:p>
    <w:p>
      <w:pPr>
        <w:pStyle w:val="45"/>
        <w:numPr>
          <w:ilvl w:val="0"/>
          <w:numId w:val="6"/>
        </w:numPr>
        <w:bidi w:val="0"/>
        <w:spacing w:before="0" w:after="160" w:line="276" w:lineRule="auto"/>
        <w:contextualSpacing/>
      </w:pPr>
      <w:r>
        <w:rPr>
          <w:rStyle w:val="16"/>
          <w:rFonts w:ascii="Times New Roman" w:hAnsi="Times New Roman" w:eastAsia="Malgun Gothic" w:cs="Times New Roman"/>
          <w:b/>
          <w:bCs/>
          <w:i w:val="0"/>
          <w:iCs w:val="0"/>
          <w:caps w:val="0"/>
          <w:smallCaps w:val="0"/>
          <w:strike w:val="0"/>
          <w:dstrike w:val="0"/>
          <w:color w:val="auto"/>
          <w:spacing w:val="0"/>
          <w:kern w:val="0"/>
          <w:sz w:val="20"/>
          <w:szCs w:val="20"/>
          <w:u w:val="none"/>
          <w:lang w:val="en-US" w:eastAsia="ko-KR" w:bidi="ar-SA"/>
        </w:rPr>
        <w:t>CSI Framework based measurement and reporting</w:t>
      </w:r>
    </w:p>
    <w:p>
      <w:pPr>
        <w:bidi w:val="0"/>
        <w:spacing w:before="0" w:after="160" w:line="276" w:lineRule="auto"/>
        <w:jc w:val="both"/>
      </w:pPr>
      <w:r>
        <w:rPr>
          <w:rStyle w:val="16"/>
          <w:rFonts w:eastAsia="Times New Roman" w:cs="Times New Roman"/>
          <w:b w:val="0"/>
          <w:bCs w:val="0"/>
          <w:i w:val="0"/>
          <w:iCs w:val="0"/>
          <w:caps w:val="0"/>
          <w:smallCaps w:val="0"/>
          <w:strike w:val="0"/>
          <w:dstrike w:val="0"/>
          <w:color w:val="auto"/>
          <w:spacing w:val="0"/>
          <w:kern w:val="0"/>
          <w:sz w:val="20"/>
          <w:szCs w:val="20"/>
          <w:u w:val="none"/>
          <w:lang w:val="en-US" w:eastAsia="ko-KR" w:bidi="ar-SA"/>
        </w:rPr>
        <w:t xml:space="preserve">In this case, the measurement and reporting framework for CLI is similar to the existing CSI framework. The gNB configures the UE with L1 based periodic or aperiodic CLI measurement resources and explicitly informs the UE to report measured RSRP/RSSI or any other CLI metric like L1-RSRP. </w:t>
      </w:r>
    </w:p>
    <w:p>
      <w:pPr>
        <w:bidi w:val="0"/>
        <w:spacing w:before="0" w:after="160" w:line="276" w:lineRule="auto"/>
        <w:jc w:val="both"/>
      </w:pPr>
      <w:r>
        <w:rPr>
          <w:rStyle w:val="16"/>
          <w:rFonts w:eastAsia="Times New Roman" w:cs="Times New Roman"/>
          <w:b w:val="0"/>
          <w:bCs w:val="0"/>
          <w:i w:val="0"/>
          <w:iCs w:val="0"/>
          <w:caps w:val="0"/>
          <w:smallCaps w:val="0"/>
          <w:strike w:val="0"/>
          <w:dstrike w:val="0"/>
          <w:color w:val="auto"/>
          <w:spacing w:val="0"/>
          <w:kern w:val="0"/>
          <w:sz w:val="20"/>
          <w:szCs w:val="20"/>
          <w:u w:val="none"/>
          <w:lang w:val="en-US" w:eastAsia="ko-KR" w:bidi="ar-SA"/>
        </w:rPr>
        <w:t xml:space="preserve">The report can be periodic and aperiodic. This is informed by the gNB. In our view, there is no need for semi-persistent reporting as well for CLI. This is because periodic and aperiodic reporting can be sufficient for handling CLI and specification impact can be reduced. </w:t>
      </w:r>
    </w:p>
    <w:p>
      <w:pPr>
        <w:pStyle w:val="45"/>
        <w:numPr>
          <w:ilvl w:val="0"/>
          <w:numId w:val="7"/>
        </w:numPr>
        <w:bidi w:val="0"/>
        <w:spacing w:before="0" w:after="160" w:line="276" w:lineRule="auto"/>
        <w:contextualSpacing/>
        <w:jc w:val="both"/>
      </w:pPr>
      <w:r>
        <w:rPr>
          <w:rStyle w:val="16"/>
          <w:rFonts w:ascii="Times New Roman" w:hAnsi="Times New Roman" w:eastAsia="Times New Roman" w:cs="Times New Roman"/>
          <w:b w:val="0"/>
          <w:bCs w:val="0"/>
          <w:i w:val="0"/>
          <w:iCs w:val="0"/>
          <w:caps w:val="0"/>
          <w:smallCaps w:val="0"/>
          <w:strike w:val="0"/>
          <w:dstrike w:val="0"/>
          <w:color w:val="auto"/>
          <w:spacing w:val="0"/>
          <w:kern w:val="0"/>
          <w:sz w:val="20"/>
          <w:szCs w:val="20"/>
          <w:u w:val="none"/>
          <w:lang w:val="en-US" w:eastAsia="ko-KR" w:bidi="ar-SA"/>
        </w:rPr>
        <w:t>For periodic report, the UE is expected to report RSRP/RSSI periodically according to the parameters given by the gNB for periodic reporting. The UL resources for sending the report are configured by the gNB to UE. The UE sends the report in configured PUCCH resources.</w:t>
      </w:r>
    </w:p>
    <w:p>
      <w:pPr>
        <w:pStyle w:val="45"/>
        <w:numPr>
          <w:ilvl w:val="0"/>
          <w:numId w:val="7"/>
        </w:numPr>
        <w:bidi w:val="0"/>
        <w:spacing w:before="0" w:after="160" w:line="276" w:lineRule="auto"/>
        <w:contextualSpacing/>
        <w:jc w:val="both"/>
        <w:rPr>
          <w:rStyle w:val="16"/>
          <w:rFonts w:ascii="Times New Roman" w:hAnsi="Times New Roman" w:eastAsia="Times New Roman" w:cs="Times New Roman"/>
          <w:b w:val="0"/>
          <w:bCs w:val="0"/>
          <w:i w:val="0"/>
          <w:iCs w:val="0"/>
          <w:caps w:val="0"/>
          <w:smallCaps w:val="0"/>
          <w:strike w:val="0"/>
          <w:dstrike w:val="0"/>
          <w:color w:val="auto"/>
          <w:sz w:val="20"/>
          <w:szCs w:val="20"/>
          <w:u w:val="none"/>
          <w:lang w:val="en-GB" w:eastAsia="ko-KR" w:bidi="ar-SA"/>
        </w:rPr>
      </w:pPr>
      <w:r>
        <w:rPr>
          <w:rStyle w:val="16"/>
          <w:rFonts w:ascii="Times New Roman" w:hAnsi="Times New Roman" w:eastAsia="Times New Roman" w:cs="Times New Roman"/>
          <w:b w:val="0"/>
          <w:bCs w:val="0"/>
          <w:i w:val="0"/>
          <w:iCs w:val="0"/>
          <w:caps w:val="0"/>
          <w:smallCaps w:val="0"/>
          <w:strike w:val="0"/>
          <w:dstrike w:val="0"/>
          <w:color w:val="auto"/>
          <w:spacing w:val="0"/>
          <w:kern w:val="0"/>
          <w:sz w:val="20"/>
          <w:szCs w:val="20"/>
          <w:u w:val="none"/>
          <w:lang w:val="en-GB" w:eastAsia="ko-KR" w:bidi="ar-SA"/>
        </w:rPr>
        <w:t>For aperiodic report, the UE is expected to report RSRP/RSSI when asked by the gNB using DCI. The UL resources for sending the report are provided by the gNB.  The UE sends the report in configured PUSCH resources.</w:t>
      </w:r>
    </w:p>
    <w:p>
      <w:pPr>
        <w:bidi w:val="0"/>
        <w:spacing w:before="0" w:after="160" w:line="276" w:lineRule="auto"/>
        <w:ind w:left="0" w:firstLine="0"/>
        <w:contextualSpacing/>
        <w:jc w:val="both"/>
      </w:pPr>
      <w:r>
        <w:rPr>
          <w:rFonts w:eastAsia="Times New Roman" w:cs="Times New Roman"/>
          <w:sz w:val="20"/>
          <w:szCs w:val="20"/>
          <w:lang w:val="en-US"/>
        </w:rPr>
        <w:t>Alt. 1 gives the provision to measure and report CLI explicitly. Also, it allows to identify aggressor UEs since RSRP can be measured and reported. Thus, it as our preferred option. However, we remain open to discussing Alt. 2 as well. It's worth noting that Alt. 3 incorporates elements from both Alt. 1 and Alt. 2, making it a comprehensive solution. Therefore, we are inclined to support Alternate 3 in order to leverage the benefits offered by the combination of both alternatives.</w:t>
      </w:r>
    </w:p>
    <w:p>
      <w:pPr>
        <w:bidi w:val="0"/>
        <w:spacing w:before="0" w:after="160" w:line="276" w:lineRule="auto"/>
        <w:ind w:left="0" w:firstLine="0"/>
        <w:contextualSpacing/>
        <w:jc w:val="both"/>
        <w:rPr>
          <w:rFonts w:ascii="Times New Roman" w:hAnsi="Times New Roman" w:eastAsia="Times New Roman" w:cs="Times New Roman"/>
          <w:sz w:val="20"/>
          <w:szCs w:val="20"/>
          <w:lang w:val="en-US"/>
        </w:rPr>
      </w:pPr>
    </w:p>
    <w:p>
      <w:pPr>
        <w:suppressAutoHyphens/>
        <w:bidi w:val="0"/>
        <w:spacing w:before="0" w:after="0" w:line="276" w:lineRule="auto"/>
        <w:ind w:left="0" w:firstLine="0"/>
        <w:jc w:val="both"/>
        <w:rPr>
          <w:rFonts w:ascii="Times New Roman" w:hAnsi="Times New Roman" w:eastAsia="Times New Roman" w:cs="Times New Roman"/>
          <w:b w:val="0"/>
          <w:bCs w:val="0"/>
          <w:i w:val="0"/>
          <w:iCs w:val="0"/>
          <w:sz w:val="24"/>
          <w:szCs w:val="24"/>
          <w:lang w:val="en-US"/>
        </w:rPr>
      </w:pPr>
      <w:r>
        <w:rPr>
          <w:rStyle w:val="16"/>
          <w:rFonts w:eastAsia="Malgun Gothic" w:cs="Times New Roman"/>
          <w:b/>
          <w:bCs/>
          <w:i w:val="0"/>
          <w:iCs w:val="0"/>
          <w:caps w:val="0"/>
          <w:smallCaps w:val="0"/>
          <w:strike w:val="0"/>
          <w:dstrike w:val="0"/>
          <w:color w:val="auto"/>
          <w:spacing w:val="0"/>
          <w:kern w:val="0"/>
          <w:sz w:val="20"/>
          <w:szCs w:val="20"/>
          <w:u w:val="none"/>
          <w:lang w:val="en-US" w:eastAsia="ko-KR" w:bidi="ar-SA"/>
        </w:rPr>
        <w:t xml:space="preserve">Observation 6: Alt. 1 </w:t>
      </w:r>
      <w:r>
        <w:rPr>
          <w:rStyle w:val="16"/>
          <w:rFonts w:eastAsia="Times New Roman" w:cs="Times New Roman"/>
          <w:b/>
          <w:bCs/>
          <w:i w:val="0"/>
          <w:iCs w:val="0"/>
          <w:caps w:val="0"/>
          <w:smallCaps w:val="0"/>
          <w:strike w:val="0"/>
          <w:dstrike w:val="0"/>
          <w:color w:val="auto"/>
          <w:spacing w:val="0"/>
          <w:kern w:val="0"/>
          <w:sz w:val="20"/>
          <w:szCs w:val="20"/>
          <w:u w:val="none"/>
          <w:lang w:val="en-US" w:eastAsia="ko-KR" w:bidi="ar-SA"/>
        </w:rPr>
        <w:t>gives the provision to measure and report CLI explicitly. Also, it allows to identify aggressor UEs since RSRP can be measured and reported.  Alt. 3 incorporates elements from both Alt. 1 and Alt. 2.</w:t>
      </w:r>
    </w:p>
    <w:p>
      <w:pPr>
        <w:bidi w:val="0"/>
        <w:spacing w:before="0" w:after="160" w:line="276" w:lineRule="auto"/>
        <w:ind w:left="0" w:firstLine="0"/>
        <w:contextualSpacing/>
        <w:jc w:val="both"/>
        <w:rPr>
          <w:rFonts w:ascii="Times New Roman" w:hAnsi="Times New Roman" w:eastAsia="Times New Roman" w:cs="Times New Roman"/>
          <w:sz w:val="20"/>
          <w:szCs w:val="20"/>
          <w:lang w:val="en-US"/>
        </w:rPr>
      </w:pPr>
    </w:p>
    <w:p>
      <w:pPr>
        <w:bidi w:val="0"/>
        <w:spacing w:before="0" w:after="160" w:line="276" w:lineRule="auto"/>
        <w:ind w:left="0" w:firstLine="0"/>
        <w:contextualSpacing/>
        <w:jc w:val="both"/>
        <w:rPr>
          <w:rFonts w:ascii="Times New Roman" w:hAnsi="Times New Roman" w:eastAsia="Times New Roman" w:cs="Times New Roman"/>
          <w:b/>
          <w:bCs/>
          <w:sz w:val="20"/>
          <w:szCs w:val="20"/>
          <w:lang w:val="en-US"/>
        </w:rPr>
      </w:pPr>
      <w:r>
        <w:rPr>
          <w:rFonts w:eastAsia="Times New Roman" w:cs="Times New Roman"/>
          <w:b/>
          <w:bCs/>
          <w:sz w:val="20"/>
          <w:szCs w:val="20"/>
          <w:lang w:val="en-US"/>
        </w:rPr>
        <w:t xml:space="preserve">Proposal 6: </w:t>
      </w:r>
      <w:r>
        <w:rPr>
          <w:rFonts w:eastAsia="SimSun;宋体" w:cs="Times New Roman"/>
          <w:b/>
          <w:bCs/>
          <w:color w:val="auto"/>
          <w:kern w:val="0"/>
          <w:sz w:val="20"/>
          <w:szCs w:val="20"/>
          <w:lang w:val="en-US" w:eastAsia="en-US" w:bidi="ar-SA"/>
        </w:rPr>
        <w:t>For</w:t>
      </w:r>
      <w:r>
        <w:rPr>
          <w:rFonts w:eastAsia="SimSun;宋体" w:cs="Times New Roman"/>
          <w:b/>
          <w:bCs/>
          <w:sz w:val="20"/>
          <w:szCs w:val="20"/>
          <w:lang w:val="en-US"/>
        </w:rPr>
        <w:t xml:space="preserve"> L1 based UE-to-UE CLI measurement and reporting based on existing CSI framework, d</w:t>
      </w:r>
      <w:r>
        <w:rPr>
          <w:rFonts w:eastAsia="Times New Roman" w:cs="Times New Roman"/>
          <w:b/>
          <w:bCs/>
          <w:sz w:val="20"/>
          <w:szCs w:val="20"/>
          <w:lang w:val="en-US"/>
        </w:rPr>
        <w:t>ownselect Alt.3.</w:t>
      </w:r>
    </w:p>
    <w:p>
      <w:pPr>
        <w:bidi w:val="0"/>
        <w:spacing w:before="0" w:after="160" w:line="276" w:lineRule="auto"/>
        <w:ind w:left="0" w:firstLine="0"/>
        <w:contextualSpacing/>
        <w:jc w:val="both"/>
        <w:rPr>
          <w:rFonts w:ascii="Times New Roman" w:hAnsi="Times New Roman" w:eastAsia="Times New Roman" w:cs="Times New Roman"/>
          <w:b/>
          <w:bCs/>
          <w:sz w:val="20"/>
          <w:szCs w:val="20"/>
          <w:lang w:val="en-US"/>
        </w:rPr>
      </w:pPr>
    </w:p>
    <w:p>
      <w:pPr>
        <w:bidi w:val="0"/>
        <w:spacing w:before="0" w:after="160" w:line="276" w:lineRule="auto"/>
        <w:ind w:left="0" w:firstLine="0"/>
        <w:contextualSpacing/>
        <w:jc w:val="both"/>
        <w:rPr>
          <w:b w:val="0"/>
          <w:bCs w:val="0"/>
        </w:rPr>
      </w:pPr>
      <w:r>
        <w:rPr>
          <w:rFonts w:eastAsia="Times New Roman" w:cs="Times New Roman"/>
          <w:b w:val="0"/>
          <w:bCs w:val="0"/>
          <w:sz w:val="20"/>
          <w:szCs w:val="20"/>
          <w:lang w:val="en-US"/>
        </w:rPr>
        <w:t xml:space="preserve">Further, the following conclusion was agreed in the previous meeting. </w:t>
      </w:r>
    </w:p>
    <w:tbl>
      <w:tblPr>
        <w:tblStyle w:val="12"/>
        <w:tblW w:w="9070" w:type="dxa"/>
        <w:tblInd w:w="0" w:type="dxa"/>
        <w:tblLayout w:type="autofit"/>
        <w:tblCellMar>
          <w:top w:w="55" w:type="dxa"/>
          <w:left w:w="55" w:type="dxa"/>
          <w:bottom w:w="55" w:type="dxa"/>
          <w:right w:w="55" w:type="dxa"/>
        </w:tblCellMar>
      </w:tblPr>
      <w:tblGrid>
        <w:gridCol w:w="9070"/>
      </w:tblGrid>
      <w:tr>
        <w:tblPrEx>
          <w:tblCellMar>
            <w:top w:w="55" w:type="dxa"/>
            <w:left w:w="55" w:type="dxa"/>
            <w:bottom w:w="55" w:type="dxa"/>
            <w:right w:w="55" w:type="dxa"/>
          </w:tblCellMar>
        </w:tblPrEx>
        <w:tc>
          <w:tcPr>
            <w:tcW w:w="9070" w:type="dxa"/>
            <w:tcBorders>
              <w:top w:val="single" w:color="000000" w:sz="2" w:space="0"/>
              <w:left w:val="single" w:color="000000" w:sz="2" w:space="0"/>
              <w:bottom w:val="single" w:color="000000" w:sz="2" w:space="0"/>
              <w:right w:val="single" w:color="000000" w:sz="2" w:space="0"/>
            </w:tcBorders>
          </w:tcPr>
          <w:p>
            <w:pPr>
              <w:suppressAutoHyphens/>
              <w:rPr>
                <w:rFonts w:eastAsia="SimSun;宋体"/>
                <w:b/>
              </w:rPr>
            </w:pPr>
            <w:r>
              <w:rPr>
                <w:rFonts w:eastAsia="SimSun;宋体"/>
                <w:b/>
              </w:rPr>
              <w:t>Conclusion</w:t>
            </w:r>
          </w:p>
          <w:p>
            <w:pPr>
              <w:suppressAutoHyphens/>
              <w:bidi w:val="0"/>
              <w:spacing w:before="0" w:after="160" w:line="276" w:lineRule="auto"/>
              <w:ind w:left="0" w:firstLine="0"/>
            </w:pPr>
            <w:r>
              <w:rPr>
                <w:rStyle w:val="16"/>
                <w:rFonts w:eastAsia="Times New Roman" w:cs="Times New Roman"/>
                <w:b w:val="0"/>
                <w:bCs w:val="0"/>
                <w:i w:val="0"/>
                <w:iCs w:val="0"/>
                <w:caps w:val="0"/>
                <w:smallCaps w:val="0"/>
                <w:strike w:val="0"/>
                <w:dstrike w:val="0"/>
                <w:color w:val="auto"/>
                <w:spacing w:val="0"/>
                <w:kern w:val="0"/>
                <w:sz w:val="20"/>
                <w:szCs w:val="20"/>
                <w:u w:val="none"/>
                <w:lang w:val="en-US" w:eastAsia="en-US" w:bidi="ar-SA"/>
              </w:rPr>
              <w:t>L1 based UE-to-UE CLI measurement and reporting based on event triggered based reporting are not considered for UE-to-UE CLI handling in Rel-19.</w:t>
            </w:r>
          </w:p>
        </w:tc>
      </w:tr>
    </w:tbl>
    <w:p>
      <w:pPr>
        <w:suppressAutoHyphens/>
        <w:rPr>
          <w:rFonts w:eastAsia="SimSun;宋体"/>
          <w:b/>
        </w:rPr>
      </w:pPr>
    </w:p>
    <w:p>
      <w:pPr>
        <w:suppressAutoHyphens/>
        <w:rPr>
          <w:rFonts w:eastAsia="SimSun;宋体"/>
          <w:b/>
        </w:rPr>
      </w:pPr>
      <w:r>
        <w:rPr>
          <w:rStyle w:val="16"/>
          <w:rFonts w:eastAsia="Times New Roman" w:cs="Times New Roman"/>
          <w:b w:val="0"/>
          <w:bCs w:val="0"/>
          <w:i w:val="0"/>
          <w:iCs w:val="0"/>
          <w:caps w:val="0"/>
          <w:smallCaps w:val="0"/>
          <w:strike w:val="0"/>
          <w:dstrike w:val="0"/>
          <w:color w:val="auto"/>
          <w:spacing w:val="0"/>
          <w:kern w:val="0"/>
          <w:sz w:val="20"/>
          <w:szCs w:val="20"/>
          <w:u w:val="none"/>
          <w:lang w:val="en-US" w:eastAsia="en-US" w:bidi="ar-SA"/>
        </w:rPr>
        <w:t>Also, the following was proposed in the previous meeting.</w:t>
      </w:r>
    </w:p>
    <w:tbl>
      <w:tblPr>
        <w:tblStyle w:val="12"/>
        <w:tblW w:w="9070" w:type="dxa"/>
        <w:tblInd w:w="0" w:type="dxa"/>
        <w:tblLayout w:type="autofit"/>
        <w:tblCellMar>
          <w:top w:w="55" w:type="dxa"/>
          <w:left w:w="55" w:type="dxa"/>
          <w:bottom w:w="55" w:type="dxa"/>
          <w:right w:w="55" w:type="dxa"/>
        </w:tblCellMar>
      </w:tblPr>
      <w:tblGrid>
        <w:gridCol w:w="9070"/>
      </w:tblGrid>
      <w:tr>
        <w:tblPrEx>
          <w:tblCellMar>
            <w:top w:w="55" w:type="dxa"/>
            <w:left w:w="55" w:type="dxa"/>
            <w:bottom w:w="55" w:type="dxa"/>
            <w:right w:w="55" w:type="dxa"/>
          </w:tblCellMar>
        </w:tblPrEx>
        <w:tc>
          <w:tcPr>
            <w:tcW w:w="9070" w:type="dxa"/>
            <w:tcBorders>
              <w:top w:val="single" w:color="000000" w:sz="2" w:space="0"/>
              <w:left w:val="single" w:color="000000" w:sz="2" w:space="0"/>
              <w:bottom w:val="single" w:color="000000" w:sz="2" w:space="0"/>
              <w:right w:val="single" w:color="000000" w:sz="2" w:space="0"/>
            </w:tcBorders>
          </w:tcPr>
          <w:p>
            <w:pPr>
              <w:suppressAutoHyphens/>
              <w:spacing w:before="0" w:after="156" w:line="240" w:lineRule="auto"/>
              <w:rPr>
                <w:b/>
                <w:bCs/>
              </w:rPr>
            </w:pPr>
            <w:r>
              <w:rPr>
                <w:rFonts w:eastAsia="SimSun" w:cs="Times New Roman"/>
                <w:b/>
                <w:bCs/>
                <w:sz w:val="20"/>
                <w:szCs w:val="20"/>
              </w:rPr>
              <w:t>Proposed Agreement</w:t>
            </w:r>
          </w:p>
          <w:p>
            <w:pPr>
              <w:suppressAutoHyphens/>
              <w:spacing w:before="0" w:after="156" w:line="240" w:lineRule="auto"/>
            </w:pPr>
            <w:r>
              <w:rPr>
                <w:rFonts w:eastAsia="SimSun" w:cs="Times New Roman"/>
                <w:sz w:val="20"/>
                <w:szCs w:val="20"/>
              </w:rPr>
              <w:t>If L2 based UE-to-UE CLI measurement and reporting based on event triggered based reporting are supported for UE-to-UE CLI handling, the following are recommended to be specified</w:t>
            </w:r>
          </w:p>
          <w:p>
            <w:pPr>
              <w:pStyle w:val="45"/>
              <w:numPr>
                <w:ilvl w:val="0"/>
                <w:numId w:val="4"/>
              </w:numPr>
              <w:spacing w:before="0" w:after="156" w:line="240" w:lineRule="auto"/>
            </w:pPr>
            <w:r>
              <w:rPr>
                <w:sz w:val="20"/>
                <w:szCs w:val="20"/>
              </w:rPr>
              <w:t>Measurement resources</w:t>
            </w:r>
          </w:p>
          <w:p>
            <w:pPr>
              <w:pStyle w:val="45"/>
              <w:numPr>
                <w:ilvl w:val="1"/>
                <w:numId w:val="4"/>
              </w:numPr>
              <w:spacing w:before="0" w:after="156" w:line="240" w:lineRule="auto"/>
            </w:pPr>
            <w:r>
              <w:rPr>
                <w:sz w:val="20"/>
                <w:szCs w:val="20"/>
              </w:rPr>
              <w:t>Periodic or semi-persistent measurement resource, i.e., SRS or CLI-RSSI resource</w:t>
            </w:r>
          </w:p>
          <w:p>
            <w:pPr>
              <w:pStyle w:val="45"/>
              <w:numPr>
                <w:ilvl w:val="0"/>
                <w:numId w:val="4"/>
              </w:numPr>
              <w:spacing w:before="0" w:after="156" w:line="240" w:lineRule="auto"/>
            </w:pPr>
            <w:r>
              <w:rPr>
                <w:sz w:val="20"/>
                <w:szCs w:val="20"/>
              </w:rPr>
              <w:t>Measurement reporting</w:t>
            </w:r>
          </w:p>
          <w:p>
            <w:pPr>
              <w:pStyle w:val="45"/>
              <w:numPr>
                <w:ilvl w:val="1"/>
                <w:numId w:val="4"/>
              </w:numPr>
              <w:spacing w:before="0" w:after="156" w:line="240" w:lineRule="auto"/>
            </w:pPr>
            <w:r>
              <w:rPr>
                <w:sz w:val="20"/>
                <w:szCs w:val="20"/>
              </w:rPr>
              <w:t>Definition and configuration of triggering conditions for CLI reporting</w:t>
            </w:r>
          </w:p>
          <w:p>
            <w:pPr>
              <w:pStyle w:val="45"/>
              <w:numPr>
                <w:ilvl w:val="1"/>
                <w:numId w:val="4"/>
              </w:numPr>
              <w:spacing w:before="0" w:after="156" w:line="240" w:lineRule="auto"/>
            </w:pPr>
            <w:r>
              <w:rPr>
                <w:sz w:val="20"/>
                <w:szCs w:val="20"/>
              </w:rPr>
              <w:t>CLI reporting quantities, e.g., SRS-RSRP, CLI-RSSI, RS indexes</w:t>
            </w:r>
          </w:p>
          <w:p>
            <w:pPr>
              <w:pStyle w:val="45"/>
              <w:numPr>
                <w:ilvl w:val="0"/>
                <w:numId w:val="4"/>
              </w:numPr>
              <w:spacing w:before="0" w:after="156" w:line="240" w:lineRule="auto"/>
            </w:pPr>
            <w:r>
              <w:rPr>
                <w:sz w:val="20"/>
                <w:szCs w:val="20"/>
              </w:rPr>
              <w:t>Notification to the gNB about CLI measurement reporting</w:t>
            </w:r>
          </w:p>
          <w:p>
            <w:pPr>
              <w:pStyle w:val="45"/>
              <w:numPr>
                <w:ilvl w:val="0"/>
                <w:numId w:val="4"/>
              </w:numPr>
              <w:spacing w:before="0" w:after="156" w:line="240" w:lineRule="auto"/>
            </w:pPr>
            <w:r>
              <w:rPr>
                <w:sz w:val="20"/>
                <w:szCs w:val="20"/>
              </w:rPr>
              <w:t>MAC CE for CLI measurement report [RAN2]</w:t>
            </w:r>
          </w:p>
          <w:p>
            <w:pPr>
              <w:pStyle w:val="45"/>
              <w:numPr>
                <w:ilvl w:val="0"/>
                <w:numId w:val="4"/>
              </w:numPr>
              <w:spacing w:before="0" w:after="156" w:line="240" w:lineRule="auto"/>
            </w:pPr>
            <w:r>
              <w:rPr>
                <w:sz w:val="20"/>
                <w:szCs w:val="20"/>
              </w:rPr>
              <w:t>CLI measurement accuracy requirement [RAN4]</w:t>
            </w:r>
          </w:p>
        </w:tc>
      </w:tr>
    </w:tbl>
    <w:p>
      <w:pPr>
        <w:suppressAutoHyphens/>
        <w:spacing w:before="0" w:after="156" w:line="240" w:lineRule="auto"/>
        <w:rPr>
          <w:rFonts w:eastAsia="SimSun" w:cs="Times New Roman"/>
          <w:sz w:val="20"/>
          <w:szCs w:val="20"/>
        </w:rPr>
      </w:pPr>
    </w:p>
    <w:p>
      <w:pPr>
        <w:spacing w:before="0" w:beforeAutospacing="0" w:after="240" w:afterAutospacing="0"/>
        <w:jc w:val="both"/>
        <w:rPr>
          <w:rFonts w:ascii="Times New Roman" w:hAnsi="Times New Roman" w:eastAsia="Times New Roman" w:cs="Times New Roman"/>
          <w:sz w:val="20"/>
          <w:szCs w:val="20"/>
          <w:lang w:val="en-US"/>
        </w:rPr>
      </w:pPr>
      <w:r>
        <w:rPr>
          <w:rFonts w:eastAsia="Times New Roman" w:cs="Times New Roman"/>
          <w:color w:val="auto"/>
          <w:kern w:val="0"/>
          <w:sz w:val="20"/>
          <w:szCs w:val="20"/>
          <w:lang w:val="en-US" w:eastAsia="en-US" w:bidi="ar-SA"/>
        </w:rPr>
        <w:t xml:space="preserve">For </w:t>
      </w:r>
      <w:r>
        <w:rPr>
          <w:rFonts w:eastAsia="SimSun" w:cs="Times New Roman"/>
          <w:color w:val="auto"/>
          <w:kern w:val="0"/>
          <w:sz w:val="20"/>
          <w:szCs w:val="20"/>
          <w:lang w:val="en-US" w:eastAsia="en-US" w:bidi="ar-SA"/>
        </w:rPr>
        <w:t>L2 based UE-to-UE CLI measurement and reporting based on event triggered based reporting,</w:t>
      </w:r>
      <w:r>
        <w:rPr>
          <w:rFonts w:eastAsia="Times New Roman" w:cs="Times New Roman"/>
          <w:sz w:val="20"/>
          <w:szCs w:val="20"/>
          <w:lang w:val="en-US"/>
        </w:rPr>
        <w:t xml:space="preserve"> the UE reports L2 RSRP/RSSI only when the RSRP/RSSI value goes above the threshold condition which is configured by the gNB and the condition can be threshold RSSP/RSSI value. The UE can measure the CLI on periodic resources. Whenever the RSRP/RSSI goes above the given threshold, the UE is expected to report RSRP/RSSI according to the configuration given by the gNB. This information can be provided using RRC. Once the CLI level crosses the predefined threshold, the UE can send the scheduling request to gNB for reporting resources. Based on the request, the gNB allocates the necessary reporting resources to the UE. Subsequently, the UE utilizes these allocated resources to transmit the report. </w:t>
      </w:r>
    </w:p>
    <w:p>
      <w:pPr>
        <w:spacing w:before="240" w:beforeAutospacing="0" w:after="240" w:afterAutospacing="0"/>
        <w:rPr>
          <w:rFonts w:ascii="Times New Roman" w:hAnsi="Times New Roman" w:eastAsia="Times New Roman" w:cs="Times New Roman"/>
          <w:sz w:val="20"/>
          <w:szCs w:val="20"/>
          <w:lang w:val="en-US"/>
        </w:rPr>
      </w:pPr>
      <w:r>
        <w:rPr>
          <w:rFonts w:eastAsia="Times New Roman" w:cs="Times New Roman"/>
          <w:sz w:val="20"/>
          <w:szCs w:val="20"/>
          <w:lang w:val="en-US"/>
        </w:rPr>
        <w:t>Based on the above discussion, the following is proposed:</w:t>
      </w:r>
    </w:p>
    <w:p>
      <w:pPr>
        <w:spacing w:before="240" w:beforeAutospacing="0" w:after="240" w:afterAutospacing="0"/>
        <w:rPr>
          <w:rFonts w:ascii="Times New Roman" w:hAnsi="Times New Roman" w:eastAsia="Times New Roman" w:cs="Times New Roman"/>
          <w:b/>
          <w:bCs/>
          <w:sz w:val="20"/>
          <w:szCs w:val="20"/>
          <w:lang w:val="en-US"/>
        </w:rPr>
      </w:pPr>
      <w:r>
        <w:rPr>
          <w:rFonts w:eastAsia="Times New Roman" w:cs="Times New Roman"/>
          <w:b/>
          <w:bCs/>
          <w:sz w:val="20"/>
          <w:szCs w:val="20"/>
          <w:lang w:val="en-US"/>
        </w:rPr>
        <w:t>Proposal 7: Support L2 based event triggered UE-to-UE CLI measurement and reporting.</w:t>
      </w:r>
    </w:p>
    <w:p>
      <w:pPr>
        <w:pStyle w:val="45"/>
        <w:suppressAutoHyphens/>
        <w:spacing w:before="120" w:after="120" w:line="276" w:lineRule="auto"/>
        <w:ind w:left="0" w:firstLine="0"/>
      </w:pPr>
      <w:r>
        <w:rPr>
          <w:rStyle w:val="16"/>
          <w:rFonts w:ascii="Times New Roman" w:hAnsi="Times New Roman" w:eastAsia="Malgun Gothic" w:cs="Times New Roman"/>
          <w:b/>
          <w:bCs/>
          <w:i w:val="0"/>
          <w:caps w:val="0"/>
          <w:smallCaps w:val="0"/>
          <w:strike w:val="0"/>
          <w:dstrike w:val="0"/>
          <w:color w:val="auto"/>
          <w:spacing w:val="0"/>
          <w:kern w:val="0"/>
          <w:sz w:val="26"/>
          <w:szCs w:val="26"/>
          <w:u w:val="none"/>
          <w:lang w:val="en-US" w:eastAsia="ko-KR" w:bidi="ar-SA"/>
        </w:rPr>
        <w:t>2.4 Schemes specific for SBFD</w:t>
      </w:r>
    </w:p>
    <w:p>
      <w:pPr>
        <w:pStyle w:val="45"/>
        <w:suppressAutoHyphens/>
        <w:spacing w:before="120" w:after="120" w:line="276" w:lineRule="auto"/>
        <w:ind w:left="0" w:firstLine="0"/>
      </w:pPr>
      <w:r>
        <w:rPr>
          <w:rStyle w:val="16"/>
          <w:rFonts w:ascii="Times New Roman" w:hAnsi="Times New Roman" w:eastAsia="Times New Roman" w:cs="Times New Roman"/>
          <w:b w:val="0"/>
          <w:bCs w:val="0"/>
          <w:i w:val="0"/>
          <w:iCs w:val="0"/>
          <w:caps w:val="0"/>
          <w:smallCaps w:val="0"/>
          <w:strike w:val="0"/>
          <w:dstrike w:val="0"/>
          <w:color w:val="auto"/>
          <w:spacing w:val="0"/>
          <w:kern w:val="0"/>
          <w:sz w:val="20"/>
          <w:szCs w:val="20"/>
          <w:u w:val="none"/>
          <w:lang w:val="en-US" w:eastAsia="ko-KR" w:bidi="ar-SA"/>
        </w:rPr>
        <w:t>In the RAN1#116 meeting [3], the following was agreed.</w:t>
      </w:r>
    </w:p>
    <w:tbl>
      <w:tblPr>
        <w:tblStyle w:val="12"/>
        <w:tblW w:w="9070" w:type="dxa"/>
        <w:tblInd w:w="0" w:type="dxa"/>
        <w:tblLayout w:type="autofit"/>
        <w:tblCellMar>
          <w:top w:w="55" w:type="dxa"/>
          <w:left w:w="55" w:type="dxa"/>
          <w:bottom w:w="55" w:type="dxa"/>
          <w:right w:w="55" w:type="dxa"/>
        </w:tblCellMar>
      </w:tblPr>
      <w:tblGrid>
        <w:gridCol w:w="9070"/>
      </w:tblGrid>
      <w:tr>
        <w:tblPrEx>
          <w:tblCellMar>
            <w:top w:w="55" w:type="dxa"/>
            <w:left w:w="55" w:type="dxa"/>
            <w:bottom w:w="55" w:type="dxa"/>
            <w:right w:w="55" w:type="dxa"/>
          </w:tblCellMar>
        </w:tblPrEx>
        <w:tc>
          <w:tcPr>
            <w:tcW w:w="9070" w:type="dxa"/>
            <w:tcBorders>
              <w:top w:val="single" w:color="000000" w:sz="2" w:space="0"/>
              <w:left w:val="single" w:color="000000" w:sz="2" w:space="0"/>
              <w:bottom w:val="single" w:color="000000" w:sz="2" w:space="0"/>
              <w:right w:val="single" w:color="000000" w:sz="2" w:space="0"/>
            </w:tcBorders>
          </w:tcPr>
          <w:p>
            <w:pPr>
              <w:rPr>
                <w:b/>
                <w:highlight w:val="green"/>
              </w:rPr>
            </w:pPr>
            <w:r>
              <w:rPr>
                <w:b/>
                <w:highlight w:val="green"/>
              </w:rPr>
              <w:t>Agreement</w:t>
            </w:r>
          </w:p>
          <w:p>
            <w:pPr>
              <w:tabs>
                <w:tab w:val="left" w:pos="0"/>
              </w:tabs>
              <w:spacing w:before="0" w:after="0"/>
              <w:contextualSpacing/>
            </w:pPr>
            <w:r>
              <w:rPr>
                <w:rStyle w:val="16"/>
                <w:rFonts w:eastAsia="Times New Roman" w:cs="Times New Roman"/>
                <w:b w:val="0"/>
                <w:bCs w:val="0"/>
                <w:i w:val="0"/>
                <w:iCs w:val="0"/>
                <w:caps w:val="0"/>
                <w:smallCaps w:val="0"/>
                <w:strike w:val="0"/>
                <w:dstrike w:val="0"/>
                <w:color w:val="auto"/>
                <w:spacing w:val="0"/>
                <w:kern w:val="0"/>
                <w:sz w:val="20"/>
                <w:szCs w:val="20"/>
                <w:u w:val="none"/>
                <w:lang w:val="en-US" w:eastAsia="ko-KR" w:bidi="ar-SA"/>
              </w:rPr>
              <w:t>For SBFD aware UEs, CLI measurements is performed within the active DL BWP and the following can be considered</w:t>
            </w:r>
          </w:p>
          <w:p>
            <w:pPr>
              <w:pStyle w:val="45"/>
              <w:widowControl w:val="0"/>
              <w:numPr>
                <w:ilvl w:val="0"/>
                <w:numId w:val="8"/>
              </w:numPr>
              <w:suppressAutoHyphens/>
              <w:snapToGrid w:val="0"/>
            </w:pPr>
            <w:r>
              <w:rPr>
                <w:rStyle w:val="16"/>
                <w:rFonts w:ascii="Times New Roman" w:hAnsi="Times New Roman" w:eastAsia="Times New Roman" w:cs="Times New Roman"/>
                <w:b w:val="0"/>
                <w:bCs w:val="0"/>
                <w:i w:val="0"/>
                <w:iCs w:val="0"/>
                <w:caps w:val="0"/>
                <w:smallCaps w:val="0"/>
                <w:strike w:val="0"/>
                <w:dstrike w:val="0"/>
                <w:color w:val="auto"/>
                <w:spacing w:val="0"/>
                <w:kern w:val="0"/>
                <w:sz w:val="20"/>
                <w:szCs w:val="20"/>
                <w:u w:val="none"/>
                <w:lang w:val="en-US" w:eastAsia="ko-KR" w:bidi="ar-SA"/>
              </w:rPr>
              <w:t>Method#1: UE measures RSSI within DL subband</w:t>
            </w:r>
          </w:p>
          <w:p>
            <w:pPr>
              <w:pStyle w:val="45"/>
              <w:widowControl w:val="0"/>
              <w:numPr>
                <w:ilvl w:val="0"/>
                <w:numId w:val="8"/>
              </w:numPr>
              <w:suppressAutoHyphens/>
              <w:snapToGrid w:val="0"/>
            </w:pPr>
            <w:r>
              <w:rPr>
                <w:rStyle w:val="16"/>
                <w:rFonts w:ascii="Times New Roman" w:hAnsi="Times New Roman" w:eastAsia="Times New Roman" w:cs="Times New Roman"/>
                <w:b w:val="0"/>
                <w:bCs w:val="0"/>
                <w:i w:val="0"/>
                <w:iCs w:val="0"/>
                <w:caps w:val="0"/>
                <w:smallCaps w:val="0"/>
                <w:strike w:val="0"/>
                <w:dstrike w:val="0"/>
                <w:color w:val="auto"/>
                <w:spacing w:val="0"/>
                <w:kern w:val="0"/>
                <w:sz w:val="20"/>
                <w:szCs w:val="20"/>
                <w:u w:val="none"/>
                <w:lang w:val="en-US" w:eastAsia="ko-KR" w:bidi="ar-SA"/>
              </w:rPr>
              <w:t>Method#2: UE measures RSRP of aggressor UE within UL subband</w:t>
            </w:r>
          </w:p>
          <w:p>
            <w:pPr>
              <w:pStyle w:val="45"/>
              <w:widowControl w:val="0"/>
              <w:numPr>
                <w:ilvl w:val="0"/>
                <w:numId w:val="8"/>
              </w:numPr>
              <w:suppressAutoHyphens/>
              <w:snapToGrid w:val="0"/>
            </w:pPr>
            <w:r>
              <w:rPr>
                <w:rStyle w:val="16"/>
                <w:rFonts w:ascii="Times New Roman" w:hAnsi="Times New Roman" w:eastAsia="Times New Roman" w:cs="Times New Roman"/>
                <w:b w:val="0"/>
                <w:bCs w:val="0"/>
                <w:i w:val="0"/>
                <w:iCs w:val="0"/>
                <w:caps w:val="0"/>
                <w:smallCaps w:val="0"/>
                <w:strike w:val="0"/>
                <w:dstrike w:val="0"/>
                <w:color w:val="auto"/>
                <w:spacing w:val="0"/>
                <w:kern w:val="0"/>
                <w:sz w:val="20"/>
                <w:szCs w:val="20"/>
                <w:u w:val="none"/>
                <w:lang w:val="en-US" w:eastAsia="ko-KR" w:bidi="ar-SA"/>
              </w:rPr>
              <w:t>Method#3: UE measures RSSI within UL subband</w:t>
            </w:r>
          </w:p>
          <w:p>
            <w:pPr>
              <w:pStyle w:val="45"/>
              <w:widowControl w:val="0"/>
              <w:numPr>
                <w:ilvl w:val="0"/>
                <w:numId w:val="8"/>
              </w:numPr>
              <w:suppressAutoHyphens/>
              <w:snapToGrid w:val="0"/>
            </w:pPr>
            <w:r>
              <w:rPr>
                <w:rStyle w:val="16"/>
                <w:rFonts w:ascii="Times New Roman" w:hAnsi="Times New Roman" w:eastAsia="Times New Roman" w:cs="Times New Roman"/>
                <w:b w:val="0"/>
                <w:bCs w:val="0"/>
                <w:i w:val="0"/>
                <w:iCs w:val="0"/>
                <w:caps w:val="0"/>
                <w:smallCaps w:val="0"/>
                <w:strike w:val="0"/>
                <w:dstrike w:val="0"/>
                <w:color w:val="auto"/>
                <w:spacing w:val="0"/>
                <w:kern w:val="0"/>
                <w:sz w:val="20"/>
                <w:szCs w:val="20"/>
                <w:u w:val="none"/>
                <w:lang w:val="en-US" w:eastAsia="ko-KR" w:bidi="ar-SA"/>
              </w:rPr>
              <w:t>Method#4: UE measures RSSI within guard band, if guard band exists</w:t>
            </w:r>
          </w:p>
          <w:p>
            <w:r>
              <w:rPr>
                <w:rStyle w:val="16"/>
                <w:rFonts w:eastAsia="Times New Roman" w:cs="Times New Roman"/>
                <w:b w:val="0"/>
                <w:bCs w:val="0"/>
                <w:i w:val="0"/>
                <w:iCs w:val="0"/>
                <w:caps w:val="0"/>
                <w:smallCaps w:val="0"/>
                <w:strike w:val="0"/>
                <w:dstrike w:val="0"/>
                <w:color w:val="auto"/>
                <w:spacing w:val="0"/>
                <w:kern w:val="0"/>
                <w:sz w:val="20"/>
                <w:szCs w:val="20"/>
                <w:u w:val="none"/>
                <w:lang w:val="en-US" w:eastAsia="ko-KR" w:bidi="ar-SA"/>
              </w:rPr>
              <w:t>Note: If DL subband, UL subband or guard band is outside the active DL BWP, the above methods does not apply.</w:t>
            </w:r>
          </w:p>
          <w:p>
            <w:pPr>
              <w:spacing w:before="120" w:after="120"/>
            </w:pPr>
            <w:r>
              <w:rPr>
                <w:rStyle w:val="16"/>
                <w:rFonts w:eastAsia="Times New Roman" w:cs="Times New Roman"/>
                <w:b w:val="0"/>
                <w:bCs w:val="0"/>
                <w:i w:val="0"/>
                <w:iCs w:val="0"/>
                <w:caps w:val="0"/>
                <w:smallCaps w:val="0"/>
                <w:strike w:val="0"/>
                <w:dstrike w:val="0"/>
                <w:color w:val="auto"/>
                <w:spacing w:val="0"/>
                <w:kern w:val="0"/>
                <w:sz w:val="20"/>
                <w:szCs w:val="20"/>
                <w:u w:val="none"/>
                <w:lang w:val="en-US" w:eastAsia="ko-KR" w:bidi="ar-SA"/>
              </w:rPr>
              <w:t>Note: Method#4 does not imply that guard band is explicitly configured.</w:t>
            </w:r>
          </w:p>
        </w:tc>
      </w:tr>
    </w:tbl>
    <w:p>
      <w:pPr>
        <w:pStyle w:val="45"/>
        <w:suppressAutoHyphens/>
        <w:spacing w:before="120" w:after="120" w:line="276" w:lineRule="auto"/>
        <w:ind w:left="0" w:firstLine="0"/>
        <w:jc w:val="both"/>
      </w:pPr>
      <w:r>
        <w:rPr>
          <w:rStyle w:val="16"/>
          <w:rFonts w:ascii="Times New Roman" w:hAnsi="Times New Roman" w:eastAsia="Times New Roman" w:cs="Times New Roman"/>
          <w:b w:val="0"/>
          <w:bCs w:val="0"/>
          <w:i w:val="0"/>
          <w:iCs w:val="0"/>
          <w:caps w:val="0"/>
          <w:smallCaps w:val="0"/>
          <w:strike w:val="0"/>
          <w:dstrike w:val="0"/>
          <w:color w:val="auto"/>
          <w:spacing w:val="0"/>
          <w:kern w:val="0"/>
          <w:sz w:val="20"/>
          <w:szCs w:val="20"/>
          <w:u w:val="none"/>
          <w:lang w:val="en-US" w:eastAsia="ko-KR" w:bidi="ar-SA"/>
        </w:rPr>
        <w:t xml:space="preserve">When SBFD is enabled in the network, the UE-UE CLI is from the transmissions in uplink subband from one UE to the receptions in downlink subband of another UE. Hence, a victim UE needs to measure the CLI in its downlink subband that comes from the transmissions in the uplink subband by another UE. In the case of RSSI measurement, RSSI resources can be provided in the downlink subband where the UE can measure the CLI. Also, the RSSI resources are restricted only within the downlink subband. </w:t>
      </w:r>
    </w:p>
    <w:p>
      <w:pPr>
        <w:pStyle w:val="45"/>
        <w:suppressAutoHyphens/>
        <w:spacing w:before="120" w:after="120" w:line="276" w:lineRule="auto"/>
        <w:ind w:left="0" w:firstLine="0"/>
        <w:jc w:val="both"/>
      </w:pPr>
      <w:r>
        <w:rPr>
          <w:rStyle w:val="16"/>
          <w:rFonts w:ascii="Times New Roman" w:hAnsi="Times New Roman" w:eastAsia="Times New Roman" w:cs="Times New Roman"/>
          <w:b w:val="0"/>
          <w:bCs w:val="0"/>
          <w:i w:val="0"/>
          <w:iCs w:val="0"/>
          <w:caps w:val="0"/>
          <w:smallCaps w:val="0"/>
          <w:strike w:val="0"/>
          <w:dstrike w:val="0"/>
          <w:color w:val="auto"/>
          <w:spacing w:val="0"/>
          <w:kern w:val="0"/>
          <w:sz w:val="20"/>
          <w:szCs w:val="20"/>
          <w:u w:val="none"/>
          <w:lang w:val="en-US" w:eastAsia="ko-KR" w:bidi="ar-SA"/>
        </w:rPr>
        <w:t>However, RSSI is only a measurement of the CLI strength. It will not provide any information about the aggressor UE. To know the aggressor UE ID, RSRP on SRS needs to be measured. However, the aggressor UE transmits the SRS in the uplink subband. Thus, to measure RSRP, the victim UE needs to receive and measure in the UL SB. The reporting of CLI can be done in the following ways:</w:t>
      </w:r>
    </w:p>
    <w:p>
      <w:pPr>
        <w:pStyle w:val="45"/>
        <w:numPr>
          <w:ilvl w:val="0"/>
          <w:numId w:val="9"/>
        </w:numPr>
        <w:suppressAutoHyphens/>
        <w:spacing w:before="120" w:after="120" w:line="276" w:lineRule="auto"/>
        <w:jc w:val="both"/>
      </w:pPr>
      <w:r>
        <w:rPr>
          <w:rStyle w:val="16"/>
          <w:rFonts w:ascii="Times New Roman" w:hAnsi="Times New Roman" w:eastAsia="Times New Roman" w:cs="Times New Roman"/>
          <w:b w:val="0"/>
          <w:bCs w:val="0"/>
          <w:i w:val="0"/>
          <w:iCs w:val="0"/>
          <w:caps w:val="0"/>
          <w:smallCaps w:val="0"/>
          <w:strike w:val="0"/>
          <w:dstrike w:val="0"/>
          <w:color w:val="auto"/>
          <w:spacing w:val="0"/>
          <w:kern w:val="0"/>
          <w:sz w:val="20"/>
          <w:szCs w:val="20"/>
          <w:u w:val="none"/>
          <w:lang w:val="en-US" w:eastAsia="ko-KR" w:bidi="ar-SA"/>
        </w:rPr>
        <w:t>The UE reports RSRP measured in the uplink subband.</w:t>
      </w:r>
    </w:p>
    <w:p>
      <w:pPr>
        <w:pStyle w:val="45"/>
        <w:numPr>
          <w:ilvl w:val="0"/>
          <w:numId w:val="9"/>
        </w:numPr>
        <w:suppressAutoHyphens/>
        <w:spacing w:before="120" w:after="120" w:line="276" w:lineRule="auto"/>
        <w:jc w:val="both"/>
      </w:pPr>
      <w:r>
        <w:rPr>
          <w:rStyle w:val="16"/>
          <w:rFonts w:ascii="Times New Roman" w:hAnsi="Times New Roman" w:eastAsia="Times New Roman" w:cs="Times New Roman"/>
          <w:b w:val="0"/>
          <w:bCs w:val="0"/>
          <w:i w:val="0"/>
          <w:iCs w:val="0"/>
          <w:caps w:val="0"/>
          <w:smallCaps w:val="0"/>
          <w:strike w:val="0"/>
          <w:dstrike w:val="0"/>
          <w:color w:val="auto"/>
          <w:spacing w:val="0"/>
          <w:kern w:val="0"/>
          <w:sz w:val="20"/>
          <w:szCs w:val="20"/>
          <w:u w:val="none"/>
          <w:lang w:val="en-US" w:eastAsia="ko-KR" w:bidi="ar-SA"/>
        </w:rPr>
        <w:t>The UE reports a CLI metric for the downlink subbands that is derived from the RSRP measured in the uplink subband.</w:t>
      </w:r>
    </w:p>
    <w:p>
      <w:pPr>
        <w:pStyle w:val="45"/>
        <w:numPr>
          <w:ilvl w:val="0"/>
          <w:numId w:val="0"/>
        </w:numPr>
        <w:suppressAutoHyphens/>
        <w:spacing w:before="120" w:after="120" w:line="276" w:lineRule="auto"/>
        <w:ind w:left="720" w:firstLine="0"/>
        <w:jc w:val="both"/>
      </w:pPr>
      <w:r>
        <w:rPr>
          <w:rStyle w:val="16"/>
          <w:rFonts w:ascii="Times New Roman" w:hAnsi="Times New Roman" w:eastAsia="Times New Roman" w:cs="Times New Roman"/>
          <w:b w:val="0"/>
          <w:bCs w:val="0"/>
          <w:i w:val="0"/>
          <w:iCs w:val="0"/>
          <w:caps w:val="0"/>
          <w:smallCaps w:val="0"/>
          <w:strike w:val="0"/>
          <w:dstrike w:val="0"/>
          <w:color w:val="auto"/>
          <w:spacing w:val="0"/>
          <w:kern w:val="0"/>
          <w:sz w:val="20"/>
          <w:szCs w:val="20"/>
          <w:u w:val="none"/>
          <w:lang w:val="en-US" w:eastAsia="ko-KR" w:bidi="ar-SA"/>
        </w:rPr>
        <w:t>For the second option, the UE should be capable of deriving the  CLI metric for the downlink subbands from the  RSRP measured in the uplink subband. This might require a capability to be reported from the UE side.</w:t>
      </w:r>
    </w:p>
    <w:p>
      <w:pPr>
        <w:pStyle w:val="45"/>
        <w:suppressAutoHyphens/>
        <w:spacing w:before="120" w:after="120" w:line="276" w:lineRule="auto"/>
        <w:ind w:left="0" w:firstLine="0"/>
      </w:pPr>
      <w:r>
        <w:rPr>
          <w:rStyle w:val="16"/>
          <w:rFonts w:ascii="Times New Roman" w:hAnsi="Times New Roman" w:eastAsia="Times New Roman" w:cs="Times New Roman"/>
          <w:b w:val="0"/>
          <w:bCs w:val="0"/>
          <w:i w:val="0"/>
          <w:iCs w:val="0"/>
          <w:caps w:val="0"/>
          <w:smallCaps w:val="0"/>
          <w:strike w:val="0"/>
          <w:dstrike w:val="0"/>
          <w:color w:val="auto"/>
          <w:spacing w:val="0"/>
          <w:kern w:val="0"/>
          <w:sz w:val="20"/>
          <w:szCs w:val="20"/>
          <w:u w:val="none"/>
          <w:lang w:val="en-US" w:eastAsia="ko-KR" w:bidi="ar-SA"/>
        </w:rPr>
        <w:t>Based on the above discussion, the following are proposed.</w:t>
      </w:r>
    </w:p>
    <w:p>
      <w:pPr>
        <w:pStyle w:val="45"/>
        <w:suppressAutoHyphens/>
        <w:spacing w:before="120" w:after="120" w:line="276" w:lineRule="auto"/>
        <w:ind w:left="0" w:firstLine="0"/>
      </w:pPr>
      <w:r>
        <w:rPr>
          <w:rStyle w:val="16"/>
          <w:rFonts w:ascii="Times New Roman" w:hAnsi="Times New Roman" w:eastAsia="Malgun Gothic" w:cs="Times New Roman"/>
          <w:b/>
          <w:bCs/>
          <w:i w:val="0"/>
          <w:iCs w:val="0"/>
          <w:caps w:val="0"/>
          <w:smallCaps w:val="0"/>
          <w:strike w:val="0"/>
          <w:dstrike w:val="0"/>
          <w:color w:val="auto"/>
          <w:spacing w:val="0"/>
          <w:kern w:val="0"/>
          <w:sz w:val="20"/>
          <w:szCs w:val="20"/>
          <w:u w:val="none"/>
          <w:lang w:val="en-US" w:eastAsia="ko-KR" w:bidi="ar-SA"/>
        </w:rPr>
        <w:t>Proposal 8: Support UE-to-UE CLI RSSI measurement where the RSSI resources are restricted only within DL subband overlapping with the DL BWP.</w:t>
      </w:r>
    </w:p>
    <w:p>
      <w:pPr>
        <w:pStyle w:val="45"/>
        <w:widowControl/>
        <w:suppressAutoHyphens/>
        <w:bidi w:val="0"/>
        <w:spacing w:before="120" w:after="120" w:line="276" w:lineRule="auto"/>
        <w:ind w:left="0" w:right="0" w:firstLine="0"/>
        <w:jc w:val="both"/>
      </w:pPr>
      <w:r>
        <w:rPr>
          <w:rStyle w:val="16"/>
          <w:rFonts w:ascii="Times New Roman" w:hAnsi="Times New Roman" w:eastAsia="Malgun Gothic" w:cs="Times New Roman"/>
          <w:b/>
          <w:bCs/>
          <w:i w:val="0"/>
          <w:iCs w:val="0"/>
          <w:caps w:val="0"/>
          <w:smallCaps w:val="0"/>
          <w:strike w:val="0"/>
          <w:dstrike w:val="0"/>
          <w:color w:val="auto"/>
          <w:spacing w:val="0"/>
          <w:kern w:val="0"/>
          <w:sz w:val="20"/>
          <w:szCs w:val="20"/>
          <w:u w:val="none"/>
          <w:lang w:val="en-US" w:eastAsia="ko-KR" w:bidi="ar-SA"/>
        </w:rPr>
        <w:t>Proposal 9: For UE-to-UE CLI RSRP measurement, the reporting of CLI can be done in the following ways:</w:t>
      </w:r>
    </w:p>
    <w:p>
      <w:pPr>
        <w:pStyle w:val="45"/>
        <w:numPr>
          <w:ilvl w:val="0"/>
          <w:numId w:val="9"/>
        </w:numPr>
        <w:suppressAutoHyphens/>
        <w:spacing w:before="120" w:after="120" w:line="276" w:lineRule="auto"/>
        <w:jc w:val="both"/>
      </w:pPr>
      <w:r>
        <w:rPr>
          <w:rStyle w:val="16"/>
          <w:rFonts w:ascii="Times New Roman" w:hAnsi="Times New Roman" w:eastAsia="Malgun Gothic" w:cs="Times New Roman"/>
          <w:b/>
          <w:bCs/>
          <w:i w:val="0"/>
          <w:iCs w:val="0"/>
          <w:caps w:val="0"/>
          <w:smallCaps w:val="0"/>
          <w:strike w:val="0"/>
          <w:dstrike w:val="0"/>
          <w:color w:val="auto"/>
          <w:spacing w:val="0"/>
          <w:kern w:val="0"/>
          <w:sz w:val="20"/>
          <w:szCs w:val="20"/>
          <w:u w:val="none"/>
          <w:lang w:val="en-US" w:eastAsia="ko-KR" w:bidi="ar-SA"/>
        </w:rPr>
        <w:t>The UE reports RSRP measured in the uplink subband</w:t>
      </w:r>
    </w:p>
    <w:p>
      <w:pPr>
        <w:pStyle w:val="45"/>
        <w:numPr>
          <w:ilvl w:val="0"/>
          <w:numId w:val="9"/>
        </w:numPr>
        <w:suppressAutoHyphens/>
        <w:spacing w:before="120" w:after="120" w:line="276" w:lineRule="auto"/>
        <w:jc w:val="both"/>
      </w:pPr>
      <w:r>
        <w:rPr>
          <w:rStyle w:val="16"/>
          <w:rFonts w:ascii="Times New Roman" w:hAnsi="Times New Roman" w:eastAsia="Malgun Gothic" w:cs="Times New Roman"/>
          <w:b/>
          <w:bCs/>
          <w:i w:val="0"/>
          <w:iCs w:val="0"/>
          <w:caps w:val="0"/>
          <w:smallCaps w:val="0"/>
          <w:strike w:val="0"/>
          <w:dstrike w:val="0"/>
          <w:color w:val="auto"/>
          <w:spacing w:val="0"/>
          <w:kern w:val="0"/>
          <w:sz w:val="20"/>
          <w:szCs w:val="20"/>
          <w:u w:val="none"/>
          <w:lang w:val="en-US" w:eastAsia="ko-KR" w:bidi="ar-SA"/>
        </w:rPr>
        <w:t>The UE reports a CLI metric for the downlink subbands that is derived from the RSRP measured in the uplink subband. This is based on a UE capability to  derive the  CLI metric for the downlink subbands from the  RSRP measured in the uplink subband.</w:t>
      </w:r>
    </w:p>
    <w:p>
      <w:pPr>
        <w:suppressAutoHyphens/>
        <w:spacing w:before="120" w:after="120" w:line="276" w:lineRule="auto"/>
        <w:ind w:firstLine="0"/>
        <w:jc w:val="both"/>
      </w:pPr>
      <w:r>
        <w:rPr>
          <w:rStyle w:val="16"/>
          <w:rFonts w:eastAsia="Malgun Gothic" w:cs="Times New Roman"/>
          <w:b w:val="0"/>
          <w:bCs w:val="0"/>
          <w:i w:val="0"/>
          <w:caps w:val="0"/>
          <w:smallCaps w:val="0"/>
          <w:strike w:val="0"/>
          <w:dstrike w:val="0"/>
          <w:color w:val="auto"/>
          <w:spacing w:val="0"/>
          <w:kern w:val="0"/>
          <w:sz w:val="20"/>
          <w:szCs w:val="20"/>
          <w:u w:val="none"/>
          <w:lang w:val="en-US" w:eastAsia="ko-KR" w:bidi="ar-SA"/>
        </w:rPr>
        <w:t>Further, Section 6.2 of TR 38.858 contains the following:</w:t>
      </w:r>
    </w:p>
    <w:tbl>
      <w:tblPr>
        <w:tblStyle w:val="12"/>
        <w:tblW w:w="9070" w:type="dxa"/>
        <w:tblInd w:w="0" w:type="dxa"/>
        <w:tblLayout w:type="autofit"/>
        <w:tblCellMar>
          <w:top w:w="55" w:type="dxa"/>
          <w:left w:w="55" w:type="dxa"/>
          <w:bottom w:w="55" w:type="dxa"/>
          <w:right w:w="55" w:type="dxa"/>
        </w:tblCellMar>
      </w:tblPr>
      <w:tblGrid>
        <w:gridCol w:w="9070"/>
      </w:tblGrid>
      <w:tr>
        <w:tblPrEx>
          <w:tblCellMar>
            <w:top w:w="55" w:type="dxa"/>
            <w:left w:w="55" w:type="dxa"/>
            <w:bottom w:w="55" w:type="dxa"/>
            <w:right w:w="55" w:type="dxa"/>
          </w:tblCellMar>
        </w:tblPrEx>
        <w:tc>
          <w:tcPr>
            <w:tcW w:w="9070" w:type="dxa"/>
            <w:tcBorders>
              <w:top w:val="single" w:color="000000" w:sz="2" w:space="0"/>
              <w:left w:val="single" w:color="000000" w:sz="2" w:space="0"/>
              <w:bottom w:val="single" w:color="000000" w:sz="2" w:space="0"/>
              <w:right w:val="single" w:color="000000" w:sz="2" w:space="0"/>
            </w:tcBorders>
          </w:tcPr>
          <w:p>
            <w:pPr>
              <w:spacing w:before="120" w:after="120"/>
            </w:pPr>
            <w:r>
              <w:t>For UE-to-UE CLI-RSSI measurement/report across downlink subbands, the following methods are studied. Note that Alt #1 and Alt #2 are supported in existing specifications.</w:t>
            </w:r>
          </w:p>
          <w:p>
            <w:pPr>
              <w:numPr>
                <w:ilvl w:val="1"/>
                <w:numId w:val="9"/>
              </w:numPr>
            </w:pPr>
            <w:r>
              <w:t>Alt #1: separate CLI-RSSI measurement resources/reports in each DL subband</w:t>
            </w:r>
          </w:p>
          <w:p>
            <w:pPr>
              <w:numPr>
                <w:ilvl w:val="1"/>
                <w:numId w:val="9"/>
              </w:numPr>
            </w:pPr>
            <w:r>
              <w:t>Alt #2: CLI-RSSI measure/report in one DL subband only</w:t>
            </w:r>
          </w:p>
          <w:p>
            <w:pPr>
              <w:numPr>
                <w:ilvl w:val="1"/>
                <w:numId w:val="9"/>
              </w:numPr>
              <w:spacing w:before="0" w:after="50"/>
            </w:pPr>
            <w:r>
              <w:t>Alt #3: CLI-RSSI measurement/report based on non-contiguous CLI-RSSI resource across downlink subbands</w:t>
            </w:r>
          </w:p>
        </w:tc>
      </w:tr>
    </w:tbl>
    <w:p>
      <w:pPr>
        <w:suppressAutoHyphens/>
        <w:spacing w:before="120" w:after="120" w:line="276" w:lineRule="auto"/>
        <w:ind w:firstLine="0"/>
        <w:jc w:val="both"/>
      </w:pPr>
      <w:r>
        <w:rPr>
          <w:rStyle w:val="16"/>
          <w:rFonts w:eastAsia="Malgun Gothic" w:cs="Times New Roman"/>
          <w:b w:val="0"/>
          <w:bCs w:val="0"/>
          <w:i w:val="0"/>
          <w:caps w:val="0"/>
          <w:smallCaps w:val="0"/>
          <w:strike w:val="0"/>
          <w:dstrike w:val="0"/>
          <w:color w:val="auto"/>
          <w:spacing w:val="0"/>
          <w:kern w:val="0"/>
          <w:sz w:val="20"/>
          <w:szCs w:val="20"/>
          <w:u w:val="none"/>
          <w:lang w:val="en-US" w:eastAsia="ko-KR" w:bidi="ar-SA"/>
        </w:rPr>
        <w:t>For UE-to-UE CLI-RSSI measurement/report across downlink subbands, Alt #1 and Alt #2 are already supported in the existing specification. CLI-RSSI can be measured/reported in one downlink subband only if it is assumed that the downlink subbands are symmetrical, which might not always be the case. Thus, in our view, separate CLI-RSSI measurement resources/reports should be supported in each downlink subband.</w:t>
      </w:r>
    </w:p>
    <w:p>
      <w:pPr>
        <w:pStyle w:val="45"/>
        <w:widowControl/>
        <w:suppressAutoHyphens/>
        <w:bidi w:val="0"/>
        <w:spacing w:before="120" w:after="120" w:line="276" w:lineRule="auto"/>
        <w:ind w:left="0" w:right="0" w:firstLine="0"/>
        <w:jc w:val="both"/>
      </w:pPr>
      <w:r>
        <w:rPr>
          <w:rStyle w:val="16"/>
          <w:rFonts w:ascii="Times New Roman" w:hAnsi="Times New Roman" w:eastAsia="Malgun Gothic" w:cs="Times New Roman"/>
          <w:b/>
          <w:bCs/>
          <w:i w:val="0"/>
          <w:iCs w:val="0"/>
          <w:caps w:val="0"/>
          <w:smallCaps w:val="0"/>
          <w:strike w:val="0"/>
          <w:dstrike w:val="0"/>
          <w:color w:val="auto"/>
          <w:spacing w:val="0"/>
          <w:kern w:val="0"/>
          <w:sz w:val="20"/>
          <w:szCs w:val="20"/>
          <w:u w:val="none"/>
          <w:lang w:val="en-US" w:eastAsia="ko-KR" w:bidi="ar-SA"/>
        </w:rPr>
        <w:t>Proposal 10: For UE-to-UE CLI RSSI measurement, support separate CLI-RSSI measurement resources and reports in each downlink subband.</w:t>
      </w:r>
    </w:p>
    <w:p>
      <w:pPr>
        <w:pStyle w:val="45"/>
        <w:widowControl/>
        <w:spacing w:before="120" w:after="120" w:line="276" w:lineRule="auto"/>
        <w:ind w:left="0" w:right="0" w:firstLine="0"/>
        <w:jc w:val="both"/>
        <w:rPr>
          <w:rStyle w:val="16"/>
          <w:rFonts w:eastAsia="Times New Roman" w:cs="Times New Roman"/>
          <w:b w:val="0"/>
          <w:bCs w:val="0"/>
          <w:i w:val="0"/>
          <w:iCs w:val="0"/>
          <w:caps w:val="0"/>
          <w:smallCaps w:val="0"/>
          <w:strike w:val="0"/>
          <w:dstrike w:val="0"/>
          <w:color w:val="auto"/>
          <w:sz w:val="20"/>
          <w:szCs w:val="20"/>
          <w:u w:val="none"/>
          <w:lang w:val="en-US" w:eastAsia="ko-KR" w:bidi="ar-SA"/>
        </w:rPr>
      </w:pPr>
      <w:r>
        <w:rPr>
          <w:rStyle w:val="16"/>
          <w:rFonts w:eastAsia="Times New Roman" w:cs="Times New Roman"/>
          <w:b w:val="0"/>
          <w:bCs w:val="0"/>
          <w:i w:val="0"/>
          <w:iCs w:val="0"/>
          <w:caps w:val="0"/>
          <w:smallCaps w:val="0"/>
          <w:strike w:val="0"/>
          <w:dstrike w:val="0"/>
          <w:color w:val="auto"/>
          <w:sz w:val="20"/>
          <w:szCs w:val="20"/>
          <w:u w:val="none"/>
          <w:lang w:val="en-US" w:eastAsia="ko-KR" w:bidi="ar-SA"/>
        </w:rPr>
        <w:t>For the measurement of the CLI RSSI on each Rx beam, the same CLI RSSI resources can be transmitted repeatedly by the aggressor UE using the same Tx beam. This can be done over consecutive OFDM symbols in the time domain. The victim UE can be configured by the gNB to perform Rx beam sweeping, enabling it to measure the CLI level on each Rx beam. Subsequently, based on the CLI strength measured on each Rx beam, the serving gNB of the victim UE can make decision regarding DL beam for transmission.</w:t>
      </w:r>
    </w:p>
    <w:p>
      <w:pPr>
        <w:ind w:firstLine="0"/>
        <w:jc w:val="both"/>
        <w:rPr>
          <w:rStyle w:val="16"/>
          <w:rFonts w:eastAsia="Times New Roman" w:cs="Times New Roman"/>
          <w:b/>
          <w:bCs/>
          <w:i w:val="0"/>
          <w:iCs w:val="0"/>
          <w:caps w:val="0"/>
          <w:smallCaps w:val="0"/>
          <w:strike w:val="0"/>
          <w:dstrike w:val="0"/>
          <w:color w:val="auto"/>
          <w:sz w:val="20"/>
          <w:szCs w:val="20"/>
          <w:u w:val="none"/>
          <w:lang w:val="en-US" w:eastAsia="ko-KR" w:bidi="ar-SA"/>
        </w:rPr>
      </w:pPr>
      <w:r>
        <w:rPr>
          <w:rStyle w:val="16"/>
          <w:rFonts w:eastAsia="Times New Roman" w:cs="Times New Roman"/>
          <w:b/>
          <w:bCs/>
          <w:i w:val="0"/>
          <w:iCs w:val="0"/>
          <w:caps w:val="0"/>
          <w:smallCaps w:val="0"/>
          <w:strike w:val="0"/>
          <w:dstrike w:val="0"/>
          <w:color w:val="auto"/>
          <w:sz w:val="20"/>
          <w:szCs w:val="20"/>
          <w:u w:val="none"/>
          <w:lang w:val="en-US" w:eastAsia="ko-KR" w:bidi="ar-SA"/>
        </w:rPr>
        <w:t>Proposal 11: Support</w:t>
      </w:r>
      <w:r>
        <w:rPr>
          <w:rStyle w:val="16"/>
          <w:rFonts w:eastAsia="Times New Roman" w:cs="Times New Roman"/>
          <w:b/>
          <w:bCs/>
          <w:i w:val="0"/>
          <w:iCs w:val="0"/>
          <w:caps w:val="0"/>
          <w:smallCaps w:val="0"/>
          <w:strike w:val="0"/>
          <w:dstrike w:val="0"/>
          <w:color w:val="auto"/>
          <w:kern w:val="0"/>
          <w:sz w:val="20"/>
          <w:szCs w:val="20"/>
          <w:u w:val="none"/>
          <w:lang w:val="en-US" w:eastAsia="ko-KR" w:bidi="ar-SA"/>
        </w:rPr>
        <w:t xml:space="preserve"> repetition of </w:t>
      </w:r>
      <w:r>
        <w:rPr>
          <w:rStyle w:val="16"/>
          <w:rFonts w:eastAsia="Times New Roman" w:cs="Times New Roman"/>
          <w:b/>
          <w:bCs/>
          <w:i w:val="0"/>
          <w:iCs w:val="0"/>
          <w:caps w:val="0"/>
          <w:smallCaps w:val="0"/>
          <w:strike w:val="0"/>
          <w:dstrike w:val="0"/>
          <w:color w:val="auto"/>
          <w:sz w:val="20"/>
          <w:szCs w:val="20"/>
          <w:u w:val="none"/>
          <w:lang w:val="en-US" w:eastAsia="ko-KR" w:bidi="ar-SA"/>
        </w:rPr>
        <w:t>CLI RSSI resources for UE-to-UE CLI measurement for allowing UE to measure CLI-RSSI on different receive beams.</w:t>
      </w:r>
    </w:p>
    <w:p>
      <w:pPr>
        <w:pStyle w:val="45"/>
        <w:suppressAutoHyphens/>
        <w:spacing w:before="120" w:after="120" w:line="276" w:lineRule="auto"/>
        <w:jc w:val="both"/>
        <w:rPr>
          <w:rStyle w:val="16"/>
          <w:rFonts w:ascii="Times New Roman" w:hAnsi="Times New Roman" w:eastAsia="Malgun Gothic" w:cs="Times New Roman"/>
          <w:b/>
          <w:bCs/>
          <w:i w:val="0"/>
          <w:caps w:val="0"/>
          <w:smallCaps w:val="0"/>
          <w:strike w:val="0"/>
          <w:dstrike w:val="0"/>
          <w:color w:val="auto"/>
          <w:spacing w:val="0"/>
          <w:kern w:val="0"/>
          <w:sz w:val="20"/>
          <w:szCs w:val="20"/>
          <w:u w:val="none"/>
          <w:lang w:val="en-US" w:eastAsia="ko-KR" w:bidi="ar-SA"/>
        </w:rPr>
      </w:pPr>
    </w:p>
    <w:p>
      <w:pPr>
        <w:spacing w:before="120" w:after="120"/>
        <w:rPr>
          <w:rFonts w:ascii="Arial" w:hAnsi="Arial" w:eastAsia="SimSun"/>
          <w:b/>
          <w:kern w:val="2"/>
          <w:sz w:val="28"/>
          <w:lang w:val="zh-CN" w:eastAsia="zh-CN"/>
        </w:rPr>
      </w:pPr>
      <w:r>
        <w:rPr>
          <w:rStyle w:val="16"/>
          <w:rFonts w:ascii="Arial" w:hAnsi="Arial" w:eastAsia="SimSun" w:cs="Times New Roman"/>
          <w:b/>
          <w:bCs w:val="0"/>
          <w:i w:val="0"/>
          <w:caps w:val="0"/>
          <w:smallCaps w:val="0"/>
          <w:strike w:val="0"/>
          <w:dstrike w:val="0"/>
          <w:color w:val="auto"/>
          <w:spacing w:val="0"/>
          <w:kern w:val="2"/>
          <w:sz w:val="28"/>
          <w:szCs w:val="20"/>
          <w:u w:val="none"/>
          <w:lang w:val="zh-CN" w:eastAsia="zh-CN" w:bidi="ar-SA"/>
        </w:rPr>
        <w:t>3.  Conclusion</w:t>
      </w:r>
    </w:p>
    <w:p>
      <w:pPr>
        <w:spacing w:before="120" w:after="120"/>
      </w:pPr>
      <w:r>
        <w:rPr>
          <w:rStyle w:val="16"/>
          <w:rFonts w:eastAsia="Malgun Gothic" w:cs="Times New Roman"/>
          <w:b w:val="0"/>
          <w:bCs w:val="0"/>
          <w:i w:val="0"/>
          <w:iCs w:val="0"/>
          <w:caps w:val="0"/>
          <w:smallCaps w:val="0"/>
          <w:strike w:val="0"/>
          <w:dstrike w:val="0"/>
          <w:color w:val="auto"/>
          <w:spacing w:val="0"/>
          <w:kern w:val="0"/>
          <w:sz w:val="20"/>
          <w:szCs w:val="20"/>
          <w:u w:val="none"/>
          <w:lang w:val="en-US" w:eastAsia="ko-KR" w:bidi="ar-SA"/>
        </w:rPr>
        <w:t>The following observations and proposals are made in the contribution:</w:t>
      </w:r>
    </w:p>
    <w:p>
      <w:pPr>
        <w:widowControl/>
        <w:suppressAutoHyphens/>
        <w:spacing w:before="120" w:after="120" w:line="276" w:lineRule="auto"/>
        <w:jc w:val="both"/>
        <w:rPr>
          <w:b/>
          <w:bCs/>
          <w:i w:val="0"/>
          <w:iCs w:val="0"/>
          <w:lang w:val="en-US"/>
        </w:rPr>
      </w:pPr>
      <w:r>
        <w:rPr>
          <w:rStyle w:val="16"/>
          <w:rFonts w:eastAsia="Malgun Gothic" w:cs="Times New Roman"/>
          <w:b/>
          <w:bCs/>
          <w:i w:val="0"/>
          <w:iCs w:val="0"/>
          <w:caps w:val="0"/>
          <w:smallCaps w:val="0"/>
          <w:strike w:val="0"/>
          <w:dstrike w:val="0"/>
          <w:color w:val="auto"/>
          <w:sz w:val="20"/>
          <w:szCs w:val="20"/>
          <w:u w:val="none"/>
          <w:lang w:val="en-US" w:eastAsia="ko-KR" w:bidi="ar-SA"/>
        </w:rPr>
        <w:t>Observation 1: Rel. 16 CLI management does not specify relevant information exchange among gNBs for UE-to-UE CLI management, e.g., SRS configuration parameters.</w:t>
      </w:r>
    </w:p>
    <w:p>
      <w:pPr>
        <w:widowControl/>
        <w:suppressAutoHyphens/>
        <w:spacing w:before="120" w:after="120" w:line="276" w:lineRule="auto"/>
        <w:jc w:val="both"/>
        <w:rPr>
          <w:rStyle w:val="16"/>
          <w:rFonts w:eastAsia="Malgun Gothic" w:cs="Times New Roman"/>
          <w:b/>
          <w:bCs/>
          <w:i w:val="0"/>
          <w:iCs w:val="0"/>
          <w:caps w:val="0"/>
          <w:smallCaps w:val="0"/>
          <w:strike w:val="0"/>
          <w:dstrike w:val="0"/>
          <w:color w:val="auto"/>
          <w:sz w:val="20"/>
          <w:szCs w:val="20"/>
          <w:u w:val="none"/>
          <w:lang w:val="en-US" w:eastAsia="ko-KR" w:bidi="ar-SA"/>
        </w:rPr>
      </w:pPr>
    </w:p>
    <w:p>
      <w:pPr>
        <w:widowControl/>
        <w:suppressAutoHyphens/>
        <w:spacing w:before="120" w:after="120" w:line="276" w:lineRule="auto"/>
        <w:jc w:val="both"/>
        <w:rPr>
          <w:b/>
          <w:bCs/>
          <w:i w:val="0"/>
          <w:iCs w:val="0"/>
          <w:lang w:val="en-US"/>
        </w:rPr>
      </w:pPr>
      <w:r>
        <w:rPr>
          <w:rStyle w:val="16"/>
          <w:rFonts w:eastAsia="Malgun Gothic" w:cs="Times New Roman"/>
          <w:b/>
          <w:bCs/>
          <w:i w:val="0"/>
          <w:iCs w:val="0"/>
          <w:caps w:val="0"/>
          <w:smallCaps w:val="0"/>
          <w:strike w:val="0"/>
          <w:dstrike w:val="0"/>
          <w:color w:val="auto"/>
          <w:sz w:val="20"/>
          <w:szCs w:val="20"/>
          <w:u w:val="none"/>
          <w:lang w:val="en-US" w:eastAsia="ko-KR" w:bidi="ar-SA"/>
        </w:rPr>
        <w:t>Proposal 1: Relevant information exchange, e.g. SRS configuration parameter among gNBs is supported for efficient UE-to-UE CLI management.</w:t>
      </w:r>
    </w:p>
    <w:p>
      <w:pPr>
        <w:widowControl/>
        <w:suppressAutoHyphens/>
        <w:spacing w:before="120" w:after="120" w:line="276" w:lineRule="auto"/>
        <w:jc w:val="both"/>
        <w:rPr>
          <w:rStyle w:val="16"/>
          <w:rFonts w:eastAsia="Malgun Gothic" w:cs="Times New Roman"/>
          <w:b/>
          <w:bCs/>
          <w:i w:val="0"/>
          <w:iCs w:val="0"/>
          <w:caps w:val="0"/>
          <w:smallCaps w:val="0"/>
          <w:strike w:val="0"/>
          <w:dstrike w:val="0"/>
          <w:color w:val="auto"/>
          <w:sz w:val="20"/>
          <w:szCs w:val="20"/>
          <w:u w:val="none"/>
          <w:lang w:val="en-US" w:eastAsia="ko-KR" w:bidi="ar-SA"/>
        </w:rPr>
      </w:pPr>
    </w:p>
    <w:p>
      <w:pPr>
        <w:pStyle w:val="45"/>
        <w:widowControl/>
        <w:suppressAutoHyphens/>
        <w:spacing w:before="120" w:after="120" w:line="276" w:lineRule="auto"/>
        <w:ind w:left="0" w:firstLine="0"/>
        <w:jc w:val="both"/>
      </w:pPr>
      <w:r>
        <w:rPr>
          <w:rStyle w:val="16"/>
          <w:rFonts w:ascii="Times New Roman" w:hAnsi="Times New Roman" w:eastAsia="Malgun Gothic" w:cs="Times New Roman"/>
          <w:b/>
          <w:bCs/>
          <w:i w:val="0"/>
          <w:iCs w:val="0"/>
          <w:caps w:val="0"/>
          <w:smallCaps w:val="0"/>
          <w:strike w:val="0"/>
          <w:dstrike w:val="0"/>
          <w:color w:val="auto"/>
          <w:sz w:val="20"/>
          <w:szCs w:val="20"/>
          <w:u w:val="none"/>
          <w:lang w:val="en-US" w:eastAsia="ko-KR" w:bidi="ar-SA"/>
        </w:rPr>
        <w:t>Observation 2:  In case of partial overlap of BWPs, the victim UE receives only a part of the SRS transmitted by the aggressor UE for measurement of CLI RSRP leading to mismatch in how the SRS sequence is filled by the aggressor and how SRS sequence is interpreted by the victim.</w:t>
      </w:r>
    </w:p>
    <w:p>
      <w:pPr>
        <w:pStyle w:val="45"/>
        <w:widowControl/>
        <w:suppressAutoHyphens/>
        <w:spacing w:before="120" w:after="120" w:line="276" w:lineRule="auto"/>
        <w:ind w:left="0" w:firstLine="0"/>
        <w:jc w:val="both"/>
        <w:rPr>
          <w:rStyle w:val="16"/>
          <w:rFonts w:ascii="Times New Roman" w:hAnsi="Times New Roman" w:eastAsia="Malgun Gothic" w:cs="Times New Roman"/>
          <w:b/>
          <w:bCs/>
          <w:i w:val="0"/>
          <w:iCs w:val="0"/>
          <w:caps w:val="0"/>
          <w:smallCaps w:val="0"/>
          <w:strike w:val="0"/>
          <w:dstrike w:val="0"/>
          <w:color w:val="auto"/>
          <w:sz w:val="20"/>
          <w:szCs w:val="20"/>
          <w:u w:val="none"/>
          <w:lang w:val="en-US" w:eastAsia="ko-KR" w:bidi="ar-SA"/>
        </w:rPr>
      </w:pPr>
    </w:p>
    <w:p>
      <w:pPr>
        <w:pStyle w:val="45"/>
        <w:widowControl/>
        <w:suppressAutoHyphens/>
        <w:spacing w:before="120" w:after="120" w:line="276" w:lineRule="auto"/>
        <w:ind w:left="0" w:firstLine="0"/>
        <w:jc w:val="both"/>
      </w:pPr>
      <w:r>
        <w:rPr>
          <w:rStyle w:val="16"/>
          <w:rFonts w:eastAsia="Malgun Gothic" w:cs="Times New Roman"/>
          <w:b/>
          <w:bCs/>
          <w:i w:val="0"/>
          <w:iCs w:val="0"/>
          <w:caps w:val="0"/>
          <w:smallCaps w:val="0"/>
          <w:strike w:val="0"/>
          <w:dstrike w:val="0"/>
          <w:color w:val="auto"/>
          <w:sz w:val="20"/>
          <w:szCs w:val="20"/>
          <w:u w:val="none"/>
          <w:lang w:val="en-US" w:eastAsia="ko-KR" w:bidi="ar-SA"/>
        </w:rPr>
        <w:t>Observation 3: When aggressor and victim UE are operating at different numerology, discrepancy arises in the transmitted and received SRS numerologies that will affect the accuracy of CLI RSRP measurement.</w:t>
      </w:r>
    </w:p>
    <w:p>
      <w:pPr>
        <w:pStyle w:val="45"/>
        <w:widowControl/>
        <w:suppressAutoHyphens/>
        <w:spacing w:before="120" w:after="120" w:line="276" w:lineRule="auto"/>
        <w:ind w:left="0" w:firstLine="0"/>
        <w:rPr>
          <w:rFonts w:eastAsia="Calibri" w:cs="Calibri"/>
          <w:b/>
          <w:bCs/>
          <w:color w:val="000000" w:themeColor="text1" w:themeTint="FF"/>
          <w14:textFill>
            <w14:solidFill>
              <w14:schemeClr w14:val="tx1">
                <w14:lumMod w14:val="100000"/>
                <w14:lumOff w14:val="0"/>
              </w14:schemeClr>
            </w14:solidFill>
          </w14:textFill>
        </w:rPr>
      </w:pPr>
    </w:p>
    <w:p>
      <w:pPr>
        <w:pStyle w:val="45"/>
        <w:widowControl/>
        <w:suppressAutoHyphens/>
        <w:spacing w:before="120" w:after="120" w:line="276" w:lineRule="auto"/>
        <w:ind w:left="0" w:firstLine="0"/>
        <w:rPr>
          <w:rFonts w:eastAsia="Calibri" w:cs="Calibri"/>
          <w:color w:val="000000" w:themeColor="text1" w:themeTint="FF"/>
          <w14:textFill>
            <w14:solidFill>
              <w14:schemeClr w14:val="tx1">
                <w14:lumMod w14:val="100000"/>
                <w14:lumOff w14:val="0"/>
              </w14:schemeClr>
            </w14:solidFill>
          </w14:textFill>
        </w:rPr>
      </w:pPr>
      <w:r>
        <w:rPr>
          <w:rFonts w:eastAsia="Calibri" w:cs="Calibri"/>
          <w:b/>
          <w:bCs/>
          <w:color w:val="000000" w:themeColor="text1" w:themeTint="FF"/>
          <w14:textFill>
            <w14:solidFill>
              <w14:schemeClr w14:val="tx1">
                <w14:lumMod w14:val="100000"/>
                <w14:lumOff w14:val="0"/>
              </w14:schemeClr>
            </w14:solidFill>
          </w14:textFill>
        </w:rPr>
        <w:t xml:space="preserve">Proposal 2: Further study the following SRS related information exchange between gNBs for efficient UE-to-UE CLI measurement: a. Numerology of transmission of SRS and </w:t>
      </w:r>
      <w:r>
        <w:rPr>
          <w:b/>
          <w:bCs/>
        </w:rPr>
        <w:t xml:space="preserve">b.  </w:t>
      </w:r>
      <w:r>
        <w:rPr>
          <w:rFonts w:eastAsia="Calibri" w:cs="Calibri"/>
          <w:b/>
          <w:bCs/>
          <w:color w:val="000000" w:themeColor="text1" w:themeTint="FF"/>
          <w14:textFill>
            <w14:solidFill>
              <w14:schemeClr w14:val="tx1">
                <w14:lumMod w14:val="100000"/>
                <w14:lumOff w14:val="0"/>
              </w14:schemeClr>
            </w14:solidFill>
          </w14:textFill>
        </w:rPr>
        <w:t>A reference point for CLI RSRP measurement.</w:t>
      </w:r>
    </w:p>
    <w:p>
      <w:pPr>
        <w:pStyle w:val="45"/>
        <w:widowControl/>
        <w:suppressAutoHyphens/>
        <w:spacing w:before="120" w:after="120" w:line="276" w:lineRule="auto"/>
        <w:ind w:left="0" w:firstLine="0"/>
        <w:rPr>
          <w:rFonts w:eastAsia="Calibri" w:cs="Calibri"/>
          <w:b/>
          <w:bCs/>
          <w:color w:val="000000" w:themeColor="text1" w:themeTint="FF"/>
          <w14:textFill>
            <w14:solidFill>
              <w14:schemeClr w14:val="tx1">
                <w14:lumMod w14:val="100000"/>
                <w14:lumOff w14:val="0"/>
              </w14:schemeClr>
            </w14:solidFill>
          </w14:textFill>
        </w:rPr>
      </w:pPr>
    </w:p>
    <w:p>
      <w:pPr>
        <w:widowControl/>
        <w:suppressAutoHyphens/>
        <w:spacing w:before="120" w:after="120" w:line="276" w:lineRule="auto"/>
      </w:pPr>
      <w:r>
        <w:rPr>
          <w:rStyle w:val="16"/>
          <w:rFonts w:eastAsia="Malgun Gothic" w:cs="Times New Roman"/>
          <w:b/>
          <w:bCs/>
          <w:i w:val="0"/>
          <w:iCs w:val="0"/>
          <w:caps w:val="0"/>
          <w:smallCaps w:val="0"/>
          <w:strike w:val="0"/>
          <w:dstrike w:val="0"/>
          <w:color w:val="auto"/>
          <w:sz w:val="20"/>
          <w:szCs w:val="20"/>
          <w:u w:val="none"/>
          <w:lang w:val="en-US" w:eastAsia="ko-KR" w:bidi="ar-SA"/>
        </w:rPr>
        <w:t>Observation 4: In Rel. 16, the gNB cannot configure a UE to measure/report CLI using beam sweeping/ different Rx beams.</w:t>
      </w:r>
    </w:p>
    <w:p>
      <w:pPr>
        <w:widowControl/>
        <w:suppressAutoHyphens/>
        <w:spacing w:before="120" w:after="120" w:line="276" w:lineRule="auto"/>
        <w:rPr>
          <w:rStyle w:val="16"/>
          <w:rFonts w:eastAsia="Malgun Gothic" w:cs="Times New Roman"/>
          <w:b/>
          <w:bCs/>
          <w:i w:val="0"/>
          <w:iCs w:val="0"/>
          <w:caps w:val="0"/>
          <w:smallCaps w:val="0"/>
          <w:strike w:val="0"/>
          <w:dstrike w:val="0"/>
          <w:color w:val="auto"/>
          <w:sz w:val="20"/>
          <w:szCs w:val="20"/>
          <w:u w:val="none"/>
          <w:lang w:val="en-US" w:eastAsia="ko-KR" w:bidi="ar-SA"/>
        </w:rPr>
      </w:pPr>
    </w:p>
    <w:p>
      <w:pPr>
        <w:widowControl/>
        <w:suppressAutoHyphens/>
        <w:spacing w:before="120" w:after="120" w:line="276" w:lineRule="auto"/>
        <w:rPr>
          <w:rFonts w:ascii="Times New Roman" w:hAnsi="Times New Roman" w:eastAsia="Times New Roman" w:cs="Times New Roman"/>
        </w:rPr>
      </w:pPr>
      <w:r>
        <w:rPr>
          <w:rStyle w:val="16"/>
          <w:rFonts w:eastAsia="Malgun Gothic" w:cs="Times New Roman"/>
          <w:b/>
          <w:bCs/>
          <w:i w:val="0"/>
          <w:iCs w:val="0"/>
          <w:caps w:val="0"/>
          <w:smallCaps w:val="0"/>
          <w:strike w:val="0"/>
          <w:dstrike w:val="0"/>
          <w:color w:val="auto"/>
          <w:sz w:val="20"/>
          <w:szCs w:val="20"/>
          <w:u w:val="none"/>
          <w:lang w:val="en-US" w:eastAsia="ko-KR" w:bidi="ar-SA"/>
        </w:rPr>
        <w:t>Proposal 3: Support gNB configuring different Rx beams for UE-to-UE CLI RSSI/RSRP measurement.</w:t>
      </w:r>
    </w:p>
    <w:p>
      <w:pPr>
        <w:widowControl/>
        <w:suppressAutoHyphens/>
        <w:spacing w:before="120" w:after="120" w:line="276" w:lineRule="auto"/>
        <w:rPr>
          <w:rStyle w:val="16"/>
          <w:rFonts w:ascii="Times New Roman" w:hAnsi="Times New Roman" w:eastAsia="Malgun Gothic" w:cs="Times New Roman"/>
          <w:b/>
          <w:bCs/>
          <w:i w:val="0"/>
          <w:iCs w:val="0"/>
          <w:caps w:val="0"/>
          <w:smallCaps w:val="0"/>
          <w:strike w:val="0"/>
          <w:dstrike w:val="0"/>
          <w:color w:val="auto"/>
          <w:sz w:val="20"/>
          <w:szCs w:val="20"/>
          <w:u w:val="none"/>
          <w:lang w:val="en-US" w:eastAsia="ko-KR" w:bidi="ar-SA"/>
        </w:rPr>
      </w:pPr>
    </w:p>
    <w:p>
      <w:pPr>
        <w:widowControl/>
        <w:suppressAutoHyphens/>
        <w:spacing w:before="120" w:after="120" w:line="276" w:lineRule="auto"/>
        <w:jc w:val="both"/>
        <w:rPr>
          <w:rStyle w:val="16"/>
          <w:rFonts w:eastAsia="Times New Roman" w:cs="Times New Roman"/>
          <w:b/>
          <w:bCs/>
          <w:i w:val="0"/>
          <w:iCs w:val="0"/>
          <w:caps w:val="0"/>
          <w:smallCaps w:val="0"/>
          <w:strike w:val="0"/>
          <w:dstrike w:val="0"/>
          <w:color w:val="auto"/>
          <w:sz w:val="20"/>
          <w:szCs w:val="20"/>
          <w:u w:val="none"/>
          <w:lang w:val="en-US" w:eastAsia="ko-KR" w:bidi="ar-SA"/>
        </w:rPr>
      </w:pPr>
      <w:r>
        <w:rPr>
          <w:rStyle w:val="16"/>
          <w:rFonts w:eastAsia="Times New Roman" w:cs="Times New Roman"/>
          <w:b/>
          <w:bCs/>
          <w:i w:val="0"/>
          <w:iCs w:val="0"/>
          <w:caps w:val="0"/>
          <w:smallCaps w:val="0"/>
          <w:strike w:val="0"/>
          <w:dstrike w:val="0"/>
          <w:color w:val="auto"/>
          <w:sz w:val="20"/>
          <w:szCs w:val="20"/>
          <w:u w:val="none"/>
          <w:lang w:val="en-US" w:eastAsia="ko-KR" w:bidi="ar-SA"/>
        </w:rPr>
        <w:t xml:space="preserve">Observation 5: Rel. 16 UE-to-UE CLI does not support SRS with dedicated usage for CLI measurement. </w:t>
      </w:r>
    </w:p>
    <w:p>
      <w:pPr>
        <w:widowControl/>
        <w:suppressAutoHyphens/>
        <w:spacing w:before="120" w:after="120" w:line="276" w:lineRule="auto"/>
        <w:jc w:val="both"/>
        <w:rPr>
          <w:rStyle w:val="16"/>
          <w:rFonts w:eastAsia="Times New Roman" w:cs="Times New Roman"/>
          <w:b/>
          <w:bCs/>
          <w:i w:val="0"/>
          <w:iCs w:val="0"/>
          <w:caps w:val="0"/>
          <w:smallCaps w:val="0"/>
          <w:strike w:val="0"/>
          <w:dstrike w:val="0"/>
          <w:color w:val="auto"/>
          <w:sz w:val="20"/>
          <w:szCs w:val="20"/>
          <w:u w:val="none"/>
          <w:lang w:val="en-US" w:eastAsia="ko-KR" w:bidi="ar-SA"/>
        </w:rPr>
      </w:pPr>
    </w:p>
    <w:p>
      <w:pPr>
        <w:widowControl/>
        <w:suppressAutoHyphens/>
        <w:spacing w:before="120" w:after="120" w:line="276" w:lineRule="auto"/>
        <w:jc w:val="both"/>
      </w:pPr>
      <w:r>
        <w:rPr>
          <w:rStyle w:val="16"/>
          <w:rFonts w:eastAsia="Times New Roman" w:cs="Times New Roman"/>
          <w:b/>
          <w:bCs/>
          <w:i w:val="0"/>
          <w:iCs w:val="0"/>
          <w:caps w:val="0"/>
          <w:smallCaps w:val="0"/>
          <w:strike w:val="0"/>
          <w:dstrike w:val="0"/>
          <w:color w:val="auto"/>
          <w:sz w:val="20"/>
          <w:szCs w:val="20"/>
          <w:u w:val="none"/>
          <w:lang w:val="en-US" w:eastAsia="ko-KR" w:bidi="ar-SA"/>
        </w:rPr>
        <w:t>Proposal 4: Support SRS with dedicated usage for CLI measurement.</w:t>
      </w:r>
    </w:p>
    <w:p>
      <w:pPr>
        <w:widowControl/>
        <w:suppressAutoHyphens/>
        <w:spacing w:before="120" w:after="120" w:line="276" w:lineRule="auto"/>
        <w:jc w:val="both"/>
        <w:rPr>
          <w:rStyle w:val="16"/>
          <w:rFonts w:eastAsia="Times New Roman" w:cs="Times New Roman"/>
          <w:b/>
          <w:bCs/>
          <w:i w:val="0"/>
          <w:iCs w:val="0"/>
          <w:caps w:val="0"/>
          <w:smallCaps w:val="0"/>
          <w:strike w:val="0"/>
          <w:dstrike w:val="0"/>
          <w:color w:val="auto"/>
          <w:sz w:val="20"/>
          <w:szCs w:val="20"/>
          <w:u w:val="none"/>
          <w:lang w:val="en-US" w:eastAsia="ko-KR" w:bidi="ar-SA"/>
        </w:rPr>
      </w:pPr>
    </w:p>
    <w:p>
      <w:pPr>
        <w:pStyle w:val="45"/>
        <w:widowControl/>
        <w:suppressAutoHyphens/>
        <w:spacing w:before="120" w:after="120" w:line="276" w:lineRule="auto"/>
        <w:ind w:left="0" w:firstLine="0"/>
        <w:jc w:val="left"/>
      </w:pPr>
      <w:r>
        <w:rPr>
          <w:rStyle w:val="16"/>
          <w:rFonts w:ascii="Times New Roman" w:hAnsi="Times New Roman" w:eastAsia="Malgun Gothic" w:cs="Times New Roman"/>
          <w:b/>
          <w:bCs/>
          <w:i w:val="0"/>
          <w:iCs w:val="0"/>
          <w:caps w:val="0"/>
          <w:smallCaps w:val="0"/>
          <w:strike w:val="0"/>
          <w:dstrike w:val="0"/>
          <w:color w:val="auto"/>
          <w:sz w:val="20"/>
          <w:szCs w:val="20"/>
          <w:u w:val="none"/>
          <w:lang w:val="en-US" w:eastAsia="ko-KR" w:bidi="ar-SA"/>
        </w:rPr>
        <w:t>Proposal 5: Support separate UE-to-UE CLI measurement report corresponding to different receive beams.</w:t>
      </w:r>
    </w:p>
    <w:p>
      <w:pPr>
        <w:widowControl/>
        <w:suppressAutoHyphens/>
        <w:spacing w:before="120" w:after="120" w:line="276" w:lineRule="auto"/>
        <w:ind w:left="0" w:firstLine="0"/>
        <w:jc w:val="left"/>
        <w:rPr>
          <w:rStyle w:val="16"/>
          <w:rFonts w:eastAsia="Malgun Gothic" w:cs="Times New Roman"/>
          <w:b/>
          <w:bCs/>
          <w:i w:val="0"/>
          <w:iCs w:val="0"/>
          <w:caps w:val="0"/>
          <w:smallCaps w:val="0"/>
          <w:strike w:val="0"/>
          <w:dstrike w:val="0"/>
          <w:color w:val="auto"/>
          <w:sz w:val="20"/>
          <w:szCs w:val="20"/>
          <w:u w:val="none"/>
          <w:lang w:val="en-US" w:eastAsia="ko-KR" w:bidi="ar-SA"/>
        </w:rPr>
      </w:pPr>
    </w:p>
    <w:p>
      <w:pPr>
        <w:widowControl/>
        <w:suppressAutoHyphens/>
        <w:spacing w:before="120" w:after="120" w:line="276" w:lineRule="auto"/>
        <w:ind w:left="0" w:firstLine="0"/>
        <w:jc w:val="left"/>
        <w:rPr>
          <w:rStyle w:val="16"/>
          <w:rFonts w:ascii="Times New Roman" w:hAnsi="Times New Roman" w:eastAsia="Malgun Gothic" w:cs="Times New Roman"/>
          <w:b/>
          <w:bCs/>
          <w:i w:val="0"/>
          <w:iCs w:val="0"/>
          <w:caps w:val="0"/>
          <w:smallCaps w:val="0"/>
          <w:strike w:val="0"/>
          <w:dstrike w:val="0"/>
          <w:color w:val="auto"/>
          <w:sz w:val="20"/>
          <w:szCs w:val="20"/>
          <w:u w:val="none"/>
          <w:lang w:val="en-US" w:eastAsia="ko-KR" w:bidi="ar-SA"/>
        </w:rPr>
      </w:pPr>
      <w:r>
        <w:rPr>
          <w:rStyle w:val="16"/>
          <w:rFonts w:eastAsia="Malgun Gothic" w:cs="Times New Roman"/>
          <w:b/>
          <w:bCs/>
          <w:i w:val="0"/>
          <w:iCs w:val="0"/>
          <w:caps w:val="0"/>
          <w:smallCaps w:val="0"/>
          <w:strike w:val="0"/>
          <w:dstrike w:val="0"/>
          <w:color w:val="auto"/>
          <w:sz w:val="20"/>
          <w:szCs w:val="20"/>
          <w:u w:val="none"/>
          <w:lang w:val="en-US" w:eastAsia="ko-KR" w:bidi="ar-SA"/>
        </w:rPr>
        <w:t xml:space="preserve">Observation 6: Alt. 1 </w:t>
      </w:r>
      <w:r>
        <w:rPr>
          <w:rStyle w:val="16"/>
          <w:rFonts w:eastAsia="Times New Roman" w:cs="Times New Roman"/>
          <w:b/>
          <w:bCs/>
          <w:i w:val="0"/>
          <w:iCs w:val="0"/>
          <w:caps w:val="0"/>
          <w:smallCaps w:val="0"/>
          <w:strike w:val="0"/>
          <w:dstrike w:val="0"/>
          <w:color w:val="auto"/>
          <w:sz w:val="20"/>
          <w:szCs w:val="20"/>
          <w:u w:val="none"/>
          <w:lang w:val="en-US" w:eastAsia="ko-KR" w:bidi="ar-SA"/>
        </w:rPr>
        <w:t>gives the provision to measure and report CLI explicitly. Also, it allows to identify aggressor UEs since RSRP can be measured and reported.  Alt. 3 incorporates elements from both Alt. 1 and Alt. 2.</w:t>
      </w:r>
    </w:p>
    <w:p>
      <w:pPr>
        <w:widowControl/>
        <w:suppressAutoHyphens/>
        <w:bidi w:val="0"/>
        <w:spacing w:before="0" w:after="0" w:line="276" w:lineRule="auto"/>
        <w:ind w:left="0" w:firstLine="0"/>
        <w:jc w:val="both"/>
        <w:rPr>
          <w:rStyle w:val="16"/>
          <w:rFonts w:eastAsia="Times New Roman" w:cs="Times New Roman"/>
          <w:b/>
          <w:bCs/>
          <w:i w:val="0"/>
          <w:iCs w:val="0"/>
          <w:caps w:val="0"/>
          <w:smallCaps w:val="0"/>
          <w:strike w:val="0"/>
          <w:dstrike w:val="0"/>
          <w:color w:val="auto"/>
          <w:sz w:val="20"/>
          <w:szCs w:val="20"/>
          <w:u w:val="none"/>
          <w:lang w:val="en-US" w:eastAsia="ko-KR" w:bidi="ar-SA"/>
        </w:rPr>
      </w:pPr>
    </w:p>
    <w:p>
      <w:pPr>
        <w:widowControl/>
        <w:suppressAutoHyphens/>
        <w:bidi w:val="0"/>
        <w:spacing w:before="0" w:after="160" w:line="276" w:lineRule="auto"/>
        <w:ind w:left="0" w:firstLine="0"/>
        <w:contextualSpacing/>
        <w:jc w:val="both"/>
        <w:rPr>
          <w:rFonts w:ascii="Times New Roman" w:hAnsi="Times New Roman" w:eastAsia="Times New Roman" w:cs="Times New Roman"/>
          <w:b/>
          <w:bCs/>
          <w:sz w:val="20"/>
          <w:szCs w:val="20"/>
          <w:lang w:val="en-US"/>
        </w:rPr>
      </w:pPr>
      <w:r>
        <w:rPr>
          <w:rFonts w:eastAsia="Times New Roman" w:cs="Times New Roman"/>
          <w:b/>
          <w:bCs/>
          <w:sz w:val="20"/>
          <w:szCs w:val="20"/>
          <w:lang w:val="en-US"/>
        </w:rPr>
        <w:t xml:space="preserve">Proposal 6: </w:t>
      </w:r>
      <w:r>
        <w:rPr>
          <w:rFonts w:eastAsia="SimSun;宋体" w:cs="Times New Roman"/>
          <w:b/>
          <w:bCs/>
          <w:color w:val="auto"/>
          <w:sz w:val="20"/>
          <w:szCs w:val="20"/>
          <w:lang w:val="en-US" w:eastAsia="en-US" w:bidi="ar-SA"/>
        </w:rPr>
        <w:t>For L1 based UE-to-UE CLI measurement and reporting based on existing CSI framework, d</w:t>
      </w:r>
      <w:r>
        <w:rPr>
          <w:rFonts w:eastAsia="Times New Roman" w:cs="Times New Roman"/>
          <w:b/>
          <w:bCs/>
          <w:sz w:val="20"/>
          <w:szCs w:val="20"/>
          <w:lang w:val="en-US"/>
        </w:rPr>
        <w:t>ownselect Alt.3.</w:t>
      </w:r>
    </w:p>
    <w:p>
      <w:pPr>
        <w:widowControl/>
        <w:suppressAutoHyphens/>
        <w:bidi w:val="0"/>
        <w:spacing w:before="0" w:after="160" w:line="276" w:lineRule="auto"/>
        <w:ind w:left="0" w:firstLine="0"/>
        <w:contextualSpacing/>
        <w:jc w:val="both"/>
        <w:rPr>
          <w:rFonts w:ascii="Times New Roman" w:hAnsi="Times New Roman" w:eastAsia="Times New Roman" w:cs="Times New Roman"/>
          <w:b/>
          <w:bCs/>
          <w:sz w:val="20"/>
          <w:szCs w:val="20"/>
          <w:lang w:val="en-US"/>
        </w:rPr>
      </w:pPr>
    </w:p>
    <w:p>
      <w:pPr>
        <w:widowControl/>
        <w:suppressAutoHyphens/>
        <w:bidi w:val="0"/>
        <w:spacing w:before="0" w:after="160" w:line="276" w:lineRule="auto"/>
        <w:ind w:left="0" w:firstLine="0"/>
        <w:contextualSpacing/>
        <w:jc w:val="both"/>
        <w:rPr>
          <w:rFonts w:eastAsia="Times New Roman" w:cs="Times New Roman"/>
          <w:b/>
          <w:bCs/>
          <w:sz w:val="20"/>
          <w:szCs w:val="20"/>
          <w:lang w:val="en-US"/>
        </w:rPr>
      </w:pPr>
      <w:r>
        <w:rPr>
          <w:rFonts w:eastAsia="Times New Roman" w:cs="Times New Roman"/>
          <w:b/>
          <w:bCs/>
          <w:sz w:val="20"/>
          <w:szCs w:val="20"/>
          <w:lang w:val="en-US"/>
        </w:rPr>
        <w:t>Proposal 7: Support L2 based UE-to-UE CLI measurement and reporting based on event triggered reporting.</w:t>
      </w:r>
    </w:p>
    <w:p>
      <w:pPr>
        <w:widowControl/>
        <w:suppressAutoHyphens/>
        <w:bidi w:val="0"/>
        <w:spacing w:before="0" w:after="160" w:line="276" w:lineRule="auto"/>
        <w:ind w:left="0" w:firstLine="0"/>
        <w:contextualSpacing/>
        <w:jc w:val="both"/>
        <w:rPr>
          <w:rStyle w:val="16"/>
          <w:rFonts w:ascii="Times New Roman" w:hAnsi="Times New Roman" w:eastAsia="Malgun Gothic" w:cs="Times New Roman"/>
          <w:b/>
          <w:bCs/>
          <w:i w:val="0"/>
          <w:iCs w:val="0"/>
          <w:caps w:val="0"/>
          <w:smallCaps w:val="0"/>
          <w:strike w:val="0"/>
          <w:dstrike w:val="0"/>
          <w:color w:val="auto"/>
          <w:sz w:val="20"/>
          <w:szCs w:val="20"/>
          <w:u w:val="none"/>
          <w:lang w:val="en-US" w:eastAsia="ko-KR" w:bidi="ar-SA"/>
        </w:rPr>
      </w:pPr>
    </w:p>
    <w:p>
      <w:pPr>
        <w:widowControl/>
        <w:suppressAutoHyphens/>
        <w:bidi w:val="0"/>
        <w:spacing w:before="0" w:after="160" w:line="276" w:lineRule="auto"/>
        <w:ind w:left="0" w:firstLine="0"/>
        <w:contextualSpacing/>
        <w:jc w:val="both"/>
        <w:rPr>
          <w:rFonts w:eastAsia="Times New Roman" w:cs="Times New Roman"/>
          <w:b/>
          <w:bCs/>
          <w:sz w:val="20"/>
          <w:szCs w:val="20"/>
          <w:lang w:val="en-US"/>
        </w:rPr>
      </w:pPr>
      <w:r>
        <w:rPr>
          <w:rStyle w:val="16"/>
          <w:rFonts w:eastAsia="Malgun Gothic" w:cs="Times New Roman"/>
          <w:b/>
          <w:bCs/>
          <w:i w:val="0"/>
          <w:iCs w:val="0"/>
          <w:caps w:val="0"/>
          <w:smallCaps w:val="0"/>
          <w:strike w:val="0"/>
          <w:dstrike w:val="0"/>
          <w:color w:val="auto"/>
          <w:sz w:val="20"/>
          <w:szCs w:val="20"/>
          <w:u w:val="none"/>
          <w:lang w:val="en-US" w:eastAsia="ko-KR" w:bidi="ar-SA"/>
        </w:rPr>
        <w:t>Proposal 8: Support UE-to-UE CLI RSSI measurement where the RSSI resources are restricted only within DL subband overlapping with the DL BWP.</w:t>
      </w:r>
    </w:p>
    <w:p>
      <w:pPr>
        <w:widowControl/>
        <w:suppressAutoHyphens/>
        <w:bidi w:val="0"/>
        <w:spacing w:before="0" w:after="160" w:line="276" w:lineRule="auto"/>
        <w:ind w:left="0" w:firstLine="0"/>
        <w:contextualSpacing/>
        <w:jc w:val="both"/>
        <w:rPr>
          <w:rStyle w:val="16"/>
          <w:rFonts w:ascii="Times New Roman" w:hAnsi="Times New Roman" w:eastAsia="Malgun Gothic" w:cs="Times New Roman"/>
          <w:b/>
          <w:bCs/>
          <w:i w:val="0"/>
          <w:iCs w:val="0"/>
          <w:caps w:val="0"/>
          <w:smallCaps w:val="0"/>
          <w:strike w:val="0"/>
          <w:dstrike w:val="0"/>
          <w:color w:val="auto"/>
          <w:sz w:val="20"/>
          <w:szCs w:val="20"/>
          <w:u w:val="none"/>
          <w:lang w:val="en-US" w:eastAsia="ko-KR" w:bidi="ar-SA"/>
        </w:rPr>
      </w:pPr>
    </w:p>
    <w:p>
      <w:pPr>
        <w:widowControl/>
        <w:suppressAutoHyphens/>
        <w:bidi w:val="0"/>
        <w:spacing w:before="0" w:after="160" w:line="276" w:lineRule="auto"/>
        <w:ind w:left="0" w:firstLine="0"/>
        <w:contextualSpacing/>
        <w:jc w:val="both"/>
        <w:rPr>
          <w:rFonts w:eastAsia="Times New Roman" w:cs="Times New Roman"/>
          <w:b/>
          <w:bCs/>
          <w:sz w:val="20"/>
          <w:szCs w:val="20"/>
          <w:lang w:val="en-US"/>
        </w:rPr>
      </w:pPr>
      <w:r>
        <w:rPr>
          <w:rStyle w:val="16"/>
          <w:rFonts w:eastAsia="Malgun Gothic" w:cs="Times New Roman"/>
          <w:b/>
          <w:bCs/>
          <w:i w:val="0"/>
          <w:iCs w:val="0"/>
          <w:caps w:val="0"/>
          <w:smallCaps w:val="0"/>
          <w:strike w:val="0"/>
          <w:dstrike w:val="0"/>
          <w:color w:val="auto"/>
          <w:sz w:val="20"/>
          <w:szCs w:val="20"/>
          <w:u w:val="none"/>
          <w:lang w:val="en-US" w:eastAsia="ko-KR" w:bidi="ar-SA"/>
        </w:rPr>
        <w:t>Proposal 9: For UE-to-UE CLI RSRP measurement, the reporting of CLI can be done in the following ways:</w:t>
      </w:r>
    </w:p>
    <w:p>
      <w:pPr>
        <w:pStyle w:val="45"/>
        <w:widowControl/>
        <w:numPr>
          <w:ilvl w:val="0"/>
          <w:numId w:val="9"/>
        </w:numPr>
        <w:suppressAutoHyphens/>
        <w:spacing w:before="120" w:after="120" w:line="276" w:lineRule="auto"/>
        <w:jc w:val="both"/>
      </w:pPr>
      <w:r>
        <w:rPr>
          <w:rStyle w:val="16"/>
          <w:rFonts w:ascii="Times New Roman" w:hAnsi="Times New Roman" w:eastAsia="Malgun Gothic" w:cs="Times New Roman"/>
          <w:b/>
          <w:bCs/>
          <w:i w:val="0"/>
          <w:iCs w:val="0"/>
          <w:caps w:val="0"/>
          <w:smallCaps w:val="0"/>
          <w:strike w:val="0"/>
          <w:dstrike w:val="0"/>
          <w:color w:val="auto"/>
          <w:sz w:val="20"/>
          <w:szCs w:val="20"/>
          <w:u w:val="none"/>
          <w:lang w:val="en-US" w:eastAsia="ko-KR" w:bidi="ar-SA"/>
        </w:rPr>
        <w:t>The UE reports RSRP measured in the uplink subband</w:t>
      </w:r>
    </w:p>
    <w:p>
      <w:pPr>
        <w:pStyle w:val="45"/>
        <w:widowControl/>
        <w:numPr>
          <w:ilvl w:val="0"/>
          <w:numId w:val="9"/>
        </w:numPr>
        <w:suppressAutoHyphens/>
        <w:spacing w:before="120" w:after="120" w:line="276" w:lineRule="auto"/>
        <w:jc w:val="both"/>
        <w:rPr>
          <w:rStyle w:val="16"/>
          <w:rFonts w:ascii="Times New Roman" w:hAnsi="Times New Roman" w:eastAsia="Malgun Gothic" w:cs="Times New Roman"/>
          <w:b/>
          <w:bCs/>
          <w:i w:val="0"/>
          <w:iCs w:val="0"/>
          <w:caps w:val="0"/>
          <w:smallCaps w:val="0"/>
          <w:strike w:val="0"/>
          <w:dstrike w:val="0"/>
          <w:color w:val="auto"/>
          <w:sz w:val="20"/>
          <w:szCs w:val="20"/>
          <w:u w:val="none"/>
          <w:lang w:val="en-US" w:eastAsia="ko-KR" w:bidi="ar-SA"/>
        </w:rPr>
      </w:pPr>
      <w:r>
        <w:rPr>
          <w:rStyle w:val="16"/>
          <w:rFonts w:ascii="Times New Roman" w:hAnsi="Times New Roman" w:eastAsia="Malgun Gothic" w:cs="Times New Roman"/>
          <w:b/>
          <w:bCs/>
          <w:i w:val="0"/>
          <w:iCs w:val="0"/>
          <w:caps w:val="0"/>
          <w:smallCaps w:val="0"/>
          <w:strike w:val="0"/>
          <w:dstrike w:val="0"/>
          <w:color w:val="auto"/>
          <w:sz w:val="20"/>
          <w:szCs w:val="20"/>
          <w:u w:val="none"/>
          <w:lang w:val="en-US" w:eastAsia="ko-KR" w:bidi="ar-SA"/>
        </w:rPr>
        <w:t>The UE reports a CLI metric for the downlink subbands that is derived from the RSRP measured in the uplink subband. This is based on a UE capability to  derive the  CLI metric for the downlink subbands from the  RSRP measured in the uplink subband.</w:t>
      </w:r>
    </w:p>
    <w:p>
      <w:pPr>
        <w:pStyle w:val="45"/>
        <w:widowControl/>
        <w:suppressAutoHyphens/>
        <w:bidi w:val="0"/>
        <w:spacing w:before="120" w:after="120" w:line="276" w:lineRule="auto"/>
        <w:ind w:left="0" w:right="0" w:firstLine="0"/>
        <w:jc w:val="both"/>
        <w:rPr>
          <w:rStyle w:val="16"/>
          <w:rFonts w:ascii="Times New Roman" w:hAnsi="Times New Roman" w:eastAsia="Malgun Gothic" w:cs="Times New Roman"/>
          <w:b/>
          <w:bCs/>
          <w:i w:val="0"/>
          <w:iCs w:val="0"/>
          <w:caps w:val="0"/>
          <w:smallCaps w:val="0"/>
          <w:strike w:val="0"/>
          <w:dstrike w:val="0"/>
          <w:color w:val="auto"/>
          <w:sz w:val="20"/>
          <w:szCs w:val="20"/>
          <w:u w:val="none"/>
          <w:lang w:val="en-US" w:eastAsia="ko-KR" w:bidi="ar-SA"/>
        </w:rPr>
      </w:pPr>
    </w:p>
    <w:p>
      <w:pPr>
        <w:pStyle w:val="45"/>
        <w:widowControl/>
        <w:suppressAutoHyphens/>
        <w:bidi w:val="0"/>
        <w:spacing w:before="120" w:after="120" w:line="276" w:lineRule="auto"/>
        <w:ind w:left="0" w:right="0" w:firstLine="0"/>
        <w:jc w:val="both"/>
        <w:rPr>
          <w:rStyle w:val="16"/>
          <w:rFonts w:eastAsia="Times New Roman" w:cs="Times New Roman"/>
          <w:b/>
          <w:bCs/>
          <w:i w:val="0"/>
          <w:iCs w:val="0"/>
          <w:caps w:val="0"/>
          <w:smallCaps w:val="0"/>
          <w:strike w:val="0"/>
          <w:dstrike w:val="0"/>
          <w:color w:val="auto"/>
          <w:sz w:val="20"/>
          <w:szCs w:val="20"/>
          <w:u w:val="none"/>
          <w:lang w:val="en-US" w:eastAsia="ko-KR" w:bidi="ar-SA"/>
        </w:rPr>
      </w:pPr>
      <w:r>
        <w:rPr>
          <w:rStyle w:val="16"/>
          <w:rFonts w:ascii="Times New Roman" w:hAnsi="Times New Roman" w:eastAsia="Malgun Gothic" w:cs="Times New Roman"/>
          <w:b/>
          <w:bCs/>
          <w:i w:val="0"/>
          <w:iCs w:val="0"/>
          <w:caps w:val="0"/>
          <w:smallCaps w:val="0"/>
          <w:strike w:val="0"/>
          <w:dstrike w:val="0"/>
          <w:color w:val="auto"/>
          <w:sz w:val="20"/>
          <w:szCs w:val="20"/>
          <w:u w:val="none"/>
          <w:lang w:val="en-US" w:eastAsia="ko-KR" w:bidi="ar-SA"/>
        </w:rPr>
        <w:t>Proposal 10: For UE-to-UE CLI RSSI measurement, support separate CLI-RSSI measurement resources and reports in each downlink subband.</w:t>
      </w:r>
    </w:p>
    <w:p>
      <w:pPr>
        <w:pStyle w:val="45"/>
        <w:widowControl/>
        <w:suppressAutoHyphens/>
        <w:bidi w:val="0"/>
        <w:spacing w:before="120" w:after="120" w:line="276" w:lineRule="auto"/>
        <w:ind w:left="0" w:right="0" w:firstLine="0"/>
        <w:jc w:val="both"/>
        <w:rPr>
          <w:rStyle w:val="16"/>
          <w:rFonts w:eastAsia="Times New Roman" w:cs="Times New Roman"/>
          <w:b/>
          <w:bCs/>
          <w:i w:val="0"/>
          <w:iCs w:val="0"/>
          <w:caps w:val="0"/>
          <w:smallCaps w:val="0"/>
          <w:strike w:val="0"/>
          <w:dstrike w:val="0"/>
          <w:color w:val="auto"/>
          <w:sz w:val="20"/>
          <w:szCs w:val="20"/>
          <w:u w:val="none"/>
          <w:lang w:val="en-US" w:eastAsia="ko-KR" w:bidi="ar-SA"/>
        </w:rPr>
      </w:pPr>
    </w:p>
    <w:p>
      <w:pPr>
        <w:pStyle w:val="45"/>
        <w:widowControl/>
        <w:suppressAutoHyphens/>
        <w:bidi w:val="0"/>
        <w:spacing w:before="120" w:after="120" w:line="276" w:lineRule="auto"/>
        <w:ind w:left="0" w:right="0" w:firstLine="0"/>
        <w:jc w:val="both"/>
        <w:rPr>
          <w:rStyle w:val="16"/>
          <w:rFonts w:eastAsia="Times New Roman" w:cs="Times New Roman"/>
          <w:b/>
          <w:bCs/>
          <w:i w:val="0"/>
          <w:iCs w:val="0"/>
          <w:caps w:val="0"/>
          <w:smallCaps w:val="0"/>
          <w:strike w:val="0"/>
          <w:dstrike w:val="0"/>
          <w:color w:val="auto"/>
          <w:sz w:val="20"/>
          <w:szCs w:val="20"/>
          <w:u w:val="none"/>
          <w:lang w:val="en-US" w:eastAsia="ko-KR" w:bidi="ar-SA"/>
        </w:rPr>
      </w:pPr>
      <w:r>
        <w:rPr>
          <w:rStyle w:val="16"/>
          <w:rFonts w:eastAsia="Times New Roman" w:cs="Times New Roman"/>
          <w:b/>
          <w:bCs/>
          <w:i w:val="0"/>
          <w:iCs w:val="0"/>
          <w:caps w:val="0"/>
          <w:smallCaps w:val="0"/>
          <w:strike w:val="0"/>
          <w:dstrike w:val="0"/>
          <w:color w:val="auto"/>
          <w:sz w:val="20"/>
          <w:szCs w:val="20"/>
          <w:u w:val="none"/>
          <w:lang w:val="en-US" w:eastAsia="ko-KR" w:bidi="ar-SA"/>
        </w:rPr>
        <w:t>Proposal 11: Support repetition of CLI RSSI resources for UE-to-UE CLI measurement for allowing UE to measure CLI-RSSI on different receive beams.</w:t>
      </w:r>
    </w:p>
    <w:p>
      <w:pPr>
        <w:pStyle w:val="45"/>
        <w:widowControl/>
        <w:bidi w:val="0"/>
        <w:spacing w:before="120" w:after="120" w:line="276" w:lineRule="auto"/>
        <w:ind w:left="0" w:right="0" w:firstLine="0"/>
        <w:jc w:val="both"/>
        <w:rPr>
          <w:rStyle w:val="16"/>
          <w:rFonts w:eastAsia="Times New Roman" w:cs="Times New Roman"/>
          <w:b/>
          <w:bCs/>
          <w:i w:val="0"/>
          <w:iCs w:val="0"/>
          <w:caps w:val="0"/>
          <w:smallCaps w:val="0"/>
          <w:strike w:val="0"/>
          <w:dstrike w:val="0"/>
          <w:color w:val="auto"/>
          <w:sz w:val="20"/>
          <w:szCs w:val="20"/>
          <w:u w:val="none"/>
          <w:lang w:val="en-US" w:eastAsia="ko-KR" w:bidi="ar-SA"/>
        </w:rPr>
      </w:pPr>
    </w:p>
    <w:p>
      <w:pPr>
        <w:suppressAutoHyphens/>
        <w:spacing w:before="120" w:after="120" w:line="276" w:lineRule="auto"/>
        <w:ind w:left="0" w:firstLine="0"/>
        <w:jc w:val="both"/>
        <w:rPr>
          <w:rFonts w:ascii="Arial" w:hAnsi="Arial" w:eastAsia="SimSun"/>
          <w:b/>
          <w:kern w:val="2"/>
          <w:sz w:val="28"/>
          <w:lang w:val="zh-CN" w:eastAsia="zh-CN"/>
        </w:rPr>
      </w:pPr>
      <w:r>
        <w:rPr>
          <w:rStyle w:val="16"/>
          <w:rFonts w:ascii="Arial" w:hAnsi="Arial" w:eastAsia="SimSun" w:cs="Times New Roman"/>
          <w:b/>
          <w:bCs w:val="0"/>
          <w:i w:val="0"/>
          <w:caps w:val="0"/>
          <w:smallCaps w:val="0"/>
          <w:strike w:val="0"/>
          <w:dstrike w:val="0"/>
          <w:color w:val="auto"/>
          <w:spacing w:val="0"/>
          <w:kern w:val="2"/>
          <w:sz w:val="28"/>
          <w:szCs w:val="20"/>
          <w:u w:val="none"/>
          <w:lang w:val="zh-CN" w:eastAsia="zh-CN" w:bidi="ar-SA"/>
        </w:rPr>
        <w:t>4.  References</w:t>
      </w:r>
    </w:p>
    <w:p>
      <w:pPr>
        <w:suppressAutoHyphens/>
        <w:spacing w:before="120" w:after="120" w:line="276" w:lineRule="auto"/>
        <w:ind w:left="0" w:firstLine="0"/>
        <w:jc w:val="both"/>
      </w:pPr>
      <w:r>
        <w:rPr>
          <w:rStyle w:val="16"/>
          <w:rFonts w:eastAsia="Malgun Gothic" w:cs="Times New Roman"/>
          <w:b w:val="0"/>
          <w:bCs w:val="0"/>
          <w:i w:val="0"/>
          <w:caps w:val="0"/>
          <w:smallCaps w:val="0"/>
          <w:strike w:val="0"/>
          <w:dstrike w:val="0"/>
          <w:color w:val="auto"/>
          <w:spacing w:val="0"/>
          <w:kern w:val="0"/>
          <w:sz w:val="20"/>
          <w:szCs w:val="20"/>
          <w:u w:val="none"/>
          <w:lang w:val="en-US" w:eastAsia="ko-KR" w:bidi="ar-SA"/>
        </w:rPr>
        <w:t>1. RP-240789, Evolution of NR duplex operation: Sub-band full duplex (SBFD).</w:t>
      </w:r>
    </w:p>
    <w:p>
      <w:pPr>
        <w:suppressAutoHyphens/>
        <w:spacing w:before="120" w:after="120" w:line="276" w:lineRule="auto"/>
        <w:ind w:left="0" w:firstLine="0"/>
        <w:jc w:val="both"/>
        <w:rPr>
          <w:rStyle w:val="16"/>
          <w:rFonts w:eastAsia="Malgun Gothic" w:cs="Times New Roman"/>
          <w:b w:val="0"/>
          <w:bCs w:val="0"/>
          <w:i w:val="0"/>
          <w:iCs w:val="0"/>
          <w:caps w:val="0"/>
          <w:smallCaps w:val="0"/>
          <w:strike w:val="0"/>
          <w:dstrike w:val="0"/>
          <w:color w:val="auto"/>
          <w:sz w:val="20"/>
          <w:szCs w:val="20"/>
          <w:u w:val="none"/>
          <w:lang w:val="en-US" w:eastAsia="ko-KR" w:bidi="ar-SA"/>
        </w:rPr>
      </w:pPr>
      <w:r>
        <w:rPr>
          <w:rStyle w:val="16"/>
          <w:rFonts w:eastAsia="Malgun Gothic" w:cs="Times New Roman"/>
          <w:b w:val="0"/>
          <w:bCs w:val="0"/>
          <w:i w:val="0"/>
          <w:iCs w:val="0"/>
          <w:caps w:val="0"/>
          <w:smallCaps w:val="0"/>
          <w:strike w:val="0"/>
          <w:dstrike w:val="0"/>
          <w:color w:val="auto"/>
          <w:spacing w:val="0"/>
          <w:kern w:val="0"/>
          <w:sz w:val="20"/>
          <w:szCs w:val="20"/>
          <w:u w:val="none"/>
          <w:lang w:val="en-US" w:eastAsia="ko-KR" w:bidi="ar-SA"/>
        </w:rPr>
        <w:t>2. Chair notes, 3GPP RAN1#116bis, Changsha, Hunan Province, China April 15th - April 19, 2024.</w:t>
      </w:r>
    </w:p>
    <w:p>
      <w:pPr>
        <w:suppressAutoHyphens/>
        <w:spacing w:before="120" w:after="120" w:line="276" w:lineRule="auto"/>
        <w:ind w:left="0" w:firstLine="0"/>
        <w:jc w:val="both"/>
        <w:rPr>
          <w:rStyle w:val="16"/>
          <w:rFonts w:eastAsia="Malgun Gothic" w:cs="Times New Roman"/>
          <w:b w:val="0"/>
          <w:bCs w:val="0"/>
          <w:i w:val="0"/>
          <w:iCs w:val="0"/>
          <w:caps w:val="0"/>
          <w:smallCaps w:val="0"/>
          <w:strike w:val="0"/>
          <w:dstrike w:val="0"/>
          <w:color w:val="auto"/>
          <w:sz w:val="20"/>
          <w:szCs w:val="20"/>
          <w:u w:val="none"/>
          <w:lang w:val="en-US" w:eastAsia="ko-KR" w:bidi="ar-SA"/>
        </w:rPr>
      </w:pPr>
      <w:r>
        <w:rPr>
          <w:rStyle w:val="16"/>
          <w:rFonts w:eastAsia="Malgun Gothic" w:cs="Times New Roman"/>
          <w:b w:val="0"/>
          <w:bCs w:val="0"/>
          <w:i w:val="0"/>
          <w:iCs w:val="0"/>
          <w:caps w:val="0"/>
          <w:smallCaps w:val="0"/>
          <w:strike w:val="0"/>
          <w:dstrike w:val="0"/>
          <w:color w:val="auto"/>
          <w:spacing w:val="0"/>
          <w:kern w:val="0"/>
          <w:sz w:val="20"/>
          <w:szCs w:val="20"/>
          <w:u w:val="none"/>
          <w:lang w:val="en-US" w:eastAsia="ko-KR" w:bidi="ar-SA"/>
        </w:rPr>
        <w:t>3. Chair notes, 3GPP RAN1#116, Athens, Greece, February 26th – March 1st, 2024.</w:t>
      </w:r>
    </w:p>
    <w:sectPr>
      <w:headerReference r:id="rId4" w:type="default"/>
      <w:footerReference r:id="rId5" w:type="default"/>
      <w:pgSz w:w="11906" w:h="16838"/>
      <w:pgMar w:top="1418" w:right="1418" w:bottom="1418" w:left="1418" w:header="709" w:footer="709" w:gutter="0"/>
      <w:pgNumType w:fmt="decimal"/>
      <w:cols w:space="720" w:num="1"/>
      <w:formProt w:val="0"/>
      <w:docGrid w:linePitch="36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MS Mincho">
    <w:altName w:val="Segoe Print"/>
    <w:panose1 w:val="00000000000000000000"/>
    <w:charset w:val="00"/>
    <w:family w:val="auto"/>
    <w:pitch w:val="default"/>
    <w:sig w:usb0="00000000" w:usb1="00000000" w:usb2="00000000" w:usb3="00000000" w:csb0="00000000" w:csb1="00000000"/>
  </w:font>
  <w:font w:name="Cambria">
    <w:panose1 w:val="02040503050406030204"/>
    <w:charset w:val="01"/>
    <w:family w:val="roman"/>
    <w:pitch w:val="default"/>
    <w:sig w:usb0="E00006FF" w:usb1="420024FF" w:usb2="02000000" w:usb3="00000000" w:csb0="2000019F" w:csb1="00000000"/>
  </w:font>
  <w:font w:name="等线">
    <w:altName w:val="Microsoft YaHei"/>
    <w:panose1 w:val="00000000000000000000"/>
    <w:charset w:val="00"/>
    <w:family w:val="auto"/>
    <w:pitch w:val="default"/>
    <w:sig w:usb0="00000000" w:usb1="00000000" w:usb2="00000000" w:usb3="00000000" w:csb0="00000000" w:csb1="00000000"/>
  </w:font>
  <w:font w:name="Times">
    <w:altName w:val="Times New Roman"/>
    <w:panose1 w:val="00000000000000000000"/>
    <w:charset w:val="01"/>
    <w:family w:val="roman"/>
    <w:pitch w:val="default"/>
    <w:sig w:usb0="00000000" w:usb1="00000000" w:usb2="00000000" w:usb3="00000000" w:csb0="00000000" w:csb1="00000000"/>
  </w:font>
  <w:font w:name="Batang">
    <w:altName w:val="Segoe Print"/>
    <w:panose1 w:val="00000000000000000000"/>
    <w:charset w:val="00"/>
    <w:family w:val="auto"/>
    <w:pitch w:val="default"/>
    <w:sig w:usb0="00000000" w:usb1="00000000" w:usb2="00000000" w:usb3="00000000" w:csb0="00000000" w:csb1="00000000"/>
  </w:font>
  <w:font w:name="黑体">
    <w:altName w:val="SimSun"/>
    <w:panose1 w:val="00000000000000000000"/>
    <w:charset w:val="00"/>
    <w:family w:val="auto"/>
    <w:pitch w:val="default"/>
    <w:sig w:usb0="00000000" w:usb1="00000000" w:usb2="00000000" w:usb3="00000000" w:csb0="00000000" w:csb1="00000000"/>
  </w:font>
  <w:font w:name="Courier New">
    <w:panose1 w:val="02070309020205020404"/>
    <w:charset w:val="01"/>
    <w:family w:val="roman"/>
    <w:pitch w:val="default"/>
    <w:sig w:usb0="E0002EFF" w:usb1="C0007843" w:usb2="00000009" w:usb3="00000000" w:csb0="400001FF" w:csb1="FFFF0000"/>
  </w:font>
  <w:font w:name="OpenSymbol">
    <w:altName w:val="Segoe Print"/>
    <w:panose1 w:val="00000000000000000000"/>
    <w:charset w:val="01"/>
    <w:family w:val="roman"/>
    <w:pitch w:val="default"/>
    <w:sig w:usb0="00000000" w:usb1="00000000" w:usb2="00000000" w:usb3="00000000" w:csb0="00000000" w:csb1="00000000"/>
  </w:font>
  <w:font w:name="Batang;바탕">
    <w:altName w:val="Segoe Print"/>
    <w:panose1 w:val="00000000000000000000"/>
    <w:charset w:val="00"/>
    <w:family w:val="auto"/>
    <w:pitch w:val="default"/>
    <w:sig w:usb0="00000000" w:usb1="00000000" w:usb2="00000000" w:usb3="00000000" w:csb0="00000000" w:csb1="00000000"/>
  </w:font>
  <w:font w:name="Wingdings">
    <w:panose1 w:val="05000000000000000000"/>
    <w:charset w:val="01"/>
    <w:family w:val="roman"/>
    <w:pitch w:val="default"/>
    <w:sig w:usb0="00000000" w:usb1="00000000" w:usb2="00000000" w:usb3="00000000" w:csb0="80000000" w:csb1="00000000"/>
  </w:font>
  <w:font w:name="Symbol">
    <w:panose1 w:val="05050102010706020507"/>
    <w:charset w:val="02"/>
    <w:family w:val="roman"/>
    <w:pitch w:val="default"/>
    <w:sig w:usb0="00000000" w:usb1="00000000" w:usb2="00000000" w:usb3="00000000" w:csb0="80000000" w:csb1="00000000"/>
  </w:font>
  <w:font w:name="Times;Times New Roman">
    <w:altName w:val="Segoe Print"/>
    <w:panose1 w:val="00000000000000000000"/>
    <w:charset w:val="00"/>
    <w:family w:val="auto"/>
    <w:pitch w:val="default"/>
    <w:sig w:usb0="00000000" w:usb1="00000000" w:usb2="00000000" w:usb3="00000000" w:csb0="00000000" w:csb1="00000000"/>
  </w:font>
  <w:font w:name="Liberation Sans">
    <w:altName w:val="Arial"/>
    <w:panose1 w:val="00000000000000000000"/>
    <w:charset w:val="01"/>
    <w:family w:val="roman"/>
    <w:pitch w:val="default"/>
    <w:sig w:usb0="00000000" w:usb1="00000000" w:usb2="00000000" w:usb3="00000000" w:csb0="00000000" w:csb1="00000000"/>
  </w:font>
  <w:font w:name="Noto Sans CJK SC">
    <w:altName w:val="Segoe Print"/>
    <w:panose1 w:val="00000000000000000000"/>
    <w:charset w:val="00"/>
    <w:family w:val="auto"/>
    <w:pitch w:val="default"/>
    <w:sig w:usb0="00000000" w:usb1="00000000" w:usb2="00000000" w:usb3="00000000" w:csb0="00000000" w:csb1="00000000"/>
  </w:font>
  <w:font w:name="Lohit Devanagari">
    <w:altName w:val="Segoe Print"/>
    <w:panose1 w:val="00000000000000000000"/>
    <w:charset w:val="00"/>
    <w:family w:val="auto"/>
    <w:pitch w:val="default"/>
    <w:sig w:usb0="00000000" w:usb1="00000000" w:usb2="00000000" w:usb3="00000000" w:csb0="00000000" w:csb1="00000000"/>
  </w:font>
  <w:font w:name="Calibri">
    <w:panose1 w:val="020F0502020204030204"/>
    <w:charset w:val="01"/>
    <w:family w:val="roman"/>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SimSun;宋体">
    <w:altName w:val="SimSun"/>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spacing w:before="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spacing w:before="0" w:after="120"/>
      <w:ind w:left="-2" w:right="400" w:firstLine="0"/>
      <w:rPr>
        <w:rFonts w:eastAsia="SimSun"/>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multilevel"/>
    <w:tmpl w:val="B5E306ED"/>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
    <w:nsid w:val="BF205925"/>
    <w:multiLevelType w:val="multilevel"/>
    <w:tmpl w:val="BF205925"/>
    <w:lvl w:ilvl="0" w:tentative="0">
      <w:start w:val="1"/>
      <w:numFmt w:val="bullet"/>
      <w:lvlText w:val=""/>
      <w:lvlJc w:val="left"/>
      <w:pPr>
        <w:tabs>
          <w:tab w:val="left" w:pos="720"/>
        </w:tabs>
        <w:ind w:left="720" w:hanging="360"/>
      </w:pPr>
      <w:rPr>
        <w:rFonts w:hint="default" w:ascii="Symbol" w:hAnsi="Symbol" w:cs="Symbol"/>
      </w:rPr>
    </w:lvl>
    <w:lvl w:ilvl="1" w:tentative="0">
      <w:start w:val="1"/>
      <w:numFmt w:val="bullet"/>
      <w:lvlText w:val="◦"/>
      <w:lvlJc w:val="left"/>
      <w:pPr>
        <w:tabs>
          <w:tab w:val="left" w:pos="1080"/>
        </w:tabs>
        <w:ind w:left="1080" w:hanging="360"/>
      </w:pPr>
      <w:rPr>
        <w:rFonts w:hint="default" w:ascii="OpenSymbol" w:hAnsi="OpenSymbol" w:cs="OpenSymbol"/>
      </w:rPr>
    </w:lvl>
    <w:lvl w:ilvl="2" w:tentative="0">
      <w:start w:val="1"/>
      <w:numFmt w:val="bullet"/>
      <w:lvlText w:val="▪"/>
      <w:lvlJc w:val="left"/>
      <w:pPr>
        <w:tabs>
          <w:tab w:val="left" w:pos="1440"/>
        </w:tabs>
        <w:ind w:left="1440" w:hanging="360"/>
      </w:pPr>
      <w:rPr>
        <w:rFonts w:hint="default" w:ascii="OpenSymbol" w:hAnsi="OpenSymbol" w:cs="OpenSymbol"/>
      </w:rPr>
    </w:lvl>
    <w:lvl w:ilvl="3" w:tentative="0">
      <w:start w:val="1"/>
      <w:numFmt w:val="bullet"/>
      <w:lvlText w:val=""/>
      <w:lvlJc w:val="left"/>
      <w:pPr>
        <w:tabs>
          <w:tab w:val="left" w:pos="1800"/>
        </w:tabs>
        <w:ind w:left="1800" w:hanging="360"/>
      </w:pPr>
      <w:rPr>
        <w:rFonts w:hint="default" w:ascii="Symbol" w:hAnsi="Symbol" w:cs="Symbol"/>
      </w:rPr>
    </w:lvl>
    <w:lvl w:ilvl="4" w:tentative="0">
      <w:start w:val="1"/>
      <w:numFmt w:val="bullet"/>
      <w:lvlText w:val="◦"/>
      <w:lvlJc w:val="left"/>
      <w:pPr>
        <w:tabs>
          <w:tab w:val="left" w:pos="2160"/>
        </w:tabs>
        <w:ind w:left="2160" w:hanging="360"/>
      </w:pPr>
      <w:rPr>
        <w:rFonts w:hint="default" w:ascii="OpenSymbol" w:hAnsi="OpenSymbol" w:cs="OpenSymbol"/>
      </w:rPr>
    </w:lvl>
    <w:lvl w:ilvl="5" w:tentative="0">
      <w:start w:val="1"/>
      <w:numFmt w:val="bullet"/>
      <w:lvlText w:val="▪"/>
      <w:lvlJc w:val="left"/>
      <w:pPr>
        <w:tabs>
          <w:tab w:val="left" w:pos="2520"/>
        </w:tabs>
        <w:ind w:left="2520" w:hanging="360"/>
      </w:pPr>
      <w:rPr>
        <w:rFonts w:hint="default" w:ascii="OpenSymbol" w:hAnsi="OpenSymbol" w:cs="OpenSymbol"/>
      </w:rPr>
    </w:lvl>
    <w:lvl w:ilvl="6" w:tentative="0">
      <w:start w:val="1"/>
      <w:numFmt w:val="bullet"/>
      <w:lvlText w:val=""/>
      <w:lvlJc w:val="left"/>
      <w:pPr>
        <w:tabs>
          <w:tab w:val="left" w:pos="2880"/>
        </w:tabs>
        <w:ind w:left="2880" w:hanging="360"/>
      </w:pPr>
      <w:rPr>
        <w:rFonts w:hint="default" w:ascii="Symbol" w:hAnsi="Symbol" w:cs="Symbol"/>
      </w:rPr>
    </w:lvl>
    <w:lvl w:ilvl="7" w:tentative="0">
      <w:start w:val="1"/>
      <w:numFmt w:val="bullet"/>
      <w:lvlText w:val="◦"/>
      <w:lvlJc w:val="left"/>
      <w:pPr>
        <w:tabs>
          <w:tab w:val="left" w:pos="3240"/>
        </w:tabs>
        <w:ind w:left="3240" w:hanging="360"/>
      </w:pPr>
      <w:rPr>
        <w:rFonts w:hint="default" w:ascii="OpenSymbol" w:hAnsi="OpenSymbol" w:cs="OpenSymbol"/>
      </w:rPr>
    </w:lvl>
    <w:lvl w:ilvl="8" w:tentative="0">
      <w:start w:val="1"/>
      <w:numFmt w:val="bullet"/>
      <w:lvlText w:val="▪"/>
      <w:lvlJc w:val="left"/>
      <w:pPr>
        <w:tabs>
          <w:tab w:val="left" w:pos="3600"/>
        </w:tabs>
        <w:ind w:left="3600" w:hanging="360"/>
      </w:pPr>
      <w:rPr>
        <w:rFonts w:hint="default" w:ascii="OpenSymbol" w:hAnsi="OpenSymbol" w:cs="OpenSymbol"/>
      </w:rPr>
    </w:lvl>
  </w:abstractNum>
  <w:abstractNum w:abstractNumId="2">
    <w:nsid w:val="CF092B84"/>
    <w:multiLevelType w:val="multilevel"/>
    <w:tmpl w:val="CF092B84"/>
    <w:lvl w:ilvl="0" w:tentative="0">
      <w:start w:val="1"/>
      <w:numFmt w:val="decimal"/>
      <w:lvlText w:val="%1."/>
      <w:lvlJc w:val="left"/>
      <w:pPr>
        <w:tabs>
          <w:tab w:val="left" w:pos="0"/>
        </w:tabs>
        <w:ind w:left="425" w:hanging="425"/>
      </w:pPr>
      <w:rPr>
        <w:lang w:val="zh-CN"/>
      </w:rPr>
    </w:lvl>
    <w:lvl w:ilvl="1" w:tentative="0">
      <w:start w:val="1"/>
      <w:numFmt w:val="decimal"/>
      <w:lvlText w:val="%1.%2."/>
      <w:lvlJc w:val="left"/>
      <w:pPr>
        <w:tabs>
          <w:tab w:val="left" w:pos="0"/>
        </w:tabs>
        <w:ind w:left="567" w:hanging="567"/>
      </w:pPr>
    </w:lvl>
    <w:lvl w:ilvl="2" w:tentative="0">
      <w:start w:val="1"/>
      <w:numFmt w:val="decimal"/>
      <w:lvlText w:val="%1.%2.%3."/>
      <w:lvlJc w:val="left"/>
      <w:pPr>
        <w:tabs>
          <w:tab w:val="left" w:pos="0"/>
        </w:tabs>
        <w:ind w:left="709" w:hanging="709"/>
      </w:pPr>
    </w:lvl>
    <w:lvl w:ilvl="3" w:tentative="0">
      <w:start w:val="1"/>
      <w:numFmt w:val="decimal"/>
      <w:lvlText w:val="%1.%2.%3.%4."/>
      <w:lvlJc w:val="left"/>
      <w:pPr>
        <w:tabs>
          <w:tab w:val="left" w:pos="0"/>
        </w:tabs>
        <w:ind w:left="851" w:hanging="851"/>
      </w:pPr>
    </w:lvl>
    <w:lvl w:ilvl="4" w:tentative="0">
      <w:start w:val="1"/>
      <w:numFmt w:val="decimal"/>
      <w:lvlText w:val="%1.%2.%3.%4.%5."/>
      <w:lvlJc w:val="left"/>
      <w:pPr>
        <w:tabs>
          <w:tab w:val="left" w:pos="0"/>
        </w:tabs>
        <w:ind w:left="992" w:hanging="992"/>
      </w:pPr>
    </w:lvl>
    <w:lvl w:ilvl="5" w:tentative="0">
      <w:start w:val="1"/>
      <w:numFmt w:val="decimal"/>
      <w:lvlText w:val="%1.%2.%3.%4.%5.%6."/>
      <w:lvlJc w:val="left"/>
      <w:pPr>
        <w:tabs>
          <w:tab w:val="left" w:pos="0"/>
        </w:tabs>
        <w:ind w:left="1134" w:hanging="1134"/>
      </w:pPr>
    </w:lvl>
    <w:lvl w:ilvl="6" w:tentative="0">
      <w:start w:val="1"/>
      <w:numFmt w:val="decimal"/>
      <w:lvlText w:val="%1.%2.%3.%4.%5.%6.%7."/>
      <w:lvlJc w:val="left"/>
      <w:pPr>
        <w:tabs>
          <w:tab w:val="left" w:pos="0"/>
        </w:tabs>
        <w:ind w:left="1276" w:hanging="1276"/>
      </w:pPr>
    </w:lvl>
    <w:lvl w:ilvl="7" w:tentative="0">
      <w:start w:val="1"/>
      <w:numFmt w:val="decimal"/>
      <w:lvlText w:val="%1.%2.%3.%4.%5.%6.%7.%8."/>
      <w:lvlJc w:val="left"/>
      <w:pPr>
        <w:tabs>
          <w:tab w:val="left" w:pos="0"/>
        </w:tabs>
        <w:ind w:left="1418" w:hanging="1418"/>
      </w:pPr>
    </w:lvl>
    <w:lvl w:ilvl="8" w:tentative="0">
      <w:start w:val="1"/>
      <w:numFmt w:val="decimal"/>
      <w:lvlText w:val="%1.%2.%3.%4.%5.%6.%7.%8.%9."/>
      <w:lvlJc w:val="left"/>
      <w:pPr>
        <w:tabs>
          <w:tab w:val="left" w:pos="0"/>
        </w:tabs>
        <w:ind w:left="1559" w:hanging="1559"/>
      </w:pPr>
    </w:lvl>
  </w:abstractNum>
  <w:abstractNum w:abstractNumId="3">
    <w:nsid w:val="0053208E"/>
    <w:multiLevelType w:val="multilevel"/>
    <w:tmpl w:val="0053208E"/>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decimal"/>
      <w:pStyle w:val="4"/>
      <w:lvlText w:val="%1.%2.%3."/>
      <w:lvlJc w:val="left"/>
      <w:pPr>
        <w:tabs>
          <w:tab w:val="left" w:pos="0"/>
        </w:tabs>
        <w:ind w:left="709" w:hanging="709"/>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4">
    <w:nsid w:val="0248C179"/>
    <w:multiLevelType w:val="multilevel"/>
    <w:tmpl w:val="0248C179"/>
    <w:lvl w:ilvl="0" w:tentative="0">
      <w:start w:val="1"/>
      <w:numFmt w:val="bullet"/>
      <w:lvlText w:val=""/>
      <w:lvlJc w:val="left"/>
      <w:pPr>
        <w:tabs>
          <w:tab w:val="left" w:pos="720"/>
        </w:tabs>
        <w:ind w:left="720" w:hanging="360"/>
      </w:pPr>
      <w:rPr>
        <w:rFonts w:hint="default" w:ascii="Symbol" w:hAnsi="Symbol" w:cs="Symbol"/>
      </w:rPr>
    </w:lvl>
    <w:lvl w:ilvl="1" w:tentative="0">
      <w:start w:val="1"/>
      <w:numFmt w:val="bullet"/>
      <w:lvlText w:val="◦"/>
      <w:lvlJc w:val="left"/>
      <w:pPr>
        <w:tabs>
          <w:tab w:val="left" w:pos="1080"/>
        </w:tabs>
        <w:ind w:left="1080" w:hanging="360"/>
      </w:pPr>
      <w:rPr>
        <w:rFonts w:hint="default" w:ascii="OpenSymbol" w:hAnsi="OpenSymbol" w:cs="OpenSymbol"/>
      </w:rPr>
    </w:lvl>
    <w:lvl w:ilvl="2" w:tentative="0">
      <w:start w:val="1"/>
      <w:numFmt w:val="bullet"/>
      <w:lvlText w:val="▪"/>
      <w:lvlJc w:val="left"/>
      <w:pPr>
        <w:tabs>
          <w:tab w:val="left" w:pos="1440"/>
        </w:tabs>
        <w:ind w:left="1440" w:hanging="360"/>
      </w:pPr>
      <w:rPr>
        <w:rFonts w:hint="default" w:ascii="OpenSymbol" w:hAnsi="OpenSymbol" w:cs="OpenSymbol"/>
      </w:rPr>
    </w:lvl>
    <w:lvl w:ilvl="3" w:tentative="0">
      <w:start w:val="1"/>
      <w:numFmt w:val="bullet"/>
      <w:lvlText w:val=""/>
      <w:lvlJc w:val="left"/>
      <w:pPr>
        <w:tabs>
          <w:tab w:val="left" w:pos="1800"/>
        </w:tabs>
        <w:ind w:left="1800" w:hanging="360"/>
      </w:pPr>
      <w:rPr>
        <w:rFonts w:hint="default" w:ascii="Symbol" w:hAnsi="Symbol" w:cs="Symbol"/>
      </w:rPr>
    </w:lvl>
    <w:lvl w:ilvl="4" w:tentative="0">
      <w:start w:val="1"/>
      <w:numFmt w:val="bullet"/>
      <w:lvlText w:val="◦"/>
      <w:lvlJc w:val="left"/>
      <w:pPr>
        <w:tabs>
          <w:tab w:val="left" w:pos="2160"/>
        </w:tabs>
        <w:ind w:left="2160" w:hanging="360"/>
      </w:pPr>
      <w:rPr>
        <w:rFonts w:hint="default" w:ascii="OpenSymbol" w:hAnsi="OpenSymbol" w:cs="OpenSymbol"/>
      </w:rPr>
    </w:lvl>
    <w:lvl w:ilvl="5" w:tentative="0">
      <w:start w:val="1"/>
      <w:numFmt w:val="bullet"/>
      <w:lvlText w:val="▪"/>
      <w:lvlJc w:val="left"/>
      <w:pPr>
        <w:tabs>
          <w:tab w:val="left" w:pos="2520"/>
        </w:tabs>
        <w:ind w:left="2520" w:hanging="360"/>
      </w:pPr>
      <w:rPr>
        <w:rFonts w:hint="default" w:ascii="OpenSymbol" w:hAnsi="OpenSymbol" w:cs="OpenSymbol"/>
      </w:rPr>
    </w:lvl>
    <w:lvl w:ilvl="6" w:tentative="0">
      <w:start w:val="1"/>
      <w:numFmt w:val="bullet"/>
      <w:lvlText w:val=""/>
      <w:lvlJc w:val="left"/>
      <w:pPr>
        <w:tabs>
          <w:tab w:val="left" w:pos="2880"/>
        </w:tabs>
        <w:ind w:left="2880" w:hanging="360"/>
      </w:pPr>
      <w:rPr>
        <w:rFonts w:hint="default" w:ascii="Symbol" w:hAnsi="Symbol" w:cs="Symbol"/>
      </w:rPr>
    </w:lvl>
    <w:lvl w:ilvl="7" w:tentative="0">
      <w:start w:val="1"/>
      <w:numFmt w:val="bullet"/>
      <w:lvlText w:val="◦"/>
      <w:lvlJc w:val="left"/>
      <w:pPr>
        <w:tabs>
          <w:tab w:val="left" w:pos="3240"/>
        </w:tabs>
        <w:ind w:left="3240" w:hanging="360"/>
      </w:pPr>
      <w:rPr>
        <w:rFonts w:hint="default" w:ascii="OpenSymbol" w:hAnsi="OpenSymbol" w:cs="OpenSymbol"/>
      </w:rPr>
    </w:lvl>
    <w:lvl w:ilvl="8" w:tentative="0">
      <w:start w:val="1"/>
      <w:numFmt w:val="bullet"/>
      <w:lvlText w:val="▪"/>
      <w:lvlJc w:val="left"/>
      <w:pPr>
        <w:tabs>
          <w:tab w:val="left" w:pos="3600"/>
        </w:tabs>
        <w:ind w:left="3600" w:hanging="360"/>
      </w:pPr>
      <w:rPr>
        <w:rFonts w:hint="default" w:ascii="OpenSymbol" w:hAnsi="OpenSymbol" w:cs="OpenSymbol"/>
      </w:rPr>
    </w:lvl>
  </w:abstractNum>
  <w:abstractNum w:abstractNumId="5">
    <w:nsid w:val="03D62ECE"/>
    <w:multiLevelType w:val="multilevel"/>
    <w:tmpl w:val="03D62ECE"/>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6">
    <w:nsid w:val="25B654F3"/>
    <w:multiLevelType w:val="multilevel"/>
    <w:tmpl w:val="25B654F3"/>
    <w:lvl w:ilvl="0" w:tentative="0">
      <w:start w:val="1"/>
      <w:numFmt w:val="lowerRoman"/>
      <w:lvlText w:val="%1)"/>
      <w:lvlJc w:val="right"/>
      <w:pPr>
        <w:tabs>
          <w:tab w:val="left" w:pos="0"/>
        </w:tabs>
        <w:ind w:left="720" w:hanging="360"/>
      </w:pPr>
    </w:lvl>
    <w:lvl w:ilvl="1" w:tentative="0">
      <w:start w:val="1"/>
      <w:numFmt w:val="lowerLetter"/>
      <w:lvlText w:val="%2."/>
      <w:lvlJc w:val="left"/>
      <w:pPr>
        <w:tabs>
          <w:tab w:val="left" w:pos="0"/>
        </w:tabs>
        <w:ind w:left="1440" w:hanging="360"/>
      </w:pPr>
    </w:lvl>
    <w:lvl w:ilvl="2" w:tentative="0">
      <w:start w:val="1"/>
      <w:numFmt w:val="lowerRoman"/>
      <w:lvlText w:val="%3."/>
      <w:lvlJc w:val="right"/>
      <w:pPr>
        <w:tabs>
          <w:tab w:val="left" w:pos="0"/>
        </w:tabs>
        <w:ind w:left="2160" w:hanging="180"/>
      </w:pPr>
    </w:lvl>
    <w:lvl w:ilvl="3" w:tentative="0">
      <w:start w:val="1"/>
      <w:numFmt w:val="decimal"/>
      <w:lvlText w:val="%4."/>
      <w:lvlJc w:val="left"/>
      <w:pPr>
        <w:tabs>
          <w:tab w:val="left" w:pos="0"/>
        </w:tabs>
        <w:ind w:left="2880" w:hanging="360"/>
      </w:pPr>
    </w:lvl>
    <w:lvl w:ilvl="4" w:tentative="0">
      <w:start w:val="1"/>
      <w:numFmt w:val="lowerLetter"/>
      <w:lvlText w:val="%5."/>
      <w:lvlJc w:val="left"/>
      <w:pPr>
        <w:tabs>
          <w:tab w:val="left" w:pos="0"/>
        </w:tabs>
        <w:ind w:left="3600" w:hanging="360"/>
      </w:pPr>
    </w:lvl>
    <w:lvl w:ilvl="5" w:tentative="0">
      <w:start w:val="1"/>
      <w:numFmt w:val="lowerRoman"/>
      <w:lvlText w:val="%6."/>
      <w:lvlJc w:val="right"/>
      <w:pPr>
        <w:tabs>
          <w:tab w:val="left" w:pos="0"/>
        </w:tabs>
        <w:ind w:left="4320" w:hanging="180"/>
      </w:pPr>
    </w:lvl>
    <w:lvl w:ilvl="6" w:tentative="0">
      <w:start w:val="1"/>
      <w:numFmt w:val="decimal"/>
      <w:lvlText w:val="%7."/>
      <w:lvlJc w:val="left"/>
      <w:pPr>
        <w:tabs>
          <w:tab w:val="left" w:pos="0"/>
        </w:tabs>
        <w:ind w:left="5040" w:hanging="360"/>
      </w:pPr>
    </w:lvl>
    <w:lvl w:ilvl="7" w:tentative="0">
      <w:start w:val="1"/>
      <w:numFmt w:val="lowerLetter"/>
      <w:lvlText w:val="%8."/>
      <w:lvlJc w:val="left"/>
      <w:pPr>
        <w:tabs>
          <w:tab w:val="left" w:pos="0"/>
        </w:tabs>
        <w:ind w:left="5760" w:hanging="360"/>
      </w:pPr>
    </w:lvl>
    <w:lvl w:ilvl="8" w:tentative="0">
      <w:start w:val="1"/>
      <w:numFmt w:val="lowerRoman"/>
      <w:lvlText w:val="%9."/>
      <w:lvlJc w:val="right"/>
      <w:pPr>
        <w:tabs>
          <w:tab w:val="left" w:pos="0"/>
        </w:tabs>
        <w:ind w:left="6480" w:hanging="180"/>
      </w:pPr>
    </w:lvl>
  </w:abstractNum>
  <w:abstractNum w:abstractNumId="7">
    <w:nsid w:val="59ADCABA"/>
    <w:multiLevelType w:val="multilevel"/>
    <w:tmpl w:val="59ADCABA"/>
    <w:lvl w:ilvl="0" w:tentative="0">
      <w:start w:val="150"/>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8">
    <w:nsid w:val="72183CF9"/>
    <w:multiLevelType w:val="multilevel"/>
    <w:tmpl w:val="72183CF9"/>
    <w:lvl w:ilvl="0" w:tentative="0">
      <w:start w:val="1"/>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num w:numId="1">
    <w:abstractNumId w:val="3"/>
  </w:num>
  <w:num w:numId="2">
    <w:abstractNumId w:val="2"/>
  </w:num>
  <w:num w:numId="3">
    <w:abstractNumId w:val="7"/>
  </w:num>
  <w:num w:numId="4">
    <w:abstractNumId w:val="1"/>
  </w:num>
  <w:num w:numId="5">
    <w:abstractNumId w:val="0"/>
  </w:num>
  <w:num w:numId="6">
    <w:abstractNumId w:val="5"/>
  </w:num>
  <w:num w:numId="7">
    <w:abstractNumId w:val="6"/>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720"/>
  <w:autoHyphenation/>
  <w:displayHorizontalDrawingGridEvery w:val="1"/>
  <w:displayVerticalDrawingGridEvery w:val="1"/>
  <w:noPunctuationKerning w:val="1"/>
  <w:footnotePr>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66D561CD"/>
  </w:rsids>
  <m:mathPr>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nhideWhenUsed="0" w:uiPriority="39" w:semiHidden="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nhideWhenUsed="0" w:uiPriority="0" w:name="footnote text"/>
    <w:lsdException w:qFormat="1" w:unhideWhenUsed="0" w:uiPriority="99" w:semiHidden="0" w:name="annotation text"/>
    <w:lsdException w:unhideWhenUsed="0" w:uiPriority="99" w:semiHidden="0" w:name="header"/>
    <w:lsdException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suppressAutoHyphens/>
      <w:bidi w:val="0"/>
      <w:spacing w:before="0" w:after="50"/>
      <w:jc w:val="left"/>
    </w:pPr>
    <w:rPr>
      <w:rFonts w:ascii="Times New Roman" w:hAnsi="Times New Roman" w:eastAsia="Times New Roman" w:cs="Times New Roman"/>
      <w:color w:val="auto"/>
      <w:kern w:val="0"/>
      <w:sz w:val="20"/>
      <w:szCs w:val="20"/>
      <w:lang w:val="en-US" w:eastAsia="en-US" w:bidi="ar-SA"/>
    </w:rPr>
  </w:style>
  <w:style w:type="paragraph" w:styleId="2">
    <w:name w:val="heading 1"/>
    <w:basedOn w:val="1"/>
    <w:next w:val="1"/>
    <w:qFormat/>
    <w:uiPriority w:val="9"/>
    <w:pPr>
      <w:keepNext/>
      <w:spacing w:before="360" w:after="120"/>
      <w:outlineLvl w:val="0"/>
    </w:pPr>
    <w:rPr>
      <w:rFonts w:ascii="Arial" w:hAnsi="Arial" w:eastAsia="SimSun"/>
      <w:b/>
      <w:kern w:val="2"/>
      <w:sz w:val="28"/>
      <w:lang w:val="zh-CN" w:eastAsia="zh-CN"/>
    </w:rPr>
  </w:style>
  <w:style w:type="paragraph" w:styleId="3">
    <w:name w:val="heading 2"/>
    <w:basedOn w:val="1"/>
    <w:next w:val="1"/>
    <w:qFormat/>
    <w:uiPriority w:val="0"/>
    <w:pPr>
      <w:keepNext/>
      <w:tabs>
        <w:tab w:val="left" w:pos="-806"/>
      </w:tabs>
      <w:spacing w:before="240" w:after="120"/>
      <w:outlineLvl w:val="1"/>
    </w:pPr>
    <w:rPr>
      <w:rFonts w:ascii="Arial" w:hAnsi="Arial" w:eastAsia="MS Mincho"/>
      <w:b/>
      <w:sz w:val="24"/>
      <w:lang w:val="zh-CN" w:eastAsia="zh-CN"/>
    </w:rPr>
  </w:style>
  <w:style w:type="paragraph" w:styleId="4">
    <w:name w:val="heading 3"/>
    <w:basedOn w:val="1"/>
    <w:next w:val="1"/>
    <w:autoRedefine/>
    <w:qFormat/>
    <w:uiPriority w:val="9"/>
    <w:pPr>
      <w:keepNext/>
      <w:numPr>
        <w:ilvl w:val="2"/>
        <w:numId w:val="1"/>
      </w:numPr>
      <w:tabs>
        <w:tab w:val="left" w:pos="-5500"/>
      </w:tabs>
      <w:spacing w:before="240" w:after="120"/>
      <w:jc w:val="both"/>
      <w:outlineLvl w:val="2"/>
    </w:pPr>
    <w:rPr>
      <w:rFonts w:ascii="Arial" w:hAnsi="Arial" w:eastAsia="SimSun"/>
      <w:b/>
      <w:sz w:val="24"/>
      <w:szCs w:val="24"/>
      <w:lang w:eastAsia="zh-CN"/>
    </w:rPr>
  </w:style>
  <w:style w:type="paragraph" w:styleId="5">
    <w:name w:val="heading 4"/>
    <w:basedOn w:val="1"/>
    <w:next w:val="1"/>
    <w:autoRedefine/>
    <w:qFormat/>
    <w:uiPriority w:val="9"/>
    <w:pPr>
      <w:keepNext/>
      <w:spacing w:before="120" w:after="180"/>
      <w:outlineLvl w:val="3"/>
    </w:pPr>
    <w:rPr>
      <w:rFonts w:ascii="Arial" w:hAnsi="Arial" w:eastAsia="Arial"/>
      <w:sz w:val="24"/>
    </w:rPr>
  </w:style>
  <w:style w:type="paragraph" w:styleId="6">
    <w:name w:val="heading 5"/>
    <w:basedOn w:val="1"/>
    <w:next w:val="1"/>
    <w:autoRedefine/>
    <w:unhideWhenUsed/>
    <w:qFormat/>
    <w:uiPriority w:val="0"/>
    <w:pPr>
      <w:keepNext/>
      <w:keepLines/>
      <w:spacing w:before="280" w:after="290" w:line="374" w:lineRule="auto"/>
      <w:outlineLvl w:val="4"/>
    </w:pPr>
    <w:rPr>
      <w:b/>
      <w:bCs/>
      <w:sz w:val="28"/>
      <w:szCs w:val="28"/>
      <w:lang w:val="zh-CN"/>
    </w:rPr>
  </w:style>
  <w:style w:type="paragraph" w:styleId="7">
    <w:name w:val="heading 6"/>
    <w:basedOn w:val="1"/>
    <w:next w:val="1"/>
    <w:autoRedefine/>
    <w:semiHidden/>
    <w:unhideWhenUsed/>
    <w:qFormat/>
    <w:uiPriority w:val="0"/>
    <w:pPr>
      <w:keepNext/>
      <w:keepLines/>
      <w:spacing w:before="240" w:after="64" w:line="319" w:lineRule="auto"/>
      <w:outlineLvl w:val="5"/>
    </w:pPr>
    <w:rPr>
      <w:rFonts w:ascii="Cambria" w:hAnsi="Cambria" w:eastAsia="SimSun"/>
      <w:b/>
      <w:bCs/>
      <w:sz w:val="24"/>
      <w:szCs w:val="24"/>
      <w:lang w:val="zh-CN"/>
    </w:rPr>
  </w:style>
  <w:style w:type="paragraph" w:styleId="8">
    <w:name w:val="heading 7"/>
    <w:basedOn w:val="1"/>
    <w:next w:val="1"/>
    <w:autoRedefine/>
    <w:semiHidden/>
    <w:unhideWhenUsed/>
    <w:qFormat/>
    <w:uiPriority w:val="0"/>
    <w:pPr>
      <w:keepNext/>
      <w:keepLines/>
      <w:spacing w:before="240" w:after="64" w:line="319" w:lineRule="auto"/>
      <w:outlineLvl w:val="6"/>
    </w:pPr>
    <w:rPr>
      <w:b/>
      <w:bCs/>
      <w:sz w:val="24"/>
      <w:szCs w:val="24"/>
      <w:lang w:val="zh-CN"/>
    </w:rPr>
  </w:style>
  <w:style w:type="paragraph" w:styleId="9">
    <w:name w:val="heading 8"/>
    <w:basedOn w:val="1"/>
    <w:next w:val="1"/>
    <w:autoRedefine/>
    <w:semiHidden/>
    <w:unhideWhenUsed/>
    <w:qFormat/>
    <w:uiPriority w:val="0"/>
    <w:pPr>
      <w:keepNext/>
      <w:keepLines/>
      <w:spacing w:before="240" w:after="64" w:line="319" w:lineRule="auto"/>
      <w:outlineLvl w:val="7"/>
    </w:pPr>
    <w:rPr>
      <w:rFonts w:ascii="Cambria" w:hAnsi="Cambria" w:eastAsia="SimSun"/>
      <w:sz w:val="24"/>
      <w:szCs w:val="24"/>
      <w:lang w:val="zh-CN"/>
    </w:rPr>
  </w:style>
  <w:style w:type="paragraph" w:styleId="10">
    <w:name w:val="heading 9"/>
    <w:basedOn w:val="1"/>
    <w:next w:val="1"/>
    <w:semiHidden/>
    <w:unhideWhenUsed/>
    <w:qFormat/>
    <w:uiPriority w:val="0"/>
    <w:pPr>
      <w:keepNext/>
      <w:keepLines/>
      <w:spacing w:before="240" w:after="64" w:line="319" w:lineRule="auto"/>
      <w:outlineLvl w:val="8"/>
    </w:pPr>
    <w:rPr>
      <w:rFonts w:ascii="Cambria" w:hAnsi="Cambria" w:eastAsia="SimSun"/>
      <w:sz w:val="21"/>
      <w:szCs w:val="21"/>
      <w:lang w:val="zh-CN"/>
    </w:rPr>
  </w:style>
  <w:style w:type="character" w:default="1" w:styleId="11">
    <w:name w:val="Default Paragraph Font"/>
    <w:autoRedefine/>
    <w:semiHidden/>
    <w:unhideWhenUsed/>
    <w:qFormat/>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alloon Text"/>
    <w:basedOn w:val="1"/>
    <w:link w:val="39"/>
    <w:qFormat/>
    <w:uiPriority w:val="0"/>
    <w:rPr>
      <w:sz w:val="18"/>
      <w:szCs w:val="18"/>
    </w:rPr>
  </w:style>
  <w:style w:type="paragraph" w:styleId="14">
    <w:name w:val="Body Text"/>
    <w:basedOn w:val="1"/>
    <w:link w:val="41"/>
    <w:uiPriority w:val="0"/>
    <w:pPr>
      <w:spacing w:before="0" w:after="120"/>
      <w:jc w:val="both"/>
    </w:pPr>
    <w:rPr>
      <w:rFonts w:eastAsia="MS Mincho"/>
    </w:rPr>
  </w:style>
  <w:style w:type="paragraph" w:styleId="15">
    <w:name w:val="caption"/>
    <w:basedOn w:val="1"/>
    <w:link w:val="55"/>
    <w:qFormat/>
    <w:uiPriority w:val="0"/>
    <w:rPr>
      <w:rFonts w:eastAsia="黑体" w:asciiTheme="majorHAnsi" w:hAnsiTheme="majorHAnsi" w:cstheme="majorBidi"/>
    </w:rPr>
  </w:style>
  <w:style w:type="character" w:styleId="16">
    <w:name w:val="annotation reference"/>
    <w:qFormat/>
    <w:uiPriority w:val="99"/>
    <w:rPr>
      <w:sz w:val="21"/>
      <w:szCs w:val="21"/>
    </w:rPr>
  </w:style>
  <w:style w:type="paragraph" w:styleId="17">
    <w:name w:val="annotation text"/>
    <w:basedOn w:val="1"/>
    <w:qFormat/>
    <w:uiPriority w:val="99"/>
  </w:style>
  <w:style w:type="paragraph" w:styleId="18">
    <w:name w:val="annotation subject"/>
    <w:basedOn w:val="17"/>
    <w:next w:val="17"/>
    <w:link w:val="38"/>
    <w:qFormat/>
    <w:uiPriority w:val="0"/>
    <w:rPr>
      <w:b/>
      <w:bCs/>
    </w:rPr>
  </w:style>
  <w:style w:type="character" w:styleId="19">
    <w:name w:val="Emphasis"/>
    <w:qFormat/>
    <w:uiPriority w:val="0"/>
    <w:rPr>
      <w:i/>
      <w:iCs/>
    </w:rPr>
  </w:style>
  <w:style w:type="paragraph" w:styleId="20">
    <w:name w:val="footer"/>
    <w:basedOn w:val="1"/>
    <w:link w:val="40"/>
    <w:uiPriority w:val="0"/>
    <w:pPr>
      <w:tabs>
        <w:tab w:val="center" w:pos="4153"/>
        <w:tab w:val="right" w:pos="8306"/>
      </w:tabs>
      <w:snapToGrid w:val="0"/>
    </w:pPr>
    <w:rPr>
      <w:sz w:val="18"/>
      <w:szCs w:val="18"/>
    </w:rPr>
  </w:style>
  <w:style w:type="paragraph" w:styleId="21">
    <w:name w:val="footnote text"/>
    <w:basedOn w:val="1"/>
    <w:link w:val="62"/>
    <w:semiHidden/>
    <w:uiPriority w:val="0"/>
    <w:pPr>
      <w:keepLines/>
      <w:spacing w:before="0" w:after="0" w:line="276" w:lineRule="auto"/>
      <w:ind w:left="454" w:hanging="454"/>
    </w:pPr>
    <w:rPr>
      <w:rFonts w:eastAsia="Batang"/>
      <w:sz w:val="16"/>
      <w:lang w:val="en-GB"/>
    </w:rPr>
  </w:style>
  <w:style w:type="paragraph" w:styleId="22">
    <w:name w:val="header"/>
    <w:basedOn w:val="1"/>
    <w:link w:val="36"/>
    <w:uiPriority w:val="99"/>
    <w:pPr>
      <w:tabs>
        <w:tab w:val="center" w:pos="4536"/>
        <w:tab w:val="right" w:pos="9072"/>
      </w:tabs>
    </w:pPr>
    <w:rPr>
      <w:rFonts w:ascii="Arial" w:hAnsi="Arial" w:eastAsia="MS Mincho"/>
      <w:b/>
      <w:sz w:val="22"/>
      <w:lang w:val="zh-CN"/>
    </w:rPr>
  </w:style>
  <w:style w:type="character" w:styleId="23">
    <w:name w:val="Hyperlink"/>
    <w:qFormat/>
    <w:uiPriority w:val="99"/>
    <w:rPr>
      <w:color w:val="0000FF"/>
      <w:u w:val="single"/>
    </w:rPr>
  </w:style>
  <w:style w:type="paragraph" w:styleId="24">
    <w:name w:val="List"/>
    <w:basedOn w:val="14"/>
    <w:uiPriority w:val="0"/>
    <w:rPr>
      <w:rFonts w:cs="Lohit Devanagari"/>
    </w:rPr>
  </w:style>
  <w:style w:type="paragraph" w:styleId="25">
    <w:name w:val="Normal (Web)"/>
    <w:basedOn w:val="1"/>
    <w:semiHidden/>
    <w:unhideWhenUsed/>
    <w:qFormat/>
    <w:uiPriority w:val="99"/>
    <w:pPr>
      <w:spacing w:beforeAutospacing="1" w:afterAutospacing="1"/>
    </w:pPr>
    <w:rPr>
      <w:rFonts w:ascii="SimSun" w:hAnsi="SimSun" w:eastAsia="SimSun" w:cs="SimSun"/>
      <w:sz w:val="24"/>
      <w:szCs w:val="24"/>
      <w:lang w:eastAsia="zh-CN"/>
    </w:rPr>
  </w:style>
  <w:style w:type="character" w:styleId="26">
    <w:name w:val="Strong"/>
    <w:qFormat/>
    <w:uiPriority w:val="22"/>
    <w:rPr>
      <w:b/>
      <w:bCs/>
    </w:rPr>
  </w:style>
  <w:style w:type="table" w:styleId="27">
    <w:name w:val="Table Grid"/>
    <w:basedOn w:val="12"/>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28">
    <w:name w:val="toc 2"/>
    <w:basedOn w:val="1"/>
    <w:next w:val="1"/>
    <w:autoRedefine/>
    <w:uiPriority w:val="39"/>
    <w:pPr>
      <w:tabs>
        <w:tab w:val="left" w:pos="960"/>
        <w:tab w:val="right" w:leader="dot" w:pos="9631"/>
      </w:tabs>
      <w:spacing w:before="0" w:after="0"/>
      <w:ind w:left="238" w:firstLine="0"/>
    </w:pPr>
    <w:rPr>
      <w:smallCaps/>
    </w:rPr>
  </w:style>
  <w:style w:type="character" w:customStyle="1" w:styleId="29">
    <w:name w:val="标题 1 Char"/>
    <w:autoRedefine/>
    <w:qFormat/>
    <w:uiPriority w:val="9"/>
    <w:rPr>
      <w:rFonts w:ascii="Arial" w:hAnsi="Arial"/>
      <w:b/>
      <w:kern w:val="2"/>
      <w:sz w:val="28"/>
      <w:lang w:val="zh-CN" w:eastAsia="zh-CN"/>
    </w:rPr>
  </w:style>
  <w:style w:type="character" w:customStyle="1" w:styleId="30">
    <w:name w:val="标题 2 Char"/>
    <w:autoRedefine/>
    <w:qFormat/>
    <w:uiPriority w:val="0"/>
    <w:rPr>
      <w:rFonts w:ascii="Arial" w:hAnsi="Arial" w:eastAsia="MS Mincho"/>
      <w:b/>
      <w:sz w:val="24"/>
      <w:lang w:val="zh-CN" w:eastAsia="zh-CN"/>
    </w:rPr>
  </w:style>
  <w:style w:type="character" w:customStyle="1" w:styleId="31">
    <w:name w:val="标题 5 Char"/>
    <w:qFormat/>
    <w:uiPriority w:val="0"/>
    <w:rPr>
      <w:rFonts w:eastAsia="Times New Roman"/>
      <w:b/>
      <w:bCs/>
      <w:sz w:val="28"/>
      <w:szCs w:val="28"/>
      <w:lang w:val="zh-CN" w:eastAsia="en-US"/>
    </w:rPr>
  </w:style>
  <w:style w:type="character" w:customStyle="1" w:styleId="32">
    <w:name w:val="标题 6 Char"/>
    <w:semiHidden/>
    <w:qFormat/>
    <w:uiPriority w:val="0"/>
    <w:rPr>
      <w:rFonts w:ascii="Cambria" w:hAnsi="Cambria"/>
      <w:b/>
      <w:bCs/>
      <w:sz w:val="24"/>
      <w:szCs w:val="24"/>
      <w:lang w:val="zh-CN" w:eastAsia="en-US"/>
    </w:rPr>
  </w:style>
  <w:style w:type="character" w:customStyle="1" w:styleId="33">
    <w:name w:val="标题 7 Char"/>
    <w:semiHidden/>
    <w:qFormat/>
    <w:uiPriority w:val="0"/>
    <w:rPr>
      <w:rFonts w:eastAsia="Times New Roman"/>
      <w:b/>
      <w:bCs/>
      <w:sz w:val="24"/>
      <w:szCs w:val="24"/>
      <w:lang w:val="zh-CN" w:eastAsia="en-US"/>
    </w:rPr>
  </w:style>
  <w:style w:type="character" w:customStyle="1" w:styleId="34">
    <w:name w:val="标题 8 Char"/>
    <w:autoRedefine/>
    <w:semiHidden/>
    <w:qFormat/>
    <w:uiPriority w:val="0"/>
    <w:rPr>
      <w:rFonts w:ascii="Cambria" w:hAnsi="Cambria"/>
      <w:sz w:val="24"/>
      <w:szCs w:val="24"/>
      <w:lang w:val="zh-CN" w:eastAsia="en-US"/>
    </w:rPr>
  </w:style>
  <w:style w:type="character" w:customStyle="1" w:styleId="35">
    <w:name w:val="标题 9 Char"/>
    <w:autoRedefine/>
    <w:semiHidden/>
    <w:qFormat/>
    <w:uiPriority w:val="0"/>
    <w:rPr>
      <w:rFonts w:ascii="Cambria" w:hAnsi="Cambria"/>
      <w:sz w:val="21"/>
      <w:szCs w:val="21"/>
      <w:lang w:val="zh-CN" w:eastAsia="en-US"/>
    </w:rPr>
  </w:style>
  <w:style w:type="character" w:customStyle="1" w:styleId="36">
    <w:name w:val="页眉 Char"/>
    <w:link w:val="22"/>
    <w:qFormat/>
    <w:uiPriority w:val="99"/>
    <w:rPr>
      <w:rFonts w:ascii="Arial" w:hAnsi="Arial" w:eastAsia="MS Mincho"/>
      <w:b/>
      <w:sz w:val="22"/>
      <w:lang w:val="zh-CN" w:eastAsia="en-US"/>
    </w:rPr>
  </w:style>
  <w:style w:type="character" w:styleId="37">
    <w:name w:val="Placeholder Text"/>
    <w:autoRedefine/>
    <w:semiHidden/>
    <w:qFormat/>
    <w:uiPriority w:val="99"/>
    <w:rPr>
      <w:color w:val="808080"/>
    </w:rPr>
  </w:style>
  <w:style w:type="character" w:customStyle="1" w:styleId="38">
    <w:name w:val="批注文字 Char"/>
    <w:link w:val="18"/>
    <w:autoRedefine/>
    <w:qFormat/>
    <w:uiPriority w:val="99"/>
    <w:rPr>
      <w:rFonts w:eastAsia="Times New Roman"/>
      <w:lang w:eastAsia="en-US"/>
    </w:rPr>
  </w:style>
  <w:style w:type="character" w:customStyle="1" w:styleId="39">
    <w:name w:val="批注主题 Char"/>
    <w:link w:val="13"/>
    <w:qFormat/>
    <w:uiPriority w:val="0"/>
    <w:rPr>
      <w:rFonts w:eastAsia="Times New Roman"/>
      <w:b/>
      <w:bCs/>
      <w:lang w:eastAsia="en-US"/>
    </w:rPr>
  </w:style>
  <w:style w:type="character" w:customStyle="1" w:styleId="40">
    <w:name w:val="批注框文本 Char"/>
    <w:link w:val="20"/>
    <w:autoRedefine/>
    <w:qFormat/>
    <w:uiPriority w:val="0"/>
    <w:rPr>
      <w:rFonts w:eastAsia="Times New Roman"/>
      <w:sz w:val="18"/>
      <w:szCs w:val="18"/>
      <w:lang w:eastAsia="en-US"/>
    </w:rPr>
  </w:style>
  <w:style w:type="character" w:customStyle="1" w:styleId="41">
    <w:name w:val="页脚 Char"/>
    <w:link w:val="14"/>
    <w:autoRedefine/>
    <w:qFormat/>
    <w:uiPriority w:val="0"/>
    <w:rPr>
      <w:rFonts w:eastAsia="Times New Roman"/>
      <w:sz w:val="18"/>
      <w:szCs w:val="18"/>
      <w:lang w:eastAsia="en-US"/>
    </w:rPr>
  </w:style>
  <w:style w:type="character" w:customStyle="1" w:styleId="42">
    <w:name w:val="B1 Zchn"/>
    <w:link w:val="43"/>
    <w:qFormat/>
    <w:uiPriority w:val="0"/>
    <w:rPr>
      <w:rFonts w:eastAsia="等线"/>
      <w:lang w:val="zh-CN" w:eastAsia="en-US"/>
    </w:rPr>
  </w:style>
  <w:style w:type="paragraph" w:customStyle="1" w:styleId="43">
    <w:name w:val="B1"/>
    <w:basedOn w:val="1"/>
    <w:link w:val="42"/>
    <w:qFormat/>
    <w:uiPriority w:val="0"/>
    <w:pPr>
      <w:spacing w:before="0" w:after="180"/>
      <w:ind w:left="568" w:hanging="284"/>
    </w:pPr>
    <w:rPr>
      <w:rFonts w:eastAsia="等线"/>
      <w:lang w:val="zh-CN"/>
    </w:rPr>
  </w:style>
  <w:style w:type="character" w:customStyle="1" w:styleId="44">
    <w:name w:val="正文文本 Char"/>
    <w:link w:val="45"/>
    <w:autoRedefine/>
    <w:qFormat/>
    <w:uiPriority w:val="0"/>
    <w:rPr>
      <w:rFonts w:eastAsia="MS Mincho"/>
      <w:lang w:eastAsia="en-US"/>
    </w:rPr>
  </w:style>
  <w:style w:type="paragraph" w:styleId="45">
    <w:name w:val="List Paragraph"/>
    <w:basedOn w:val="1"/>
    <w:link w:val="44"/>
    <w:qFormat/>
    <w:uiPriority w:val="34"/>
    <w:pPr>
      <w:ind w:left="840" w:firstLine="0"/>
    </w:pPr>
    <w:rPr>
      <w:rFonts w:ascii="Times" w:hAnsi="Times" w:eastAsia="Batang"/>
      <w:szCs w:val="24"/>
      <w:lang w:val="en-GB" w:eastAsia="zh-CN"/>
    </w:rPr>
  </w:style>
  <w:style w:type="character" w:customStyle="1" w:styleId="46">
    <w:name w:val="正文文本 Char1"/>
    <w:autoRedefine/>
    <w:qFormat/>
    <w:uiPriority w:val="0"/>
    <w:rPr>
      <w:rFonts w:eastAsia="Times New Roman"/>
      <w:lang w:eastAsia="en-US"/>
    </w:rPr>
  </w:style>
  <w:style w:type="character" w:customStyle="1" w:styleId="47">
    <w:name w:val="B2 Char"/>
    <w:link w:val="48"/>
    <w:qFormat/>
    <w:uiPriority w:val="0"/>
    <w:rPr>
      <w:rFonts w:eastAsia="等线"/>
      <w:lang w:val="zh-CN" w:eastAsia="en-US"/>
    </w:rPr>
  </w:style>
  <w:style w:type="paragraph" w:customStyle="1" w:styleId="48">
    <w:name w:val="B2"/>
    <w:basedOn w:val="1"/>
    <w:link w:val="47"/>
    <w:qFormat/>
    <w:uiPriority w:val="0"/>
    <w:pPr>
      <w:spacing w:before="0" w:after="180"/>
      <w:ind w:left="851" w:hanging="284"/>
    </w:pPr>
    <w:rPr>
      <w:rFonts w:eastAsia="等线"/>
      <w:lang w:val="zh-CN"/>
    </w:rPr>
  </w:style>
  <w:style w:type="character" w:customStyle="1" w:styleId="49">
    <w:name w:val="TAC Char"/>
    <w:link w:val="50"/>
    <w:autoRedefine/>
    <w:qFormat/>
    <w:locked/>
    <w:uiPriority w:val="0"/>
    <w:rPr>
      <w:rFonts w:ascii="Arial" w:hAnsi="Arial" w:cs="Arial"/>
      <w:sz w:val="18"/>
      <w:lang w:eastAsia="en-US"/>
    </w:rPr>
  </w:style>
  <w:style w:type="paragraph" w:customStyle="1" w:styleId="50">
    <w:name w:val="TAC"/>
    <w:basedOn w:val="1"/>
    <w:link w:val="49"/>
    <w:qFormat/>
    <w:uiPriority w:val="0"/>
    <w:pPr>
      <w:keepNext/>
      <w:keepLines/>
      <w:jc w:val="center"/>
    </w:pPr>
    <w:rPr>
      <w:rFonts w:ascii="Arial" w:hAnsi="Arial" w:eastAsia="SimSun" w:cs="Arial"/>
      <w:sz w:val="18"/>
    </w:rPr>
  </w:style>
  <w:style w:type="character" w:customStyle="1" w:styleId="51">
    <w:name w:val="TH Char"/>
    <w:link w:val="52"/>
    <w:qFormat/>
    <w:locked/>
    <w:uiPriority w:val="0"/>
    <w:rPr>
      <w:rFonts w:ascii="Arial" w:hAnsi="Arial" w:cs="Arial"/>
      <w:b/>
      <w:lang w:eastAsia="en-US"/>
    </w:rPr>
  </w:style>
  <w:style w:type="paragraph" w:customStyle="1" w:styleId="52">
    <w:name w:val="TH"/>
    <w:basedOn w:val="1"/>
    <w:link w:val="51"/>
    <w:qFormat/>
    <w:uiPriority w:val="0"/>
    <w:pPr>
      <w:keepNext/>
      <w:keepLines/>
      <w:spacing w:before="60" w:after="180"/>
      <w:jc w:val="center"/>
    </w:pPr>
    <w:rPr>
      <w:rFonts w:ascii="Arial" w:hAnsi="Arial" w:eastAsia="SimSun" w:cs="Arial"/>
      <w:b/>
    </w:rPr>
  </w:style>
  <w:style w:type="character" w:customStyle="1" w:styleId="53">
    <w:name w:val="TAH Car"/>
    <w:link w:val="54"/>
    <w:qFormat/>
    <w:locked/>
    <w:uiPriority w:val="0"/>
    <w:rPr>
      <w:rFonts w:ascii="Arial" w:hAnsi="Arial" w:cs="Arial"/>
      <w:b/>
      <w:sz w:val="18"/>
      <w:lang w:eastAsia="en-US"/>
    </w:rPr>
  </w:style>
  <w:style w:type="paragraph" w:customStyle="1" w:styleId="54">
    <w:name w:val="TAH"/>
    <w:basedOn w:val="50"/>
    <w:link w:val="53"/>
    <w:qFormat/>
    <w:uiPriority w:val="0"/>
    <w:rPr>
      <w:b/>
    </w:rPr>
  </w:style>
  <w:style w:type="character" w:customStyle="1" w:styleId="55">
    <w:name w:val="列出段落 Char"/>
    <w:link w:val="15"/>
    <w:qFormat/>
    <w:uiPriority w:val="34"/>
    <w:rPr>
      <w:rFonts w:ascii="Times" w:hAnsi="Times" w:eastAsia="Batang"/>
      <w:szCs w:val="24"/>
      <w:lang w:val="en-GB" w:eastAsia="zh-CN"/>
    </w:rPr>
  </w:style>
  <w:style w:type="character" w:customStyle="1" w:styleId="56">
    <w:name w:val="apple-converted-space"/>
    <w:qFormat/>
    <w:uiPriority w:val="0"/>
  </w:style>
  <w:style w:type="character" w:customStyle="1" w:styleId="57">
    <w:name w:val="B1 Char1"/>
    <w:qFormat/>
    <w:locked/>
    <w:uiPriority w:val="0"/>
    <w:rPr>
      <w:rFonts w:ascii="Times New Roman" w:hAnsi="Times New Roman" w:eastAsia="Times New Roman" w:cs="Times New Roman"/>
      <w:lang w:val="en-GB" w:eastAsia="en-GB"/>
    </w:rPr>
  </w:style>
  <w:style w:type="character" w:customStyle="1" w:styleId="58">
    <w:name w:val="B3 Char"/>
    <w:basedOn w:val="11"/>
    <w:link w:val="59"/>
    <w:qFormat/>
    <w:uiPriority w:val="0"/>
    <w:rPr>
      <w:lang w:val="en-GB" w:eastAsia="en-US"/>
    </w:rPr>
  </w:style>
  <w:style w:type="paragraph" w:customStyle="1" w:styleId="59">
    <w:name w:val="B3"/>
    <w:basedOn w:val="1"/>
    <w:link w:val="58"/>
    <w:qFormat/>
    <w:uiPriority w:val="0"/>
    <w:pPr>
      <w:spacing w:before="0" w:after="180"/>
      <w:ind w:left="1135" w:hanging="284"/>
    </w:pPr>
    <w:rPr>
      <w:rFonts w:eastAsia="SimSun"/>
      <w:lang w:val="en-GB"/>
    </w:rPr>
  </w:style>
  <w:style w:type="character" w:customStyle="1" w:styleId="60">
    <w:name w:val="msoins"/>
    <w:basedOn w:val="11"/>
    <w:qFormat/>
    <w:uiPriority w:val="0"/>
  </w:style>
  <w:style w:type="character" w:customStyle="1" w:styleId="61">
    <w:name w:val="标题 4 Char"/>
    <w:basedOn w:val="11"/>
    <w:qFormat/>
    <w:uiPriority w:val="9"/>
    <w:rPr>
      <w:rFonts w:ascii="Arial" w:hAnsi="Arial" w:eastAsia="Arial"/>
      <w:sz w:val="24"/>
      <w:lang w:eastAsia="en-US"/>
    </w:rPr>
  </w:style>
  <w:style w:type="character" w:customStyle="1" w:styleId="62">
    <w:name w:val="题注 Char"/>
    <w:link w:val="21"/>
    <w:qFormat/>
    <w:uiPriority w:val="0"/>
    <w:rPr>
      <w:rFonts w:eastAsia="黑体" w:asciiTheme="majorHAnsi" w:hAnsiTheme="majorHAnsi" w:cstheme="majorBidi"/>
      <w:lang w:eastAsia="en-US"/>
    </w:rPr>
  </w:style>
  <w:style w:type="character" w:customStyle="1" w:styleId="63">
    <w:name w:val="xapple-converted-space"/>
    <w:qFormat/>
    <w:uiPriority w:val="0"/>
  </w:style>
  <w:style w:type="character" w:customStyle="1" w:styleId="64">
    <w:name w:val="TAL Char"/>
    <w:link w:val="65"/>
    <w:qFormat/>
    <w:uiPriority w:val="0"/>
    <w:rPr>
      <w:rFonts w:ascii="Arial" w:hAnsi="Arial"/>
      <w:sz w:val="18"/>
      <w:lang w:val="en-GB" w:eastAsia="en-US"/>
    </w:rPr>
  </w:style>
  <w:style w:type="paragraph" w:customStyle="1" w:styleId="65">
    <w:name w:val="TAL"/>
    <w:basedOn w:val="1"/>
    <w:link w:val="64"/>
    <w:qFormat/>
    <w:uiPriority w:val="0"/>
    <w:pPr>
      <w:keepNext/>
      <w:keepLines/>
      <w:spacing w:before="0" w:after="0"/>
    </w:pPr>
    <w:rPr>
      <w:rFonts w:ascii="Arial" w:hAnsi="Arial" w:eastAsia="SimSun"/>
      <w:sz w:val="18"/>
      <w:lang w:val="en-GB"/>
    </w:rPr>
  </w:style>
  <w:style w:type="character" w:customStyle="1" w:styleId="66">
    <w:name w:val="PL Char"/>
    <w:link w:val="67"/>
    <w:qFormat/>
    <w:uiPriority w:val="0"/>
    <w:rPr>
      <w:rFonts w:ascii="Courier New" w:hAnsi="Courier New" w:eastAsia="Batang"/>
      <w:sz w:val="16"/>
      <w:shd w:val="clear" w:fill="E6E6E6"/>
      <w:lang w:val="en-GB" w:eastAsia="sv-SE"/>
    </w:rPr>
  </w:style>
  <w:style w:type="paragraph" w:customStyle="1" w:styleId="67">
    <w:name w:val="PL"/>
    <w:link w:val="66"/>
    <w:qFormat/>
    <w:uiPriority w:val="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bidi w:val="0"/>
      <w:spacing w:before="0" w:after="0"/>
      <w:jc w:val="left"/>
    </w:pPr>
    <w:rPr>
      <w:rFonts w:ascii="Courier New" w:hAnsi="Courier New" w:eastAsia="Batang" w:cs="Times New Roman"/>
      <w:color w:val="auto"/>
      <w:kern w:val="0"/>
      <w:sz w:val="16"/>
      <w:szCs w:val="20"/>
      <w:lang w:val="en-GB" w:eastAsia="sv-SE" w:bidi="ar-SA"/>
    </w:rPr>
  </w:style>
  <w:style w:type="character" w:customStyle="1" w:styleId="68">
    <w:name w:val="列出段落 Char2"/>
    <w:qFormat/>
    <w:locked/>
    <w:uiPriority w:val="34"/>
    <w:rPr>
      <w:rFonts w:ascii="Times New Roman" w:hAnsi="Times New Roman" w:eastAsia="Times New Roman"/>
      <w:szCs w:val="24"/>
      <w:lang w:val="en-US"/>
    </w:rPr>
  </w:style>
  <w:style w:type="character" w:customStyle="1" w:styleId="69">
    <w:name w:val="EQ Char"/>
    <w:basedOn w:val="11"/>
    <w:link w:val="70"/>
    <w:qFormat/>
    <w:locked/>
    <w:uiPriority w:val="99"/>
    <w:rPr>
      <w:lang w:eastAsia="en-US"/>
    </w:rPr>
  </w:style>
  <w:style w:type="paragraph" w:customStyle="1" w:styleId="70">
    <w:name w:val="EQ"/>
    <w:basedOn w:val="1"/>
    <w:next w:val="1"/>
    <w:link w:val="69"/>
    <w:qFormat/>
    <w:uiPriority w:val="99"/>
    <w:pPr>
      <w:keepLines/>
      <w:tabs>
        <w:tab w:val="center" w:pos="4536"/>
        <w:tab w:val="right" w:pos="9072"/>
      </w:tabs>
      <w:overflowPunct/>
      <w:spacing w:before="0" w:after="180"/>
      <w:textAlignment w:val="baseline"/>
    </w:pPr>
    <w:rPr>
      <w:rFonts w:eastAsia="SimSun"/>
    </w:rPr>
  </w:style>
  <w:style w:type="character" w:customStyle="1" w:styleId="71">
    <w:name w:val="3GPP Text Char"/>
    <w:link w:val="72"/>
    <w:qFormat/>
    <w:uiPriority w:val="0"/>
    <w:rPr>
      <w:sz w:val="22"/>
      <w:lang w:eastAsia="en-US"/>
    </w:rPr>
  </w:style>
  <w:style w:type="paragraph" w:customStyle="1" w:styleId="72">
    <w:name w:val="3GPP Text"/>
    <w:basedOn w:val="1"/>
    <w:link w:val="71"/>
    <w:qFormat/>
    <w:uiPriority w:val="0"/>
    <w:pPr>
      <w:overflowPunct/>
      <w:spacing w:before="120" w:after="120"/>
      <w:jc w:val="both"/>
      <w:textAlignment w:val="baseline"/>
    </w:pPr>
    <w:rPr>
      <w:rFonts w:eastAsia="SimSun"/>
      <w:sz w:val="22"/>
    </w:rPr>
  </w:style>
  <w:style w:type="character" w:customStyle="1" w:styleId="73">
    <w:name w:val="Doc Char"/>
    <w:basedOn w:val="11"/>
    <w:link w:val="74"/>
    <w:qFormat/>
    <w:uiPriority w:val="0"/>
    <w:rPr>
      <w:rFonts w:eastAsia="Batang"/>
      <w:bCs/>
      <w:sz w:val="22"/>
      <w:szCs w:val="22"/>
      <w:lang w:eastAsia="ko-KR"/>
    </w:rPr>
  </w:style>
  <w:style w:type="paragraph" w:customStyle="1" w:styleId="74">
    <w:name w:val="Doc"/>
    <w:basedOn w:val="1"/>
    <w:link w:val="73"/>
    <w:qFormat/>
    <w:uiPriority w:val="0"/>
    <w:pPr>
      <w:spacing w:before="120" w:after="120"/>
      <w:ind w:firstLine="220"/>
      <w:jc w:val="both"/>
    </w:pPr>
    <w:rPr>
      <w:rFonts w:eastAsia="Batang"/>
      <w:bCs/>
      <w:sz w:val="22"/>
      <w:szCs w:val="22"/>
      <w:lang w:eastAsia="ko-KR"/>
    </w:rPr>
  </w:style>
  <w:style w:type="character" w:customStyle="1" w:styleId="75">
    <w:name w:val="脚注文本 Char"/>
    <w:basedOn w:val="11"/>
    <w:semiHidden/>
    <w:qFormat/>
    <w:uiPriority w:val="0"/>
    <w:rPr>
      <w:rFonts w:eastAsia="Batang"/>
      <w:sz w:val="16"/>
      <w:lang w:val="en-GB" w:eastAsia="en-US"/>
    </w:rPr>
  </w:style>
  <w:style w:type="character" w:customStyle="1" w:styleId="76">
    <w:name w:val="B4 Char"/>
    <w:link w:val="77"/>
    <w:qFormat/>
    <w:uiPriority w:val="0"/>
    <w:rPr>
      <w:lang w:val="en-GB" w:eastAsia="en-US"/>
    </w:rPr>
  </w:style>
  <w:style w:type="paragraph" w:customStyle="1" w:styleId="77">
    <w:name w:val="B4"/>
    <w:basedOn w:val="1"/>
    <w:link w:val="76"/>
    <w:qFormat/>
    <w:uiPriority w:val="0"/>
    <w:pPr>
      <w:spacing w:before="0" w:after="180"/>
      <w:ind w:left="1418" w:hanging="284"/>
    </w:pPr>
    <w:rPr>
      <w:rFonts w:eastAsia="SimSun"/>
      <w:lang w:val="en-GB"/>
    </w:rPr>
  </w:style>
  <w:style w:type="character" w:customStyle="1" w:styleId="78">
    <w:name w:val="B5 Char"/>
    <w:link w:val="79"/>
    <w:qFormat/>
    <w:uiPriority w:val="0"/>
    <w:rPr>
      <w:lang w:val="en-GB" w:eastAsia="en-US"/>
    </w:rPr>
  </w:style>
  <w:style w:type="paragraph" w:customStyle="1" w:styleId="79">
    <w:name w:val="B5"/>
    <w:basedOn w:val="1"/>
    <w:link w:val="78"/>
    <w:qFormat/>
    <w:uiPriority w:val="0"/>
    <w:pPr>
      <w:spacing w:before="0" w:after="180"/>
      <w:ind w:left="1702" w:hanging="284"/>
    </w:pPr>
    <w:rPr>
      <w:rFonts w:eastAsia="SimSun"/>
      <w:lang w:val="en-GB"/>
    </w:rPr>
  </w:style>
  <w:style w:type="character" w:customStyle="1" w:styleId="80">
    <w:name w:val="样式1 Char"/>
    <w:basedOn w:val="32"/>
    <w:qFormat/>
    <w:uiPriority w:val="0"/>
    <w:rPr>
      <w:rFonts w:ascii="Arial" w:hAnsi="Arial" w:cs="Arial" w:eastAsiaTheme="minorEastAsia"/>
      <w:sz w:val="24"/>
      <w:szCs w:val="24"/>
      <w:lang w:val="zh-CN" w:eastAsia="en-US"/>
    </w:rPr>
  </w:style>
  <w:style w:type="character" w:customStyle="1" w:styleId="81">
    <w:name w:val="Bullets"/>
    <w:qFormat/>
    <w:uiPriority w:val="0"/>
    <w:rPr>
      <w:rFonts w:ascii="OpenSymbol" w:hAnsi="OpenSymbol" w:eastAsia="OpenSymbol" w:cs="OpenSymbol"/>
    </w:rPr>
  </w:style>
  <w:style w:type="character" w:customStyle="1" w:styleId="82">
    <w:name w:val="WW8Num114z0"/>
    <w:qFormat/>
    <w:uiPriority w:val="0"/>
    <w:rPr>
      <w:rFonts w:ascii="Times" w:hAnsi="Times" w:eastAsia="Batang;바탕" w:cs="Times"/>
      <w:lang w:val="en-US"/>
    </w:rPr>
  </w:style>
  <w:style w:type="character" w:customStyle="1" w:styleId="83">
    <w:name w:val="WW8Num114z1"/>
    <w:qFormat/>
    <w:uiPriority w:val="0"/>
    <w:rPr>
      <w:rFonts w:ascii="Courier New" w:hAnsi="Courier New" w:cs="Courier New"/>
      <w:lang w:val="en-US"/>
    </w:rPr>
  </w:style>
  <w:style w:type="character" w:customStyle="1" w:styleId="84">
    <w:name w:val="WW8Num114z2"/>
    <w:qFormat/>
    <w:uiPriority w:val="0"/>
    <w:rPr>
      <w:rFonts w:ascii="Wingdings" w:hAnsi="Wingdings" w:cs="Wingdings"/>
      <w:lang w:val="en-US"/>
    </w:rPr>
  </w:style>
  <w:style w:type="character" w:customStyle="1" w:styleId="85">
    <w:name w:val="WW8Num114z3"/>
    <w:qFormat/>
    <w:uiPriority w:val="0"/>
    <w:rPr>
      <w:rFonts w:ascii="Symbol" w:hAnsi="Symbol" w:cs="Symbol"/>
      <w:lang w:val="en-US"/>
    </w:rPr>
  </w:style>
  <w:style w:type="character" w:customStyle="1" w:styleId="86">
    <w:name w:val="WW8Num11z0"/>
    <w:qFormat/>
    <w:uiPriority w:val="0"/>
    <w:rPr>
      <w:rFonts w:ascii="Times;Times New Roman" w:hAnsi="Times;Times New Roman" w:cs="Times;Times New Roman"/>
      <w:szCs w:val="20"/>
      <w:lang w:val="en-US" w:eastAsia="zh-TW"/>
    </w:rPr>
  </w:style>
  <w:style w:type="character" w:customStyle="1" w:styleId="87">
    <w:name w:val="WW8Num11z1"/>
    <w:qFormat/>
    <w:uiPriority w:val="0"/>
    <w:rPr>
      <w:rFonts w:ascii="Courier New" w:hAnsi="Courier New" w:cs="Courier New"/>
      <w:szCs w:val="20"/>
      <w:lang w:val="en-US" w:eastAsia="zh-TW"/>
    </w:rPr>
  </w:style>
  <w:style w:type="character" w:customStyle="1" w:styleId="88">
    <w:name w:val="WW8Num11z2"/>
    <w:qFormat/>
    <w:uiPriority w:val="0"/>
    <w:rPr>
      <w:rFonts w:ascii="Wingdings" w:hAnsi="Wingdings" w:cs="Wingdings"/>
      <w:szCs w:val="20"/>
      <w:lang w:val="en-US" w:eastAsia="zh-TW"/>
    </w:rPr>
  </w:style>
  <w:style w:type="character" w:customStyle="1" w:styleId="89">
    <w:name w:val="WW8Num11z3"/>
    <w:qFormat/>
    <w:uiPriority w:val="0"/>
    <w:rPr>
      <w:rFonts w:ascii="Symbol" w:hAnsi="Symbol" w:cs="Symbol"/>
      <w:lang w:eastAsia="zh-TW"/>
    </w:rPr>
  </w:style>
  <w:style w:type="paragraph" w:customStyle="1" w:styleId="90">
    <w:name w:val="Heading"/>
    <w:basedOn w:val="1"/>
    <w:next w:val="14"/>
    <w:qFormat/>
    <w:uiPriority w:val="0"/>
    <w:pPr>
      <w:keepNext/>
      <w:spacing w:before="240" w:after="120"/>
    </w:pPr>
    <w:rPr>
      <w:rFonts w:ascii="Liberation Sans" w:hAnsi="Liberation Sans" w:eastAsia="Noto Sans CJK SC" w:cs="Lohit Devanagari"/>
      <w:sz w:val="28"/>
      <w:szCs w:val="28"/>
    </w:rPr>
  </w:style>
  <w:style w:type="paragraph" w:customStyle="1" w:styleId="91">
    <w:name w:val="Index"/>
    <w:basedOn w:val="1"/>
    <w:qFormat/>
    <w:uiPriority w:val="0"/>
    <w:pPr>
      <w:suppressLineNumbers/>
      <w:suppressAutoHyphens/>
      <w:spacing w:before="0" w:after="180" w:line="259" w:lineRule="auto"/>
      <w:jc w:val="both"/>
    </w:pPr>
    <w:rPr>
      <w:rFonts w:eastAsia="等线" w:cs="Lohit Devanagari"/>
      <w:lang w:val="en-GB"/>
    </w:rPr>
  </w:style>
  <w:style w:type="paragraph" w:customStyle="1" w:styleId="92">
    <w:name w:val="Header and Footer"/>
    <w:basedOn w:val="1"/>
    <w:qFormat/>
    <w:uiPriority w:val="0"/>
  </w:style>
  <w:style w:type="paragraph" w:customStyle="1" w:styleId="93">
    <w:name w:val="Revision"/>
    <w:semiHidden/>
    <w:qFormat/>
    <w:uiPriority w:val="99"/>
    <w:pPr>
      <w:widowControl/>
      <w:suppressAutoHyphens/>
      <w:bidi w:val="0"/>
      <w:spacing w:before="0" w:after="0"/>
      <w:jc w:val="left"/>
    </w:pPr>
    <w:rPr>
      <w:rFonts w:ascii="Times New Roman" w:hAnsi="Times New Roman" w:eastAsia="Times New Roman" w:cs="Times New Roman"/>
      <w:color w:val="auto"/>
      <w:kern w:val="0"/>
      <w:sz w:val="20"/>
      <w:szCs w:val="20"/>
      <w:lang w:val="en-US" w:eastAsia="en-US" w:bidi="ar-SA"/>
    </w:rPr>
  </w:style>
  <w:style w:type="paragraph" w:customStyle="1" w:styleId="94">
    <w:name w:val="Char Char1 Char Char Char Char Char Char Char Char Char Char Char Char Char Char Char"/>
    <w:semiHidden/>
    <w:qFormat/>
    <w:uiPriority w:val="0"/>
    <w:pPr>
      <w:keepNext/>
      <w:widowControl/>
      <w:tabs>
        <w:tab w:val="left" w:pos="360"/>
      </w:tabs>
      <w:suppressAutoHyphens/>
      <w:bidi w:val="0"/>
      <w:spacing w:before="60" w:after="60"/>
      <w:ind w:left="360" w:hanging="360"/>
      <w:jc w:val="both"/>
    </w:pPr>
    <w:rPr>
      <w:rFonts w:ascii="Arial" w:hAnsi="Arial" w:eastAsia="SimSun" w:cs="Arial"/>
      <w:color w:val="0000FF"/>
      <w:kern w:val="2"/>
      <w:sz w:val="20"/>
      <w:szCs w:val="20"/>
      <w:lang w:val="en-US" w:eastAsia="zh-CN" w:bidi="ar-SA"/>
    </w:rPr>
  </w:style>
  <w:style w:type="paragraph" w:customStyle="1" w:styleId="95">
    <w:name w:val="text intend 3"/>
    <w:basedOn w:val="1"/>
    <w:qFormat/>
    <w:uiPriority w:val="0"/>
    <w:pPr>
      <w:overflowPunct/>
      <w:spacing w:before="0" w:after="120"/>
      <w:jc w:val="both"/>
      <w:textAlignment w:val="baseline"/>
    </w:pPr>
    <w:rPr>
      <w:rFonts w:eastAsia="MS Mincho"/>
      <w:sz w:val="24"/>
      <w:lang w:eastAsia="en-GB"/>
    </w:rPr>
  </w:style>
  <w:style w:type="paragraph" w:customStyle="1" w:styleId="96">
    <w:name w:val="Agreement"/>
    <w:basedOn w:val="1"/>
    <w:next w:val="1"/>
    <w:qFormat/>
    <w:uiPriority w:val="0"/>
    <w:pPr>
      <w:spacing w:before="60" w:after="50"/>
    </w:pPr>
    <w:rPr>
      <w:rFonts w:ascii="Arial" w:hAnsi="Arial" w:eastAsia="MS Mincho"/>
      <w:b/>
      <w:szCs w:val="24"/>
      <w:lang w:val="en-GB" w:eastAsia="en-GB"/>
    </w:rPr>
  </w:style>
  <w:style w:type="paragraph" w:customStyle="1" w:styleId="97">
    <w:name w:val="text intend 2"/>
    <w:basedOn w:val="1"/>
    <w:qFormat/>
    <w:uiPriority w:val="0"/>
    <w:pPr>
      <w:overflowPunct/>
      <w:spacing w:before="0" w:after="120"/>
      <w:jc w:val="both"/>
      <w:textAlignment w:val="baseline"/>
    </w:pPr>
    <w:rPr>
      <w:rFonts w:eastAsia="MS Mincho"/>
      <w:sz w:val="24"/>
      <w:lang w:eastAsia="en-GB"/>
    </w:rPr>
  </w:style>
  <w:style w:type="paragraph" w:customStyle="1" w:styleId="98">
    <w:name w:val="xmsonormal"/>
    <w:basedOn w:val="1"/>
    <w:qFormat/>
    <w:uiPriority w:val="0"/>
    <w:pPr>
      <w:spacing w:before="0" w:after="0"/>
    </w:pPr>
    <w:rPr>
      <w:rFonts w:ascii="SimSun" w:hAnsi="SimSun" w:eastAsia="SimSun" w:cs="SimSun"/>
      <w:sz w:val="24"/>
      <w:szCs w:val="22"/>
      <w:lang w:eastAsia="zh-CN"/>
    </w:rPr>
  </w:style>
  <w:style w:type="paragraph" w:customStyle="1" w:styleId="99">
    <w:name w:val="xxmsonormal"/>
    <w:basedOn w:val="1"/>
    <w:qFormat/>
    <w:uiPriority w:val="0"/>
    <w:pPr>
      <w:spacing w:before="0" w:after="0"/>
    </w:pPr>
    <w:rPr>
      <w:rFonts w:ascii="Calibri" w:hAnsi="Calibri" w:eastAsia="Calibri" w:cs="Calibri"/>
      <w:sz w:val="22"/>
      <w:szCs w:val="22"/>
    </w:rPr>
  </w:style>
  <w:style w:type="paragraph" w:customStyle="1" w:styleId="100">
    <w:name w:val="xxmsolistparagraph"/>
    <w:basedOn w:val="1"/>
    <w:qFormat/>
    <w:uiPriority w:val="0"/>
    <w:pPr>
      <w:spacing w:before="0" w:after="0"/>
    </w:pPr>
    <w:rPr>
      <w:rFonts w:ascii="Calibri" w:hAnsi="Calibri" w:eastAsia="Calibri" w:cs="Calibri"/>
      <w:sz w:val="22"/>
      <w:szCs w:val="22"/>
    </w:rPr>
  </w:style>
  <w:style w:type="paragraph" w:customStyle="1" w:styleId="101">
    <w:name w:val="CR Cover Page"/>
    <w:qFormat/>
    <w:uiPriority w:val="0"/>
    <w:pPr>
      <w:widowControl/>
      <w:suppressAutoHyphens/>
      <w:bidi w:val="0"/>
      <w:spacing w:before="0" w:after="120"/>
      <w:jc w:val="left"/>
    </w:pPr>
    <w:rPr>
      <w:rFonts w:ascii="Arial" w:hAnsi="Arial" w:cs="Times New Roman" w:eastAsiaTheme="minorEastAsia"/>
      <w:color w:val="auto"/>
      <w:kern w:val="0"/>
      <w:sz w:val="20"/>
      <w:szCs w:val="20"/>
      <w:lang w:val="en-GB" w:eastAsia="en-US" w:bidi="ar-SA"/>
    </w:rPr>
  </w:style>
  <w:style w:type="paragraph" w:customStyle="1" w:styleId="102">
    <w:name w:val="Proposal"/>
    <w:basedOn w:val="14"/>
    <w:qFormat/>
    <w:uiPriority w:val="0"/>
    <w:pPr>
      <w:widowControl w:val="0"/>
      <w:tabs>
        <w:tab w:val="left" w:pos="1701"/>
      </w:tabs>
    </w:pPr>
    <w:rPr>
      <w:rFonts w:ascii="Arial" w:hAnsi="Arial" w:eastAsiaTheme="minorEastAsia" w:cstheme="minorBidi"/>
      <w:b/>
      <w:bCs/>
      <w:kern w:val="2"/>
      <w:sz w:val="21"/>
      <w:szCs w:val="22"/>
      <w:lang w:eastAsia="zh-CN"/>
    </w:rPr>
  </w:style>
  <w:style w:type="paragraph" w:customStyle="1" w:styleId="103">
    <w:name w:val="Observation"/>
    <w:basedOn w:val="102"/>
    <w:qFormat/>
    <w:uiPriority w:val="0"/>
    <w:pPr>
      <w:ind w:left="1701" w:hanging="1701"/>
    </w:pPr>
    <w:rPr>
      <w:lang w:eastAsia="ja-JP"/>
    </w:rPr>
  </w:style>
  <w:style w:type="paragraph" w:customStyle="1" w:styleId="104">
    <w:name w:val="样式1"/>
    <w:basedOn w:val="7"/>
    <w:qFormat/>
    <w:uiPriority w:val="0"/>
    <w:pPr>
      <w:spacing w:before="240" w:after="120"/>
    </w:pPr>
    <w:rPr>
      <w:rFonts w:ascii="Arial" w:hAnsi="Arial" w:cs="Arial" w:eastAsiaTheme="minorEastAsia"/>
      <w:sz w:val="20"/>
      <w:lang w:eastAsia="zh-CN"/>
    </w:rPr>
  </w:style>
  <w:style w:type="paragraph" w:customStyle="1" w:styleId="105">
    <w:name w:val="Guidance"/>
    <w:basedOn w:val="1"/>
    <w:qFormat/>
    <w:uiPriority w:val="0"/>
    <w:pPr>
      <w:spacing w:before="0" w:after="180"/>
    </w:pPr>
    <w:rPr>
      <w:rFonts w:eastAsia="等线"/>
      <w:i/>
      <w:color w:val="0000FF"/>
      <w:lang w:val="en-GB"/>
    </w:rPr>
  </w:style>
  <w:style w:type="paragraph" w:customStyle="1" w:styleId="106">
    <w:name w:val="List Paragraph1"/>
    <w:basedOn w:val="1"/>
    <w:qFormat/>
    <w:uiPriority w:val="0"/>
    <w:pPr>
      <w:spacing w:before="0" w:after="0"/>
      <w:ind w:left="720" w:firstLine="0"/>
      <w:contextualSpacing/>
    </w:pPr>
    <w:rPr>
      <w:sz w:val="24"/>
      <w:szCs w:val="24"/>
      <w:lang w:eastAsia="zh-CN"/>
    </w:rPr>
  </w:style>
  <w:style w:type="paragraph" w:customStyle="1" w:styleId="107">
    <w:name w:val="Proposal2"/>
    <w:basedOn w:val="5"/>
    <w:qFormat/>
    <w:uiPriority w:val="0"/>
    <w:pPr>
      <w:tabs>
        <w:tab w:val="left" w:pos="432"/>
        <w:tab w:val="left" w:pos="720"/>
        <w:tab w:val="left" w:pos="864"/>
      </w:tabs>
      <w:suppressAutoHyphens/>
      <w:spacing w:before="240" w:after="60" w:line="259" w:lineRule="auto"/>
    </w:pPr>
    <w:rPr>
      <w:rFonts w:ascii="Times New Roman" w:hAnsi="Times New Roman" w:eastAsia="Times New Roman"/>
      <w:b/>
      <w:iCs/>
      <w:sz w:val="20"/>
      <w:szCs w:val="26"/>
      <w:u w:val="single"/>
      <w:lang w:val="en-GB" w:eastAsia="ja-JP"/>
    </w:rPr>
  </w:style>
  <w:style w:type="paragraph" w:customStyle="1" w:styleId="108">
    <w:name w:val="Table Contents"/>
    <w:basedOn w:val="1"/>
    <w:qFormat/>
    <w:uiPriority w:val="0"/>
    <w:pPr>
      <w:suppressLineNumbers/>
    </w:pPr>
  </w:style>
  <w:style w:type="table" w:customStyle="1" w:styleId="109">
    <w:name w:val="TableGrid1"/>
    <w:basedOn w:val="12"/>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
    <w:name w:val="TableGrid2"/>
    <w:basedOn w:val="12"/>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
    <w:name w:val="TableGrid3"/>
    <w:basedOn w:val="12"/>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
    <w:name w:val="TableGrid4"/>
    <w:basedOn w:val="12"/>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DFEC03-2258-49EE-9E0E-42DD78CA7EF9}">
  <ds:schemaRefs/>
</ds:datastoreItem>
</file>

<file path=docProps/app.xml><?xml version="1.0" encoding="utf-8"?>
<Properties xmlns="http://schemas.openxmlformats.org/officeDocument/2006/extended-properties" xmlns:vt="http://schemas.openxmlformats.org/officeDocument/2006/docPropsVTypes">
  <Template>Normal.dotm</Template>
  <Company>DaTang Mobile</Company>
  <Pages>9</Pages>
  <Words>4176</Words>
  <Characters>21804</Characters>
  <Paragraphs>176</Paragraphs>
  <TotalTime>54</TotalTime>
  <ScaleCrop>false</ScaleCrop>
  <LinksUpToDate>false</LinksUpToDate>
  <CharactersWithSpaces>25895</CharactersWithSpaces>
  <Application>WPS Office_12.2.0.16731_F1E327BC-269C-435d-A152-05C5408002CA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2024-01-09T05:53:00Z</dcterms:created>
  <dc:creator>DaTang Mobile</dc:creator>
  <cp:lastModifiedBy>cewit</cp:lastModifiedBy>
  <dcterms:modified xsi:type="dcterms:W3CDTF">2024-05-10T12:47:27Z</dcterms:modified>
  <dc:title>3GPP contribution</dc:title>
  <cp:revision>168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DaTang Mobile</vt:lpwstr>
  </property>
  <property fmtid="{D5CDD505-2E9C-101B-9397-08002B2CF9AE}" pid="4" name="DocSecurity">
    <vt:i4>0</vt:i4>
  </property>
  <property fmtid="{D5CDD505-2E9C-101B-9397-08002B2CF9AE}" pid="5" name="HiddenSlides">
    <vt:i4>0</vt:i4>
  </property>
  <property fmtid="{D5CDD505-2E9C-101B-9397-08002B2CF9AE}" pid="6" name="HyperlinksChanged">
    <vt:bool>false</vt:bool>
  </property>
  <property fmtid="{D5CDD505-2E9C-101B-9397-08002B2CF9AE}" pid="7" name="LinksUpToDate">
    <vt:bool>false</vt:bool>
  </property>
  <property fmtid="{D5CDD505-2E9C-101B-9397-08002B2CF9AE}" pid="8" name="MMClips">
    <vt:i4>0</vt:i4>
  </property>
  <property fmtid="{D5CDD505-2E9C-101B-9397-08002B2CF9AE}" pid="9" name="NSCPROP">
    <vt:lpwstr>NSCCustomProperty</vt:lpwstr>
  </property>
  <property fmtid="{D5CDD505-2E9C-101B-9397-08002B2CF9AE}" pid="10" name="Notes">
    <vt:i4>0</vt:i4>
  </property>
  <property fmtid="{D5CDD505-2E9C-101B-9397-08002B2CF9AE}" pid="11" name="ScaleCrop">
    <vt:bool>false</vt:bool>
  </property>
  <property fmtid="{D5CDD505-2E9C-101B-9397-08002B2CF9AE}" pid="12" name="ShareDoc">
    <vt:bool>false</vt:bool>
  </property>
  <property fmtid="{D5CDD505-2E9C-101B-9397-08002B2CF9AE}" pid="13" name="Slides">
    <vt:i4>0</vt:i4>
  </property>
  <property fmtid="{D5CDD505-2E9C-101B-9397-08002B2CF9AE}" pid="14" name="_change">
    <vt:lpwstr/>
  </property>
  <property fmtid="{D5CDD505-2E9C-101B-9397-08002B2CF9AE}" pid="15" name="_full-control">
    <vt:lpwstr/>
  </property>
  <property fmtid="{D5CDD505-2E9C-101B-9397-08002B2CF9AE}" pid="16" name="_readonly">
    <vt:lpwstr/>
  </property>
  <property fmtid="{D5CDD505-2E9C-101B-9397-08002B2CF9AE}" pid="17" name="sflag">
    <vt:lpwstr>1642842260</vt:lpwstr>
  </property>
  <property fmtid="{D5CDD505-2E9C-101B-9397-08002B2CF9AE}" pid="18" name="KSOProductBuildVer">
    <vt:lpwstr>1033-12.2.0.16731</vt:lpwstr>
  </property>
  <property fmtid="{D5CDD505-2E9C-101B-9397-08002B2CF9AE}" pid="19" name="ICV">
    <vt:lpwstr>138EDEB8E3F34C6888C74422B5F576C1_12</vt:lpwstr>
  </property>
</Properties>
</file>