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3969"/>
          <w:tab w:val="right" w:pos="8280"/>
          <w:tab w:val="right" w:pos="9781"/>
        </w:tabs>
        <w:snapToGrid w:val="0"/>
        <w:ind w:left="-2" w:right="-2" w:firstLine="0"/>
        <w:rPr>
          <w:rFonts w:ascii="Times New Roman" w:hAnsi="Times New Roman" w:eastAsia="SimSun" w:cs="Times New Roman"/>
          <w:b/>
          <w:kern w:val="0"/>
          <w:sz w:val="22"/>
        </w:rPr>
      </w:pPr>
      <w:r>
        <w:rPr>
          <w:rFonts w:ascii="Arial" w:hAnsi="Arial" w:eastAsia="MS Mincho" w:cs="Times New Roman"/>
          <w:b/>
          <w:bCs/>
          <w:kern w:val="0"/>
          <w:sz w:val="22"/>
          <w:szCs w:val="22"/>
          <w:lang w:val="zh-CN"/>
        </w:rPr>
        <w:t xml:space="preserve">3GPP TSG RAN WG1 </w:t>
      </w:r>
      <w:r>
        <w:rPr>
          <w:rFonts w:ascii="Arial" w:hAnsi="Arial" w:eastAsia="SimSun" w:cs="Arial"/>
          <w:b/>
          <w:bCs/>
          <w:kern w:val="0"/>
          <w:sz w:val="22"/>
          <w:szCs w:val="22"/>
          <w:lang w:val="en-GB"/>
        </w:rPr>
        <w:t>#117</w:t>
      </w:r>
      <w:r>
        <w:rPr>
          <w:rFonts w:ascii="Times New Roman" w:hAnsi="Times New Roman" w:eastAsia="SimSun" w:cs="Times New Roman"/>
          <w:b/>
          <w:bCs/>
          <w:kern w:val="0"/>
          <w:sz w:val="22"/>
          <w:lang w:val="en-GB"/>
        </w:rPr>
        <w:t xml:space="preserve">                                              </w:t>
      </w:r>
      <w:r>
        <w:rPr>
          <w:rFonts w:ascii="Times New Roman" w:hAnsi="Times New Roman" w:eastAsia="SimSun" w:cs="Times New Roman"/>
          <w:b/>
          <w:bCs/>
          <w:kern w:val="0"/>
          <w:sz w:val="22"/>
          <w:lang w:val="en-GB"/>
        </w:rPr>
        <w:tab/>
      </w:r>
      <w:r>
        <w:rPr>
          <w:rFonts w:ascii="Times New Roman" w:hAnsi="Times New Roman" w:eastAsia="SimSun" w:cs="Times New Roman"/>
          <w:b/>
          <w:bCs/>
          <w:kern w:val="0"/>
          <w:sz w:val="22"/>
          <w:lang w:val="en-GB"/>
        </w:rPr>
        <w:t>R1-2405240</w:t>
      </w:r>
      <w:r>
        <w:rPr>
          <w:rFonts w:ascii="Times New Roman" w:hAnsi="Times New Roman" w:cs="Times New Roman"/>
        </w:rPr>
        <w:t xml:space="preserve"> </w:t>
      </w:r>
    </w:p>
    <w:p>
      <w:pPr>
        <w:widowControl/>
        <w:tabs>
          <w:tab w:val="center" w:pos="4536"/>
          <w:tab w:val="right" w:pos="9072"/>
        </w:tabs>
        <w:spacing w:before="0" w:after="0" w:line="240" w:lineRule="auto"/>
        <w:ind w:left="-2" w:firstLine="0"/>
        <w:jc w:val="left"/>
        <w:rPr>
          <w:rFonts w:ascii="Arial" w:hAnsi="Arial" w:eastAsia="MS Mincho" w:cs="Times New Roman"/>
          <w:b/>
          <w:bCs/>
          <w:color w:val="auto"/>
          <w:kern w:val="0"/>
          <w:sz w:val="22"/>
          <w:szCs w:val="22"/>
          <w:lang w:val="zh-CN" w:eastAsia="zh-CN" w:bidi="ar-SA"/>
        </w:rPr>
      </w:pPr>
      <w:r>
        <w:rPr>
          <w:rFonts w:ascii="Arial" w:hAnsi="Arial" w:eastAsia="MS Mincho" w:cs="Times New Roman"/>
          <w:b/>
          <w:bCs/>
          <w:color w:val="auto"/>
          <w:kern w:val="0"/>
          <w:sz w:val="22"/>
          <w:szCs w:val="22"/>
          <w:lang w:val="zh-CN" w:eastAsia="zh-CN" w:bidi="ar-SA"/>
        </w:rPr>
        <w:t>Fukuoka city, Fukuoka, Japan, May 20</w:t>
      </w:r>
      <w:r>
        <w:rPr>
          <w:rFonts w:ascii="Arial" w:hAnsi="Arial" w:eastAsia="MS Mincho" w:cs="Times New Roman"/>
          <w:b/>
          <w:bCs/>
          <w:color w:val="auto"/>
          <w:kern w:val="0"/>
          <w:sz w:val="22"/>
          <w:szCs w:val="22"/>
          <w:vertAlign w:val="superscript"/>
          <w:lang w:val="zh-CN" w:eastAsia="zh-CN" w:bidi="ar-SA"/>
        </w:rPr>
        <w:t>th</w:t>
      </w:r>
      <w:r>
        <w:rPr>
          <w:rFonts w:ascii="Arial" w:hAnsi="Arial" w:eastAsia="MS Mincho" w:cs="Times New Roman"/>
          <w:b/>
          <w:bCs/>
          <w:color w:val="auto"/>
          <w:kern w:val="0"/>
          <w:sz w:val="22"/>
          <w:szCs w:val="22"/>
          <w:lang w:val="zh-CN" w:eastAsia="zh-CN" w:bidi="ar-SA"/>
        </w:rPr>
        <w:t xml:space="preserve"> – 24</w:t>
      </w:r>
      <w:r>
        <w:rPr>
          <w:rFonts w:ascii="Arial" w:hAnsi="Arial" w:eastAsia="MS Mincho" w:cs="Times New Roman"/>
          <w:b/>
          <w:bCs/>
          <w:color w:val="auto"/>
          <w:kern w:val="0"/>
          <w:sz w:val="22"/>
          <w:szCs w:val="22"/>
          <w:vertAlign w:val="superscript"/>
          <w:lang w:val="zh-CN" w:eastAsia="zh-CN" w:bidi="ar-SA"/>
        </w:rPr>
        <w:t>th</w:t>
      </w:r>
      <w:r>
        <w:rPr>
          <w:rFonts w:ascii="Arial" w:hAnsi="Arial" w:eastAsia="MS Mincho" w:cs="Times New Roman"/>
          <w:b/>
          <w:bCs/>
          <w:color w:val="auto"/>
          <w:kern w:val="0"/>
          <w:sz w:val="22"/>
          <w:szCs w:val="22"/>
          <w:lang w:val="zh-CN" w:eastAsia="zh-CN" w:bidi="ar-SA"/>
        </w:rPr>
        <w:t>, 2024</w:t>
      </w:r>
    </w:p>
    <w:p>
      <w:pPr>
        <w:widowControl/>
        <w:tabs>
          <w:tab w:val="left" w:pos="1800"/>
          <w:tab w:val="right" w:pos="9072"/>
        </w:tabs>
        <w:ind w:left="1798" w:hanging="1800"/>
        <w:jc w:val="left"/>
        <w:rPr>
          <w:rFonts w:ascii="Times New Roman" w:hAnsi="Times New Roman" w:eastAsia="MS Mincho" w:cs="Times New Roman"/>
          <w:b/>
          <w:kern w:val="0"/>
          <w:sz w:val="22"/>
          <w:lang w:val="zh-CN" w:eastAsia="en-US"/>
        </w:rPr>
      </w:pPr>
    </w:p>
    <w:p>
      <w:pPr>
        <w:widowControl/>
        <w:tabs>
          <w:tab w:val="left" w:pos="1800"/>
          <w:tab w:val="right" w:pos="9072"/>
        </w:tabs>
        <w:ind w:left="1798" w:hanging="1800"/>
        <w:jc w:val="left"/>
        <w:rPr>
          <w:rFonts w:ascii="Times New Roman" w:hAnsi="Times New Roman" w:eastAsia="SimSun" w:cs="Times New Roman"/>
          <w:b/>
          <w:kern w:val="0"/>
          <w:sz w:val="22"/>
          <w:lang w:val="zh-CN"/>
        </w:rPr>
      </w:pPr>
      <w:r>
        <w:rPr>
          <w:rFonts w:ascii="Times New Roman" w:hAnsi="Times New Roman" w:eastAsia="MS Mincho" w:cs="Times New Roman"/>
          <w:b/>
          <w:kern w:val="0"/>
          <w:sz w:val="22"/>
          <w:lang w:val="zh-CN" w:eastAsia="en-US"/>
        </w:rPr>
        <w:t>Source:</w:t>
      </w:r>
      <w:r>
        <w:rPr>
          <w:rFonts w:ascii="Times New Roman" w:hAnsi="Times New Roman" w:eastAsia="MS Mincho" w:cs="Times New Roman"/>
          <w:b/>
          <w:kern w:val="0"/>
          <w:sz w:val="22"/>
          <w:lang w:val="zh-CN" w:eastAsia="en-US"/>
        </w:rPr>
        <w:tab/>
      </w:r>
      <w:r>
        <w:rPr>
          <w:rFonts w:ascii="Times New Roman" w:hAnsi="Times New Roman" w:eastAsia="SimSun" w:cs="Times New Roman"/>
          <w:b/>
          <w:kern w:val="0"/>
          <w:sz w:val="22"/>
          <w:lang w:val="zh-CN"/>
        </w:rPr>
        <w:t>CEWiT</w:t>
      </w:r>
    </w:p>
    <w:p>
      <w:pPr>
        <w:widowControl/>
        <w:tabs>
          <w:tab w:val="left" w:pos="1800"/>
          <w:tab w:val="right" w:pos="9072"/>
        </w:tabs>
        <w:ind w:left="1798" w:hanging="1800"/>
        <w:jc w:val="left"/>
        <w:rPr>
          <w:rFonts w:ascii="Times New Roman" w:hAnsi="Times New Roman" w:eastAsia="SimSun" w:cs="Times New Roman"/>
          <w:b/>
          <w:kern w:val="0"/>
          <w:sz w:val="22"/>
        </w:rPr>
      </w:pPr>
      <w:r>
        <w:rPr>
          <w:rFonts w:ascii="Times New Roman" w:hAnsi="Times New Roman" w:eastAsia="MS Mincho" w:cs="Times New Roman"/>
          <w:b/>
          <w:kern w:val="0"/>
          <w:sz w:val="22"/>
          <w:lang w:val="zh-CN" w:eastAsia="en-US"/>
        </w:rPr>
        <w:t>Title:</w:t>
      </w:r>
      <w:bookmarkStart w:id="0" w:name="Title"/>
      <w:bookmarkEnd w:id="0"/>
      <w:r>
        <w:rPr>
          <w:rFonts w:ascii="Times New Roman" w:hAnsi="Times New Roman" w:eastAsia="MS Mincho" w:cs="Times New Roman"/>
          <w:b/>
          <w:kern w:val="0"/>
          <w:sz w:val="22"/>
          <w:lang w:val="zh-CN" w:eastAsia="en-US"/>
        </w:rPr>
        <w:tab/>
      </w:r>
      <w:r>
        <w:rPr>
          <w:rFonts w:ascii="Times New Roman" w:hAnsi="Times New Roman" w:eastAsia="MS Mincho" w:cs="Times New Roman"/>
          <w:b/>
          <w:sz w:val="22"/>
          <w:lang w:val="zh-CN"/>
        </w:rPr>
        <w:t>Discussion on SBFD TX/RX/measurement procedures</w:t>
      </w:r>
    </w:p>
    <w:p>
      <w:pPr>
        <w:widowControl/>
        <w:tabs>
          <w:tab w:val="left" w:pos="1800"/>
          <w:tab w:val="center" w:pos="4536"/>
          <w:tab w:val="right" w:pos="9072"/>
        </w:tabs>
        <w:ind w:left="-2" w:firstLine="0"/>
        <w:jc w:val="left"/>
        <w:rPr>
          <w:rFonts w:ascii="Times New Roman" w:hAnsi="Times New Roman" w:eastAsia="SimSun" w:cs="Times New Roman"/>
          <w:b/>
          <w:kern w:val="0"/>
          <w:sz w:val="22"/>
          <w:lang w:val="zh-CN"/>
        </w:rPr>
      </w:pPr>
      <w:r>
        <w:rPr>
          <w:rFonts w:ascii="Times New Roman" w:hAnsi="Times New Roman" w:eastAsia="MS Mincho" w:cs="Times New Roman"/>
          <w:b/>
          <w:kern w:val="0"/>
          <w:sz w:val="22"/>
          <w:lang w:val="zh-CN" w:eastAsia="en-US"/>
        </w:rPr>
        <w:t>Agenda Item:</w:t>
      </w:r>
      <w:bookmarkStart w:id="1" w:name="Source"/>
      <w:bookmarkEnd w:id="1"/>
      <w:r>
        <w:rPr>
          <w:rFonts w:ascii="Times New Roman" w:hAnsi="Times New Roman" w:eastAsia="MS Mincho" w:cs="Times New Roman"/>
          <w:b/>
          <w:kern w:val="0"/>
          <w:sz w:val="22"/>
          <w:lang w:val="zh-CN" w:eastAsia="en-US"/>
        </w:rPr>
        <w:tab/>
      </w:r>
      <w:r>
        <w:rPr>
          <w:rFonts w:ascii="Times New Roman" w:hAnsi="Times New Roman" w:eastAsia="SimSun" w:cs="Times New Roman"/>
          <w:b/>
          <w:kern w:val="0"/>
          <w:sz w:val="22"/>
          <w:lang w:val="zh-CN"/>
        </w:rPr>
        <w:t>9.3.1</w:t>
      </w:r>
    </w:p>
    <w:p>
      <w:pPr>
        <w:widowControl/>
        <w:tabs>
          <w:tab w:val="left" w:pos="1800"/>
          <w:tab w:val="center" w:pos="4536"/>
          <w:tab w:val="right" w:pos="9072"/>
        </w:tabs>
        <w:ind w:left="-2" w:firstLine="0"/>
        <w:jc w:val="left"/>
        <w:rPr>
          <w:rFonts w:ascii="Times New Roman" w:hAnsi="Times New Roman" w:eastAsia="SimSun" w:cs="Times New Roman"/>
          <w:b/>
          <w:kern w:val="0"/>
          <w:sz w:val="22"/>
          <w:lang w:val="zh-CN"/>
        </w:rPr>
      </w:pPr>
      <w:r>
        <w:rPr>
          <w:rFonts w:ascii="Times New Roman" w:hAnsi="Times New Roman" w:eastAsia="MS Mincho" w:cs="Times New Roman"/>
          <w:b/>
          <w:kern w:val="0"/>
          <w:sz w:val="22"/>
          <w:lang w:val="zh-CN" w:eastAsia="en-US"/>
        </w:rPr>
        <w:t>Document for:</w:t>
      </w:r>
      <w:r>
        <w:rPr>
          <w:rFonts w:ascii="Times New Roman" w:hAnsi="Times New Roman" w:eastAsia="MS Mincho" w:cs="Times New Roman"/>
          <w:b/>
          <w:kern w:val="0"/>
          <w:sz w:val="22"/>
          <w:lang w:val="zh-CN" w:eastAsia="en-US"/>
        </w:rPr>
        <w:tab/>
      </w:r>
      <w:bookmarkStart w:id="2" w:name="DocumentFor"/>
      <w:bookmarkEnd w:id="2"/>
      <w:r>
        <w:rPr>
          <w:rFonts w:ascii="Times New Roman" w:hAnsi="Times New Roman" w:eastAsia="MS Mincho" w:cs="Times New Roman"/>
          <w:b/>
          <w:kern w:val="0"/>
          <w:sz w:val="22"/>
          <w:lang w:val="zh-CN" w:eastAsia="en-US"/>
        </w:rPr>
        <w:t>Discussio</w:t>
      </w:r>
      <w:r>
        <w:rPr>
          <w:rFonts w:ascii="Times New Roman" w:hAnsi="Times New Roman" w:eastAsia="SimSun" w:cs="Times New Roman"/>
          <w:b/>
          <w:kern w:val="0"/>
          <w:sz w:val="22"/>
          <w:lang w:val="zh-CN"/>
        </w:rPr>
        <w:t>n and Decision</w:t>
      </w:r>
      <w:bookmarkStart w:id="5" w:name="_GoBack"/>
      <w:bookmarkEnd w:id="5"/>
    </w:p>
    <w:p>
      <w:pPr>
        <w:widowControl/>
        <w:pBdr>
          <w:bottom w:val="single" w:color="000000" w:sz="4" w:space="1"/>
        </w:pBdr>
        <w:tabs>
          <w:tab w:val="left" w:pos="2552"/>
        </w:tabs>
        <w:ind w:left="-2" w:firstLine="0"/>
        <w:jc w:val="left"/>
        <w:rPr>
          <w:rFonts w:ascii="Times New Roman" w:hAnsi="Times New Roman" w:eastAsia="SimSun" w:cs="Times New Roman"/>
          <w:kern w:val="0"/>
          <w:sz w:val="20"/>
          <w:szCs w:val="20"/>
        </w:rPr>
      </w:pPr>
    </w:p>
    <w:p>
      <w:pPr>
        <w:pStyle w:val="25"/>
        <w:keepNext/>
        <w:widowControl/>
        <w:numPr>
          <w:ilvl w:val="0"/>
          <w:numId w:val="0"/>
        </w:numPr>
        <w:spacing w:before="120" w:after="120"/>
        <w:ind w:left="0" w:firstLine="0"/>
        <w:jc w:val="left"/>
        <w:outlineLvl w:val="0"/>
        <w:rPr>
          <w:rFonts w:ascii="Times New Roman" w:hAnsi="Times New Roman" w:eastAsia="SimSun" w:cs="Times New Roman"/>
          <w:b/>
          <w:kern w:val="2"/>
          <w:sz w:val="28"/>
          <w:szCs w:val="20"/>
          <w:lang w:val="zh-CN" w:eastAsia="zh-CN"/>
        </w:rPr>
      </w:pPr>
      <w:r>
        <w:rPr>
          <w:rFonts w:ascii="Times New Roman" w:hAnsi="Times New Roman" w:eastAsia="SimSun" w:cs="Times New Roman"/>
          <w:b/>
          <w:kern w:val="2"/>
          <w:sz w:val="28"/>
          <w:szCs w:val="20"/>
          <w:lang w:val="zh-CN" w:eastAsia="zh-CN"/>
        </w:rPr>
        <w:t xml:space="preserve">1. </w:t>
      </w:r>
      <w:bookmarkStart w:id="3" w:name="_Ref521334010"/>
      <w:r>
        <w:rPr>
          <w:rFonts w:ascii="Times New Roman" w:hAnsi="Times New Roman" w:eastAsia="SimSun" w:cs="Times New Roman"/>
          <w:b/>
          <w:kern w:val="2"/>
          <w:sz w:val="28"/>
          <w:szCs w:val="20"/>
          <w:lang w:val="zh-CN" w:eastAsia="zh-CN"/>
        </w:rPr>
        <w:t>Introduction</w:t>
      </w:r>
      <w:bookmarkEnd w:id="3"/>
    </w:p>
    <w:p>
      <w:pPr>
        <w:spacing w:before="120" w:after="0"/>
        <w:rPr>
          <w:rFonts w:ascii="Times New Roman" w:hAnsi="Times New Roman" w:eastAsia="SimSun" w:cs="Times New Roman"/>
          <w:sz w:val="20"/>
          <w:szCs w:val="20"/>
        </w:rPr>
      </w:pPr>
      <w:r>
        <w:rPr>
          <w:rFonts w:ascii="Times New Roman" w:hAnsi="Times New Roman" w:eastAsia="SimSun" w:cs="Times New Roman"/>
          <w:sz w:val="20"/>
          <w:szCs w:val="20"/>
        </w:rPr>
        <w:t xml:space="preserve">In </w:t>
      </w:r>
      <w:r>
        <w:rPr>
          <w:rFonts w:ascii="Times New Roman" w:hAnsi="Times New Roman" w:cs="Times New Roman"/>
          <w:sz w:val="20"/>
          <w:szCs w:val="20"/>
        </w:rPr>
        <w:t xml:space="preserve">RAN#102 meeting, the WID on </w:t>
      </w:r>
      <w:r>
        <w:rPr>
          <w:rFonts w:ascii="Times New Roman" w:hAnsi="Times New Roman" w:cs="Times New Roman"/>
          <w:sz w:val="20"/>
          <w:szCs w:val="20"/>
          <w:lang w:eastAsia="fi-FI"/>
        </w:rPr>
        <w:t xml:space="preserve">Evolution of NR Duplex Operation </w:t>
      </w:r>
      <w:r>
        <w:rPr>
          <w:rFonts w:ascii="Times New Roman" w:hAnsi="Times New Roman" w:cs="Times New Roman"/>
          <w:sz w:val="20"/>
          <w:szCs w:val="20"/>
        </w:rPr>
        <w:t>was agreed</w:t>
      </w:r>
      <w:r>
        <w:rPr>
          <w:rFonts w:ascii="Times New Roman" w:hAnsi="Times New Roman" w:eastAsia="SimSun" w:cs="Times New Roman"/>
          <w:sz w:val="20"/>
          <w:szCs w:val="20"/>
        </w:rPr>
        <w:t>[1]. The objectives and assumptions for subband non-overlapping full duplex (SBFD) are as follows:</w:t>
      </w:r>
    </w:p>
    <w:p>
      <w:pPr>
        <w:spacing w:before="120" w:after="0"/>
        <w:rPr>
          <w:rFonts w:ascii="Times New Roman" w:hAnsi="Times New Roman" w:eastAsia="SimSun" w:cs="Times New Roman"/>
          <w:sz w:val="20"/>
          <w:szCs w:val="20"/>
        </w:rPr>
      </w:pPr>
    </w:p>
    <w:p>
      <w:pPr>
        <w:numPr>
          <w:ilvl w:val="0"/>
          <w:numId w:val="1"/>
        </w:numPr>
        <w:overflowPunct/>
        <w:spacing w:before="0" w:after="160" w:line="252" w:lineRule="auto"/>
        <w:ind w:left="720" w:right="-99" w:hanging="360"/>
        <w:textAlignment w:val="auto"/>
        <w:rPr>
          <w:rFonts w:ascii="Times New Roman" w:hAnsi="Times New Roman" w:cs="Times New Roman"/>
          <w:sz w:val="20"/>
          <w:szCs w:val="20"/>
          <w:lang w:eastAsia="fi-FI"/>
        </w:rPr>
      </w:pPr>
      <w:r>
        <w:rPr>
          <w:rFonts w:ascii="Times New Roman" w:hAnsi="Times New Roman" w:eastAsia="Malgun Gothic" w:cs="Times New Roman"/>
          <w:sz w:val="20"/>
          <w:szCs w:val="20"/>
          <w:lang w:val="en-US" w:eastAsia="fi-FI"/>
        </w:rPr>
        <w:t>For subband non-overlapping full duplex (SBFD) operation at gNB side within a TDD carrier:</w:t>
      </w:r>
    </w:p>
    <w:p>
      <w:pPr>
        <w:numPr>
          <w:ilvl w:val="1"/>
          <w:numId w:val="1"/>
        </w:numPr>
        <w:overflowPunct/>
        <w:spacing w:before="0" w:after="160" w:line="252" w:lineRule="auto"/>
        <w:ind w:left="1440" w:right="-99" w:hanging="360"/>
        <w:textAlignment w:val="auto"/>
        <w:rPr>
          <w:rFonts w:ascii="Times New Roman" w:hAnsi="Times New Roman" w:cs="Times New Roman"/>
          <w:sz w:val="20"/>
          <w:szCs w:val="20"/>
          <w:lang w:eastAsia="fi-FI"/>
        </w:rPr>
      </w:pPr>
      <w:r>
        <w:rPr>
          <w:rFonts w:ascii="Times New Roman" w:hAnsi="Times New Roman" w:eastAsia="Malgun Gothic" w:cs="Times New Roman"/>
          <w:sz w:val="20"/>
          <w:szCs w:val="20"/>
          <w:lang w:val="en-US" w:eastAsia="fi-FI"/>
        </w:rPr>
        <w:t>Specify semi-static indication of time location of SBFD subbands to UEs in RRC_CONNECTED mode [RAN1, RAN2]</w:t>
      </w:r>
    </w:p>
    <w:p>
      <w:pPr>
        <w:numPr>
          <w:ilvl w:val="2"/>
          <w:numId w:val="1"/>
        </w:numPr>
        <w:overflowPunct/>
        <w:spacing w:before="0" w:after="160" w:line="252" w:lineRule="auto"/>
        <w:ind w:left="2160" w:right="-99" w:hanging="360"/>
        <w:textAlignment w:val="auto"/>
        <w:rPr>
          <w:rFonts w:ascii="Times New Roman" w:hAnsi="Times New Roman" w:cs="Times New Roman"/>
          <w:sz w:val="20"/>
          <w:szCs w:val="20"/>
          <w:lang w:eastAsia="fi-FI"/>
        </w:rPr>
      </w:pPr>
      <w:r>
        <w:rPr>
          <w:rFonts w:ascii="Times New Roman" w:hAnsi="Times New Roman" w:eastAsia="Malgun Gothic" w:cs="Times New Roman"/>
          <w:sz w:val="20"/>
          <w:szCs w:val="20"/>
          <w:lang w:val="en-US" w:eastAsia="fi-FI"/>
        </w:rPr>
        <w:t>Indication of time location of SBFD subbands in SIB is not precluded</w:t>
      </w:r>
    </w:p>
    <w:p>
      <w:pPr>
        <w:numPr>
          <w:ilvl w:val="1"/>
          <w:numId w:val="1"/>
        </w:numPr>
        <w:overflowPunct/>
        <w:spacing w:before="0" w:after="160" w:line="252" w:lineRule="auto"/>
        <w:ind w:left="1440" w:right="-99" w:hanging="360"/>
        <w:textAlignment w:val="auto"/>
        <w:rPr>
          <w:rFonts w:ascii="Times New Roman" w:hAnsi="Times New Roman" w:cs="Times New Roman"/>
          <w:sz w:val="20"/>
          <w:szCs w:val="20"/>
          <w:lang w:eastAsia="fi-FI"/>
        </w:rPr>
      </w:pPr>
      <w:r>
        <w:rPr>
          <w:rFonts w:ascii="Times New Roman" w:hAnsi="Times New Roman" w:eastAsia="Malgun Gothic" w:cs="Times New Roman"/>
          <w:sz w:val="20"/>
          <w:szCs w:val="20"/>
          <w:lang w:val="en-US" w:eastAsia="fi-FI"/>
        </w:rPr>
        <w:t>Specify semi-static indication of frequency domain location of SBFD subbands to UEs in RRC_CONNECTED mode [RAN1, RAN2]</w:t>
      </w:r>
    </w:p>
    <w:p>
      <w:pPr>
        <w:numPr>
          <w:ilvl w:val="2"/>
          <w:numId w:val="1"/>
        </w:numPr>
        <w:overflowPunct/>
        <w:spacing w:before="0" w:after="160" w:line="252" w:lineRule="auto"/>
        <w:ind w:left="2160" w:right="-99" w:hanging="360"/>
        <w:textAlignment w:val="auto"/>
        <w:rPr>
          <w:rFonts w:ascii="Times New Roman" w:hAnsi="Times New Roman" w:cs="Times New Roman"/>
          <w:sz w:val="20"/>
          <w:szCs w:val="20"/>
          <w:lang w:eastAsia="fi-FI"/>
        </w:rPr>
      </w:pPr>
      <w:r>
        <w:rPr>
          <w:rFonts w:ascii="Times New Roman" w:hAnsi="Times New Roman" w:eastAsia="Malgun Gothic" w:cs="Times New Roman"/>
          <w:sz w:val="20"/>
          <w:szCs w:val="20"/>
          <w:lang w:val="en-US" w:eastAsia="fi-FI"/>
        </w:rPr>
        <w:t>Indication of frequency domain location of SBFD subbands in SIB is not precluded</w:t>
      </w:r>
    </w:p>
    <w:p>
      <w:pPr>
        <w:numPr>
          <w:ilvl w:val="1"/>
          <w:numId w:val="1"/>
        </w:numPr>
        <w:rPr>
          <w:rFonts w:ascii="Times New Roman" w:hAnsi="Times New Roman" w:cs="Times New Roman"/>
          <w:sz w:val="20"/>
          <w:szCs w:val="20"/>
          <w:lang w:eastAsia="fi-FI"/>
        </w:rPr>
      </w:pPr>
      <w:r>
        <w:rPr>
          <w:rFonts w:ascii="Times New Roman" w:hAnsi="Times New Roman" w:cs="Times New Roman"/>
          <w:sz w:val="20"/>
          <w:szCs w:val="20"/>
          <w:lang w:val="en-US" w:eastAsia="fi-FI"/>
        </w:rPr>
        <w:t>Specify SBFD operation to support random access in SBFD symbols by UEs in RRC CONNECTED mode [RAN1, RAN2]</w:t>
      </w:r>
    </w:p>
    <w:p>
      <w:pPr>
        <w:numPr>
          <w:ilvl w:val="1"/>
          <w:numId w:val="1"/>
        </w:numPr>
        <w:overflowPunct/>
        <w:spacing w:before="0" w:after="160" w:line="252" w:lineRule="auto"/>
        <w:ind w:left="1440" w:right="-99" w:hanging="360"/>
        <w:textAlignment w:val="auto"/>
        <w:rPr>
          <w:rFonts w:ascii="Times New Roman" w:hAnsi="Times New Roman" w:cs="Times New Roman"/>
          <w:sz w:val="20"/>
          <w:szCs w:val="20"/>
          <w:lang w:eastAsia="fi-FI"/>
        </w:rPr>
      </w:pPr>
      <w:r>
        <w:rPr>
          <w:rFonts w:ascii="Times New Roman" w:hAnsi="Times New Roman" w:cs="Times New Roman"/>
          <w:sz w:val="20"/>
          <w:szCs w:val="20"/>
          <w:lang w:val="en-US" w:eastAsia="fi-FI"/>
        </w:rPr>
        <w:t>Study and specify, if justified, SBFD operation to UE in RRC_IDLE/INACTIVE mode for random access [RAN1, RAN2]</w:t>
      </w:r>
    </w:p>
    <w:p>
      <w:pPr>
        <w:numPr>
          <w:ilvl w:val="2"/>
          <w:numId w:val="1"/>
        </w:numPr>
        <w:overflowPunct/>
        <w:spacing w:before="0" w:after="160" w:line="252" w:lineRule="auto"/>
        <w:ind w:left="2160" w:right="-99" w:hanging="360"/>
        <w:textAlignment w:val="auto"/>
        <w:rPr>
          <w:rFonts w:ascii="Times New Roman" w:hAnsi="Times New Roman" w:cs="Times New Roman"/>
          <w:sz w:val="20"/>
          <w:szCs w:val="20"/>
          <w:lang w:eastAsia="fi-FI"/>
        </w:rPr>
      </w:pPr>
      <w:r>
        <w:rPr>
          <w:rFonts w:ascii="Times New Roman" w:hAnsi="Times New Roman" w:cs="Times New Roman"/>
          <w:sz w:val="20"/>
          <w:szCs w:val="20"/>
          <w:lang w:val="en-US" w:eastAsia="fi-FI"/>
        </w:rPr>
        <w:t>RAN#104 to check whether to proceed normative work</w:t>
      </w:r>
    </w:p>
    <w:p>
      <w:pPr>
        <w:numPr>
          <w:ilvl w:val="1"/>
          <w:numId w:val="1"/>
        </w:numPr>
        <w:overflowPunct/>
        <w:spacing w:before="0" w:after="160" w:line="252" w:lineRule="auto"/>
        <w:ind w:left="1440" w:right="-99" w:hanging="360"/>
        <w:textAlignment w:val="auto"/>
        <w:rPr>
          <w:rFonts w:ascii="Times New Roman" w:hAnsi="Times New Roman" w:cs="Times New Roman"/>
          <w:sz w:val="20"/>
          <w:szCs w:val="20"/>
          <w:lang w:eastAsia="fi-FI"/>
        </w:rPr>
      </w:pPr>
      <w:r>
        <w:rPr>
          <w:rFonts w:ascii="Times New Roman" w:hAnsi="Times New Roman" w:eastAsia="Malgun Gothic" w:cs="Times New Roman"/>
          <w:sz w:val="20"/>
          <w:szCs w:val="20"/>
          <w:lang w:val="en-US" w:eastAsia="fi-FI"/>
        </w:rPr>
        <w:t>Specify UE transmission, reception and measurement behavior and procedures in SBFD symbols and/or non-SBFD symbols for SBFD aware UE [RAN1, RAN2]</w:t>
      </w:r>
      <w:bookmarkStart w:id="4" w:name="_Hlk153407590"/>
      <w:bookmarkEnd w:id="4"/>
    </w:p>
    <w:p>
      <w:pPr>
        <w:numPr>
          <w:ilvl w:val="2"/>
          <w:numId w:val="1"/>
        </w:numPr>
        <w:overflowPunct/>
        <w:spacing w:before="0" w:after="160" w:line="252" w:lineRule="auto"/>
        <w:ind w:left="2160" w:right="-99" w:hanging="360"/>
        <w:textAlignment w:val="auto"/>
        <w:rPr>
          <w:rFonts w:ascii="Times New Roman" w:hAnsi="Times New Roman" w:cs="Times New Roman"/>
          <w:sz w:val="20"/>
          <w:szCs w:val="20"/>
          <w:lang w:eastAsia="fi-FI"/>
        </w:rPr>
      </w:pPr>
      <w:r>
        <w:rPr>
          <w:rFonts w:ascii="Times New Roman" w:hAnsi="Times New Roman" w:eastAsia="Malgun Gothic" w:cs="Times New Roman"/>
          <w:sz w:val="20"/>
          <w:szCs w:val="20"/>
          <w:lang w:val="en-US" w:eastAsia="fi-FI"/>
        </w:rPr>
        <w:t xml:space="preserve">Transmission and reception behaviours on SBFD subbands configured in DL and/or flexible symbol indicated by </w:t>
      </w:r>
      <w:r>
        <w:rPr>
          <w:rFonts w:ascii="Times New Roman" w:hAnsi="Times New Roman" w:eastAsia="Malgun Gothic" w:cs="Times New Roman"/>
          <w:i/>
          <w:iCs/>
          <w:sz w:val="20"/>
          <w:szCs w:val="20"/>
          <w:lang w:val="en-US" w:eastAsia="fi-FI"/>
        </w:rPr>
        <w:t>TDD-UL-DL-ConfigCommon</w:t>
      </w:r>
    </w:p>
    <w:p>
      <w:pPr>
        <w:numPr>
          <w:ilvl w:val="3"/>
          <w:numId w:val="1"/>
        </w:numPr>
        <w:overflowPunct/>
        <w:spacing w:before="0" w:after="160" w:line="252" w:lineRule="auto"/>
        <w:ind w:left="2880" w:right="-99" w:hanging="360"/>
        <w:textAlignment w:val="auto"/>
        <w:rPr>
          <w:rFonts w:ascii="Times New Roman" w:hAnsi="Times New Roman" w:cs="Times New Roman"/>
          <w:sz w:val="20"/>
          <w:szCs w:val="20"/>
          <w:lang w:eastAsia="fi-FI"/>
        </w:rPr>
      </w:pPr>
      <w:r>
        <w:rPr>
          <w:rFonts w:ascii="Times New Roman" w:hAnsi="Times New Roman" w:eastAsia="Malgun Gothic" w:cs="Times New Roman"/>
          <w:sz w:val="20"/>
          <w:szCs w:val="20"/>
          <w:lang w:val="en-US" w:eastAsia="fi-FI"/>
        </w:rPr>
        <w:t>UL transmissions within UL subband only</w:t>
      </w:r>
    </w:p>
    <w:p>
      <w:pPr>
        <w:numPr>
          <w:ilvl w:val="3"/>
          <w:numId w:val="1"/>
        </w:numPr>
        <w:overflowPunct/>
        <w:spacing w:before="0" w:after="160" w:line="252" w:lineRule="auto"/>
        <w:ind w:left="2880" w:right="-99" w:hanging="360"/>
        <w:textAlignment w:val="auto"/>
        <w:rPr>
          <w:rFonts w:ascii="Times New Roman" w:hAnsi="Times New Roman" w:cs="Times New Roman"/>
          <w:sz w:val="20"/>
          <w:szCs w:val="20"/>
          <w:lang w:eastAsia="fi-FI"/>
        </w:rPr>
      </w:pPr>
      <w:r>
        <w:rPr>
          <w:rFonts w:ascii="Times New Roman" w:hAnsi="Times New Roman" w:eastAsia="Malgun Gothic" w:cs="Times New Roman"/>
          <w:sz w:val="20"/>
          <w:szCs w:val="20"/>
          <w:lang w:val="en-US" w:eastAsia="fi-FI"/>
        </w:rPr>
        <w:t>DL receptions within DL subband(s) only, except for CLI measurement by the UE outside of the DL subbands</w:t>
      </w:r>
    </w:p>
    <w:p>
      <w:pPr>
        <w:spacing w:before="0" w:after="160" w:line="252" w:lineRule="auto"/>
        <w:ind w:left="2520" w:right="-99" w:firstLine="0"/>
        <w:rPr>
          <w:rFonts w:ascii="Times New Roman" w:hAnsi="Times New Roman" w:cs="Times New Roman"/>
          <w:sz w:val="20"/>
          <w:szCs w:val="20"/>
          <w:lang w:eastAsia="fi-FI"/>
        </w:rPr>
      </w:pPr>
      <w:r>
        <w:rPr>
          <w:rFonts w:ascii="Times New Roman" w:hAnsi="Times New Roman" w:eastAsia="Malgun Gothic" w:cs="Times New Roman"/>
          <w:sz w:val="20"/>
          <w:szCs w:val="20"/>
          <w:lang w:val="en-US" w:eastAsia="fi-FI"/>
        </w:rPr>
        <w:t xml:space="preserve">Note: </w:t>
      </w:r>
      <w:r>
        <w:rPr>
          <w:rFonts w:ascii="Times New Roman" w:hAnsi="Times New Roman" w:cs="Times New Roman"/>
          <w:sz w:val="20"/>
          <w:szCs w:val="20"/>
          <w:lang w:val="en-US" w:eastAsia="fi-FI"/>
        </w:rPr>
        <w:t>When flexible symbols are used, it is not expected that any legacy Uplink symbol is converted to Downlink/SBFD symbols</w:t>
      </w:r>
    </w:p>
    <w:p>
      <w:pPr>
        <w:numPr>
          <w:ilvl w:val="2"/>
          <w:numId w:val="1"/>
        </w:numPr>
        <w:overflowPunct/>
        <w:spacing w:before="0" w:after="160" w:line="252" w:lineRule="auto"/>
        <w:ind w:left="2160" w:right="-99" w:hanging="360"/>
        <w:textAlignment w:val="auto"/>
        <w:rPr>
          <w:rFonts w:ascii="Times New Roman" w:hAnsi="Times New Roman" w:cs="Times New Roman"/>
          <w:sz w:val="20"/>
          <w:szCs w:val="20"/>
          <w:lang w:eastAsia="fi-FI"/>
        </w:rPr>
      </w:pPr>
      <w:r>
        <w:rPr>
          <w:rFonts w:ascii="Times New Roman" w:hAnsi="Times New Roman" w:eastAsia="Malgun Gothic" w:cs="Times New Roman"/>
          <w:sz w:val="20"/>
          <w:szCs w:val="20"/>
          <w:lang w:val="en-US" w:eastAsia="fi-FI"/>
        </w:rPr>
        <w:t>Enhancement on resource allocation in frequency domain in SBFD symbols, including</w:t>
      </w:r>
    </w:p>
    <w:p>
      <w:pPr>
        <w:numPr>
          <w:ilvl w:val="3"/>
          <w:numId w:val="1"/>
        </w:numPr>
        <w:overflowPunct/>
        <w:spacing w:before="0" w:after="160" w:line="252" w:lineRule="auto"/>
        <w:ind w:left="2880" w:right="-99" w:hanging="360"/>
        <w:textAlignment w:val="auto"/>
        <w:rPr>
          <w:rFonts w:ascii="Times New Roman" w:hAnsi="Times New Roman" w:cs="Times New Roman"/>
          <w:sz w:val="20"/>
          <w:szCs w:val="20"/>
          <w:lang w:eastAsia="fi-FI"/>
        </w:rPr>
      </w:pPr>
      <w:r>
        <w:rPr>
          <w:rFonts w:ascii="Times New Roman" w:hAnsi="Times New Roman" w:eastAsia="Malgun Gothic" w:cs="Times New Roman"/>
          <w:sz w:val="20"/>
          <w:szCs w:val="20"/>
          <w:lang w:val="en-US" w:eastAsia="fi-FI"/>
        </w:rPr>
        <w:t>resource allocation in frequency domain for PDSCH/CSI-RS across two DL subbands in SBFD symbols</w:t>
      </w:r>
    </w:p>
    <w:p>
      <w:pPr>
        <w:numPr>
          <w:ilvl w:val="3"/>
          <w:numId w:val="1"/>
        </w:numPr>
        <w:overflowPunct/>
        <w:spacing w:before="0" w:after="160" w:line="252" w:lineRule="auto"/>
        <w:ind w:left="2880" w:right="-99" w:hanging="360"/>
        <w:textAlignment w:val="auto"/>
        <w:rPr>
          <w:rFonts w:ascii="Times New Roman" w:hAnsi="Times New Roman" w:cs="Times New Roman"/>
          <w:sz w:val="20"/>
          <w:szCs w:val="20"/>
          <w:lang w:eastAsia="fi-FI"/>
        </w:rPr>
      </w:pPr>
      <w:r>
        <w:rPr>
          <w:rFonts w:ascii="Times New Roman" w:hAnsi="Times New Roman" w:eastAsia="Malgun Gothic" w:cs="Times New Roman"/>
          <w:sz w:val="20"/>
          <w:szCs w:val="20"/>
          <w:lang w:val="en-US" w:eastAsia="fi-FI"/>
        </w:rPr>
        <w:t>handling of unaligned boundaries between SBFD subband(s) and RBG, CSI reporting subband, CSI-RS resource, PRG</w:t>
      </w:r>
    </w:p>
    <w:p>
      <w:pPr>
        <w:numPr>
          <w:ilvl w:val="2"/>
          <w:numId w:val="1"/>
        </w:numPr>
        <w:overflowPunct/>
        <w:spacing w:before="0" w:after="160" w:line="252" w:lineRule="auto"/>
        <w:ind w:left="2160" w:right="-99" w:hanging="360"/>
        <w:textAlignment w:val="auto"/>
        <w:rPr>
          <w:rFonts w:ascii="Times New Roman" w:hAnsi="Times New Roman" w:cs="Times New Roman"/>
          <w:sz w:val="20"/>
          <w:szCs w:val="20"/>
          <w:lang w:eastAsia="fi-FI"/>
        </w:rPr>
      </w:pPr>
      <w:r>
        <w:rPr>
          <w:rFonts w:ascii="Times New Roman" w:hAnsi="Times New Roman" w:eastAsia="Malgun Gothic" w:cs="Times New Roman"/>
          <w:sz w:val="20"/>
          <w:szCs w:val="20"/>
          <w:lang w:val="en-US" w:eastAsia="fi-FI"/>
        </w:rPr>
        <w:t>Enhancements on physical channels/signals and procedure across SBFD symbols and non-SBFD symbols in different slots, where each transmission/reception within a slot has either all SBFD or all non-SBFD symbols, including</w:t>
      </w:r>
    </w:p>
    <w:p>
      <w:pPr>
        <w:numPr>
          <w:ilvl w:val="3"/>
          <w:numId w:val="1"/>
        </w:numPr>
        <w:overflowPunct/>
        <w:spacing w:before="0" w:after="160" w:line="252" w:lineRule="auto"/>
        <w:ind w:left="2880" w:right="-99" w:hanging="360"/>
        <w:textAlignment w:val="auto"/>
        <w:rPr>
          <w:rFonts w:ascii="Times New Roman" w:hAnsi="Times New Roman" w:cs="Times New Roman"/>
          <w:sz w:val="20"/>
          <w:szCs w:val="20"/>
          <w:lang w:eastAsia="fi-FI"/>
        </w:rPr>
      </w:pPr>
      <w:r>
        <w:rPr>
          <w:rFonts w:ascii="Times New Roman" w:hAnsi="Times New Roman" w:eastAsia="Malgun Gothic" w:cs="Times New Roman"/>
          <w:sz w:val="20"/>
          <w:szCs w:val="20"/>
          <w:lang w:val="en-US" w:eastAsia="fi-FI"/>
        </w:rPr>
        <w:t>resource allocation in frequency domain for transmission or reception in SBFD symbols and non-SBFD symbols with different available frequency resource in different slots</w:t>
      </w:r>
    </w:p>
    <w:p>
      <w:pPr>
        <w:numPr>
          <w:ilvl w:val="3"/>
          <w:numId w:val="1"/>
        </w:numPr>
        <w:overflowPunct/>
        <w:spacing w:before="0" w:after="160" w:line="252" w:lineRule="auto"/>
        <w:ind w:left="2880" w:right="-99" w:hanging="360"/>
        <w:textAlignment w:val="auto"/>
        <w:rPr>
          <w:rFonts w:ascii="Times New Roman" w:hAnsi="Times New Roman" w:cs="Times New Roman"/>
          <w:sz w:val="20"/>
          <w:szCs w:val="20"/>
          <w:lang w:eastAsia="fi-FI"/>
        </w:rPr>
      </w:pPr>
      <w:r>
        <w:rPr>
          <w:rFonts w:ascii="Times New Roman" w:hAnsi="Times New Roman" w:eastAsia="Malgun Gothic" w:cs="Times New Roman"/>
          <w:sz w:val="20"/>
          <w:szCs w:val="20"/>
          <w:lang w:val="en-US" w:eastAsia="fi-FI"/>
        </w:rPr>
        <w:t>CSI report of which associated CSI-RS instances occur in both SBFD symbols and non-SBFD symbols in different slots</w:t>
      </w:r>
    </w:p>
    <w:p>
      <w:pPr>
        <w:numPr>
          <w:ilvl w:val="2"/>
          <w:numId w:val="1"/>
        </w:numPr>
        <w:overflowPunct/>
        <w:spacing w:before="0" w:after="160" w:line="252" w:lineRule="auto"/>
        <w:ind w:left="2160" w:right="-99" w:hanging="360"/>
        <w:textAlignment w:val="auto"/>
        <w:rPr>
          <w:rFonts w:ascii="Times New Roman" w:hAnsi="Times New Roman" w:cs="Times New Roman"/>
          <w:sz w:val="20"/>
          <w:szCs w:val="20"/>
          <w:lang w:eastAsia="fi-FI"/>
        </w:rPr>
      </w:pPr>
      <w:r>
        <w:rPr>
          <w:rFonts w:ascii="Times New Roman" w:hAnsi="Times New Roman" w:eastAsia="Malgun Gothic" w:cs="Times New Roman"/>
          <w:sz w:val="20"/>
          <w:szCs w:val="20"/>
          <w:lang w:val="en-US" w:eastAsia="fi-FI"/>
        </w:rPr>
        <w:t>Configurations for SRS, PUCCH and PUSCH on SBFD symbols and non-SBFD symbols, e.g., resources, frequency hopping parameters, UL power control parameters and/or beam/spatial relation</w:t>
      </w:r>
    </w:p>
    <w:p>
      <w:pPr>
        <w:numPr>
          <w:ilvl w:val="2"/>
          <w:numId w:val="1"/>
        </w:numPr>
        <w:overflowPunct/>
        <w:spacing w:before="0" w:after="160" w:line="252" w:lineRule="auto"/>
        <w:ind w:left="2160" w:right="-99" w:hanging="360"/>
        <w:textAlignment w:val="auto"/>
        <w:rPr>
          <w:rFonts w:ascii="Times New Roman" w:hAnsi="Times New Roman" w:cs="Times New Roman"/>
          <w:sz w:val="20"/>
          <w:szCs w:val="20"/>
          <w:lang w:eastAsia="fi-FI"/>
        </w:rPr>
      </w:pPr>
      <w:r>
        <w:rPr>
          <w:rFonts w:ascii="Times New Roman" w:hAnsi="Times New Roman" w:eastAsia="Malgun Gothic" w:cs="Times New Roman"/>
          <w:sz w:val="20"/>
          <w:szCs w:val="20"/>
          <w:lang w:val="en-US" w:eastAsia="fi-FI"/>
        </w:rPr>
        <w:t>Collision handling between DL reception in DL subband(s) and UL transmission in UL subband in a SBFD symbol</w:t>
      </w:r>
    </w:p>
    <w:p>
      <w:pPr>
        <w:numPr>
          <w:ilvl w:val="1"/>
          <w:numId w:val="1"/>
        </w:numPr>
        <w:overflowPunct/>
        <w:spacing w:before="0" w:after="160" w:line="252" w:lineRule="auto"/>
        <w:ind w:left="1440" w:right="-99" w:hanging="360"/>
        <w:textAlignment w:val="auto"/>
        <w:rPr>
          <w:rFonts w:ascii="Times New Roman" w:hAnsi="Times New Roman" w:cs="Times New Roman"/>
          <w:sz w:val="20"/>
          <w:szCs w:val="20"/>
          <w:lang w:eastAsia="fi-FI"/>
        </w:rPr>
      </w:pPr>
      <w:r>
        <w:rPr>
          <w:rFonts w:ascii="Times New Roman" w:hAnsi="Times New Roman" w:eastAsia="Malgun Gothic" w:cs="Times New Roman"/>
          <w:sz w:val="20"/>
          <w:szCs w:val="20"/>
          <w:lang w:val="en-US" w:eastAsia="fi-FI"/>
        </w:rPr>
        <w:t>Followings are assumed based on TR 38.858</w:t>
      </w:r>
    </w:p>
    <w:p>
      <w:pPr>
        <w:numPr>
          <w:ilvl w:val="2"/>
          <w:numId w:val="1"/>
        </w:numPr>
        <w:overflowPunct/>
        <w:spacing w:before="0" w:after="160" w:line="252" w:lineRule="auto"/>
        <w:ind w:left="2160" w:right="-99" w:hanging="360"/>
        <w:textAlignment w:val="auto"/>
        <w:rPr>
          <w:rFonts w:ascii="Times New Roman" w:hAnsi="Times New Roman" w:cs="Times New Roman"/>
          <w:sz w:val="20"/>
          <w:szCs w:val="20"/>
          <w:lang w:eastAsia="fi-FI"/>
        </w:rPr>
      </w:pPr>
      <w:r>
        <w:rPr>
          <w:rFonts w:ascii="Times New Roman" w:hAnsi="Times New Roman" w:eastAsia="Malgun Gothic" w:cs="Times New Roman"/>
          <w:sz w:val="20"/>
          <w:szCs w:val="20"/>
          <w:lang w:val="en-US" w:eastAsia="fi-FI"/>
        </w:rPr>
        <w:t>SBFD at the gNB side</w:t>
      </w:r>
    </w:p>
    <w:p>
      <w:pPr>
        <w:numPr>
          <w:ilvl w:val="2"/>
          <w:numId w:val="1"/>
        </w:numPr>
        <w:overflowPunct/>
        <w:spacing w:before="0" w:after="160" w:line="252" w:lineRule="auto"/>
        <w:ind w:left="2160" w:right="-99" w:hanging="360"/>
        <w:textAlignment w:val="auto"/>
        <w:rPr>
          <w:rFonts w:ascii="Times New Roman" w:hAnsi="Times New Roman" w:cs="Times New Roman"/>
          <w:sz w:val="20"/>
          <w:szCs w:val="20"/>
          <w:lang w:eastAsia="fi-FI"/>
        </w:rPr>
      </w:pPr>
      <w:r>
        <w:rPr>
          <w:rFonts w:ascii="Times New Roman" w:hAnsi="Times New Roman" w:eastAsia="Malgun Gothic" w:cs="Times New Roman"/>
          <w:sz w:val="20"/>
          <w:szCs w:val="20"/>
          <w:lang w:val="en-US" w:eastAsia="fi-FI"/>
        </w:rPr>
        <w:t>Half duplex operation at the UE side</w:t>
      </w:r>
    </w:p>
    <w:p>
      <w:pPr>
        <w:numPr>
          <w:ilvl w:val="2"/>
          <w:numId w:val="1"/>
        </w:numPr>
        <w:overflowPunct/>
        <w:spacing w:before="0" w:after="160" w:line="252" w:lineRule="auto"/>
        <w:ind w:left="2160" w:right="-99" w:hanging="360"/>
        <w:textAlignment w:val="auto"/>
        <w:rPr>
          <w:rFonts w:ascii="Times New Roman" w:hAnsi="Times New Roman" w:cs="Times New Roman"/>
          <w:sz w:val="20"/>
          <w:szCs w:val="20"/>
          <w:lang w:eastAsia="fi-FI"/>
        </w:rPr>
      </w:pPr>
      <w:r>
        <w:rPr>
          <w:rFonts w:ascii="Times New Roman" w:hAnsi="Times New Roman" w:eastAsia="Malgun Gothic" w:cs="Times New Roman"/>
          <w:sz w:val="20"/>
          <w:szCs w:val="20"/>
          <w:lang w:val="en-US" w:eastAsia="fi-FI"/>
        </w:rPr>
        <w:t>FR1 and FR2-1</w:t>
      </w:r>
    </w:p>
    <w:p>
      <w:pPr>
        <w:numPr>
          <w:ilvl w:val="2"/>
          <w:numId w:val="1"/>
        </w:numPr>
        <w:overflowPunct/>
        <w:spacing w:before="0" w:after="160" w:line="252" w:lineRule="auto"/>
        <w:ind w:left="2160" w:right="-99" w:hanging="360"/>
        <w:textAlignment w:val="auto"/>
        <w:rPr>
          <w:rFonts w:ascii="Times New Roman" w:hAnsi="Times New Roman" w:cs="Times New Roman"/>
          <w:sz w:val="20"/>
          <w:szCs w:val="20"/>
          <w:lang w:eastAsia="fi-FI"/>
        </w:rPr>
      </w:pPr>
      <w:r>
        <w:rPr>
          <w:rFonts w:ascii="Times New Roman" w:hAnsi="Times New Roman" w:eastAsia="Malgun Gothic" w:cs="Times New Roman"/>
          <w:sz w:val="20"/>
          <w:szCs w:val="20"/>
          <w:lang w:val="en-US" w:eastAsia="fi-FI"/>
        </w:rPr>
        <w:t>SBFD operation Option 4, i.e., both time and frequency locations of subbands for SBFD operation are known to SBFD aware UEs</w:t>
      </w:r>
    </w:p>
    <w:p>
      <w:pPr>
        <w:numPr>
          <w:ilvl w:val="2"/>
          <w:numId w:val="1"/>
        </w:numPr>
        <w:overflowPunct/>
        <w:spacing w:before="0" w:after="160" w:line="252" w:lineRule="auto"/>
        <w:ind w:left="2160" w:right="-99" w:hanging="360"/>
        <w:textAlignment w:val="auto"/>
        <w:rPr>
          <w:rFonts w:ascii="Times New Roman" w:hAnsi="Times New Roman" w:cs="Times New Roman"/>
          <w:sz w:val="20"/>
          <w:szCs w:val="20"/>
          <w:lang w:eastAsia="fi-FI"/>
        </w:rPr>
      </w:pPr>
      <w:r>
        <w:rPr>
          <w:rFonts w:ascii="Times New Roman" w:hAnsi="Times New Roman" w:eastAsia="Malgun Gothic" w:cs="Times New Roman"/>
          <w:sz w:val="20"/>
          <w:szCs w:val="20"/>
          <w:lang w:val="en-US" w:eastAsia="fi-FI"/>
        </w:rPr>
        <w:t>Coexistence between non-SBFD aware UEs (including legacy UEs) and SBFD aware UEs in the cell operating SBFD at gNB side</w:t>
      </w:r>
    </w:p>
    <w:p>
      <w:pPr>
        <w:numPr>
          <w:ilvl w:val="2"/>
          <w:numId w:val="1"/>
        </w:numPr>
        <w:overflowPunct/>
        <w:spacing w:before="0" w:after="160" w:line="252" w:lineRule="auto"/>
        <w:ind w:left="2160" w:right="-99" w:hanging="360"/>
        <w:textAlignment w:val="auto"/>
        <w:rPr>
          <w:rFonts w:ascii="Times New Roman" w:hAnsi="Times New Roman" w:cs="Times New Roman"/>
          <w:sz w:val="20"/>
          <w:szCs w:val="20"/>
          <w:lang w:eastAsia="fi-FI"/>
        </w:rPr>
      </w:pPr>
      <w:r>
        <w:rPr>
          <w:rFonts w:ascii="Times New Roman" w:hAnsi="Times New Roman" w:eastAsia="Malgun Gothic" w:cs="Times New Roman"/>
          <w:sz w:val="20"/>
          <w:szCs w:val="20"/>
          <w:lang w:val="en-US" w:eastAsia="fi-FI"/>
        </w:rPr>
        <w:t>SBFD scheme within a single configured DL and UL BWP pair with aligned center frequencies</w:t>
      </w:r>
    </w:p>
    <w:p>
      <w:pPr>
        <w:numPr>
          <w:ilvl w:val="2"/>
          <w:numId w:val="1"/>
        </w:numPr>
        <w:overflowPunct/>
        <w:spacing w:before="0" w:after="160" w:line="252" w:lineRule="auto"/>
        <w:ind w:left="2160" w:right="-99" w:hanging="360"/>
        <w:textAlignment w:val="auto"/>
        <w:rPr>
          <w:rFonts w:ascii="Times New Roman" w:hAnsi="Times New Roman" w:cs="Times New Roman"/>
          <w:sz w:val="20"/>
          <w:szCs w:val="20"/>
          <w:lang w:eastAsia="fi-FI"/>
        </w:rPr>
      </w:pPr>
      <w:r>
        <w:rPr>
          <w:rFonts w:ascii="Times New Roman" w:hAnsi="Times New Roman" w:eastAsia="Malgun Gothic" w:cs="Times New Roman"/>
          <w:sz w:val="20"/>
          <w:szCs w:val="20"/>
          <w:lang w:val="en-US" w:eastAsia="fi-FI"/>
        </w:rPr>
        <w:t>One UL subband for SBFD operation in an SBFD symbol (excluding legacy UL symbol/slot) within a TDD carrier</w:t>
      </w:r>
    </w:p>
    <w:p>
      <w:pPr>
        <w:numPr>
          <w:ilvl w:val="2"/>
          <w:numId w:val="1"/>
        </w:numPr>
        <w:overflowPunct/>
        <w:spacing w:before="0" w:after="160" w:line="252" w:lineRule="auto"/>
        <w:ind w:left="2160" w:right="-99" w:hanging="360"/>
        <w:jc w:val="left"/>
        <w:textAlignment w:val="auto"/>
        <w:rPr>
          <w:rFonts w:ascii="Times New Roman" w:hAnsi="Times New Roman" w:cs="Times New Roman"/>
          <w:sz w:val="20"/>
          <w:szCs w:val="20"/>
          <w:lang w:eastAsia="fi-FI"/>
        </w:rPr>
      </w:pPr>
      <w:r>
        <w:rPr>
          <w:rFonts w:ascii="Times New Roman" w:hAnsi="Times New Roman" w:eastAsia="Malgun Gothic" w:cs="Times New Roman"/>
          <w:sz w:val="20"/>
          <w:szCs w:val="20"/>
          <w:lang w:val="en-US" w:eastAsia="fi-FI"/>
        </w:rPr>
        <w:t>Mechanisms for SBFD operation shall also consider the adjacent channel coexistence between two operators</w:t>
      </w:r>
    </w:p>
    <w:p>
      <w:pPr>
        <w:widowControl/>
        <w:overflowPunct w:val="0"/>
        <w:spacing w:before="0" w:after="180"/>
        <w:contextualSpacing/>
        <w:jc w:val="left"/>
        <w:textAlignment w:val="baseline"/>
        <w:rPr>
          <w:rFonts w:ascii="Times New Roman" w:hAnsi="Times New Roman" w:cs="Times New Roman"/>
          <w:sz w:val="20"/>
          <w:szCs w:val="20"/>
        </w:rPr>
      </w:pPr>
    </w:p>
    <w:p>
      <w:pPr>
        <w:widowControl/>
        <w:overflowPunct w:val="0"/>
        <w:spacing w:before="0" w:after="180"/>
        <w:contextualSpacing/>
        <w:jc w:val="both"/>
        <w:textAlignment w:val="baseline"/>
      </w:pPr>
      <w:r>
        <w:rPr>
          <w:rFonts w:ascii="Times New Roman" w:hAnsi="Times New Roman" w:cs="Times New Roman" w:eastAsiaTheme="minorEastAsia"/>
          <w:color w:val="auto"/>
          <w:kern w:val="2"/>
          <w:sz w:val="20"/>
          <w:szCs w:val="20"/>
          <w:lang w:val="en-US" w:eastAsia="zh-CN" w:bidi="ar-SA"/>
        </w:rPr>
        <w:t xml:space="preserve">This contribution discusses the above mentioned objectives and </w:t>
      </w:r>
      <w:r>
        <w:rPr>
          <w:rFonts w:ascii="Times New Roman" w:hAnsi="Times New Roman" w:cs="Times New Roman" w:eastAsiaTheme="minorEastAsia"/>
          <w:i w:val="0"/>
          <w:iCs w:val="0"/>
          <w:color w:val="auto"/>
          <w:kern w:val="2"/>
          <w:sz w:val="20"/>
          <w:szCs w:val="20"/>
          <w:lang w:val="en-US" w:eastAsia="zh-CN" w:bidi="ar-SA"/>
        </w:rPr>
        <w:t xml:space="preserve">focuses on down-selection of options that were discussed and agreed during the SI phase and the agreements made during the RAN1#116 [2] and RAN1#116bis meetings [3]. </w:t>
      </w:r>
    </w:p>
    <w:p>
      <w:pPr>
        <w:pStyle w:val="25"/>
        <w:keepNext/>
        <w:widowControl/>
        <w:numPr>
          <w:ilvl w:val="0"/>
          <w:numId w:val="0"/>
        </w:numPr>
        <w:spacing w:before="120" w:after="120"/>
        <w:ind w:left="0" w:firstLine="0"/>
        <w:jc w:val="left"/>
        <w:outlineLvl w:val="0"/>
        <w:rPr>
          <w:rFonts w:ascii="Times New Roman" w:hAnsi="Times New Roman" w:eastAsia="SimSun" w:cs="Times New Roman"/>
          <w:b/>
          <w:kern w:val="2"/>
          <w:sz w:val="28"/>
          <w:szCs w:val="20"/>
          <w:lang w:val="zh-CN" w:eastAsia="zh-CN"/>
        </w:rPr>
      </w:pPr>
      <w:r>
        <w:rPr>
          <w:rFonts w:ascii="Times New Roman" w:hAnsi="Times New Roman" w:eastAsia="SimSun" w:cs="Times New Roman"/>
          <w:b/>
          <w:kern w:val="2"/>
          <w:sz w:val="28"/>
          <w:szCs w:val="20"/>
          <w:lang w:val="zh-CN" w:eastAsia="zh-CN"/>
        </w:rPr>
        <w:t>2. Semi-static indication of subbands</w:t>
      </w:r>
    </w:p>
    <w:p>
      <w:pPr>
        <w:pStyle w:val="25"/>
        <w:widowControl/>
        <w:numPr>
          <w:ilvl w:val="0"/>
          <w:numId w:val="0"/>
        </w:numPr>
        <w:spacing w:before="120" w:after="120"/>
        <w:ind w:left="0" w:firstLine="0"/>
        <w:jc w:val="left"/>
        <w:outlineLvl w:val="0"/>
        <w:rPr>
          <w:sz w:val="26"/>
          <w:szCs w:val="26"/>
        </w:rPr>
      </w:pPr>
      <w:r>
        <w:rPr>
          <w:rFonts w:ascii="Times New Roman" w:hAnsi="Times New Roman" w:eastAsia="SimSun" w:cs="Times New Roman"/>
          <w:b/>
          <w:kern w:val="2"/>
          <w:sz w:val="26"/>
          <w:szCs w:val="26"/>
          <w:lang w:val="zh-CN" w:eastAsia="zh-CN"/>
        </w:rPr>
        <w:t>2.1 Time domain indication of UL subbands</w:t>
      </w:r>
    </w:p>
    <w:tbl>
      <w:tblPr>
        <w:tblStyle w:val="8"/>
        <w:tblW w:w="9070" w:type="dxa"/>
        <w:tblInd w:w="0" w:type="dxa"/>
        <w:tblLayout w:type="autofit"/>
        <w:tblCellMar>
          <w:top w:w="55" w:type="dxa"/>
          <w:left w:w="55" w:type="dxa"/>
          <w:bottom w:w="55" w:type="dxa"/>
          <w:right w:w="55" w:type="dxa"/>
        </w:tblCellMar>
      </w:tblPr>
      <w:tblGrid>
        <w:gridCol w:w="9070"/>
      </w:tblGrid>
      <w:tr>
        <w:tblPrEx>
          <w:tblCellMar>
            <w:top w:w="55" w:type="dxa"/>
            <w:left w:w="55" w:type="dxa"/>
            <w:bottom w:w="55" w:type="dxa"/>
            <w:right w:w="55" w:type="dxa"/>
          </w:tblCellMar>
        </w:tblPrEx>
        <w:tc>
          <w:tcPr>
            <w:tcW w:w="9070" w:type="dxa"/>
            <w:tcBorders>
              <w:top w:val="single" w:color="000000" w:sz="2" w:space="0"/>
              <w:left w:val="single" w:color="000000" w:sz="2" w:space="0"/>
              <w:bottom w:val="single" w:color="000000" w:sz="2" w:space="0"/>
              <w:right w:val="single" w:color="000000" w:sz="2" w:space="0"/>
            </w:tcBorders>
          </w:tcPr>
          <w:p>
            <w:pPr>
              <w:rPr>
                <w:rFonts w:eastAsia="Malgun Gothic;맑은 고딕"/>
                <w:b/>
                <w:highlight w:val="green"/>
                <w:lang w:eastAsia="zh-CN"/>
              </w:rPr>
            </w:pPr>
            <w:r>
              <w:rPr>
                <w:rFonts w:eastAsia="Malgun Gothic;맑은 고딕"/>
                <w:b/>
                <w:highlight w:val="green"/>
                <w:lang w:eastAsia="zh-CN"/>
              </w:rPr>
              <w:t>Agreement</w:t>
            </w:r>
          </w:p>
          <w:p>
            <w:pPr>
              <w:pStyle w:val="25"/>
              <w:tabs>
                <w:tab w:val="left" w:pos="0"/>
              </w:tabs>
              <w:ind w:left="0" w:firstLine="0"/>
              <w:rPr>
                <w:rFonts w:ascii="Times New Roman" w:hAnsi="Times New Roman" w:eastAsia="Malgun Gothic" w:cs="Times New Roman"/>
                <w:color w:val="auto"/>
                <w:kern w:val="2"/>
                <w:sz w:val="20"/>
                <w:szCs w:val="20"/>
                <w:lang w:val="en-US" w:eastAsia="fi-FI" w:bidi="ar-SA"/>
              </w:rPr>
            </w:pPr>
            <w:r>
              <w:rPr>
                <w:rFonts w:ascii="Times New Roman" w:hAnsi="Times New Roman" w:eastAsia="Malgun Gothic" w:cs="Times New Roman"/>
                <w:color w:val="auto"/>
                <w:kern w:val="2"/>
                <w:sz w:val="20"/>
                <w:szCs w:val="20"/>
                <w:lang w:val="en-US" w:eastAsia="fi-FI" w:bidi="ar-SA"/>
              </w:rPr>
              <w:t xml:space="preserve">For RRC connected mode UEs, at least cell-specific configuration on time </w:t>
            </w:r>
            <w:r>
              <w:rPr>
                <w:rFonts w:ascii="Times New Roman" w:hAnsi="Times New Roman" w:eastAsia="Malgun Gothic" w:cs="Times New Roman"/>
                <w:color w:val="auto"/>
                <w:kern w:val="2"/>
                <w:sz w:val="20"/>
                <w:szCs w:val="20"/>
                <w:highlight w:val="darkYellow"/>
                <w:lang w:val="en-US" w:eastAsia="fi-FI" w:bidi="ar-SA"/>
              </w:rPr>
              <w:t xml:space="preserve">and frequency(working assumption) </w:t>
            </w:r>
            <w:r>
              <w:rPr>
                <w:rFonts w:ascii="Times New Roman" w:hAnsi="Times New Roman" w:eastAsia="Malgun Gothic" w:cs="Times New Roman"/>
                <w:color w:val="auto"/>
                <w:kern w:val="2"/>
                <w:sz w:val="20"/>
                <w:szCs w:val="20"/>
                <w:lang w:val="en-US" w:eastAsia="fi-FI" w:bidi="ar-SA"/>
              </w:rPr>
              <w:t>location of SBFD subbands is supported within a TDD carrier.</w:t>
            </w:r>
          </w:p>
          <w:p>
            <w:pPr>
              <w:pStyle w:val="25"/>
              <w:numPr>
                <w:ilvl w:val="0"/>
                <w:numId w:val="2"/>
              </w:numPr>
              <w:suppressAutoHyphens/>
              <w:jc w:val="both"/>
              <w:rPr>
                <w:rFonts w:ascii="Times New Roman" w:hAnsi="Times New Roman" w:eastAsia="Malgun Gothic" w:cs="Times New Roman"/>
                <w:color w:val="auto"/>
                <w:kern w:val="2"/>
                <w:sz w:val="20"/>
                <w:szCs w:val="20"/>
                <w:lang w:val="en-US" w:eastAsia="fi-FI" w:bidi="ar-SA"/>
              </w:rPr>
            </w:pPr>
            <w:r>
              <w:rPr>
                <w:rFonts w:ascii="Times New Roman" w:hAnsi="Times New Roman" w:eastAsia="Malgun Gothic" w:cs="Times New Roman"/>
                <w:color w:val="auto"/>
                <w:kern w:val="2"/>
                <w:sz w:val="20"/>
                <w:szCs w:val="20"/>
                <w:lang w:val="en-US" w:eastAsia="fi-FI" w:bidi="ar-SA"/>
              </w:rPr>
              <w:t>FFS: Additional support of UE-specific configuration on time and/or frequency locations of SBFD subbands</w:t>
            </w:r>
          </w:p>
          <w:p>
            <w:pPr>
              <w:pStyle w:val="25"/>
              <w:tabs>
                <w:tab w:val="left" w:pos="0"/>
              </w:tabs>
              <w:suppressAutoHyphens/>
              <w:jc w:val="both"/>
              <w:rPr>
                <w:rFonts w:ascii="Times New Roman" w:hAnsi="Times New Roman" w:eastAsia="Malgun Gothic" w:cs="Times New Roman"/>
                <w:color w:val="auto"/>
                <w:kern w:val="2"/>
                <w:sz w:val="20"/>
                <w:szCs w:val="20"/>
                <w:lang w:val="en-US" w:eastAsia="fi-FI" w:bidi="ar-SA"/>
              </w:rPr>
            </w:pPr>
          </w:p>
          <w:p>
            <w:pPr>
              <w:rPr>
                <w:rFonts w:eastAsia="Malgun Gothic;맑은 고딕"/>
                <w:b/>
                <w:highlight w:val="green"/>
                <w:lang w:eastAsia="zh-CN"/>
              </w:rPr>
            </w:pPr>
            <w:r>
              <w:rPr>
                <w:rFonts w:eastAsia="Malgun Gothic;맑은 고딕"/>
                <w:b/>
                <w:highlight w:val="green"/>
                <w:lang w:eastAsia="zh-CN"/>
              </w:rPr>
              <w:t>Agreement:</w:t>
            </w:r>
          </w:p>
          <w:p>
            <w:pPr>
              <w:pStyle w:val="25"/>
              <w:tabs>
                <w:tab w:val="left" w:pos="0"/>
              </w:tabs>
              <w:ind w:left="0" w:firstLine="0"/>
              <w:rPr>
                <w:rFonts w:ascii="Times New Roman" w:hAnsi="Times New Roman" w:eastAsia="Malgun Gothic" w:cs="Times New Roman"/>
                <w:color w:val="auto"/>
                <w:kern w:val="2"/>
                <w:sz w:val="20"/>
                <w:szCs w:val="20"/>
                <w:lang w:val="en-US" w:eastAsia="fi-FI" w:bidi="ar-SA"/>
              </w:rPr>
            </w:pPr>
            <w:r>
              <w:rPr>
                <w:rFonts w:ascii="Times New Roman" w:hAnsi="Times New Roman" w:eastAsia="Malgun Gothic" w:cs="Times New Roman"/>
                <w:color w:val="auto"/>
                <w:kern w:val="2"/>
                <w:sz w:val="20"/>
                <w:szCs w:val="20"/>
                <w:lang w:val="en-US" w:eastAsia="fi-FI" w:bidi="ar-SA"/>
              </w:rPr>
              <w:t>For RRC connected mode UEs, SBFD subband time locations are configured within a period. At least when only one TDD-UL-DL pattern is configured, the period is down-selected from one of the following options.</w:t>
            </w:r>
          </w:p>
          <w:p>
            <w:pPr>
              <w:pStyle w:val="25"/>
              <w:numPr>
                <w:ilvl w:val="0"/>
                <w:numId w:val="2"/>
              </w:numPr>
              <w:suppressAutoHyphens/>
              <w:jc w:val="both"/>
              <w:rPr>
                <w:rFonts w:ascii="Times New Roman" w:hAnsi="Times New Roman" w:eastAsia="Malgun Gothic" w:cs="Times New Roman"/>
                <w:color w:val="auto"/>
                <w:kern w:val="2"/>
                <w:sz w:val="20"/>
                <w:szCs w:val="20"/>
                <w:lang w:val="en-US" w:eastAsia="fi-FI" w:bidi="ar-SA"/>
              </w:rPr>
            </w:pPr>
            <w:r>
              <w:rPr>
                <w:rFonts w:ascii="Times New Roman" w:hAnsi="Times New Roman" w:eastAsia="Malgun Gothic" w:cs="Times New Roman"/>
                <w:color w:val="auto"/>
                <w:kern w:val="2"/>
                <w:sz w:val="20"/>
                <w:szCs w:val="20"/>
                <w:lang w:val="en-US" w:eastAsia="fi-FI" w:bidi="ar-SA"/>
              </w:rPr>
              <w:t xml:space="preserve">Option 1: The period is the same as TDD-UL-DL pattern period configured by </w:t>
            </w:r>
            <w:r>
              <w:rPr>
                <w:rFonts w:ascii="Times New Roman" w:hAnsi="Times New Roman" w:eastAsia="Malgun Gothic" w:cs="Times New Roman"/>
                <w:i/>
                <w:color w:val="auto"/>
                <w:kern w:val="2"/>
                <w:sz w:val="20"/>
                <w:szCs w:val="20"/>
                <w:lang w:val="en-US" w:eastAsia="fi-FI" w:bidi="ar-SA"/>
              </w:rPr>
              <w:t>dl-UL-TransmissionPeriodicity</w:t>
            </w:r>
            <w:r>
              <w:rPr>
                <w:rFonts w:ascii="Times New Roman" w:hAnsi="Times New Roman" w:eastAsia="Malgun Gothic" w:cs="Times New Roman"/>
                <w:color w:val="auto"/>
                <w:kern w:val="2"/>
                <w:sz w:val="20"/>
                <w:szCs w:val="20"/>
                <w:lang w:val="en-US" w:eastAsia="fi-FI" w:bidi="ar-SA"/>
              </w:rPr>
              <w:t xml:space="preserve"> in </w:t>
            </w:r>
            <w:r>
              <w:rPr>
                <w:rFonts w:ascii="Times New Roman" w:hAnsi="Times New Roman" w:eastAsia="Malgun Gothic" w:cs="Times New Roman"/>
                <w:i/>
                <w:color w:val="auto"/>
                <w:kern w:val="2"/>
                <w:sz w:val="20"/>
                <w:szCs w:val="20"/>
                <w:lang w:val="en-US" w:eastAsia="fi-FI" w:bidi="ar-SA"/>
              </w:rPr>
              <w:t>TDD-UL-DL-ConfigCommon</w:t>
            </w:r>
            <w:r>
              <w:rPr>
                <w:rFonts w:ascii="Times New Roman" w:hAnsi="Times New Roman" w:eastAsia="Malgun Gothic" w:cs="Times New Roman"/>
                <w:color w:val="auto"/>
                <w:kern w:val="2"/>
                <w:sz w:val="20"/>
                <w:szCs w:val="20"/>
                <w:lang w:val="en-US" w:eastAsia="fi-FI" w:bidi="ar-SA"/>
              </w:rPr>
              <w:t>.</w:t>
            </w:r>
          </w:p>
          <w:p>
            <w:pPr>
              <w:pStyle w:val="25"/>
              <w:numPr>
                <w:ilvl w:val="0"/>
                <w:numId w:val="2"/>
              </w:numPr>
              <w:suppressAutoHyphens/>
              <w:jc w:val="both"/>
            </w:pPr>
            <w:r>
              <w:rPr>
                <w:rFonts w:ascii="Times New Roman" w:hAnsi="Times New Roman" w:eastAsia="Malgun Gothic" w:cs="Times New Roman"/>
                <w:color w:val="auto"/>
                <w:kern w:val="2"/>
                <w:sz w:val="20"/>
                <w:szCs w:val="20"/>
                <w:lang w:val="en-US" w:eastAsia="fi-FI" w:bidi="ar-SA"/>
              </w:rPr>
              <w:t xml:space="preserve">Option 2: The period is integer multiple of TDD-UL-DL pattern period configured by </w:t>
            </w:r>
            <w:r>
              <w:rPr>
                <w:rFonts w:ascii="Times New Roman" w:hAnsi="Times New Roman" w:eastAsia="Malgun Gothic" w:cs="Times New Roman"/>
                <w:i/>
                <w:color w:val="auto"/>
                <w:kern w:val="2"/>
                <w:sz w:val="20"/>
                <w:szCs w:val="20"/>
                <w:lang w:val="en-US" w:eastAsia="fi-FI" w:bidi="ar-SA"/>
              </w:rPr>
              <w:t>dl-UL-TransmissionPeriodicity</w:t>
            </w:r>
            <w:r>
              <w:rPr>
                <w:rFonts w:ascii="Times New Roman" w:hAnsi="Times New Roman" w:eastAsia="Malgun Gothic" w:cs="Times New Roman"/>
                <w:color w:val="auto"/>
                <w:kern w:val="2"/>
                <w:sz w:val="20"/>
                <w:szCs w:val="20"/>
                <w:lang w:val="en-US" w:eastAsia="fi-FI" w:bidi="ar-SA"/>
              </w:rPr>
              <w:t xml:space="preserve"> in </w:t>
            </w:r>
            <w:r>
              <w:rPr>
                <w:rFonts w:ascii="Times New Roman" w:hAnsi="Times New Roman" w:eastAsia="Malgun Gothic" w:cs="Times New Roman"/>
                <w:i/>
                <w:color w:val="auto"/>
                <w:kern w:val="2"/>
                <w:sz w:val="20"/>
                <w:szCs w:val="20"/>
                <w:lang w:val="en-US" w:eastAsia="fi-FI" w:bidi="ar-SA"/>
              </w:rPr>
              <w:t>TDD-UL-DL-ConfigCommon</w:t>
            </w:r>
            <w:r>
              <w:rPr>
                <w:rFonts w:ascii="Times New Roman" w:hAnsi="Times New Roman" w:eastAsia="Malgun Gothic" w:cs="Times New Roman"/>
                <w:color w:val="auto"/>
                <w:kern w:val="2"/>
                <w:sz w:val="20"/>
                <w:szCs w:val="20"/>
                <w:lang w:val="en-US" w:eastAsia="fi-FI" w:bidi="ar-SA"/>
              </w:rPr>
              <w:t>.</w:t>
            </w:r>
          </w:p>
          <w:p>
            <w:pPr>
              <w:pStyle w:val="25"/>
              <w:numPr>
                <w:ilvl w:val="0"/>
                <w:numId w:val="2"/>
              </w:numPr>
              <w:suppressAutoHyphens/>
              <w:jc w:val="both"/>
              <w:rPr>
                <w:rFonts w:ascii="Times New Roman" w:hAnsi="Times New Roman" w:eastAsia="Malgun Gothic" w:cs="Times New Roman"/>
                <w:color w:val="auto"/>
                <w:kern w:val="2"/>
                <w:sz w:val="20"/>
                <w:szCs w:val="20"/>
                <w:lang w:val="en-US" w:eastAsia="fi-FI" w:bidi="ar-SA"/>
              </w:rPr>
            </w:pPr>
            <w:r>
              <w:rPr>
                <w:rFonts w:ascii="Times New Roman" w:hAnsi="Times New Roman" w:eastAsia="Malgun Gothic" w:cs="Times New Roman"/>
                <w:color w:val="auto"/>
                <w:kern w:val="2"/>
                <w:sz w:val="20"/>
                <w:szCs w:val="20"/>
                <w:lang w:val="en-US" w:eastAsia="fi-FI" w:bidi="ar-SA"/>
              </w:rPr>
              <w:t>FFS: Further details</w:t>
            </w:r>
          </w:p>
          <w:p>
            <w:pPr>
              <w:pStyle w:val="25"/>
              <w:tabs>
                <w:tab w:val="left" w:pos="0"/>
              </w:tabs>
              <w:suppressAutoHyphens/>
              <w:ind w:left="0" w:firstLine="0"/>
              <w:jc w:val="both"/>
              <w:rPr>
                <w:rFonts w:ascii="Times New Roman" w:hAnsi="Times New Roman" w:eastAsia="Malgun Gothic" w:cs="Times New Roman"/>
                <w:color w:val="auto"/>
                <w:kern w:val="2"/>
                <w:sz w:val="20"/>
                <w:szCs w:val="20"/>
                <w:lang w:val="en-US" w:eastAsia="fi-FI" w:bidi="ar-SA"/>
              </w:rPr>
            </w:pPr>
            <w:r>
              <w:rPr>
                <w:rFonts w:ascii="Times New Roman" w:hAnsi="Times New Roman" w:eastAsia="Malgun Gothic" w:cs="Times New Roman"/>
                <w:color w:val="auto"/>
                <w:kern w:val="2"/>
                <w:sz w:val="20"/>
                <w:szCs w:val="20"/>
                <w:lang w:val="en-US" w:eastAsia="fi-FI" w:bidi="ar-SA"/>
              </w:rPr>
              <w:t>FFS: Details when two TDD-UL-DL patterns are configured</w:t>
            </w:r>
          </w:p>
          <w:p>
            <w:pPr>
              <w:pStyle w:val="25"/>
              <w:tabs>
                <w:tab w:val="left" w:pos="0"/>
              </w:tabs>
              <w:suppressAutoHyphens/>
              <w:ind w:left="0" w:firstLine="0"/>
              <w:jc w:val="both"/>
              <w:rPr>
                <w:rFonts w:ascii="Times New Roman" w:hAnsi="Times New Roman" w:eastAsia="Malgun Gothic;맑은 고딕" w:cs="Times New Roman"/>
              </w:rPr>
            </w:pPr>
          </w:p>
          <w:p>
            <w:pPr>
              <w:rPr>
                <w:rFonts w:eastAsia="Malgun Gothic;맑은 고딕" w:cs="Times"/>
                <w:b/>
                <w:szCs w:val="20"/>
                <w:highlight w:val="green"/>
                <w:lang w:eastAsia="zh-CN"/>
              </w:rPr>
            </w:pPr>
            <w:r>
              <w:rPr>
                <w:rFonts w:eastAsia="Malgun Gothic;맑은 고딕" w:cs="Times"/>
                <w:b/>
                <w:szCs w:val="20"/>
                <w:highlight w:val="green"/>
                <w:lang w:eastAsia="zh-CN"/>
              </w:rPr>
              <w:t>Agreement</w:t>
            </w:r>
          </w:p>
          <w:p>
            <w:pPr>
              <w:rPr>
                <w:rFonts w:ascii="Times New Roman" w:hAnsi="Times New Roman" w:eastAsia="Malgun Gothic" w:cs="Times New Roman"/>
                <w:color w:val="auto"/>
                <w:kern w:val="2"/>
                <w:sz w:val="20"/>
                <w:szCs w:val="20"/>
                <w:lang w:val="en-US" w:eastAsia="fi-FI" w:bidi="ar-SA"/>
              </w:rPr>
            </w:pPr>
            <w:r>
              <w:rPr>
                <w:rFonts w:ascii="Times New Roman" w:hAnsi="Times New Roman" w:eastAsia="Malgun Gothic" w:cs="Times New Roman"/>
                <w:color w:val="auto"/>
                <w:kern w:val="2"/>
                <w:sz w:val="20"/>
                <w:szCs w:val="20"/>
                <w:lang w:val="en-US" w:eastAsia="fi-FI" w:bidi="ar-SA"/>
              </w:rPr>
              <w:t>A slot can consist of SBFD symbols and non-SBFD symbols.</w:t>
            </w:r>
          </w:p>
          <w:p>
            <w:pPr>
              <w:rPr>
                <w:rFonts w:ascii="Times New Roman" w:hAnsi="Times New Roman" w:eastAsia="Malgun Gothic" w:cs="Times New Roman"/>
                <w:color w:val="auto"/>
                <w:kern w:val="2"/>
                <w:sz w:val="20"/>
                <w:szCs w:val="20"/>
                <w:lang w:val="en-US" w:eastAsia="fi-FI" w:bidi="ar-SA"/>
              </w:rPr>
            </w:pPr>
            <w:r>
              <w:rPr>
                <w:rFonts w:ascii="Times New Roman" w:hAnsi="Times New Roman" w:eastAsia="Malgun Gothic" w:cs="Times New Roman"/>
                <w:color w:val="auto"/>
                <w:kern w:val="2"/>
                <w:sz w:val="20"/>
                <w:szCs w:val="20"/>
                <w:lang w:val="en-US" w:eastAsia="fi-FI" w:bidi="ar-SA"/>
              </w:rPr>
              <w:t>For semi-static indication of SBFD subband time location,</w:t>
            </w:r>
          </w:p>
          <w:p>
            <w:pPr>
              <w:numPr>
                <w:ilvl w:val="0"/>
                <w:numId w:val="3"/>
              </w:numPr>
              <w:rPr>
                <w:rFonts w:ascii="Times New Roman" w:hAnsi="Times New Roman" w:eastAsia="Malgun Gothic" w:cs="Times New Roman"/>
                <w:color w:val="auto"/>
                <w:kern w:val="2"/>
                <w:sz w:val="20"/>
                <w:szCs w:val="20"/>
                <w:lang w:val="en-US" w:eastAsia="fi-FI" w:bidi="ar-SA"/>
              </w:rPr>
            </w:pPr>
            <w:r>
              <w:rPr>
                <w:rFonts w:ascii="Times New Roman" w:hAnsi="Times New Roman" w:eastAsia="Malgun Gothic" w:cs="Times New Roman"/>
                <w:color w:val="auto"/>
                <w:kern w:val="2"/>
                <w:sz w:val="20"/>
                <w:szCs w:val="20"/>
                <w:lang w:val="en-US" w:eastAsia="fi-FI" w:bidi="ar-SA"/>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pPr>
              <w:numPr>
                <w:ilvl w:val="1"/>
                <w:numId w:val="3"/>
              </w:numPr>
              <w:rPr>
                <w:rFonts w:ascii="Times New Roman" w:hAnsi="Times New Roman" w:eastAsia="Malgun Gothic" w:cs="Times New Roman"/>
                <w:color w:val="auto"/>
                <w:kern w:val="2"/>
                <w:sz w:val="20"/>
                <w:szCs w:val="20"/>
                <w:lang w:val="en-US" w:eastAsia="fi-FI" w:bidi="ar-SA"/>
              </w:rPr>
            </w:pPr>
            <w:r>
              <w:rPr>
                <w:rFonts w:ascii="Times New Roman" w:hAnsi="Times New Roman" w:eastAsia="Malgun Gothic" w:cs="Times New Roman"/>
                <w:color w:val="auto"/>
                <w:kern w:val="2"/>
                <w:sz w:val="20"/>
                <w:szCs w:val="20"/>
                <w:lang w:val="en-US" w:eastAsia="fi-FI" w:bidi="ar-SA"/>
              </w:rPr>
              <w:t xml:space="preserve">SBFD symbols are configured in DL and/or flexible symbols configured in </w:t>
            </w:r>
            <w:r>
              <w:rPr>
                <w:rFonts w:ascii="Times New Roman" w:hAnsi="Times New Roman" w:eastAsia="Malgun Gothic" w:cs="Times New Roman"/>
                <w:i/>
                <w:color w:val="auto"/>
                <w:kern w:val="2"/>
                <w:sz w:val="20"/>
                <w:szCs w:val="20"/>
                <w:lang w:val="en-US" w:eastAsia="fi-FI" w:bidi="ar-SA"/>
              </w:rPr>
              <w:t>TDD-UL-DL-ConfigCommon</w:t>
            </w:r>
          </w:p>
          <w:p>
            <w:pPr>
              <w:numPr>
                <w:ilvl w:val="1"/>
                <w:numId w:val="3"/>
              </w:numPr>
              <w:rPr>
                <w:rFonts w:ascii="Times New Roman" w:hAnsi="Times New Roman" w:eastAsia="Malgun Gothic" w:cs="Times New Roman"/>
                <w:color w:val="auto"/>
                <w:kern w:val="2"/>
                <w:sz w:val="20"/>
                <w:szCs w:val="20"/>
                <w:lang w:val="en-US" w:eastAsia="fi-FI" w:bidi="ar-SA"/>
              </w:rPr>
            </w:pPr>
            <w:r>
              <w:rPr>
                <w:rFonts w:ascii="Times New Roman" w:hAnsi="Times New Roman" w:eastAsia="Malgun Gothic" w:cs="Times New Roman"/>
                <w:color w:val="auto"/>
                <w:kern w:val="2"/>
                <w:sz w:val="20"/>
                <w:szCs w:val="20"/>
                <w:lang w:val="en-US" w:eastAsia="fi-FI" w:bidi="ar-SA"/>
              </w:rPr>
              <w:t>The configured SBFD symbols can start from any symbol within a slot and can end in any symbol within a slot.</w:t>
            </w:r>
          </w:p>
          <w:p>
            <w:pPr>
              <w:numPr>
                <w:ilvl w:val="1"/>
                <w:numId w:val="3"/>
              </w:numPr>
              <w:rPr>
                <w:rFonts w:ascii="Times New Roman" w:hAnsi="Times New Roman" w:eastAsia="Malgun Gothic" w:cs="Times New Roman"/>
                <w:color w:val="auto"/>
                <w:kern w:val="2"/>
                <w:sz w:val="20"/>
                <w:szCs w:val="20"/>
                <w:lang w:val="en-US" w:eastAsia="fi-FI" w:bidi="ar-SA"/>
              </w:rPr>
            </w:pPr>
            <w:r>
              <w:rPr>
                <w:rFonts w:ascii="Times New Roman" w:hAnsi="Times New Roman" w:eastAsia="Malgun Gothic" w:cs="Times New Roman"/>
                <w:i/>
                <w:color w:val="auto"/>
                <w:kern w:val="2"/>
                <w:sz w:val="20"/>
                <w:szCs w:val="20"/>
                <w:lang w:val="en-US" w:eastAsia="fi-FI" w:bidi="ar-SA"/>
              </w:rPr>
              <w:t>referenceSubcarrierSpacing</w:t>
            </w:r>
            <w:r>
              <w:rPr>
                <w:rFonts w:ascii="Times New Roman" w:hAnsi="Times New Roman" w:eastAsia="Malgun Gothic" w:cs="Times New Roman"/>
                <w:color w:val="auto"/>
                <w:kern w:val="2"/>
                <w:sz w:val="20"/>
                <w:szCs w:val="20"/>
                <w:lang w:val="en-US" w:eastAsia="fi-FI" w:bidi="ar-SA"/>
              </w:rPr>
              <w:t xml:space="preserve"> in </w:t>
            </w:r>
            <w:r>
              <w:rPr>
                <w:rFonts w:ascii="Times New Roman" w:hAnsi="Times New Roman" w:eastAsia="Malgun Gothic" w:cs="Times New Roman"/>
                <w:i/>
                <w:color w:val="auto"/>
                <w:kern w:val="2"/>
                <w:sz w:val="20"/>
                <w:szCs w:val="20"/>
                <w:lang w:val="en-US" w:eastAsia="fi-FI" w:bidi="ar-SA"/>
              </w:rPr>
              <w:t xml:space="preserve">TDD-UL-DL-ConfigCommon </w:t>
            </w:r>
            <w:r>
              <w:rPr>
                <w:rFonts w:ascii="Times New Roman" w:hAnsi="Times New Roman" w:eastAsia="Malgun Gothic" w:cs="Times New Roman"/>
                <w:color w:val="auto"/>
                <w:kern w:val="2"/>
                <w:sz w:val="20"/>
                <w:szCs w:val="20"/>
                <w:lang w:val="en-US" w:eastAsia="fi-FI" w:bidi="ar-SA"/>
              </w:rPr>
              <w:t>is used as reference SCS.</w:t>
            </w:r>
          </w:p>
          <w:p>
            <w:pPr>
              <w:numPr>
                <w:ilvl w:val="1"/>
                <w:numId w:val="3"/>
              </w:numPr>
              <w:suppressAutoHyphens/>
              <w:ind w:left="0" w:firstLine="0"/>
              <w:jc w:val="both"/>
              <w:rPr>
                <w:rFonts w:ascii="Times New Roman" w:hAnsi="Times New Roman" w:eastAsia="Malgun Gothic" w:cs="Times New Roman"/>
                <w:color w:val="auto"/>
                <w:kern w:val="2"/>
                <w:sz w:val="20"/>
                <w:szCs w:val="20"/>
                <w:lang w:val="en-US" w:eastAsia="fi-FI" w:bidi="ar-SA"/>
              </w:rPr>
            </w:pPr>
            <w:r>
              <w:rPr>
                <w:rFonts w:ascii="Times New Roman" w:hAnsi="Times New Roman" w:eastAsia="Malgun Gothic" w:cs="Times New Roman"/>
                <w:color w:val="auto"/>
                <w:kern w:val="2"/>
                <w:sz w:val="20"/>
                <w:szCs w:val="20"/>
                <w:lang w:val="en-US" w:eastAsia="fi-FI" w:bidi="ar-SA"/>
              </w:rPr>
              <w:t>FFS details</w:t>
            </w:r>
          </w:p>
        </w:tc>
      </w:tr>
    </w:tbl>
    <w:p>
      <w:pPr>
        <w:pStyle w:val="25"/>
        <w:widowControl/>
        <w:numPr>
          <w:ilvl w:val="0"/>
          <w:numId w:val="0"/>
        </w:numPr>
        <w:spacing w:before="120" w:after="120"/>
        <w:ind w:left="0" w:firstLine="0"/>
        <w:jc w:val="both"/>
        <w:outlineLvl w:val="0"/>
        <w:rPr>
          <w:rFonts w:ascii="Times New Roman" w:hAnsi="Times New Roman" w:eastAsia="Malgun Gothic" w:cs="Times New Roman"/>
          <w:color w:val="auto"/>
          <w:kern w:val="2"/>
          <w:sz w:val="20"/>
          <w:szCs w:val="20"/>
          <w:lang w:val="en-US" w:eastAsia="fi-FI" w:bidi="ar-SA"/>
        </w:rPr>
      </w:pPr>
    </w:p>
    <w:p>
      <w:pPr>
        <w:pStyle w:val="25"/>
        <w:widowControl/>
        <w:numPr>
          <w:ilvl w:val="0"/>
          <w:numId w:val="0"/>
        </w:numPr>
        <w:spacing w:before="120" w:after="120"/>
        <w:ind w:left="0" w:firstLine="0"/>
        <w:jc w:val="both"/>
        <w:outlineLvl w:val="0"/>
        <w:rPr>
          <w:rFonts w:ascii="Times New Roman" w:hAnsi="Times New Roman" w:eastAsia="Malgun Gothic" w:cs="Times New Roman"/>
          <w:color w:val="auto"/>
          <w:kern w:val="2"/>
          <w:sz w:val="20"/>
          <w:szCs w:val="20"/>
          <w:lang w:val="en-US" w:eastAsia="fi-FI" w:bidi="ar-SA"/>
        </w:rPr>
      </w:pPr>
      <w:r>
        <w:rPr>
          <w:rFonts w:ascii="Times New Roman" w:hAnsi="Times New Roman" w:eastAsia="Malgun Gothic" w:cs="Times New Roman"/>
          <w:color w:val="auto"/>
          <w:kern w:val="2"/>
          <w:sz w:val="20"/>
          <w:szCs w:val="20"/>
          <w:lang w:val="en-US" w:eastAsia="fi-FI" w:bidi="ar-SA"/>
        </w:rPr>
        <w:t>The time domain indication for active uplink (UL) subbands (SBs) can be provided in a cell specific manner similar to the TDD common configuration. This will make sure that a common pattern can be maintained across the cells and keep the specification impact as minimum as possible. A pattern can be defined in time domain such that the subband is active according to the pattern. The pattern can be defined in terms of the following parameters:</w:t>
      </w:r>
    </w:p>
    <w:p>
      <w:pPr>
        <w:pStyle w:val="25"/>
        <w:widowControl/>
        <w:numPr>
          <w:ilvl w:val="0"/>
          <w:numId w:val="4"/>
        </w:numPr>
        <w:spacing w:before="120" w:after="120"/>
        <w:jc w:val="both"/>
        <w:outlineLvl w:val="0"/>
        <w:rPr>
          <w:rFonts w:ascii="Times New Roman" w:hAnsi="Times New Roman" w:eastAsia="Malgun Gothic" w:cs="Times New Roman"/>
          <w:color w:val="auto"/>
          <w:kern w:val="2"/>
          <w:sz w:val="20"/>
          <w:szCs w:val="20"/>
          <w:lang w:val="en-US" w:eastAsia="fi-FI" w:bidi="ar-SA"/>
        </w:rPr>
      </w:pPr>
      <w:r>
        <w:rPr>
          <w:rFonts w:ascii="Times New Roman" w:hAnsi="Times New Roman" w:eastAsia="Malgun Gothic" w:cs="Times New Roman"/>
          <w:color w:val="auto"/>
          <w:kern w:val="2"/>
          <w:sz w:val="20"/>
          <w:szCs w:val="20"/>
          <w:lang w:val="en-US" w:eastAsia="fi-FI" w:bidi="ar-SA"/>
        </w:rPr>
        <w:t>Transmission periodicity: This gives the periodicity of the pattern in terms of milliseconds/seconds/slots/symbols etc. Periodicity can also be same as the TDD config common periodicity provided to the UEs. In such case, the periodicity need not be explicitly provided. The pattern can also be repeated as in case of TDD config common.</w:t>
      </w:r>
    </w:p>
    <w:p>
      <w:pPr>
        <w:pStyle w:val="25"/>
        <w:widowControl/>
        <w:numPr>
          <w:ilvl w:val="0"/>
          <w:numId w:val="4"/>
        </w:numPr>
        <w:spacing w:before="120" w:after="120"/>
        <w:jc w:val="left"/>
        <w:outlineLvl w:val="0"/>
      </w:pPr>
      <w:r>
        <w:rPr>
          <w:rFonts w:ascii="Times New Roman" w:hAnsi="Times New Roman" w:eastAsia="Malgun Gothic" w:cs="Times New Roman"/>
          <w:color w:val="auto"/>
          <w:kern w:val="2"/>
          <w:sz w:val="20"/>
          <w:szCs w:val="20"/>
          <w:lang w:val="en-US" w:eastAsia="fi-FI" w:bidi="ar-SA"/>
        </w:rPr>
        <w:t>Time units (slots and/or symbols): This gives the number of slots and/or symbols where the active subband is present. This can be indicated in various ways.</w:t>
      </w:r>
    </w:p>
    <w:p>
      <w:pPr>
        <w:pStyle w:val="25"/>
        <w:widowControl/>
        <w:numPr>
          <w:ilvl w:val="1"/>
          <w:numId w:val="4"/>
        </w:numPr>
        <w:spacing w:before="120" w:after="120"/>
        <w:jc w:val="left"/>
        <w:outlineLvl w:val="0"/>
        <w:rPr>
          <w:rFonts w:ascii="Times New Roman" w:hAnsi="Times New Roman" w:eastAsia="Malgun Gothic" w:cs="Times New Roman"/>
          <w:color w:val="auto"/>
          <w:kern w:val="2"/>
          <w:sz w:val="20"/>
          <w:szCs w:val="20"/>
          <w:lang w:val="en-US" w:eastAsia="fi-FI" w:bidi="ar-SA"/>
        </w:rPr>
      </w:pPr>
      <w:r>
        <w:rPr>
          <w:rFonts w:ascii="Times New Roman" w:hAnsi="Times New Roman" w:eastAsia="Malgun Gothic" w:cs="Times New Roman"/>
          <w:color w:val="auto"/>
          <w:kern w:val="2"/>
          <w:sz w:val="20"/>
          <w:szCs w:val="20"/>
          <w:lang w:val="en-US" w:eastAsia="fi-FI" w:bidi="ar-SA"/>
        </w:rPr>
        <w:t xml:space="preserve">This can be in terms of contiguous slots and/or symbols in the time domain. </w:t>
      </w:r>
    </w:p>
    <w:p>
      <w:pPr>
        <w:pStyle w:val="25"/>
        <w:widowControl/>
        <w:numPr>
          <w:ilvl w:val="1"/>
          <w:numId w:val="4"/>
        </w:numPr>
        <w:spacing w:before="120" w:after="120"/>
        <w:jc w:val="left"/>
        <w:outlineLvl w:val="0"/>
        <w:rPr>
          <w:rFonts w:ascii="Times New Roman" w:hAnsi="Times New Roman" w:eastAsia="Malgun Gothic" w:cs="Times New Roman"/>
          <w:color w:val="auto"/>
          <w:kern w:val="2"/>
          <w:sz w:val="20"/>
          <w:szCs w:val="20"/>
          <w:lang w:val="en-US" w:eastAsia="fi-FI" w:bidi="ar-SA"/>
        </w:rPr>
      </w:pPr>
      <w:r>
        <w:rPr>
          <w:rFonts w:ascii="Times New Roman" w:hAnsi="Times New Roman" w:eastAsia="Malgun Gothic" w:cs="Times New Roman"/>
          <w:color w:val="auto"/>
          <w:kern w:val="2"/>
          <w:sz w:val="20"/>
          <w:szCs w:val="20"/>
          <w:lang w:val="en-US" w:eastAsia="fi-FI" w:bidi="ar-SA"/>
        </w:rPr>
        <w:t xml:space="preserve">It can also be same as the number of DL slots and number of DL symbols defined in TDD-UL-DL-Pattern within the TDD common configuration. </w:t>
      </w:r>
    </w:p>
    <w:p>
      <w:pPr>
        <w:pStyle w:val="25"/>
        <w:widowControl/>
        <w:numPr>
          <w:ilvl w:val="1"/>
          <w:numId w:val="4"/>
        </w:numPr>
        <w:spacing w:before="120" w:after="120"/>
        <w:jc w:val="left"/>
        <w:outlineLvl w:val="0"/>
        <w:rPr>
          <w:rFonts w:ascii="Times New Roman" w:hAnsi="Times New Roman" w:eastAsia="Malgun Gothic" w:cs="Times New Roman"/>
          <w:color w:val="auto"/>
          <w:kern w:val="2"/>
          <w:sz w:val="20"/>
          <w:szCs w:val="20"/>
          <w:lang w:val="en-US" w:eastAsia="fi-FI" w:bidi="ar-SA"/>
        </w:rPr>
      </w:pPr>
      <w:r>
        <w:rPr>
          <w:rFonts w:ascii="Times New Roman" w:hAnsi="Times New Roman" w:eastAsia="Malgun Gothic" w:cs="Times New Roman"/>
          <w:color w:val="auto"/>
          <w:kern w:val="2"/>
          <w:sz w:val="20"/>
          <w:szCs w:val="20"/>
          <w:lang w:val="en-US" w:eastAsia="fi-FI" w:bidi="ar-SA"/>
        </w:rPr>
        <w:t xml:space="preserve">A bitmap can also be used to indicate the location of the active SBs. </w:t>
      </w:r>
    </w:p>
    <w:p>
      <w:pPr>
        <w:pStyle w:val="25"/>
        <w:widowControl/>
        <w:numPr>
          <w:ilvl w:val="1"/>
          <w:numId w:val="4"/>
        </w:numPr>
        <w:spacing w:before="120" w:after="120"/>
        <w:jc w:val="left"/>
        <w:outlineLvl w:val="0"/>
      </w:pPr>
      <w:r>
        <w:rPr>
          <w:rFonts w:ascii="Times New Roman" w:hAnsi="Times New Roman" w:eastAsia="Malgun Gothic" w:cs="Times New Roman"/>
          <w:color w:val="auto"/>
          <w:kern w:val="2"/>
          <w:sz w:val="20"/>
          <w:szCs w:val="20"/>
          <w:lang w:val="en-US" w:eastAsia="fi-FI" w:bidi="ar-SA"/>
        </w:rPr>
        <w:t>The number of active slots and/or symbols is considered the same as the number of DL slots/number of DL symbols and number of flexible symbols/slots defined in TDD-UL-DL-Pattern within the TDD common configuration.</w:t>
      </w:r>
    </w:p>
    <w:p>
      <w:pPr>
        <w:pStyle w:val="25"/>
        <w:widowControl/>
        <w:numPr>
          <w:ilvl w:val="1"/>
          <w:numId w:val="4"/>
        </w:numPr>
        <w:spacing w:before="120" w:after="120"/>
        <w:jc w:val="both"/>
        <w:outlineLvl w:val="0"/>
        <w:rPr>
          <w:rFonts w:ascii="Times New Roman" w:hAnsi="Times New Roman" w:eastAsia="Malgun Gothic" w:cs="Times New Roman"/>
          <w:color w:val="auto"/>
          <w:kern w:val="2"/>
          <w:sz w:val="20"/>
          <w:szCs w:val="20"/>
          <w:lang w:val="en-US" w:eastAsia="fi-FI" w:bidi="ar-SA"/>
        </w:rPr>
      </w:pPr>
      <w:r>
        <w:rPr>
          <w:rFonts w:ascii="Times New Roman" w:hAnsi="Times New Roman" w:eastAsia="Malgun Gothic" w:cs="Times New Roman"/>
          <w:color w:val="auto"/>
          <w:kern w:val="2"/>
          <w:sz w:val="20"/>
          <w:szCs w:val="20"/>
          <w:lang w:val="en-US" w:eastAsia="fi-FI" w:bidi="ar-SA"/>
        </w:rPr>
        <w:t xml:space="preserve">It can be the number of SBFD resources at the beginning of time frame and number of SBFD resources at the end of time frame. The time frame can be periodic. Further, the duration of the time frame can be same as the periodicity value as provided in TDD configuration common. E.g., indicating number of SBFD slots at the beginning = 5 and number of SBFD slots at the end = 2 implies in a frame of 10 slots, subband is active in first 5 slots and last 2 slots. In another e.g., number of SBFD slots at the beginning = 5 implies SBFD is active in the first 5 slots configured as DL by TDD-UL-DL-Config-common. In another e.g., indicating slot index = n, number of SBFD symbols at the beginning = 8 and number of SBFD symbols at the end = 0 implies, in slot n, the subband is active in the first 8 symbols. The indication can be a combination of slots and symbols. </w:t>
      </w:r>
    </w:p>
    <w:p>
      <w:pPr>
        <w:pStyle w:val="25"/>
        <w:widowControl/>
        <w:numPr>
          <w:ilvl w:val="0"/>
          <w:numId w:val="4"/>
        </w:numPr>
        <w:spacing w:before="120" w:after="120"/>
        <w:jc w:val="both"/>
        <w:outlineLvl w:val="0"/>
        <w:rPr>
          <w:rFonts w:ascii="Times New Roman" w:hAnsi="Times New Roman" w:eastAsia="Malgun Gothic" w:cs="Times New Roman"/>
          <w:color w:val="auto"/>
          <w:kern w:val="2"/>
          <w:sz w:val="20"/>
          <w:szCs w:val="20"/>
          <w:lang w:val="en-US" w:eastAsia="fi-FI" w:bidi="ar-SA"/>
        </w:rPr>
      </w:pPr>
      <w:r>
        <w:rPr>
          <w:rFonts w:ascii="Times New Roman" w:hAnsi="Times New Roman" w:eastAsia="Malgun Gothic" w:cs="Times New Roman"/>
          <w:color w:val="auto"/>
          <w:kern w:val="2"/>
          <w:sz w:val="20"/>
          <w:szCs w:val="20"/>
          <w:lang w:val="en-US" w:eastAsia="fi-FI" w:bidi="ar-SA"/>
        </w:rPr>
        <w:t>Starting offset: This parameter provides the offset to apply the periodicity and number of time units.</w:t>
      </w:r>
    </w:p>
    <w:p>
      <w:pPr>
        <w:pStyle w:val="25"/>
        <w:widowControl/>
        <w:numPr>
          <w:ilvl w:val="0"/>
          <w:numId w:val="0"/>
        </w:numPr>
        <w:spacing w:before="120" w:after="120"/>
        <w:ind w:left="0" w:firstLine="0"/>
        <w:jc w:val="both"/>
        <w:outlineLvl w:val="0"/>
        <w:rPr>
          <w:b w:val="0"/>
          <w:bCs w:val="0"/>
        </w:rPr>
      </w:pPr>
      <w:r>
        <w:rPr>
          <w:rFonts w:ascii="Times New Roman" w:hAnsi="Times New Roman" w:eastAsia="Malgun Gothic" w:cs="Times New Roman"/>
          <w:b w:val="0"/>
          <w:bCs w:val="0"/>
          <w:color w:val="auto"/>
          <w:kern w:val="2"/>
          <w:sz w:val="20"/>
          <w:szCs w:val="20"/>
          <w:lang w:val="en-US" w:eastAsia="fi-FI" w:bidi="ar-SA"/>
        </w:rPr>
        <w:t>Based on the above discussion, the following proposals are made:</w:t>
      </w:r>
    </w:p>
    <w:p>
      <w:pPr>
        <w:pStyle w:val="25"/>
        <w:widowControl/>
        <w:numPr>
          <w:ilvl w:val="0"/>
          <w:numId w:val="0"/>
        </w:numPr>
        <w:spacing w:before="120" w:after="120"/>
        <w:ind w:left="0" w:firstLine="0"/>
        <w:jc w:val="both"/>
        <w:outlineLvl w:val="0"/>
      </w:pPr>
      <w:r>
        <w:rPr>
          <w:rFonts w:ascii="Times New Roman" w:hAnsi="Times New Roman" w:eastAsia="Malgun Gothic" w:cs="Times New Roman"/>
          <w:b/>
          <w:bCs/>
          <w:color w:val="auto"/>
          <w:kern w:val="2"/>
          <w:sz w:val="20"/>
          <w:szCs w:val="20"/>
          <w:lang w:val="en-US" w:eastAsia="fi-FI" w:bidi="ar-SA"/>
        </w:rPr>
        <w:t>Proposal 1: The time domain indication of UL subbands is provided in a cell specific manner with the help of at least the following parameters; transmission periodicity, time units where the subband is active and starting offset.</w:t>
      </w:r>
    </w:p>
    <w:p>
      <w:pPr>
        <w:pStyle w:val="25"/>
        <w:widowControl/>
        <w:numPr>
          <w:ilvl w:val="0"/>
          <w:numId w:val="0"/>
        </w:numPr>
        <w:spacing w:before="120" w:after="120"/>
        <w:ind w:left="0" w:firstLine="0"/>
        <w:jc w:val="both"/>
        <w:outlineLvl w:val="0"/>
      </w:pPr>
      <w:r>
        <w:rPr>
          <w:rFonts w:ascii="Times New Roman" w:hAnsi="Times New Roman" w:eastAsia="Malgun Gothic" w:cs="Times New Roman"/>
          <w:b/>
          <w:bCs/>
          <w:color w:val="auto"/>
          <w:kern w:val="2"/>
          <w:sz w:val="20"/>
          <w:szCs w:val="20"/>
          <w:lang w:val="en-US" w:eastAsia="fi-FI" w:bidi="ar-SA"/>
        </w:rPr>
        <w:t xml:space="preserve">Proposal 2: The transmission periodicity is the same as TDD-UL-DL pattern period configured by </w:t>
      </w:r>
      <w:r>
        <w:rPr>
          <w:rFonts w:ascii="Times New Roman" w:hAnsi="Times New Roman" w:eastAsia="Malgun Gothic" w:cs="Times New Roman"/>
          <w:b/>
          <w:bCs/>
          <w:i/>
          <w:color w:val="auto"/>
          <w:kern w:val="2"/>
          <w:sz w:val="20"/>
          <w:szCs w:val="20"/>
          <w:lang w:val="en-US" w:eastAsia="fi-FI" w:bidi="ar-SA"/>
        </w:rPr>
        <w:t>dl-UL-TransmissionPeriodicity</w:t>
      </w:r>
      <w:r>
        <w:rPr>
          <w:rFonts w:ascii="Times New Roman" w:hAnsi="Times New Roman" w:eastAsia="Malgun Gothic" w:cs="Times New Roman"/>
          <w:b/>
          <w:bCs/>
          <w:color w:val="auto"/>
          <w:kern w:val="2"/>
          <w:sz w:val="20"/>
          <w:szCs w:val="20"/>
          <w:lang w:val="en-US" w:eastAsia="fi-FI" w:bidi="ar-SA"/>
        </w:rPr>
        <w:t xml:space="preserve"> in </w:t>
      </w:r>
      <w:r>
        <w:rPr>
          <w:rFonts w:ascii="Times New Roman" w:hAnsi="Times New Roman" w:eastAsia="Malgun Gothic" w:cs="Times New Roman"/>
          <w:b/>
          <w:bCs/>
          <w:i/>
          <w:color w:val="auto"/>
          <w:kern w:val="2"/>
          <w:sz w:val="20"/>
          <w:szCs w:val="20"/>
          <w:lang w:val="en-US" w:eastAsia="fi-FI" w:bidi="ar-SA"/>
        </w:rPr>
        <w:t>TDD-UL-DL-ConfigCommon</w:t>
      </w:r>
      <w:r>
        <w:rPr>
          <w:rFonts w:ascii="Times New Roman" w:hAnsi="Times New Roman" w:eastAsia="Malgun Gothic" w:cs="Times New Roman"/>
          <w:b/>
          <w:bCs/>
          <w:color w:val="auto"/>
          <w:kern w:val="2"/>
          <w:sz w:val="20"/>
          <w:szCs w:val="20"/>
          <w:lang w:val="en-US" w:eastAsia="fi-FI" w:bidi="ar-SA"/>
        </w:rPr>
        <w:t>.</w:t>
      </w:r>
    </w:p>
    <w:p>
      <w:pPr>
        <w:pStyle w:val="25"/>
        <w:widowControl/>
        <w:numPr>
          <w:ilvl w:val="0"/>
          <w:numId w:val="0"/>
        </w:numPr>
        <w:spacing w:before="120" w:after="120"/>
        <w:ind w:left="0" w:firstLine="0"/>
        <w:jc w:val="both"/>
        <w:outlineLvl w:val="0"/>
      </w:pPr>
      <w:r>
        <w:rPr>
          <w:rFonts w:ascii="Times New Roman" w:hAnsi="Times New Roman" w:eastAsia="Malgun Gothic" w:cs="Times New Roman"/>
          <w:b/>
          <w:bCs/>
          <w:color w:val="auto"/>
          <w:kern w:val="2"/>
          <w:sz w:val="20"/>
          <w:szCs w:val="20"/>
          <w:lang w:val="en-US" w:eastAsia="fi-FI" w:bidi="ar-SA"/>
        </w:rPr>
        <w:t>Proposal 3: For the time units where the subband is active, the following can be further studied:</w:t>
      </w:r>
    </w:p>
    <w:p>
      <w:pPr>
        <w:pStyle w:val="25"/>
        <w:widowControl/>
        <w:numPr>
          <w:ilvl w:val="1"/>
          <w:numId w:val="5"/>
        </w:numPr>
        <w:spacing w:before="120" w:after="120"/>
        <w:jc w:val="left"/>
        <w:outlineLvl w:val="0"/>
        <w:rPr>
          <w:rFonts w:ascii="Times New Roman" w:hAnsi="Times New Roman" w:eastAsia="Malgun Gothic" w:cs="Times New Roman"/>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contiguous slots and/or symbols</w:t>
      </w:r>
    </w:p>
    <w:p>
      <w:pPr>
        <w:pStyle w:val="25"/>
        <w:widowControl/>
        <w:numPr>
          <w:ilvl w:val="1"/>
          <w:numId w:val="5"/>
        </w:numPr>
        <w:spacing w:before="120" w:after="120"/>
        <w:jc w:val="left"/>
        <w:outlineLvl w:val="0"/>
        <w:rPr>
          <w:rFonts w:ascii="Times New Roman" w:hAnsi="Times New Roman" w:eastAsia="Malgun Gothic" w:cs="Times New Roman"/>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the number of active slots and/or symbols is considered the same as the number of DL slots/number of DL symbols and number of flexible symbols/slots defined in TDD-UL-DL-Pattern within the TDD common configuration</w:t>
      </w:r>
    </w:p>
    <w:p>
      <w:pPr>
        <w:pStyle w:val="25"/>
        <w:widowControl/>
        <w:numPr>
          <w:ilvl w:val="1"/>
          <w:numId w:val="5"/>
        </w:numPr>
        <w:spacing w:before="120" w:after="120"/>
        <w:jc w:val="left"/>
        <w:outlineLvl w:val="0"/>
        <w:rPr>
          <w:rFonts w:ascii="Times New Roman" w:hAnsi="Times New Roman" w:eastAsia="Malgun Gothic" w:cs="Times New Roman"/>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Bitmap</w:t>
      </w:r>
    </w:p>
    <w:p>
      <w:pPr>
        <w:pStyle w:val="25"/>
        <w:widowControl/>
        <w:numPr>
          <w:ilvl w:val="1"/>
          <w:numId w:val="5"/>
        </w:numPr>
        <w:spacing w:before="120" w:after="120"/>
        <w:jc w:val="both"/>
        <w:outlineLvl w:val="0"/>
        <w:rPr>
          <w:rFonts w:ascii="Times New Roman" w:hAnsi="Times New Roman" w:eastAsia="Malgun Gothic" w:cs="Times New Roman"/>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number of consecutive SBFD resources</w:t>
      </w:r>
    </w:p>
    <w:p>
      <w:pPr>
        <w:pStyle w:val="25"/>
        <w:widowControl/>
        <w:numPr>
          <w:ilvl w:val="0"/>
          <w:numId w:val="0"/>
        </w:numPr>
        <w:spacing w:before="120" w:after="120"/>
        <w:ind w:left="0" w:firstLine="0"/>
        <w:jc w:val="both"/>
        <w:outlineLvl w:val="0"/>
      </w:pPr>
      <w:r>
        <w:rPr>
          <w:rFonts w:ascii="Times New Roman" w:hAnsi="Times New Roman" w:eastAsia="Malgun Gothic" w:cs="Times New Roman"/>
          <w:b/>
          <w:bCs/>
          <w:color w:val="auto"/>
          <w:kern w:val="2"/>
          <w:sz w:val="20"/>
          <w:szCs w:val="20"/>
          <w:lang w:val="en-US" w:eastAsia="fi-FI" w:bidi="ar-SA"/>
        </w:rPr>
        <w:t>Proposal 4:  When two TDD-UL-DL patterns are configured, whether the SBFD symbols are configured for both patterns is decided based on how the time units where the subband is active is indicated.</w:t>
      </w:r>
    </w:p>
    <w:p>
      <w:pPr>
        <w:pStyle w:val="25"/>
        <w:widowControl/>
        <w:numPr>
          <w:ilvl w:val="0"/>
          <w:numId w:val="0"/>
        </w:numPr>
        <w:spacing w:before="120" w:after="120"/>
        <w:ind w:left="0" w:firstLine="420"/>
        <w:jc w:val="left"/>
        <w:outlineLvl w:val="0"/>
        <w:rPr>
          <w:rFonts w:ascii="Times New Roman" w:hAnsi="Times New Roman" w:eastAsia="Malgun Gothic" w:cs="Times New Roman"/>
          <w:color w:val="auto"/>
          <w:kern w:val="2"/>
          <w:sz w:val="20"/>
          <w:szCs w:val="20"/>
          <w:lang w:val="en-US" w:eastAsia="fi-FI" w:bidi="ar-SA"/>
        </w:rPr>
      </w:pPr>
    </w:p>
    <w:p>
      <w:pPr>
        <w:pStyle w:val="25"/>
        <w:widowControl/>
        <w:numPr>
          <w:ilvl w:val="0"/>
          <w:numId w:val="0"/>
        </w:numPr>
        <w:spacing w:before="120" w:after="120"/>
        <w:ind w:left="0" w:firstLine="0"/>
        <w:jc w:val="left"/>
        <w:outlineLvl w:val="0"/>
        <w:rPr>
          <w:sz w:val="26"/>
          <w:szCs w:val="26"/>
        </w:rPr>
      </w:pPr>
      <w:r>
        <w:rPr>
          <w:rFonts w:ascii="Times New Roman" w:hAnsi="Times New Roman" w:eastAsia="SimSun" w:cs="Times New Roman"/>
          <w:b/>
          <w:kern w:val="2"/>
          <w:sz w:val="26"/>
          <w:szCs w:val="26"/>
          <w:lang w:val="zh-CN" w:eastAsia="zh-CN"/>
        </w:rPr>
        <w:t>2.2 Frequency domain indication of UL subbands</w:t>
      </w:r>
    </w:p>
    <w:tbl>
      <w:tblPr>
        <w:tblStyle w:val="8"/>
        <w:tblW w:w="9070" w:type="dxa"/>
        <w:tblInd w:w="0" w:type="dxa"/>
        <w:tblLayout w:type="autofit"/>
        <w:tblCellMar>
          <w:top w:w="55" w:type="dxa"/>
          <w:left w:w="55" w:type="dxa"/>
          <w:bottom w:w="55" w:type="dxa"/>
          <w:right w:w="55" w:type="dxa"/>
        </w:tblCellMar>
      </w:tblPr>
      <w:tblGrid>
        <w:gridCol w:w="9070"/>
      </w:tblGrid>
      <w:tr>
        <w:tblPrEx>
          <w:tblCellMar>
            <w:top w:w="55" w:type="dxa"/>
            <w:left w:w="55" w:type="dxa"/>
            <w:bottom w:w="55" w:type="dxa"/>
            <w:right w:w="55" w:type="dxa"/>
          </w:tblCellMar>
        </w:tblPrEx>
        <w:tc>
          <w:tcPr>
            <w:tcW w:w="9070" w:type="dxa"/>
            <w:tcBorders>
              <w:top w:val="single" w:color="000000" w:sz="2" w:space="0"/>
              <w:left w:val="single" w:color="000000" w:sz="2" w:space="0"/>
              <w:bottom w:val="single" w:color="000000" w:sz="2" w:space="0"/>
              <w:right w:val="single" w:color="000000" w:sz="2" w:space="0"/>
            </w:tcBorders>
          </w:tcPr>
          <w:p>
            <w:pPr>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highlight w:val="green"/>
                <w:lang w:val="en-US" w:eastAsia="fi-FI" w:bidi="ar-SA"/>
              </w:rPr>
              <w:t>Agreement</w:t>
            </w:r>
          </w:p>
          <w:p>
            <w:pPr>
              <w:pStyle w:val="25"/>
              <w:tabs>
                <w:tab w:val="left" w:pos="0"/>
              </w:tabs>
              <w:ind w:left="0" w:firstLine="0"/>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 xml:space="preserve">For RRC connected mode UEs, at least cell-specific configuration on time </w:t>
            </w:r>
            <w:r>
              <w:rPr>
                <w:rFonts w:ascii="Times New Roman" w:hAnsi="Times New Roman" w:eastAsia="Malgun Gothic" w:cs="Times New Roman"/>
                <w:b w:val="0"/>
                <w:bCs w:val="0"/>
                <w:color w:val="auto"/>
                <w:kern w:val="2"/>
                <w:sz w:val="20"/>
                <w:szCs w:val="20"/>
                <w:highlight w:val="darkYellow"/>
                <w:lang w:val="en-US" w:eastAsia="fi-FI" w:bidi="ar-SA"/>
              </w:rPr>
              <w:t xml:space="preserve">and frequency(working assumption) </w:t>
            </w:r>
            <w:r>
              <w:rPr>
                <w:rFonts w:ascii="Times New Roman" w:hAnsi="Times New Roman" w:eastAsia="Malgun Gothic" w:cs="Times New Roman"/>
                <w:b w:val="0"/>
                <w:bCs w:val="0"/>
                <w:color w:val="auto"/>
                <w:kern w:val="2"/>
                <w:sz w:val="20"/>
                <w:szCs w:val="20"/>
                <w:lang w:val="en-US" w:eastAsia="fi-FI" w:bidi="ar-SA"/>
              </w:rPr>
              <w:t>location of SBFD subbands is supported within a TDD carrier.</w:t>
            </w:r>
          </w:p>
          <w:p>
            <w:pPr>
              <w:pStyle w:val="25"/>
              <w:numPr>
                <w:ilvl w:val="0"/>
                <w:numId w:val="2"/>
              </w:numPr>
              <w:suppressAutoHyphens/>
              <w:jc w:val="both"/>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FFS: Additional support of UE-specific configuration on time and/or frequency locations of SBFD subbands</w:t>
            </w:r>
          </w:p>
          <w:p>
            <w:pPr>
              <w:rPr>
                <w:rFonts w:ascii="Times New Roman" w:hAnsi="Times New Roman" w:eastAsia="Malgun Gothic" w:cs="Times New Roman"/>
                <w:b w:val="0"/>
                <w:bCs w:val="0"/>
                <w:color w:val="auto"/>
                <w:kern w:val="2"/>
                <w:sz w:val="20"/>
                <w:szCs w:val="20"/>
                <w:lang w:val="en-US" w:eastAsia="fi-FI" w:bidi="ar-SA"/>
              </w:rPr>
            </w:pPr>
          </w:p>
          <w:p>
            <w:pPr>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highlight w:val="green"/>
                <w:lang w:val="en-US" w:eastAsia="fi-FI" w:bidi="ar-SA"/>
              </w:rPr>
              <w:t>Agreement</w:t>
            </w:r>
          </w:p>
          <w:p>
            <w:pPr>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The subband frequency-domain resources are same across different SBFD symbols within a TDD carrier. Frequency location of cell specific UL subband, and DL subband(s) if explicitly indicated, are indicated with reference to CRB grid.</w:t>
            </w:r>
          </w:p>
          <w:p>
            <w:pPr>
              <w:pStyle w:val="25"/>
              <w:numPr>
                <w:ilvl w:val="0"/>
                <w:numId w:val="3"/>
              </w:numPr>
              <w:suppressAutoHyphens/>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RB-level granularity is supported for semi-static indication of SBFD subband frequency location.</w:t>
            </w:r>
          </w:p>
          <w:p>
            <w:pPr>
              <w:pStyle w:val="25"/>
              <w:numPr>
                <w:ilvl w:val="1"/>
                <w:numId w:val="3"/>
              </w:numPr>
              <w:suppressAutoHyphens/>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Subject to RAN4 guidance on the size of subband/guardband, if any</w:t>
            </w:r>
          </w:p>
          <w:p>
            <w:pPr>
              <w:pStyle w:val="25"/>
              <w:numPr>
                <w:ilvl w:val="1"/>
                <w:numId w:val="3"/>
              </w:numPr>
              <w:suppressAutoHyphens/>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FFS reference starting RB and reference SCS</w:t>
            </w:r>
          </w:p>
        </w:tc>
      </w:tr>
    </w:tbl>
    <w:p>
      <w:pPr>
        <w:pStyle w:val="25"/>
        <w:widowControl/>
        <w:numPr>
          <w:ilvl w:val="0"/>
          <w:numId w:val="0"/>
        </w:numPr>
        <w:spacing w:before="120" w:after="120"/>
        <w:ind w:left="0" w:firstLine="0"/>
        <w:jc w:val="both"/>
        <w:outlineLvl w:val="0"/>
      </w:pPr>
      <w:r>
        <w:rPr>
          <w:rFonts w:ascii="Times New Roman" w:hAnsi="Times New Roman" w:eastAsia="Malgun Gothic" w:cs="Times New Roman"/>
          <w:b w:val="0"/>
          <w:bCs w:val="0"/>
          <w:color w:val="auto"/>
          <w:kern w:val="2"/>
          <w:sz w:val="20"/>
          <w:szCs w:val="20"/>
          <w:lang w:val="en-US" w:eastAsia="fi-FI" w:bidi="ar-SA"/>
        </w:rPr>
        <w:t>The frequency domain information about the UL subband comprises starting frequency location and bandwidth of subband. The information can be given as cell-specific since it is not expected that the frequency domain location will vary wrt different UEs. Further, any UE specific frequency domain indication can be handled using scheduling/allocation of BWP instead of a UE specific indication of subbands.</w:t>
      </w:r>
    </w:p>
    <w:p>
      <w:pPr>
        <w:pStyle w:val="25"/>
        <w:widowControl/>
        <w:numPr>
          <w:ilvl w:val="0"/>
          <w:numId w:val="0"/>
        </w:numPr>
        <w:spacing w:before="120" w:after="120"/>
        <w:ind w:left="0" w:firstLine="0"/>
        <w:jc w:val="left"/>
        <w:outlineLvl w:val="0"/>
        <w:rPr>
          <w:b/>
          <w:bCs/>
        </w:rPr>
      </w:pPr>
      <w:r>
        <w:rPr>
          <w:rFonts w:ascii="Times New Roman" w:hAnsi="Times New Roman" w:eastAsia="Malgun Gothic" w:cs="Times New Roman"/>
          <w:b/>
          <w:bCs/>
          <w:color w:val="auto"/>
          <w:kern w:val="2"/>
          <w:sz w:val="20"/>
          <w:szCs w:val="20"/>
          <w:lang w:val="en-US" w:eastAsia="fi-FI" w:bidi="ar-SA"/>
        </w:rPr>
        <w:t>Proposal 5:  UE-specific configuration on time frequency locations of SBFD subbands is not supported.</w:t>
      </w:r>
    </w:p>
    <w:p>
      <w:pPr>
        <w:pStyle w:val="25"/>
        <w:widowControl/>
        <w:numPr>
          <w:ilvl w:val="0"/>
          <w:numId w:val="0"/>
        </w:numPr>
        <w:spacing w:before="120" w:after="120"/>
        <w:ind w:left="0" w:firstLine="0"/>
        <w:jc w:val="left"/>
        <w:outlineLvl w:val="0"/>
        <w:rPr>
          <w:rFonts w:ascii="Times New Roman" w:hAnsi="Times New Roman" w:cs="Times New Roman" w:eastAsiaTheme="minorEastAsia"/>
          <w:b/>
          <w:bCs/>
          <w:color w:val="auto"/>
          <w:kern w:val="2"/>
          <w:sz w:val="26"/>
          <w:szCs w:val="26"/>
          <w:lang w:val="zh-CN" w:eastAsia="zh-CN" w:bidi="ar-SA"/>
        </w:rPr>
      </w:pPr>
      <w:r>
        <w:rPr>
          <w:rFonts w:ascii="Times New Roman" w:hAnsi="Times New Roman" w:cs="Times New Roman" w:eastAsiaTheme="minorEastAsia"/>
          <w:b/>
          <w:bCs/>
          <w:color w:val="auto"/>
          <w:kern w:val="2"/>
          <w:sz w:val="26"/>
          <w:szCs w:val="26"/>
          <w:lang w:val="zh-CN" w:eastAsia="zh-CN" w:bidi="ar-SA"/>
        </w:rPr>
        <w:t>2.3 Indication of DL subbands and guard bands</w:t>
      </w:r>
    </w:p>
    <w:tbl>
      <w:tblPr>
        <w:tblStyle w:val="8"/>
        <w:tblW w:w="9070" w:type="dxa"/>
        <w:tblInd w:w="0" w:type="dxa"/>
        <w:tblLayout w:type="autofit"/>
        <w:tblCellMar>
          <w:top w:w="55" w:type="dxa"/>
          <w:left w:w="55" w:type="dxa"/>
          <w:bottom w:w="55" w:type="dxa"/>
          <w:right w:w="55" w:type="dxa"/>
        </w:tblCellMar>
      </w:tblPr>
      <w:tblGrid>
        <w:gridCol w:w="9070"/>
      </w:tblGrid>
      <w:tr>
        <w:tblPrEx>
          <w:tblCellMar>
            <w:top w:w="55" w:type="dxa"/>
            <w:left w:w="55" w:type="dxa"/>
            <w:bottom w:w="55" w:type="dxa"/>
            <w:right w:w="55" w:type="dxa"/>
          </w:tblCellMar>
        </w:tblPrEx>
        <w:tc>
          <w:tcPr>
            <w:tcW w:w="9070" w:type="dxa"/>
            <w:tcBorders>
              <w:top w:val="single" w:color="000000" w:sz="2" w:space="0"/>
              <w:left w:val="single" w:color="000000" w:sz="2" w:space="0"/>
              <w:bottom w:val="single" w:color="000000" w:sz="2" w:space="0"/>
              <w:right w:val="single" w:color="000000" w:sz="2" w:space="0"/>
            </w:tcBorders>
          </w:tcPr>
          <w:p>
            <w:pPr>
              <w:rPr>
                <w:rFonts w:eastAsia="Malgun Gothic;맑은 고딕"/>
                <w:b/>
                <w:highlight w:val="green"/>
                <w:lang w:eastAsia="zh-CN"/>
              </w:rPr>
            </w:pPr>
            <w:r>
              <w:rPr>
                <w:rFonts w:eastAsia="Malgun Gothic;맑은 고딕"/>
                <w:b/>
                <w:highlight w:val="green"/>
                <w:lang w:eastAsia="zh-CN"/>
              </w:rPr>
              <w:t>Agreement:</w:t>
            </w:r>
          </w:p>
          <w:p>
            <w:pPr>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The maximum number of UL subbands for SBFD operation in an SBFD symbol within a TDD carrier is one.</w:t>
            </w:r>
          </w:p>
          <w:p>
            <w:pPr>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The UL subband can be located at one side of the carrier or can be located at the middle part of the carrier.</w:t>
            </w:r>
          </w:p>
          <w:p>
            <w:pPr>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For semi-static indication of SBFD subband frequency location, down-select from the following options.</w:t>
            </w:r>
          </w:p>
          <w:p>
            <w:pPr>
              <w:numPr>
                <w:ilvl w:val="0"/>
                <w:numId w:val="2"/>
              </w:numPr>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 xml:space="preserve">Option 1: Frequency locations of UL subband and DL subband(s) are explicitly configured. Guardband(s) if any are implicitly derived as the RBs which are not within UL subband or DL subband(s). </w:t>
            </w:r>
          </w:p>
          <w:p>
            <w:pPr>
              <w:numPr>
                <w:ilvl w:val="0"/>
                <w:numId w:val="2"/>
              </w:numPr>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Option 2: Frequency location of UL subband and the number of RBs for guardband(s), if any, are explicitly configured. DL subband(s) are implicitly derived as RBs which are not within UL subband or guardband(s).</w:t>
            </w:r>
          </w:p>
        </w:tc>
      </w:tr>
    </w:tbl>
    <w:p>
      <w:pPr>
        <w:rPr>
          <w:rFonts w:ascii="Times New Roman" w:hAnsi="Times New Roman" w:eastAsia="Malgun Gothic" w:cs="Times New Roman"/>
          <w:b w:val="0"/>
          <w:bCs w:val="0"/>
          <w:color w:val="auto"/>
          <w:kern w:val="2"/>
          <w:sz w:val="20"/>
          <w:szCs w:val="20"/>
          <w:lang w:val="en-US" w:eastAsia="fi-FI" w:bidi="ar-SA"/>
        </w:rPr>
      </w:pPr>
    </w:p>
    <w:p>
      <w:pPr>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DL subbands and guard bands can be explicitly or implicitly indicated. In case of explicit indication, it is simpler to indicate the guard band as compared to the DL SBs. This is because, in practical scenarios, the size of the guard band will be less than the size of the DL SBs. Thus, signalling overhead will be less if size of guard bands are indicated. Further, the there is no need for time domain indication and starting frequency location indication for guard bands as it can be implicitly derived from the time and frequency domain indication for UL SBs. The DL subband can be implicitly derived from the knowledge of UL SB, guard band and BWP of the UE. Also, guard bands can be implicitly indicated by the gNB by methods like scheduling/rate matching or method similar to indication of guard band between different numerologies. Based on the above discussion, the following proposals are made.</w:t>
      </w:r>
    </w:p>
    <w:p>
      <w:pPr>
        <w:rPr>
          <w:rFonts w:ascii="Times New Roman" w:hAnsi="Times New Roman" w:eastAsia="Malgun Gothic" w:cs="Times New Roman"/>
          <w:b w:val="0"/>
          <w:bCs w:val="0"/>
          <w:color w:val="auto"/>
          <w:kern w:val="2"/>
          <w:sz w:val="20"/>
          <w:szCs w:val="20"/>
          <w:lang w:val="en-US" w:eastAsia="fi-FI" w:bidi="ar-SA"/>
        </w:rPr>
      </w:pPr>
    </w:p>
    <w:p>
      <w:pPr>
        <w:rPr>
          <w:b/>
          <w:bCs/>
        </w:rPr>
      </w:pPr>
      <w:r>
        <w:rPr>
          <w:rFonts w:ascii="Times New Roman" w:hAnsi="Times New Roman" w:eastAsia="Malgun Gothic" w:cs="Times New Roman"/>
          <w:b/>
          <w:bCs/>
          <w:color w:val="auto"/>
          <w:kern w:val="2"/>
          <w:sz w:val="20"/>
          <w:szCs w:val="20"/>
          <w:lang w:val="en-US" w:eastAsia="fi-FI" w:bidi="ar-SA"/>
        </w:rPr>
        <w:t>Observation 1:  The size of the guard band will be less than the size of the DL SBs, and hence signaling overhead will be less for explicit signaling of guard band.</w:t>
      </w:r>
    </w:p>
    <w:p>
      <w:pPr>
        <w:rPr>
          <w:b/>
          <w:bCs/>
        </w:rPr>
      </w:pPr>
    </w:p>
    <w:p>
      <w:pPr>
        <w:rPr>
          <w:b/>
          <w:bCs/>
        </w:rPr>
      </w:pPr>
      <w:r>
        <w:rPr>
          <w:rFonts w:ascii="Times New Roman" w:hAnsi="Times New Roman" w:eastAsia="Malgun Gothic" w:cs="Times New Roman"/>
          <w:b/>
          <w:bCs/>
          <w:color w:val="auto"/>
          <w:kern w:val="2"/>
          <w:sz w:val="20"/>
          <w:szCs w:val="20"/>
          <w:lang w:val="en-US" w:eastAsia="fi-FI" w:bidi="ar-SA"/>
        </w:rPr>
        <w:t>Observation 2: The DL subband can be implicitly derived from the knowledge of UL SB, guard band and BWP of the UE.</w:t>
      </w:r>
    </w:p>
    <w:p>
      <w:pPr>
        <w:rPr>
          <w:rFonts w:ascii="Times New Roman" w:hAnsi="Times New Roman" w:eastAsia="Malgun Gothic" w:cs="Times New Roman"/>
          <w:color w:val="auto"/>
          <w:kern w:val="2"/>
          <w:sz w:val="20"/>
          <w:szCs w:val="20"/>
          <w:lang w:val="en-US" w:eastAsia="fi-FI" w:bidi="ar-SA"/>
        </w:rPr>
      </w:pPr>
    </w:p>
    <w:p>
      <w:pPr>
        <w:rPr>
          <w:b w:val="0"/>
          <w:bCs w:val="0"/>
        </w:rPr>
      </w:pPr>
      <w:r>
        <w:rPr>
          <w:rFonts w:ascii="Times New Roman" w:hAnsi="Times New Roman" w:eastAsia="Malgun Gothic" w:cs="Times New Roman"/>
          <w:b w:val="0"/>
          <w:bCs w:val="0"/>
          <w:color w:val="auto"/>
          <w:kern w:val="2"/>
          <w:sz w:val="20"/>
          <w:szCs w:val="20"/>
          <w:lang w:val="en-US" w:eastAsia="fi-FI" w:bidi="ar-SA"/>
        </w:rPr>
        <w:t>Based on the above observations, the following proposals are made.</w:t>
      </w:r>
    </w:p>
    <w:p>
      <w:pPr>
        <w:rPr>
          <w:rFonts w:ascii="Times New Roman" w:hAnsi="Times New Roman" w:eastAsia="Malgun Gothic" w:cs="Times New Roman"/>
          <w:b w:val="0"/>
          <w:bCs w:val="0"/>
          <w:color w:val="auto"/>
          <w:kern w:val="2"/>
          <w:sz w:val="20"/>
          <w:szCs w:val="20"/>
          <w:lang w:val="en-US" w:eastAsia="fi-FI" w:bidi="ar-SA"/>
        </w:rPr>
      </w:pPr>
    </w:p>
    <w:p>
      <w:pPr>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Proposal 6: Explicit indication of DL subbands is not supported.</w:t>
      </w:r>
    </w:p>
    <w:p>
      <w:pPr>
        <w:rPr>
          <w:rFonts w:ascii="Times New Roman" w:hAnsi="Times New Roman" w:eastAsia="Malgun Gothic" w:cs="Times New Roman"/>
          <w:b/>
          <w:bCs/>
          <w:color w:val="auto"/>
          <w:kern w:val="2"/>
          <w:sz w:val="20"/>
          <w:szCs w:val="20"/>
          <w:lang w:val="en-US" w:eastAsia="fi-FI" w:bidi="ar-SA"/>
        </w:rPr>
      </w:pPr>
    </w:p>
    <w:p>
      <w:pPr>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Proposal 7: Guard bands can be indicated in the following ways:</w:t>
      </w:r>
    </w:p>
    <w:p>
      <w:pPr>
        <w:numPr>
          <w:ilvl w:val="0"/>
          <w:numId w:val="6"/>
        </w:numPr>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Explicit indication consisting of only the size of the guard band</w:t>
      </w:r>
    </w:p>
    <w:p>
      <w:pPr>
        <w:numPr>
          <w:ilvl w:val="0"/>
          <w:numId w:val="6"/>
        </w:numPr>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Implicit indication where the gNB takes care of it by scheduling/rate matching or method similar to indication of guard band between different numerologies.</w:t>
      </w:r>
    </w:p>
    <w:p>
      <w:pPr>
        <w:rPr>
          <w:rFonts w:ascii="Times New Roman" w:hAnsi="Times New Roman" w:cs="Times New Roman" w:eastAsiaTheme="minorEastAsia"/>
          <w:b/>
          <w:bCs/>
          <w:color w:val="auto"/>
          <w:kern w:val="2"/>
          <w:sz w:val="26"/>
          <w:szCs w:val="26"/>
          <w:lang w:val="zh-CN" w:eastAsia="zh-CN" w:bidi="ar-SA"/>
        </w:rPr>
      </w:pPr>
    </w:p>
    <w:p>
      <w:pPr>
        <w:pStyle w:val="25"/>
        <w:widowControl/>
        <w:numPr>
          <w:ilvl w:val="0"/>
          <w:numId w:val="0"/>
        </w:numPr>
        <w:spacing w:before="120" w:after="120"/>
        <w:ind w:left="0" w:firstLine="0"/>
        <w:jc w:val="left"/>
        <w:outlineLvl w:val="0"/>
        <w:rPr>
          <w:rFonts w:ascii="Times New Roman" w:hAnsi="Times New Roman" w:eastAsia="SimSun" w:cs="Times New Roman"/>
          <w:b/>
          <w:kern w:val="2"/>
          <w:sz w:val="28"/>
          <w:szCs w:val="20"/>
          <w:lang w:val="zh-CN" w:eastAsia="zh-CN"/>
        </w:rPr>
      </w:pPr>
      <w:r>
        <w:rPr>
          <w:rFonts w:ascii="Times New Roman" w:hAnsi="Times New Roman" w:eastAsia="SimSun" w:cs="Times New Roman"/>
          <w:b/>
          <w:kern w:val="2"/>
          <w:sz w:val="28"/>
          <w:szCs w:val="20"/>
          <w:lang w:val="zh-CN" w:eastAsia="zh-CN"/>
        </w:rPr>
        <w:t xml:space="preserve">3. UE transmission, reception and measurement behavior </w:t>
      </w:r>
    </w:p>
    <w:p>
      <w:pPr>
        <w:pStyle w:val="25"/>
        <w:widowControl/>
        <w:numPr>
          <w:ilvl w:val="0"/>
          <w:numId w:val="0"/>
        </w:numPr>
        <w:spacing w:before="120" w:after="120"/>
        <w:ind w:left="0" w:firstLine="0"/>
        <w:jc w:val="left"/>
        <w:outlineLvl w:val="0"/>
        <w:rPr>
          <w:rFonts w:ascii="Times New Roman" w:hAnsi="Times New Roman" w:cs="Times New Roman" w:eastAsiaTheme="minorEastAsia"/>
          <w:b/>
          <w:color w:val="auto"/>
          <w:kern w:val="2"/>
          <w:sz w:val="26"/>
          <w:szCs w:val="26"/>
          <w:lang w:val="zh-CN" w:eastAsia="zh-CN" w:bidi="ar-SA"/>
        </w:rPr>
      </w:pPr>
      <w:r>
        <w:rPr>
          <w:rFonts w:ascii="Times New Roman" w:hAnsi="Times New Roman" w:cs="Times New Roman" w:eastAsiaTheme="minorEastAsia"/>
          <w:b/>
          <w:color w:val="auto"/>
          <w:kern w:val="2"/>
          <w:sz w:val="26"/>
          <w:szCs w:val="26"/>
          <w:lang w:val="zh-CN" w:eastAsia="zh-CN" w:bidi="ar-SA"/>
        </w:rPr>
        <w:t>3.1 SBFD subbands in DL/flexible symbols</w:t>
      </w:r>
    </w:p>
    <w:tbl>
      <w:tblPr>
        <w:tblStyle w:val="8"/>
        <w:tblW w:w="9070" w:type="dxa"/>
        <w:tblInd w:w="0" w:type="dxa"/>
        <w:tblLayout w:type="autofit"/>
        <w:tblCellMar>
          <w:top w:w="55" w:type="dxa"/>
          <w:left w:w="55" w:type="dxa"/>
          <w:bottom w:w="55" w:type="dxa"/>
          <w:right w:w="55" w:type="dxa"/>
        </w:tblCellMar>
      </w:tblPr>
      <w:tblGrid>
        <w:gridCol w:w="9070"/>
      </w:tblGrid>
      <w:tr>
        <w:tblPrEx>
          <w:tblCellMar>
            <w:top w:w="55" w:type="dxa"/>
            <w:left w:w="55" w:type="dxa"/>
            <w:bottom w:w="55" w:type="dxa"/>
            <w:right w:w="55" w:type="dxa"/>
          </w:tblCellMar>
        </w:tblPrEx>
        <w:tc>
          <w:tcPr>
            <w:tcW w:w="9070" w:type="dxa"/>
            <w:tcBorders>
              <w:top w:val="single" w:color="000000" w:sz="2" w:space="0"/>
              <w:left w:val="single" w:color="000000" w:sz="2" w:space="0"/>
              <w:bottom w:val="single" w:color="000000" w:sz="2" w:space="0"/>
              <w:right w:val="single" w:color="000000" w:sz="2" w:space="0"/>
            </w:tcBorders>
          </w:tcPr>
          <w:p>
            <w:pPr>
              <w:rPr>
                <w:rFonts w:eastAsia="Malgun Gothic;맑은 고딕"/>
                <w:b/>
                <w:highlight w:val="green"/>
                <w:lang w:eastAsia="zh-CN"/>
              </w:rPr>
            </w:pPr>
            <w:r>
              <w:rPr>
                <w:rFonts w:eastAsia="Malgun Gothic;맑은 고딕"/>
                <w:b/>
                <w:highlight w:val="green"/>
                <w:lang w:eastAsia="zh-CN"/>
              </w:rPr>
              <w:t>Agreement</w:t>
            </w:r>
          </w:p>
          <w:p>
            <w:pPr>
              <w:tabs>
                <w:tab w:val="left" w:pos="720"/>
                <w:tab w:val="left" w:pos="2160"/>
              </w:tabs>
              <w:ind w:right="-99" w:firstLine="0"/>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 xml:space="preserve">For SBFD-aware UE transmission and reception in the SBFD symbols configured in DL and/or flexible in </w:t>
            </w:r>
            <w:r>
              <w:rPr>
                <w:rFonts w:ascii="Times New Roman" w:hAnsi="Times New Roman" w:eastAsia="Malgun Gothic" w:cs="Times New Roman"/>
                <w:b w:val="0"/>
                <w:bCs w:val="0"/>
                <w:i/>
                <w:color w:val="auto"/>
                <w:kern w:val="2"/>
                <w:sz w:val="20"/>
                <w:szCs w:val="20"/>
                <w:lang w:val="en-US" w:eastAsia="fi-FI" w:bidi="ar-SA"/>
              </w:rPr>
              <w:t>TDD-UL-DL-ConfigCommon</w:t>
            </w:r>
            <w:r>
              <w:rPr>
                <w:rFonts w:ascii="Times New Roman" w:hAnsi="Times New Roman" w:eastAsia="Malgun Gothic" w:cs="Times New Roman"/>
                <w:b w:val="0"/>
                <w:bCs w:val="0"/>
                <w:color w:val="auto"/>
                <w:kern w:val="2"/>
                <w:sz w:val="20"/>
                <w:szCs w:val="20"/>
                <w:lang w:val="en-US" w:eastAsia="fi-FI" w:bidi="ar-SA"/>
              </w:rPr>
              <w:t xml:space="preserve">, </w:t>
            </w:r>
          </w:p>
          <w:p>
            <w:pPr>
              <w:pStyle w:val="25"/>
              <w:numPr>
                <w:ilvl w:val="0"/>
                <w:numId w:val="3"/>
              </w:numPr>
              <w:suppressAutoHyphens/>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UL transmissions within UL usable PRBs are allowed</w:t>
            </w:r>
          </w:p>
          <w:p>
            <w:pPr>
              <w:pStyle w:val="25"/>
              <w:numPr>
                <w:ilvl w:val="1"/>
                <w:numId w:val="3"/>
              </w:numPr>
              <w:suppressAutoHyphens/>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FFS SSB symbols</w:t>
            </w:r>
          </w:p>
          <w:p>
            <w:pPr>
              <w:pStyle w:val="25"/>
              <w:numPr>
                <w:ilvl w:val="0"/>
                <w:numId w:val="3"/>
              </w:numPr>
              <w:suppressAutoHyphens/>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DL receptions within DL usable PRBs are allowed</w:t>
            </w:r>
          </w:p>
          <w:p>
            <w:pPr>
              <w:pStyle w:val="25"/>
              <w:numPr>
                <w:ilvl w:val="0"/>
                <w:numId w:val="3"/>
              </w:numPr>
              <w:suppressAutoHyphens/>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UL transmissions outside UL usable PRBs are not allowed</w:t>
            </w:r>
          </w:p>
          <w:p>
            <w:pPr>
              <w:pStyle w:val="25"/>
              <w:numPr>
                <w:ilvl w:val="0"/>
                <w:numId w:val="3"/>
              </w:numPr>
              <w:suppressAutoHyphens/>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DL receptions outside DL usable PRBs are not allowed</w:t>
            </w:r>
          </w:p>
          <w:p>
            <w:pPr>
              <w:pStyle w:val="25"/>
              <w:numPr>
                <w:ilvl w:val="1"/>
                <w:numId w:val="3"/>
              </w:numPr>
              <w:suppressAutoHyphens/>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This restriction is not applicable for CLI measurement</w:t>
            </w:r>
          </w:p>
          <w:p>
            <w:pPr>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CLI measurement behaviours for SBFD-aware UE are discussed in agenda item 9.3.3.</w:t>
            </w:r>
          </w:p>
          <w:p>
            <w:pPr>
              <w:pStyle w:val="25"/>
              <w:tabs>
                <w:tab w:val="left" w:pos="0"/>
              </w:tabs>
              <w:ind w:left="0" w:firstLine="0"/>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 xml:space="preserve">RAN1 to discuss SBFD aware UE behaviors in SBFD symbols with interaction with legacy TDD slot configuration indications via </w:t>
            </w:r>
            <w:r>
              <w:rPr>
                <w:rFonts w:ascii="Times New Roman" w:hAnsi="Times New Roman" w:eastAsia="Malgun Gothic" w:cs="Times New Roman"/>
                <w:b w:val="0"/>
                <w:bCs w:val="0"/>
                <w:i/>
                <w:color w:val="auto"/>
                <w:kern w:val="2"/>
                <w:sz w:val="20"/>
                <w:szCs w:val="20"/>
                <w:lang w:val="en-US" w:eastAsia="fi-FI" w:bidi="ar-SA"/>
              </w:rPr>
              <w:t>TDD-UL-DL-ConfigDedicated</w:t>
            </w:r>
            <w:r>
              <w:rPr>
                <w:rFonts w:ascii="Times New Roman" w:hAnsi="Times New Roman" w:eastAsia="Malgun Gothic" w:cs="Times New Roman"/>
                <w:b w:val="0"/>
                <w:bCs w:val="0"/>
                <w:color w:val="auto"/>
                <w:kern w:val="2"/>
                <w:sz w:val="20"/>
                <w:szCs w:val="20"/>
                <w:lang w:val="en-US" w:eastAsia="fi-FI" w:bidi="ar-SA"/>
              </w:rPr>
              <w:t xml:space="preserve"> and SFI in DCI format 2_0</w:t>
            </w:r>
          </w:p>
          <w:p>
            <w:pPr>
              <w:pStyle w:val="25"/>
              <w:numPr>
                <w:ilvl w:val="0"/>
                <w:numId w:val="3"/>
              </w:numPr>
              <w:suppressAutoHyphens/>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DCI format 2_0 cannot be used to revert SBFD symbol to non-SBFD symbol</w:t>
            </w:r>
          </w:p>
          <w:p>
            <w:pPr>
              <w:pStyle w:val="25"/>
              <w:suppressAutoHyphens/>
              <w:rPr>
                <w:rFonts w:ascii="Times New Roman" w:hAnsi="Times New Roman" w:eastAsia="Malgun Gothic" w:cs="Times New Roman"/>
                <w:b w:val="0"/>
                <w:bCs w:val="0"/>
                <w:color w:val="auto"/>
                <w:kern w:val="2"/>
                <w:sz w:val="20"/>
                <w:szCs w:val="20"/>
                <w:lang w:val="en-US" w:eastAsia="fi-FI" w:bidi="ar-SA"/>
              </w:rPr>
            </w:pPr>
          </w:p>
          <w:p>
            <w:pPr>
              <w:rPr>
                <w:rFonts w:eastAsia="Malgun Gothic;맑은 고딕"/>
                <w:b/>
                <w:highlight w:val="green"/>
                <w:lang w:eastAsia="zh-CN"/>
              </w:rPr>
            </w:pPr>
            <w:r>
              <w:rPr>
                <w:rFonts w:eastAsia="Malgun Gothic;맑은 고딕"/>
                <w:b/>
                <w:highlight w:val="green"/>
                <w:lang w:eastAsia="zh-CN"/>
              </w:rPr>
              <w:t>Agreement</w:t>
            </w:r>
          </w:p>
          <w:p>
            <w:pPr>
              <w:tabs>
                <w:tab w:val="left" w:pos="720"/>
                <w:tab w:val="left" w:pos="2160"/>
              </w:tabs>
              <w:ind w:right="-99" w:firstLine="0"/>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 xml:space="preserve">For SBFD-aware UE transmission and reception in an SBFD symbol, consider the following options to determine link direction, i.e. whether to transmit or to receive in the SBFD symbol. </w:t>
            </w:r>
          </w:p>
          <w:p>
            <w:pPr>
              <w:pStyle w:val="25"/>
              <w:numPr>
                <w:ilvl w:val="0"/>
                <w:numId w:val="3"/>
              </w:numPr>
              <w:suppressAutoHyphens/>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Option 1: UE determines link direction based on configured/scheduled transmissions/receptions and collision handling (if any).</w:t>
            </w:r>
          </w:p>
          <w:p>
            <w:pPr>
              <w:pStyle w:val="25"/>
              <w:numPr>
                <w:ilvl w:val="0"/>
                <w:numId w:val="3"/>
              </w:numPr>
              <w:suppressAutoHyphens/>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Option 2: link direction is indicated by gNB explicitly.</w:t>
            </w:r>
          </w:p>
          <w:p>
            <w:pPr>
              <w:suppressAutoHyphens/>
              <w:ind w:firstLine="0"/>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 xml:space="preserve">Other options are not precluded. </w:t>
            </w:r>
          </w:p>
        </w:tc>
      </w:tr>
    </w:tbl>
    <w:p>
      <w:pPr>
        <w:pStyle w:val="25"/>
        <w:widowControl/>
        <w:numPr>
          <w:ilvl w:val="0"/>
          <w:numId w:val="0"/>
        </w:numPr>
        <w:spacing w:before="120" w:after="120"/>
        <w:ind w:left="0" w:firstLine="0"/>
        <w:jc w:val="left"/>
        <w:outlineLvl w:val="0"/>
        <w:rPr>
          <w:sz w:val="20"/>
          <w:szCs w:val="20"/>
        </w:rPr>
      </w:pPr>
      <w:r>
        <w:rPr>
          <w:rFonts w:ascii="Times New Roman" w:hAnsi="Times New Roman" w:eastAsia="Malgun Gothic" w:cs="Times New Roman"/>
          <w:b w:val="0"/>
          <w:bCs w:val="0"/>
          <w:color w:val="auto"/>
          <w:kern w:val="2"/>
          <w:sz w:val="20"/>
          <w:szCs w:val="20"/>
          <w:lang w:val="en-US" w:eastAsia="fi-FI" w:bidi="ar-SA"/>
        </w:rPr>
        <w:t xml:space="preserve">A slot/symbol can be configured to the UE as DL/UL/F using TDD-UL-DL-Config-common, TDD-UL-DL-Config-dedicated and slot format indicator (SFI)/DCI format 2_0. </w:t>
      </w:r>
    </w:p>
    <w:p>
      <w:pPr>
        <w:widowControl/>
        <w:numPr>
          <w:ilvl w:val="0"/>
          <w:numId w:val="0"/>
        </w:numPr>
        <w:spacing w:before="120" w:after="120"/>
        <w:ind w:left="0" w:firstLine="0"/>
        <w:jc w:val="both"/>
        <w:outlineLvl w:val="0"/>
      </w:pPr>
      <w:r>
        <w:rPr>
          <w:rFonts w:ascii="Times New Roman" w:hAnsi="Times New Roman" w:eastAsia="Malgun Gothic" w:cs="Times New Roman"/>
          <w:b w:val="0"/>
          <w:bCs w:val="0"/>
          <w:color w:val="auto"/>
          <w:kern w:val="2"/>
          <w:sz w:val="20"/>
          <w:szCs w:val="20"/>
          <w:lang w:val="en-US" w:eastAsia="fi-FI" w:bidi="ar-SA"/>
        </w:rPr>
        <w:t>If a slot/symbol is configured as DL using TDD-UL-DL-Config-common, and UE is configured with an UL subband for SBFD operation in that slot/symbol, then according to the legacy procedure, TDD dedicated/SFI is not supposed to overwrite the DL configuration. However, the UE can be scheduled for UL within the UL SB. One simplest way to perform this is to schedule dynamically through DCI. If the UE receives DCI for UL in the DL slots/symbols  configured with an UL SB, it performs UL.</w:t>
      </w:r>
    </w:p>
    <w:p>
      <w:pPr>
        <w:widowControl/>
        <w:numPr>
          <w:ilvl w:val="0"/>
          <w:numId w:val="0"/>
        </w:numPr>
        <w:spacing w:before="120" w:after="120"/>
        <w:ind w:left="0" w:firstLine="0"/>
        <w:jc w:val="left"/>
        <w:outlineLvl w:val="0"/>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However, the TDD dedicated/SFI configuration can be provided to the DL slots/symbols as well. This configuration can be used to determine the link direction (UL or DL) in the DL symbols/slots.</w:t>
      </w:r>
    </w:p>
    <w:p>
      <w:pPr>
        <w:widowControl/>
        <w:numPr>
          <w:ilvl w:val="0"/>
          <w:numId w:val="0"/>
        </w:numPr>
        <w:spacing w:before="120" w:after="120"/>
        <w:ind w:left="0" w:firstLine="0"/>
        <w:jc w:val="both"/>
        <w:outlineLvl w:val="0"/>
      </w:pPr>
      <w:r>
        <w:rPr>
          <w:rFonts w:ascii="Times New Roman" w:hAnsi="Times New Roman" w:eastAsia="Malgun Gothic" w:cs="Times New Roman"/>
          <w:b/>
          <w:bCs/>
          <w:color w:val="auto"/>
          <w:kern w:val="2"/>
          <w:sz w:val="20"/>
          <w:szCs w:val="20"/>
          <w:lang w:val="en-US" w:eastAsia="fi-FI" w:bidi="ar-SA"/>
        </w:rPr>
        <w:t xml:space="preserve">Proposal 8: For slot/symbol configured as DL using TDD-UL-DL-Config-common, consider the following options for UE behaviors in SBFD symbols in interaction with </w:t>
      </w:r>
      <w:r>
        <w:rPr>
          <w:rFonts w:ascii="Times New Roman" w:hAnsi="Times New Roman" w:eastAsia="Malgun Gothic" w:cs="Times New Roman"/>
          <w:b/>
          <w:bCs/>
          <w:i/>
          <w:color w:val="auto"/>
          <w:kern w:val="2"/>
          <w:sz w:val="20"/>
          <w:szCs w:val="20"/>
          <w:lang w:val="en-US" w:eastAsia="fi-FI" w:bidi="ar-SA"/>
        </w:rPr>
        <w:t xml:space="preserve">TDD-UL-DL-ConfigDedicated and </w:t>
      </w:r>
      <w:r>
        <w:rPr>
          <w:rFonts w:ascii="Times New Roman" w:hAnsi="Times New Roman" w:eastAsia="Malgun Gothic" w:cs="Times New Roman"/>
          <w:b/>
          <w:bCs/>
          <w:color w:val="auto"/>
          <w:kern w:val="2"/>
          <w:sz w:val="20"/>
          <w:szCs w:val="20"/>
          <w:lang w:val="en-US" w:eastAsia="fi-FI" w:bidi="ar-SA"/>
        </w:rPr>
        <w:t xml:space="preserve">SFI in DCI format 2_0 </w:t>
      </w:r>
    </w:p>
    <w:p>
      <w:pPr>
        <w:widowControl/>
        <w:numPr>
          <w:ilvl w:val="0"/>
          <w:numId w:val="7"/>
        </w:numPr>
        <w:spacing w:before="120" w:after="120"/>
        <w:ind w:left="0" w:firstLine="0"/>
        <w:jc w:val="left"/>
        <w:outlineLvl w:val="0"/>
        <w:rPr>
          <w:b/>
          <w:bCs/>
        </w:rPr>
      </w:pPr>
      <w:r>
        <w:rPr>
          <w:rFonts w:ascii="Times New Roman" w:hAnsi="Times New Roman" w:eastAsia="Malgun Gothic" w:cs="Times New Roman"/>
          <w:b/>
          <w:bCs/>
          <w:color w:val="auto"/>
          <w:kern w:val="2"/>
          <w:sz w:val="20"/>
          <w:szCs w:val="20"/>
          <w:lang w:val="en-US" w:eastAsia="fi-FI" w:bidi="ar-SA"/>
        </w:rPr>
        <w:t>TDD dedicated/SFI is not provided (legacy procedure)</w:t>
      </w:r>
    </w:p>
    <w:p>
      <w:pPr>
        <w:widowControl/>
        <w:numPr>
          <w:ilvl w:val="0"/>
          <w:numId w:val="7"/>
        </w:numPr>
        <w:spacing w:before="120" w:after="120"/>
        <w:ind w:left="0" w:firstLine="0"/>
        <w:jc w:val="left"/>
        <w:outlineLvl w:val="0"/>
        <w:rPr>
          <w:b/>
          <w:bCs/>
        </w:rPr>
      </w:pPr>
      <w:r>
        <w:rPr>
          <w:rFonts w:ascii="Times New Roman" w:hAnsi="Times New Roman" w:eastAsia="Malgun Gothic" w:cs="Times New Roman"/>
          <w:b/>
          <w:bCs/>
          <w:color w:val="auto"/>
          <w:kern w:val="2"/>
          <w:sz w:val="20"/>
          <w:szCs w:val="20"/>
          <w:lang w:val="en-US" w:eastAsia="fi-FI" w:bidi="ar-SA"/>
        </w:rPr>
        <w:t>TDD dedicated/SFI provides the link direction where the UL/DL is restricted to the UL/DL subbands respectively</w:t>
      </w:r>
    </w:p>
    <w:p>
      <w:pPr>
        <w:widowControl/>
        <w:numPr>
          <w:ilvl w:val="0"/>
          <w:numId w:val="0"/>
        </w:numPr>
        <w:spacing w:before="120" w:after="120"/>
        <w:ind w:left="0" w:firstLine="0"/>
        <w:jc w:val="left"/>
        <w:outlineLvl w:val="0"/>
        <w:rPr>
          <w:rFonts w:ascii="Times New Roman" w:hAnsi="Times New Roman" w:eastAsia="Malgun Gothic" w:cs="Times New Roman"/>
          <w:b/>
          <w:bCs/>
          <w:color w:val="auto"/>
          <w:kern w:val="2"/>
          <w:sz w:val="20"/>
          <w:szCs w:val="20"/>
          <w:lang w:val="en-US" w:eastAsia="fi-FI" w:bidi="ar-SA"/>
        </w:rPr>
      </w:pPr>
    </w:p>
    <w:p>
      <w:pPr>
        <w:widowControl/>
        <w:numPr>
          <w:ilvl w:val="0"/>
          <w:numId w:val="0"/>
        </w:numPr>
        <w:spacing w:before="120" w:after="120"/>
        <w:ind w:left="0" w:firstLine="0"/>
        <w:jc w:val="both"/>
        <w:outlineLvl w:val="0"/>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Proposal 9: For slot/symbol configured as DL using TDD-UL-DL-Config-common, the link direction can be provided in the following ways</w:t>
      </w:r>
    </w:p>
    <w:p>
      <w:pPr>
        <w:widowControl/>
        <w:numPr>
          <w:ilvl w:val="0"/>
          <w:numId w:val="7"/>
        </w:numPr>
        <w:spacing w:before="120" w:after="120"/>
        <w:ind w:left="0" w:firstLine="0"/>
        <w:jc w:val="left"/>
        <w:outlineLvl w:val="0"/>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 xml:space="preserve">Separate UE specific semistatic indication of link direction </w:t>
      </w:r>
    </w:p>
    <w:p>
      <w:pPr>
        <w:widowControl/>
        <w:numPr>
          <w:ilvl w:val="0"/>
          <w:numId w:val="7"/>
        </w:numPr>
        <w:spacing w:before="120" w:after="120"/>
        <w:ind w:left="0" w:firstLine="0"/>
        <w:jc w:val="left"/>
        <w:outlineLvl w:val="0"/>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 xml:space="preserve">TDD dedicated provides the link direction </w:t>
      </w:r>
    </w:p>
    <w:p>
      <w:pPr>
        <w:widowControl/>
        <w:numPr>
          <w:ilvl w:val="0"/>
          <w:numId w:val="7"/>
        </w:numPr>
        <w:spacing w:before="120" w:after="120"/>
        <w:ind w:left="0" w:firstLine="0"/>
        <w:jc w:val="left"/>
        <w:outlineLvl w:val="0"/>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SFI provides the link direction where the UL/DL is restricted to the UL/DL subbands respectively</w:t>
      </w:r>
    </w:p>
    <w:p>
      <w:pPr>
        <w:widowControl/>
        <w:numPr>
          <w:ilvl w:val="0"/>
          <w:numId w:val="7"/>
        </w:numPr>
        <w:spacing w:before="120" w:after="120"/>
        <w:ind w:left="0" w:firstLine="0"/>
        <w:jc w:val="left"/>
        <w:outlineLvl w:val="0"/>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DCI provides the link direction UL/DL is restricted to the UL/DL subbands respectively</w:t>
      </w:r>
    </w:p>
    <w:p>
      <w:pPr>
        <w:widowControl/>
        <w:numPr>
          <w:ilvl w:val="0"/>
          <w:numId w:val="0"/>
        </w:numPr>
        <w:spacing w:before="120" w:after="120"/>
        <w:ind w:left="0" w:firstLine="0"/>
        <w:jc w:val="left"/>
        <w:outlineLvl w:val="0"/>
        <w:rPr>
          <w:rFonts w:ascii="Times New Roman" w:hAnsi="Times New Roman" w:eastAsia="Malgun Gothic" w:cs="Times New Roman"/>
          <w:b/>
          <w:bCs/>
          <w:color w:val="auto"/>
          <w:kern w:val="2"/>
          <w:sz w:val="20"/>
          <w:szCs w:val="20"/>
          <w:lang w:val="en-US" w:eastAsia="fi-FI" w:bidi="ar-SA"/>
        </w:rPr>
      </w:pPr>
    </w:p>
    <w:p>
      <w:pPr>
        <w:pStyle w:val="25"/>
        <w:widowControl/>
        <w:numPr>
          <w:ilvl w:val="0"/>
          <w:numId w:val="0"/>
        </w:numPr>
        <w:spacing w:before="120" w:after="120"/>
        <w:ind w:left="0" w:firstLine="0"/>
        <w:jc w:val="left"/>
        <w:outlineLvl w:val="0"/>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If a slot/symbol is configured as F using TDD-UL-DL-Config-common and UE is configured with active subband for SBFD operation in that slot/symbol, the following cases can be considered.</w:t>
      </w:r>
    </w:p>
    <w:p>
      <w:pPr>
        <w:pStyle w:val="25"/>
        <w:widowControl/>
        <w:numPr>
          <w:ilvl w:val="0"/>
          <w:numId w:val="0"/>
        </w:numPr>
        <w:spacing w:before="120" w:after="120"/>
        <w:ind w:left="0" w:firstLine="0"/>
        <w:jc w:val="left"/>
        <w:outlineLvl w:val="0"/>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A. Semi static TDD dedicated configuration</w:t>
      </w:r>
    </w:p>
    <w:p>
      <w:pPr>
        <w:pStyle w:val="25"/>
        <w:widowControl/>
        <w:numPr>
          <w:ilvl w:val="0"/>
          <w:numId w:val="0"/>
        </w:numPr>
        <w:spacing w:before="120" w:after="120"/>
        <w:ind w:left="0" w:firstLine="0"/>
        <w:jc w:val="left"/>
        <w:outlineLvl w:val="0"/>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If a slot/symbol is indicated as F, subband for SBFD operation is configured in that symbol/slot and the UE receives DL/UL configuration by TDD dedicated configuration, then at least one of the following options apply to the UE.</w:t>
      </w:r>
    </w:p>
    <w:p>
      <w:pPr>
        <w:pStyle w:val="25"/>
        <w:widowControl/>
        <w:numPr>
          <w:ilvl w:val="0"/>
          <w:numId w:val="0"/>
        </w:numPr>
        <w:spacing w:before="120" w:after="120"/>
        <w:ind w:left="0" w:firstLine="0"/>
        <w:jc w:val="left"/>
        <w:outlineLvl w:val="0"/>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 If the symbol is configured as UL by dedicated TDD configuration, then the UE performs UL only in the UL usable resources.</w:t>
      </w:r>
    </w:p>
    <w:p>
      <w:pPr>
        <w:pStyle w:val="25"/>
        <w:widowControl/>
        <w:numPr>
          <w:ilvl w:val="0"/>
          <w:numId w:val="0"/>
        </w:numPr>
        <w:spacing w:before="120" w:after="120"/>
        <w:ind w:left="0" w:firstLine="0"/>
        <w:jc w:val="left"/>
        <w:outlineLvl w:val="0"/>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 If the symbol is configured as DL by dedicated TDD configuration, then the UE performs DL only in the DL usable resources.</w:t>
      </w:r>
    </w:p>
    <w:p>
      <w:pPr>
        <w:pStyle w:val="25"/>
        <w:widowControl/>
        <w:numPr>
          <w:ilvl w:val="0"/>
          <w:numId w:val="0"/>
        </w:numPr>
        <w:spacing w:before="120" w:after="120"/>
        <w:ind w:left="0" w:firstLine="0"/>
        <w:jc w:val="left"/>
        <w:outlineLvl w:val="0"/>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Proposal 10: If a slot/symbol is configured as F using TDD-UL-DL-Config-common,  subband for SBFD operation is configured and the UE receives DL/UL configuration by TDD dedicated configuration, then consider the following option:</w:t>
      </w:r>
    </w:p>
    <w:p>
      <w:pPr>
        <w:pStyle w:val="25"/>
        <w:widowControl/>
        <w:numPr>
          <w:ilvl w:val="0"/>
          <w:numId w:val="8"/>
        </w:numPr>
        <w:spacing w:before="120" w:after="120"/>
        <w:jc w:val="left"/>
        <w:outlineLvl w:val="0"/>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UL/DL is restricted to the UL/DL subbands respectively and it also gives the link direction</w:t>
      </w:r>
    </w:p>
    <w:p>
      <w:pPr>
        <w:pStyle w:val="25"/>
        <w:widowControl/>
        <w:numPr>
          <w:ilvl w:val="0"/>
          <w:numId w:val="0"/>
        </w:numPr>
        <w:spacing w:before="120" w:after="120"/>
        <w:ind w:left="0" w:firstLine="0"/>
        <w:jc w:val="left"/>
        <w:outlineLvl w:val="0"/>
      </w:pPr>
    </w:p>
    <w:p>
      <w:pPr>
        <w:pStyle w:val="25"/>
        <w:widowControl/>
        <w:numPr>
          <w:ilvl w:val="0"/>
          <w:numId w:val="0"/>
        </w:numPr>
        <w:spacing w:before="120" w:after="120"/>
        <w:ind w:left="0" w:firstLine="0"/>
        <w:jc w:val="left"/>
        <w:outlineLvl w:val="0"/>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B. Dynamic TDD configuration</w:t>
      </w:r>
    </w:p>
    <w:p>
      <w:pPr>
        <w:pStyle w:val="25"/>
        <w:widowControl/>
        <w:numPr>
          <w:ilvl w:val="0"/>
          <w:numId w:val="0"/>
        </w:numPr>
        <w:spacing w:before="120" w:after="120"/>
        <w:ind w:left="0" w:firstLine="0"/>
        <w:jc w:val="left"/>
        <w:outlineLvl w:val="0"/>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The same set of rules as described above can be applicable to  slot/symbol is configured as F,  subband for SBFD operation is configured and the UE receives DL/UL configuration by DCI/SFI. Hence, the following proposal is made.</w:t>
      </w:r>
    </w:p>
    <w:p>
      <w:pPr>
        <w:pStyle w:val="25"/>
        <w:widowControl/>
        <w:numPr>
          <w:ilvl w:val="0"/>
          <w:numId w:val="0"/>
        </w:numPr>
        <w:spacing w:before="120" w:after="120"/>
        <w:ind w:left="0" w:firstLine="0"/>
        <w:jc w:val="left"/>
        <w:outlineLvl w:val="0"/>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Proposal 11: If a slot/symbol is configured as F,  subband for SBFD operation is configured and the UE receives DL/UL configuration by DCI/SFI, then consider the following options:</w:t>
      </w:r>
    </w:p>
    <w:p>
      <w:pPr>
        <w:pStyle w:val="25"/>
        <w:widowControl/>
        <w:numPr>
          <w:ilvl w:val="0"/>
          <w:numId w:val="8"/>
        </w:numPr>
        <w:spacing w:before="120" w:after="120"/>
        <w:jc w:val="left"/>
        <w:outlineLvl w:val="0"/>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UL/DL is restricted to the UL/DL subbands respectively and it also gives the link direction</w:t>
      </w:r>
    </w:p>
    <w:p>
      <w:pPr>
        <w:pStyle w:val="25"/>
        <w:widowControl/>
        <w:numPr>
          <w:ilvl w:val="0"/>
          <w:numId w:val="0"/>
        </w:numPr>
        <w:spacing w:before="120" w:after="120"/>
        <w:ind w:left="0" w:firstLine="0"/>
        <w:jc w:val="both"/>
        <w:outlineLvl w:val="0"/>
        <w:rPr>
          <w:rFonts w:ascii="Times New Roman" w:hAnsi="Times New Roman" w:eastAsia="Malgun Gothic" w:cs="Times New Roman"/>
          <w:b w:val="0"/>
          <w:bCs w:val="0"/>
          <w:color w:val="auto"/>
          <w:kern w:val="2"/>
          <w:sz w:val="20"/>
          <w:szCs w:val="20"/>
          <w:lang w:val="en-US" w:eastAsia="fi-FI" w:bidi="ar-SA"/>
        </w:rPr>
      </w:pPr>
    </w:p>
    <w:p>
      <w:pPr>
        <w:pStyle w:val="25"/>
        <w:widowControl/>
        <w:numPr>
          <w:ilvl w:val="0"/>
          <w:numId w:val="0"/>
        </w:numPr>
        <w:spacing w:before="120" w:after="120"/>
        <w:ind w:left="0" w:firstLine="0"/>
        <w:jc w:val="left"/>
        <w:outlineLvl w:val="0"/>
        <w:rPr>
          <w:rFonts w:ascii="Times New Roman" w:hAnsi="Times New Roman" w:cs="Times New Roman" w:eastAsiaTheme="minorEastAsia"/>
          <w:b/>
          <w:color w:val="auto"/>
          <w:kern w:val="2"/>
          <w:sz w:val="26"/>
          <w:szCs w:val="26"/>
          <w:lang w:val="zh-CN" w:eastAsia="zh-CN" w:bidi="ar-SA"/>
        </w:rPr>
      </w:pPr>
      <w:r>
        <w:rPr>
          <w:rFonts w:ascii="Times New Roman" w:hAnsi="Times New Roman" w:cs="Times New Roman" w:eastAsiaTheme="minorEastAsia"/>
          <w:b/>
          <w:color w:val="auto"/>
          <w:kern w:val="2"/>
          <w:sz w:val="26"/>
          <w:szCs w:val="26"/>
          <w:lang w:val="zh-CN" w:eastAsia="zh-CN" w:bidi="ar-SA"/>
        </w:rPr>
        <w:t>3.2 Resource allocation in frequency domain</w:t>
      </w:r>
    </w:p>
    <w:p>
      <w:pPr>
        <w:pStyle w:val="25"/>
        <w:widowControl/>
        <w:numPr>
          <w:ilvl w:val="0"/>
          <w:numId w:val="0"/>
        </w:numPr>
        <w:spacing w:before="120" w:after="120"/>
        <w:ind w:left="0" w:firstLine="0"/>
        <w:jc w:val="left"/>
        <w:outlineLvl w:val="0"/>
        <w:rPr>
          <w:rFonts w:ascii="Times New Roman" w:hAnsi="Times New Roman" w:cs="Times New Roman" w:eastAsiaTheme="minorEastAsia"/>
          <w:b/>
          <w:color w:val="auto"/>
          <w:kern w:val="2"/>
          <w:sz w:val="22"/>
          <w:szCs w:val="22"/>
          <w:lang w:val="zh-CN" w:eastAsia="zh-CN" w:bidi="ar-SA"/>
        </w:rPr>
      </w:pPr>
      <w:r>
        <w:rPr>
          <w:rFonts w:ascii="Times New Roman" w:hAnsi="Times New Roman" w:cs="Times New Roman" w:eastAsiaTheme="minorEastAsia"/>
          <w:b/>
          <w:color w:val="auto"/>
          <w:kern w:val="2"/>
          <w:sz w:val="22"/>
          <w:szCs w:val="22"/>
          <w:lang w:val="zh-CN" w:eastAsia="zh-CN" w:bidi="ar-SA"/>
        </w:rPr>
        <w:t>3.2.1 PDSCH</w:t>
      </w:r>
    </w:p>
    <w:p>
      <w:pPr>
        <w:pStyle w:val="25"/>
        <w:widowControl/>
        <w:numPr>
          <w:ilvl w:val="0"/>
          <w:numId w:val="0"/>
        </w:numPr>
        <w:spacing w:before="120" w:after="120"/>
        <w:ind w:left="0" w:firstLine="0"/>
        <w:jc w:val="left"/>
        <w:outlineLvl w:val="0"/>
        <w:rPr>
          <w:rFonts w:ascii="Times New Roman" w:hAnsi="Times New Roman" w:eastAsia="Malgun Gothic" w:cs="Times New Roman"/>
          <w:b w:val="0"/>
          <w:bCs w:val="0"/>
          <w:color w:val="auto"/>
          <w:kern w:val="2"/>
          <w:sz w:val="20"/>
          <w:szCs w:val="20"/>
          <w:lang w:val="en-US" w:eastAsia="fi-FI" w:bidi="ar-SA"/>
        </w:rPr>
      </w:pPr>
    </w:p>
    <w:p>
      <w:pPr>
        <w:pStyle w:val="25"/>
        <w:widowControl/>
        <w:numPr>
          <w:ilvl w:val="0"/>
          <w:numId w:val="0"/>
        </w:numPr>
        <w:spacing w:before="120" w:after="120"/>
        <w:ind w:left="0" w:firstLine="0"/>
        <w:jc w:val="center"/>
        <w:outlineLvl w:val="0"/>
        <w:rPr>
          <w:rFonts w:ascii="Times New Roman" w:hAnsi="Times New Roman" w:eastAsia="Malgun Gothic" w:cs="Times New Roman"/>
          <w:b/>
          <w:bCs/>
          <w:color w:val="auto"/>
          <w:kern w:val="2"/>
          <w:sz w:val="20"/>
          <w:szCs w:val="20"/>
          <w:lang w:val="en-US" w:eastAsia="fi-FI" w:bidi="ar-SA"/>
        </w:rPr>
      </w:pPr>
      <w:r>
        <w:drawing>
          <wp:anchor distT="0" distB="0" distL="0" distR="0" simplePos="0" relativeHeight="251659264" behindDoc="0" locked="0" layoutInCell="1" allowOverlap="1">
            <wp:simplePos x="0" y="0"/>
            <wp:positionH relativeFrom="column">
              <wp:align>center</wp:align>
            </wp:positionH>
            <wp:positionV relativeFrom="paragraph">
              <wp:posOffset>635</wp:posOffset>
            </wp:positionV>
            <wp:extent cx="2955290" cy="1351280"/>
            <wp:effectExtent l="0" t="0" r="0" b="0"/>
            <wp:wrapTopAndBottom/>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5"/>
                    <a:stretch>
                      <a:fillRect/>
                    </a:stretch>
                  </pic:blipFill>
                  <pic:spPr>
                    <a:xfrm>
                      <a:off x="0" y="0"/>
                      <a:ext cx="2955290" cy="1351280"/>
                    </a:xfrm>
                    <a:prstGeom prst="rect">
                      <a:avLst/>
                    </a:prstGeom>
                  </pic:spPr>
                </pic:pic>
              </a:graphicData>
            </a:graphic>
          </wp:anchor>
        </w:drawing>
      </w:r>
      <w:r>
        <w:rPr>
          <w:rFonts w:ascii="Times New Roman" w:hAnsi="Times New Roman" w:eastAsia="Malgun Gothic" w:cs="Times New Roman"/>
          <w:b/>
          <w:bCs/>
          <w:color w:val="auto"/>
          <w:kern w:val="2"/>
          <w:sz w:val="20"/>
          <w:szCs w:val="20"/>
          <w:lang w:val="en-US" w:eastAsia="fi-FI" w:bidi="ar-SA"/>
        </w:rPr>
        <w:t>Fig. 1  DL BWP in an SBFD slot</w:t>
      </w:r>
    </w:p>
    <w:p>
      <w:pPr>
        <w:pStyle w:val="25"/>
        <w:widowControl/>
        <w:numPr>
          <w:ilvl w:val="0"/>
          <w:numId w:val="0"/>
        </w:numPr>
        <w:spacing w:before="120" w:after="120"/>
        <w:ind w:left="0" w:firstLine="0"/>
        <w:jc w:val="left"/>
        <w:outlineLvl w:val="0"/>
        <w:rPr>
          <w:rFonts w:ascii="Times New Roman" w:hAnsi="Times New Roman" w:eastAsia="Malgun Gothic" w:cs="Times New Roman"/>
          <w:b w:val="0"/>
          <w:bCs w:val="0"/>
          <w:color w:val="auto"/>
          <w:kern w:val="2"/>
          <w:sz w:val="20"/>
          <w:szCs w:val="20"/>
          <w:lang w:val="en-US" w:eastAsia="fi-FI" w:bidi="ar-SA"/>
        </w:rPr>
      </w:pPr>
    </w:p>
    <w:tbl>
      <w:tblPr>
        <w:tblStyle w:val="8"/>
        <w:tblW w:w="9070" w:type="dxa"/>
        <w:tblInd w:w="0" w:type="dxa"/>
        <w:tblLayout w:type="autofit"/>
        <w:tblCellMar>
          <w:top w:w="55" w:type="dxa"/>
          <w:left w:w="55" w:type="dxa"/>
          <w:bottom w:w="55" w:type="dxa"/>
          <w:right w:w="55" w:type="dxa"/>
        </w:tblCellMar>
      </w:tblPr>
      <w:tblGrid>
        <w:gridCol w:w="9070"/>
      </w:tblGrid>
      <w:tr>
        <w:tblPrEx>
          <w:tblCellMar>
            <w:top w:w="55" w:type="dxa"/>
            <w:left w:w="55" w:type="dxa"/>
            <w:bottom w:w="55" w:type="dxa"/>
            <w:right w:w="55" w:type="dxa"/>
          </w:tblCellMar>
        </w:tblPrEx>
        <w:tc>
          <w:tcPr>
            <w:tcW w:w="9070" w:type="dxa"/>
            <w:tcBorders>
              <w:top w:val="single" w:color="000000" w:sz="2" w:space="0"/>
              <w:left w:val="single" w:color="000000" w:sz="2" w:space="0"/>
              <w:bottom w:val="single" w:color="000000" w:sz="2" w:space="0"/>
              <w:right w:val="single" w:color="000000" w:sz="2" w:space="0"/>
            </w:tcBorders>
          </w:tcPr>
          <w:p>
            <w:pPr>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highlight w:val="green"/>
                <w:lang w:val="en-US" w:eastAsia="fi-FI" w:bidi="ar-SA"/>
              </w:rPr>
              <w:t>Agreement</w:t>
            </w:r>
          </w:p>
          <w:p>
            <w:pPr>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For frequency domain resource allocation Type 1 for PDSCH in a single slot scheduled at least by DCI format in USS, discuss and decide whether/which of the following options is supported.</w:t>
            </w:r>
          </w:p>
          <w:p>
            <w:pPr>
              <w:numPr>
                <w:ilvl w:val="0"/>
                <w:numId w:val="9"/>
              </w:numPr>
              <w:jc w:val="both"/>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Option 1-1: Only the assigned PRBs within DL usable PRBs are considered to be valid for PDSCH. Assigned PRBs that fall outside DL usable PRBs are considered to be invalid and should not be used for PDSCH resource mapping.</w:t>
            </w:r>
          </w:p>
          <w:p>
            <w:pPr>
              <w:numPr>
                <w:ilvl w:val="1"/>
                <w:numId w:val="10"/>
              </w:numPr>
              <w:jc w:val="both"/>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Existing RB indexing and VRB-to-PRB mapping are reused</w:t>
            </w:r>
          </w:p>
          <w:p>
            <w:pPr>
              <w:numPr>
                <w:ilvl w:val="1"/>
                <w:numId w:val="10"/>
              </w:numPr>
              <w:jc w:val="both"/>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The number of PRBs for TBS determination is based on the assigned PRBs within DL usable PRBs only</w:t>
            </w:r>
          </w:p>
          <w:p>
            <w:pPr>
              <w:numPr>
                <w:ilvl w:val="1"/>
                <w:numId w:val="10"/>
              </w:numPr>
              <w:jc w:val="both"/>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 xml:space="preserve">FFS: DMRS sequence mapping </w:t>
            </w:r>
          </w:p>
          <w:p>
            <w:pPr>
              <w:numPr>
                <w:ilvl w:val="0"/>
                <w:numId w:val="9"/>
              </w:numPr>
              <w:jc w:val="both"/>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Option 1-2: Only the assigned PRBs within DL usable PRBs are considered to be valid for PDSCH. Assigned PRBs that fall outside DL usable PRBs are considered to be invalid and should not be used for PDSCH resource mapping.</w:t>
            </w:r>
          </w:p>
          <w:p>
            <w:pPr>
              <w:numPr>
                <w:ilvl w:val="1"/>
                <w:numId w:val="10"/>
              </w:numPr>
              <w:jc w:val="both"/>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Existing RB indexing and VRB-to-PRB mapping are reused</w:t>
            </w:r>
          </w:p>
          <w:p>
            <w:pPr>
              <w:numPr>
                <w:ilvl w:val="1"/>
                <w:numId w:val="10"/>
              </w:numPr>
              <w:jc w:val="both"/>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The number of PRBs for TBS determination is based on the assigned PRBs as legacy</w:t>
            </w:r>
          </w:p>
          <w:p>
            <w:pPr>
              <w:numPr>
                <w:ilvl w:val="1"/>
                <w:numId w:val="10"/>
              </w:numPr>
              <w:jc w:val="both"/>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 xml:space="preserve">FFS: DMRS sequence mapping </w:t>
            </w:r>
          </w:p>
          <w:p>
            <w:pPr>
              <w:numPr>
                <w:ilvl w:val="0"/>
                <w:numId w:val="9"/>
              </w:numPr>
              <w:jc w:val="both"/>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Option 2: Introduce new RB indexing/PRB bundle indexing to ensure VRBs are mapped to DL usable PRBs only.</w:t>
            </w:r>
          </w:p>
          <w:p>
            <w:pPr>
              <w:numPr>
                <w:ilvl w:val="1"/>
                <w:numId w:val="10"/>
              </w:numPr>
              <w:jc w:val="both"/>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Existing VRB-to-PRB mapping is reused</w:t>
            </w:r>
          </w:p>
          <w:p>
            <w:pPr>
              <w:numPr>
                <w:ilvl w:val="1"/>
                <w:numId w:val="10"/>
              </w:numPr>
              <w:jc w:val="both"/>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Legacy TBS determination method is used</w:t>
            </w:r>
          </w:p>
          <w:p>
            <w:pPr>
              <w:numPr>
                <w:ilvl w:val="1"/>
                <w:numId w:val="10"/>
              </w:numPr>
              <w:jc w:val="both"/>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 xml:space="preserve">FFS: DMRS sequence mapping </w:t>
            </w:r>
          </w:p>
          <w:p>
            <w:pPr>
              <w:numPr>
                <w:ilvl w:val="0"/>
                <w:numId w:val="10"/>
              </w:numPr>
              <w:jc w:val="both"/>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Option 3: Modify VRB-to-PRB mapping interleaver to ensure VRBs are mapped to DL usable PRBs only.</w:t>
            </w:r>
          </w:p>
          <w:p>
            <w:pPr>
              <w:numPr>
                <w:ilvl w:val="1"/>
                <w:numId w:val="10"/>
              </w:numPr>
              <w:jc w:val="both"/>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Existing RB indexing/PRB bundle indexing is reused</w:t>
            </w:r>
          </w:p>
          <w:p>
            <w:pPr>
              <w:numPr>
                <w:ilvl w:val="1"/>
                <w:numId w:val="10"/>
              </w:numPr>
              <w:jc w:val="both"/>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If the interleaver is not enabled, Option 1-1 or Option 1-2 is used</w:t>
            </w:r>
          </w:p>
          <w:p>
            <w:pPr>
              <w:numPr>
                <w:ilvl w:val="1"/>
                <w:numId w:val="10"/>
              </w:numPr>
              <w:jc w:val="both"/>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Legacy TBS determination method is used</w:t>
            </w:r>
          </w:p>
          <w:p>
            <w:pPr>
              <w:numPr>
                <w:ilvl w:val="1"/>
                <w:numId w:val="10"/>
              </w:numPr>
              <w:jc w:val="both"/>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 xml:space="preserve">FFS: DMRS sequence mapping </w:t>
            </w:r>
          </w:p>
          <w:p>
            <w:pPr>
              <w:rPr>
                <w:rFonts w:eastAsia="Malgun Gothic"/>
                <w:lang w:eastAsia="zh-CN"/>
              </w:rPr>
            </w:pPr>
          </w:p>
        </w:tc>
      </w:tr>
    </w:tbl>
    <w:p>
      <w:pPr>
        <w:pStyle w:val="25"/>
        <w:widowControl/>
        <w:numPr>
          <w:ilvl w:val="0"/>
          <w:numId w:val="0"/>
        </w:numPr>
        <w:spacing w:before="120" w:after="120"/>
        <w:ind w:left="0" w:firstLine="0"/>
        <w:jc w:val="both"/>
        <w:outlineLvl w:val="0"/>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In type 1 resource allocation for PDSCH, consecutive resource blocks (RBs) are allocated in the DL. As shown in Fig. 1, the DL bandwidth part (BWP) spans across the UL subband as well. Therefore, if the type 1 resource allocation is used in the DL, then the DL resource allocation can overlap with the UL subband as well as the guard band. In that scenario, UE discards the RBs overlapping with the UL subband and the guard band for PDSCH reception. Further, the number of PRBs for TBS determination can be based on the assigned PRBs within DL usable PRBs only.</w:t>
      </w:r>
    </w:p>
    <w:p>
      <w:pPr>
        <w:pStyle w:val="25"/>
        <w:widowControl/>
        <w:numPr>
          <w:ilvl w:val="0"/>
          <w:numId w:val="0"/>
        </w:numPr>
        <w:spacing w:before="120" w:after="120"/>
        <w:ind w:left="0" w:firstLine="0"/>
        <w:jc w:val="left"/>
        <w:outlineLvl w:val="0"/>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Proposal 12: For type 1 resource allocation for PDSCH, support Option 1-1.</w:t>
      </w:r>
    </w:p>
    <w:p>
      <w:pPr>
        <w:pStyle w:val="25"/>
        <w:widowControl/>
        <w:numPr>
          <w:ilvl w:val="0"/>
          <w:numId w:val="0"/>
        </w:numPr>
        <w:spacing w:before="120" w:after="120"/>
        <w:ind w:left="0" w:firstLine="0"/>
        <w:jc w:val="both"/>
        <w:outlineLvl w:val="0"/>
      </w:pPr>
      <w:r>
        <w:rPr>
          <w:rFonts w:ascii="Times New Roman" w:hAnsi="Times New Roman" w:eastAsia="Malgun Gothic" w:cs="Times New Roman"/>
          <w:b w:val="0"/>
          <w:bCs w:val="0"/>
          <w:color w:val="auto"/>
          <w:kern w:val="2"/>
          <w:sz w:val="20"/>
          <w:szCs w:val="20"/>
          <w:lang w:val="en-US" w:eastAsia="fi-FI" w:bidi="ar-SA"/>
        </w:rPr>
        <w:t xml:space="preserve">In type 0, the DL BWP is divided into a number of resource block groups (RBGs) where the RBG size is based on the DL BWP size. A bitmap is provided in downlink control information (DCI) to indicate the RBGs in which the UE will receive PDSCH. </w:t>
      </w:r>
      <w:r>
        <w:rPr>
          <w:rFonts w:ascii="Times New Roman" w:hAnsi="Times New Roman" w:eastAsia="Malgun Gothic" w:cs="Times New Roman"/>
          <w:b w:val="0"/>
          <w:bCs w:val="0"/>
          <w:color w:val="auto"/>
          <w:kern w:val="2"/>
          <w:sz w:val="20"/>
          <w:szCs w:val="20"/>
          <w:lang w:val="en-US" w:eastAsia="fi-FI" w:bidi="ar-SA"/>
        </w:rPr>
        <w:br w:type="textWrapping"/>
      </w:r>
      <w:r>
        <w:rPr>
          <w:rFonts w:ascii="Times New Roman" w:hAnsi="Times New Roman" w:eastAsia="Malgun Gothic" w:cs="Times New Roman"/>
          <w:b w:val="0"/>
          <w:bCs w:val="0"/>
          <w:color w:val="auto"/>
          <w:kern w:val="2"/>
          <w:sz w:val="20"/>
          <w:szCs w:val="20"/>
          <w:lang w:val="en-US" w:eastAsia="fi-FI" w:bidi="ar-SA"/>
        </w:rPr>
        <w:t>If the configured DL BWP overlaps with the active UL subband and/guard band, then the actual size of the DL BWP can be obtained after removing the active UL subband and guard band (if any) overlapping with the DL BWP. This can have an impact on the RBG size since it is dependent on the BWP size. Further, an RBG indicated as active for PDSCH reception can partly fall in the active UL SB. There can be various methods to determine the RBG size.</w:t>
      </w:r>
    </w:p>
    <w:p>
      <w:pPr>
        <w:pStyle w:val="25"/>
        <w:widowControl/>
        <w:numPr>
          <w:ilvl w:val="0"/>
          <w:numId w:val="0"/>
        </w:numPr>
        <w:spacing w:before="120" w:after="120"/>
        <w:ind w:left="0" w:firstLine="0"/>
        <w:jc w:val="left"/>
        <w:outlineLvl w:val="0"/>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Method 1: The UE uses the number of PRBs in the configured BWP to determine RBG size.</w:t>
      </w:r>
    </w:p>
    <w:p>
      <w:pPr>
        <w:pStyle w:val="25"/>
        <w:widowControl/>
        <w:numPr>
          <w:ilvl w:val="0"/>
          <w:numId w:val="0"/>
        </w:numPr>
        <w:spacing w:before="120" w:after="120"/>
        <w:ind w:left="0" w:firstLine="0"/>
        <w:jc w:val="left"/>
        <w:outlineLvl w:val="0"/>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Method 2: The UE updates the BWP size based on the active UL subband configured and determines RBG size based on the size of updated BWP size. The updated BWP size will be the RBs of the DL BWP overlapping with the active DL SB.</w:t>
      </w:r>
    </w:p>
    <w:p>
      <w:pPr>
        <w:pStyle w:val="25"/>
        <w:widowControl/>
        <w:numPr>
          <w:ilvl w:val="0"/>
          <w:numId w:val="0"/>
        </w:numPr>
        <w:spacing w:before="120" w:after="120"/>
        <w:ind w:left="0" w:firstLine="0"/>
        <w:jc w:val="left"/>
        <w:outlineLvl w:val="0"/>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Method 3: The UE determines the RBG size for each non-contiguous section of active DL subband based on the size of the corresponding non-contiguous section.</w:t>
      </w:r>
    </w:p>
    <w:p>
      <w:pPr>
        <w:pStyle w:val="25"/>
        <w:widowControl/>
        <w:numPr>
          <w:ilvl w:val="0"/>
          <w:numId w:val="0"/>
        </w:numPr>
        <w:spacing w:before="120" w:after="120"/>
        <w:ind w:left="0" w:firstLine="0"/>
        <w:jc w:val="left"/>
        <w:outlineLvl w:val="0"/>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Observation 3: For type 0 resource allocation for PDSCH, there can be various ways to determine the RBG size.</w:t>
      </w:r>
    </w:p>
    <w:p>
      <w:pPr>
        <w:pStyle w:val="25"/>
        <w:widowControl/>
        <w:numPr>
          <w:ilvl w:val="0"/>
          <w:numId w:val="0"/>
        </w:numPr>
        <w:spacing w:before="120" w:after="120"/>
        <w:ind w:left="0" w:firstLine="0"/>
        <w:jc w:val="left"/>
        <w:outlineLvl w:val="0"/>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Proposal  13: For type 0 resource allocation for PDSCH,  various ways to determine the RBG size are</w:t>
      </w:r>
    </w:p>
    <w:p>
      <w:pPr>
        <w:pStyle w:val="25"/>
        <w:widowControl/>
        <w:numPr>
          <w:ilvl w:val="0"/>
          <w:numId w:val="0"/>
        </w:numPr>
        <w:suppressAutoHyphens/>
        <w:bidi w:val="0"/>
        <w:spacing w:before="120" w:after="120"/>
        <w:ind w:left="454" w:right="0" w:firstLine="0"/>
        <w:jc w:val="left"/>
        <w:outlineLvl w:val="0"/>
        <w:rPr>
          <w:b/>
          <w:bCs/>
        </w:rPr>
      </w:pPr>
      <w:r>
        <w:rPr>
          <w:rFonts w:ascii="Times New Roman" w:hAnsi="Times New Roman" w:eastAsia="Malgun Gothic" w:cs="Times New Roman"/>
          <w:b/>
          <w:bCs/>
          <w:color w:val="auto"/>
          <w:kern w:val="2"/>
          <w:sz w:val="20"/>
          <w:szCs w:val="20"/>
          <w:lang w:val="en-US" w:eastAsia="fi-FI" w:bidi="ar-SA"/>
        </w:rPr>
        <w:t>Method 1: The UE uses the number of PRBs in the configured BWP to determine RBG size.</w:t>
      </w:r>
    </w:p>
    <w:p>
      <w:pPr>
        <w:pStyle w:val="25"/>
        <w:widowControl/>
        <w:numPr>
          <w:ilvl w:val="0"/>
          <w:numId w:val="0"/>
        </w:numPr>
        <w:suppressAutoHyphens/>
        <w:bidi w:val="0"/>
        <w:spacing w:before="120" w:after="120"/>
        <w:ind w:left="454" w:right="0" w:firstLine="0"/>
        <w:jc w:val="left"/>
        <w:outlineLvl w:val="0"/>
        <w:rPr>
          <w:b/>
          <w:bCs/>
        </w:rPr>
      </w:pPr>
      <w:r>
        <w:rPr>
          <w:rFonts w:ascii="Times New Roman" w:hAnsi="Times New Roman" w:eastAsia="Malgun Gothic" w:cs="Times New Roman"/>
          <w:b/>
          <w:bCs/>
          <w:color w:val="auto"/>
          <w:kern w:val="2"/>
          <w:sz w:val="20"/>
          <w:szCs w:val="20"/>
          <w:lang w:val="en-US" w:eastAsia="fi-FI" w:bidi="ar-SA"/>
        </w:rPr>
        <w:t>Method 2: The UE updates the BWP size based on the active UL subband configured and determines RBG size based on the size of updated BWP size. The updated BWP size will be the RBs of the DL BWP overlapping with the active DL SB.</w:t>
      </w:r>
    </w:p>
    <w:p>
      <w:pPr>
        <w:pStyle w:val="25"/>
        <w:widowControl/>
        <w:numPr>
          <w:ilvl w:val="0"/>
          <w:numId w:val="0"/>
        </w:numPr>
        <w:suppressAutoHyphens/>
        <w:bidi w:val="0"/>
        <w:spacing w:before="120" w:after="120"/>
        <w:ind w:left="454" w:right="0" w:firstLine="0"/>
        <w:jc w:val="left"/>
        <w:outlineLvl w:val="0"/>
        <w:rPr>
          <w:b/>
          <w:bCs/>
        </w:rPr>
      </w:pPr>
      <w:r>
        <w:rPr>
          <w:rFonts w:ascii="Times New Roman" w:hAnsi="Times New Roman" w:eastAsia="Malgun Gothic" w:cs="Times New Roman"/>
          <w:b/>
          <w:bCs/>
          <w:color w:val="auto"/>
          <w:kern w:val="2"/>
          <w:sz w:val="20"/>
          <w:szCs w:val="20"/>
          <w:lang w:val="en-US" w:eastAsia="fi-FI" w:bidi="ar-SA"/>
        </w:rPr>
        <w:t>Method 3: The UE determines the RBG size for each non-contiguous section of active DL subband based on the size of the corresponding non-contiguous section.</w:t>
      </w:r>
    </w:p>
    <w:p>
      <w:pPr>
        <w:pStyle w:val="25"/>
        <w:widowControl/>
        <w:numPr>
          <w:ilvl w:val="0"/>
          <w:numId w:val="0"/>
        </w:numPr>
        <w:spacing w:before="120" w:after="120"/>
        <w:ind w:left="0" w:firstLine="0"/>
        <w:jc w:val="both"/>
        <w:outlineLvl w:val="0"/>
        <w:rPr>
          <w:rFonts w:ascii="Times New Roman" w:hAnsi="Times New Roman" w:eastAsia="Malgun Gothic" w:cs="Times New Roman"/>
          <w:b w:val="0"/>
          <w:bCs w:val="0"/>
          <w:color w:val="auto"/>
          <w:kern w:val="2"/>
          <w:sz w:val="20"/>
          <w:szCs w:val="20"/>
          <w:lang w:val="en-US" w:eastAsia="fi-FI" w:bidi="ar-SA"/>
        </w:rPr>
      </w:pPr>
    </w:p>
    <w:p>
      <w:pPr>
        <w:pStyle w:val="25"/>
        <w:widowControl/>
        <w:numPr>
          <w:ilvl w:val="0"/>
          <w:numId w:val="0"/>
        </w:numPr>
        <w:spacing w:before="120" w:after="120"/>
        <w:ind w:left="0" w:firstLine="0"/>
        <w:jc w:val="left"/>
        <w:outlineLvl w:val="0"/>
        <w:rPr>
          <w:sz w:val="22"/>
          <w:szCs w:val="22"/>
        </w:rPr>
      </w:pPr>
      <w:r>
        <w:rPr>
          <w:rFonts w:ascii="Times New Roman" w:hAnsi="Times New Roman" w:cs="Times New Roman" w:eastAsiaTheme="minorEastAsia"/>
          <w:b/>
          <w:color w:val="auto"/>
          <w:kern w:val="2"/>
          <w:sz w:val="22"/>
          <w:szCs w:val="22"/>
          <w:lang w:val="zh-CN" w:eastAsia="zh-CN" w:bidi="ar-SA"/>
        </w:rPr>
        <w:t>3.2.2 CSI-RS resource and reporting</w:t>
      </w:r>
    </w:p>
    <w:p>
      <w:pPr>
        <w:pStyle w:val="25"/>
        <w:widowControl/>
        <w:numPr>
          <w:ilvl w:val="0"/>
          <w:numId w:val="0"/>
        </w:numPr>
        <w:spacing w:before="120" w:after="120"/>
        <w:ind w:left="0" w:firstLine="0"/>
        <w:jc w:val="left"/>
        <w:outlineLvl w:val="0"/>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TR 38.858 captures the following on CSI-RS resource allocation in frequency domain:</w:t>
      </w:r>
    </w:p>
    <w:tbl>
      <w:tblPr>
        <w:tblStyle w:val="8"/>
        <w:tblW w:w="9070" w:type="dxa"/>
        <w:tblInd w:w="0" w:type="dxa"/>
        <w:tblLayout w:type="autofit"/>
        <w:tblCellMar>
          <w:top w:w="55" w:type="dxa"/>
          <w:left w:w="55" w:type="dxa"/>
          <w:bottom w:w="55" w:type="dxa"/>
          <w:right w:w="55" w:type="dxa"/>
        </w:tblCellMar>
      </w:tblPr>
      <w:tblGrid>
        <w:gridCol w:w="9070"/>
      </w:tblGrid>
      <w:tr>
        <w:tblPrEx>
          <w:tblCellMar>
            <w:top w:w="55" w:type="dxa"/>
            <w:left w:w="55" w:type="dxa"/>
            <w:bottom w:w="55" w:type="dxa"/>
            <w:right w:w="55" w:type="dxa"/>
          </w:tblCellMar>
        </w:tblPrEx>
        <w:tc>
          <w:tcPr>
            <w:tcW w:w="9070" w:type="dxa"/>
            <w:tcBorders>
              <w:top w:val="single" w:color="000000" w:sz="2" w:space="0"/>
              <w:left w:val="single" w:color="000000" w:sz="2" w:space="0"/>
              <w:bottom w:val="single" w:color="000000" w:sz="2" w:space="0"/>
              <w:right w:val="single" w:color="000000" w:sz="2" w:space="0"/>
            </w:tcBorders>
          </w:tcPr>
          <w:p>
            <w:pPr>
              <w:pStyle w:val="75"/>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Frequency resource allocation for CSI-RS across downlink subbands for SBFD-aware UEs are studied considering the</w:t>
            </w:r>
          </w:p>
          <w:p>
            <w:pPr>
              <w:pStyle w:val="75"/>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following options:</w:t>
            </w:r>
          </w:p>
          <w:p>
            <w:pPr>
              <w:pStyle w:val="75"/>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 Option 1: Two contiguous CSI-RS resources that are linked</w:t>
            </w:r>
          </w:p>
          <w:p>
            <w:pPr>
              <w:pStyle w:val="75"/>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 Option 2: One CSI-RS resource</w:t>
            </w:r>
          </w:p>
          <w:p>
            <w:pPr>
              <w:pStyle w:val="75"/>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 xml:space="preserve">   - Option 2-1: Non-contiguous CSI-RS resource allocation</w:t>
            </w:r>
          </w:p>
          <w:p>
            <w:pPr>
              <w:pStyle w:val="75"/>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 xml:space="preserve">   - Option 2-2: One contiguous CSI-RS resource allocation with non-contiguous CSI-RS resource derived by</w:t>
            </w:r>
          </w:p>
          <w:p>
            <w:pPr>
              <w:pStyle w:val="75"/>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excluding frequency resources outside DL subband (s)</w:t>
            </w:r>
          </w:p>
          <w:p>
            <w:pPr>
              <w:pStyle w:val="75"/>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For all the options, there is no impact on CSI-RS sequence generation. Option 1 requires additional signalling to link two CSI-RS resources in two DL subbands. Option 2-1 requires new RRC structure to configure non-contiguous RBs for one CSI-RS resource, which may require additional signalling overhead. Option 2-2 can reuse the existing signalling design for CSI-RS resource configuration. Option 2-2 can be used to resolve the potential unaligned boundaries between CSI-RS resource configuration and SBFD subbands. Further discussion is required on the UE complexity due to UE capability of maximum number of configured CSI-RS resources and/or processing non-contiguous CSI-RS.</w:t>
            </w:r>
          </w:p>
        </w:tc>
      </w:tr>
    </w:tbl>
    <w:p>
      <w:pPr>
        <w:pStyle w:val="25"/>
        <w:widowControl/>
        <w:numPr>
          <w:ilvl w:val="0"/>
          <w:numId w:val="0"/>
        </w:numPr>
        <w:spacing w:before="120" w:after="120"/>
        <w:ind w:left="0" w:firstLine="0"/>
        <w:jc w:val="left"/>
        <w:outlineLvl w:val="0"/>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According to the discussion during the SI phase,  Option 2-2 is the simplest option with the least specification impact. Hence, we propose the following.</w:t>
      </w:r>
    </w:p>
    <w:p>
      <w:pPr>
        <w:pStyle w:val="25"/>
        <w:widowControl/>
        <w:numPr>
          <w:ilvl w:val="0"/>
          <w:numId w:val="0"/>
        </w:numPr>
        <w:spacing w:before="120" w:after="120"/>
        <w:ind w:left="0" w:firstLine="0"/>
        <w:jc w:val="left"/>
        <w:outlineLvl w:val="0"/>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Proposal 14: One contiguous CSI-RS resource allocation with non-contiguous CSI-RS resource derived by excluding frequency resources outside DL subband(s) is supported across DL subband(s) for SBFD-aware UEs.</w:t>
      </w:r>
    </w:p>
    <w:p>
      <w:pPr>
        <w:pStyle w:val="25"/>
        <w:widowControl/>
        <w:numPr>
          <w:ilvl w:val="0"/>
          <w:numId w:val="0"/>
        </w:numPr>
        <w:spacing w:before="120" w:after="120"/>
        <w:ind w:left="0" w:firstLine="0"/>
        <w:jc w:val="both"/>
        <w:outlineLvl w:val="0"/>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Further, it was agreed upon during the SI phase that for all the options, there is no impact on CSI-RS sequence generation. However, the length of the CSI-RS sequence can be decided in 2 different ways: the length can be based on the total number of resources in the DL BWP that includes the UL subband or just based on the size of the DL subbands.</w:t>
      </w:r>
    </w:p>
    <w:p>
      <w:pPr>
        <w:pStyle w:val="25"/>
        <w:widowControl/>
        <w:numPr>
          <w:ilvl w:val="0"/>
          <w:numId w:val="0"/>
        </w:numPr>
        <w:spacing w:before="120" w:after="120"/>
        <w:ind w:left="0" w:firstLine="0"/>
        <w:jc w:val="both"/>
        <w:outlineLvl w:val="0"/>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Observation 5: The length of the CSI-RS sequence can be decided in 2 different ways: the length can be based on the total number of resources in the DL BWP that includes the UL subband or just based on the size of the DL subbands.</w:t>
      </w:r>
    </w:p>
    <w:p>
      <w:pPr>
        <w:pStyle w:val="25"/>
        <w:widowControl/>
        <w:numPr>
          <w:ilvl w:val="0"/>
          <w:numId w:val="0"/>
        </w:numPr>
        <w:spacing w:before="120" w:after="120"/>
        <w:ind w:left="0" w:firstLine="0"/>
        <w:jc w:val="both"/>
        <w:outlineLvl w:val="0"/>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Proposal 15: Study the impact on the length of the CSI-RS sequence for one contiguous CSI-RS resource allocation in an SBFD symbol.</w:t>
      </w:r>
    </w:p>
    <w:p>
      <w:pPr>
        <w:pStyle w:val="25"/>
        <w:widowControl/>
        <w:numPr>
          <w:ilvl w:val="0"/>
          <w:numId w:val="0"/>
        </w:numPr>
        <w:spacing w:before="120" w:after="120"/>
        <w:ind w:left="0" w:firstLine="0"/>
        <w:jc w:val="both"/>
        <w:outlineLvl w:val="0"/>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In the case of SBFD, a portion of the DL BWP is configured for UL operation. Hence, the size of actual BWP differs from the configured BWP. Hence, the subband size calculation can be based on following options:</w:t>
      </w:r>
    </w:p>
    <w:p>
      <w:pPr>
        <w:pStyle w:val="25"/>
        <w:widowControl/>
        <w:numPr>
          <w:ilvl w:val="0"/>
          <w:numId w:val="0"/>
        </w:numPr>
        <w:spacing w:before="120" w:after="120"/>
        <w:ind w:left="0" w:firstLine="0"/>
        <w:jc w:val="both"/>
        <w:outlineLvl w:val="0"/>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Method 1: The UE uses the number of PRBs in the configured BWP to determine subband size. E.g., if UE is configured with DL BWP of size 80 PRBs, of which 20 PRBs is configured as UL subband for SBFD operation and the UE is configured to report CSI parameter for subbands then the UE assume BWP size of 80 PRBs and determine possible values for subband size as {8, 16}(legacy method).</w:t>
      </w:r>
    </w:p>
    <w:p>
      <w:pPr>
        <w:pStyle w:val="25"/>
        <w:widowControl/>
        <w:numPr>
          <w:ilvl w:val="0"/>
          <w:numId w:val="0"/>
        </w:numPr>
        <w:spacing w:before="120" w:after="120"/>
        <w:ind w:left="0" w:firstLine="0"/>
        <w:jc w:val="both"/>
        <w:outlineLvl w:val="0"/>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Method 2: The UE updates the BWP size based on the SBFD subband configured and determines subband size for CSI reporting based on the size of updated BWP size. E.g., if UE is configured with DL BWP of size 80 PRBs, of which 20 PRBs is configured as UL subband for SBFD operation and the UE is configured to report CSI parameter for subbands, then the UE determine the actual DL BWP size as 60 PRBs (=80 PRBs -20 PRBs) and determine possible values for subband size as {4, 8} (legacy method). PRBs configured as guard band can also be removed to calculate the BWP size.</w:t>
      </w:r>
    </w:p>
    <w:p>
      <w:pPr>
        <w:pStyle w:val="25"/>
        <w:widowControl/>
        <w:numPr>
          <w:ilvl w:val="0"/>
          <w:numId w:val="0"/>
        </w:numPr>
        <w:spacing w:before="120" w:after="120"/>
        <w:ind w:left="0" w:firstLine="0"/>
        <w:jc w:val="both"/>
        <w:outlineLvl w:val="0"/>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Method 3: Once a subband for SBFD operation is configured in the middle of the BWP, the BWP gets divided into three sections in frequency domain. Out of the three sections, the middle section is the subband for SBFD operations and the top and bottom non-contiguous sections. The UE determines subband size for CSI reporting for each non-contiguous section based on the size of the corresponding non-contiguous section.</w:t>
      </w:r>
    </w:p>
    <w:p>
      <w:pPr>
        <w:pStyle w:val="25"/>
        <w:widowControl/>
        <w:numPr>
          <w:ilvl w:val="0"/>
          <w:numId w:val="0"/>
        </w:numPr>
        <w:spacing w:before="120" w:after="120"/>
        <w:ind w:left="0" w:firstLine="0"/>
        <w:jc w:val="both"/>
        <w:outlineLvl w:val="0"/>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Observation 6: For SBFD slots, the size of CSI subbands can be calculated in various ways.</w:t>
      </w:r>
    </w:p>
    <w:p>
      <w:pPr>
        <w:pStyle w:val="25"/>
        <w:widowControl/>
        <w:numPr>
          <w:ilvl w:val="0"/>
          <w:numId w:val="0"/>
        </w:numPr>
        <w:spacing w:before="120" w:after="120"/>
        <w:ind w:left="0" w:firstLine="0"/>
        <w:jc w:val="left"/>
        <w:outlineLvl w:val="0"/>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Proposal 16: For SBFD slots, study the impact of size of DL subband(s) on the size of CSI subbands.</w:t>
      </w:r>
    </w:p>
    <w:p>
      <w:pPr>
        <w:pStyle w:val="25"/>
        <w:widowControl/>
        <w:numPr>
          <w:ilvl w:val="0"/>
          <w:numId w:val="0"/>
        </w:numPr>
        <w:spacing w:before="120" w:after="120"/>
        <w:ind w:left="0" w:firstLine="0"/>
        <w:jc w:val="left"/>
        <w:outlineLvl w:val="0"/>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drawing>
          <wp:anchor distT="0" distB="0" distL="0" distR="0" simplePos="0" relativeHeight="251659264" behindDoc="0" locked="0" layoutInCell="1" allowOverlap="1">
            <wp:simplePos x="0" y="0"/>
            <wp:positionH relativeFrom="column">
              <wp:align>center</wp:align>
            </wp:positionH>
            <wp:positionV relativeFrom="paragraph">
              <wp:posOffset>635</wp:posOffset>
            </wp:positionV>
            <wp:extent cx="3591560" cy="1732280"/>
            <wp:effectExtent l="0" t="0" r="0" b="0"/>
            <wp:wrapTopAndBottom/>
            <wp:docPr id="2"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
                    <pic:cNvPicPr>
                      <a:picLocks noChangeAspect="1" noChangeArrowheads="1"/>
                    </pic:cNvPicPr>
                  </pic:nvPicPr>
                  <pic:blipFill>
                    <a:blip r:embed="rId6"/>
                    <a:stretch>
                      <a:fillRect/>
                    </a:stretch>
                  </pic:blipFill>
                  <pic:spPr>
                    <a:xfrm>
                      <a:off x="0" y="0"/>
                      <a:ext cx="3591560" cy="1732280"/>
                    </a:xfrm>
                    <a:prstGeom prst="rect">
                      <a:avLst/>
                    </a:prstGeom>
                  </pic:spPr>
                </pic:pic>
              </a:graphicData>
            </a:graphic>
          </wp:anchor>
        </w:drawing>
      </w:r>
    </w:p>
    <w:p>
      <w:pPr>
        <w:pStyle w:val="25"/>
        <w:widowControl/>
        <w:numPr>
          <w:ilvl w:val="0"/>
          <w:numId w:val="0"/>
        </w:numPr>
        <w:spacing w:before="120" w:after="120"/>
        <w:ind w:left="0" w:firstLine="0"/>
        <w:jc w:val="center"/>
        <w:outlineLvl w:val="0"/>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Fig. 2: Impact of SB for SBFD operation on subband for CSI reporting</w:t>
      </w:r>
    </w:p>
    <w:p>
      <w:pPr>
        <w:pStyle w:val="25"/>
        <w:widowControl/>
        <w:numPr>
          <w:ilvl w:val="0"/>
          <w:numId w:val="0"/>
        </w:numPr>
        <w:spacing w:before="120" w:after="120"/>
        <w:ind w:left="0" w:firstLine="0"/>
        <w:jc w:val="both"/>
        <w:outlineLvl w:val="0"/>
      </w:pPr>
      <w:r>
        <w:rPr>
          <w:rFonts w:ascii="Times New Roman" w:hAnsi="Times New Roman" w:eastAsia="Malgun Gothic" w:cs="Times New Roman"/>
          <w:b w:val="0"/>
          <w:bCs w:val="0"/>
          <w:color w:val="auto"/>
          <w:kern w:val="2"/>
          <w:sz w:val="20"/>
          <w:szCs w:val="20"/>
          <w:lang w:val="en-US" w:eastAsia="fi-FI" w:bidi="ar-SA"/>
        </w:rPr>
        <w:t>The UE divides the BWP into subbands and determines the active subbands for CSI reporting based on CSI-Reportband indication and subband configured for SBFD operation. An e.g., is illustrated in Fig. 2 above, where the UE is configured with BWP of size 24 PRBs, a subband for SBFD operation and 4 PRBs as size of subband for CSI reporting. Therefore, the BWP of the UE is divided into 6 subbands for CSI reporting. For determining the active subbands the following methods can be used:</w:t>
      </w:r>
    </w:p>
    <w:p>
      <w:pPr>
        <w:pStyle w:val="25"/>
        <w:widowControl/>
        <w:numPr>
          <w:ilvl w:val="0"/>
          <w:numId w:val="0"/>
        </w:numPr>
        <w:spacing w:before="120" w:after="120"/>
        <w:ind w:left="0" w:firstLine="0"/>
        <w:jc w:val="both"/>
        <w:outlineLvl w:val="0"/>
      </w:pPr>
      <w:r>
        <w:rPr>
          <w:rFonts w:ascii="Times New Roman" w:hAnsi="Times New Roman" w:eastAsia="Malgun Gothic" w:cs="Times New Roman"/>
          <w:b w:val="0"/>
          <w:bCs w:val="0"/>
          <w:color w:val="auto"/>
          <w:kern w:val="2"/>
          <w:sz w:val="20"/>
          <w:szCs w:val="20"/>
          <w:lang w:val="en-US" w:eastAsia="fi-FI" w:bidi="ar-SA"/>
        </w:rPr>
        <w:t>• In one option, gNB indicates the active subbands for CSI reporting using CSI-Reportband irrespective of whether the CSI subband overlaps with subband for SBFD operation or not, i.e., legacy method. CSI-Reportband is a bitmap indication: when bit map is one then the corresponding subband is active and when zero then inactive. E.g., in Fig. 3, if BS indicate bitmap=011110, then subband 2-5 are active and subband 1 and subband 6 are inactive.</w:t>
      </w:r>
    </w:p>
    <w:p>
      <w:pPr>
        <w:pStyle w:val="25"/>
        <w:widowControl/>
        <w:numPr>
          <w:ilvl w:val="0"/>
          <w:numId w:val="0"/>
        </w:numPr>
        <w:spacing w:before="120" w:after="120"/>
        <w:ind w:left="0" w:firstLine="0"/>
        <w:jc w:val="both"/>
        <w:outlineLvl w:val="0"/>
      </w:pPr>
      <w:r>
        <w:rPr>
          <w:rFonts w:ascii="Times New Roman" w:hAnsi="Times New Roman" w:eastAsia="Malgun Gothic" w:cs="Times New Roman"/>
          <w:b w:val="0"/>
          <w:bCs w:val="0"/>
          <w:color w:val="auto"/>
          <w:kern w:val="2"/>
          <w:sz w:val="20"/>
          <w:szCs w:val="20"/>
          <w:lang w:val="en-US" w:eastAsia="fi-FI" w:bidi="ar-SA"/>
        </w:rPr>
        <w:t>• In another option, gNB indicates the active subbands for CSI reporting, using CSI-Reportband, considering the overlap with subband for SBFD operation. E.g., if a subband for CSI reporting overlaps, fully or partially, with subband for SBFD operation then the gNB skips indication for those subbands in CSI-Reportband. Therefore, the bitmap size can be reduced. E.g., in Fig. 3, the gNB does not indicate active/inactive status for subband 3-5, which are overlapping with subband for SBFD operation. Therefore, the CSI-Reportband indicates bitmap as 110, implying subbands 1-2 are active and subband 6 is inactive. Further, the UE considers the indication in CSI-Reportband only for the subbands not overlapping with subband for SBFD operation. The bit map can be indicated separately for non-contiguous subbands for CSI reporting. E.g., in Fig. 3, the gNB indicates bitmap1=11 to indicate subband 1 and subband 2 are active and bitmap2=0 to indicate subband 6 is inactive.</w:t>
      </w:r>
    </w:p>
    <w:p>
      <w:pPr>
        <w:pStyle w:val="25"/>
        <w:widowControl/>
        <w:numPr>
          <w:ilvl w:val="0"/>
          <w:numId w:val="0"/>
        </w:numPr>
        <w:spacing w:before="120" w:after="120"/>
        <w:ind w:left="0" w:firstLine="0"/>
        <w:jc w:val="left"/>
        <w:outlineLvl w:val="0"/>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Observation 7: For SBFD slots, indication of active CSI reporting subbands can be done in various ways.</w:t>
      </w:r>
    </w:p>
    <w:p>
      <w:pPr>
        <w:pStyle w:val="25"/>
        <w:widowControl/>
        <w:numPr>
          <w:ilvl w:val="0"/>
          <w:numId w:val="0"/>
        </w:numPr>
        <w:spacing w:before="120" w:after="120"/>
        <w:ind w:left="0" w:firstLine="0"/>
        <w:jc w:val="left"/>
        <w:outlineLvl w:val="0"/>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Proposal 17: For SBFD slots, study the impact on  indication of active CSI reporting subbands.</w:t>
      </w:r>
    </w:p>
    <w:p>
      <w:pPr>
        <w:pStyle w:val="25"/>
        <w:widowControl/>
        <w:numPr>
          <w:ilvl w:val="0"/>
          <w:numId w:val="0"/>
        </w:numPr>
        <w:spacing w:before="120" w:after="120"/>
        <w:ind w:left="0" w:firstLine="0"/>
        <w:jc w:val="left"/>
        <w:outlineLvl w:val="0"/>
        <w:rPr>
          <w:rFonts w:ascii="Times New Roman" w:hAnsi="Times New Roman" w:cs="Times New Roman" w:eastAsiaTheme="minorEastAsia"/>
          <w:b/>
          <w:color w:val="auto"/>
          <w:kern w:val="2"/>
          <w:sz w:val="26"/>
          <w:szCs w:val="26"/>
          <w:lang w:val="zh-CN" w:eastAsia="zh-CN" w:bidi="ar-SA"/>
        </w:rPr>
      </w:pPr>
      <w:r>
        <w:rPr>
          <w:rFonts w:ascii="Times New Roman" w:hAnsi="Times New Roman" w:cs="Times New Roman" w:eastAsiaTheme="minorEastAsia"/>
          <w:b/>
          <w:color w:val="auto"/>
          <w:kern w:val="2"/>
          <w:sz w:val="26"/>
          <w:szCs w:val="26"/>
          <w:lang w:val="zh-CN" w:eastAsia="zh-CN" w:bidi="ar-SA"/>
        </w:rPr>
        <w:t>3.3 Physical channels/signals across SBFD and non-SBFD symbols</w:t>
      </w:r>
    </w:p>
    <w:p>
      <w:pPr>
        <w:pStyle w:val="25"/>
        <w:widowControl/>
        <w:numPr>
          <w:ilvl w:val="0"/>
          <w:numId w:val="0"/>
        </w:numPr>
        <w:spacing w:before="120" w:after="120"/>
        <w:ind w:left="0" w:firstLine="0"/>
        <w:jc w:val="left"/>
        <w:outlineLvl w:val="0"/>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TR 38.858 captures the following on UL transmissions and DL receptions across SBFD symbols and non-SBFD symbols in different slots:</w:t>
      </w:r>
    </w:p>
    <w:tbl>
      <w:tblPr>
        <w:tblStyle w:val="8"/>
        <w:tblW w:w="9070" w:type="dxa"/>
        <w:tblInd w:w="0" w:type="dxa"/>
        <w:tblLayout w:type="autofit"/>
        <w:tblCellMar>
          <w:top w:w="55" w:type="dxa"/>
          <w:left w:w="55" w:type="dxa"/>
          <w:bottom w:w="55" w:type="dxa"/>
          <w:right w:w="55" w:type="dxa"/>
        </w:tblCellMar>
      </w:tblPr>
      <w:tblGrid>
        <w:gridCol w:w="9070"/>
      </w:tblGrid>
      <w:tr>
        <w:tblPrEx>
          <w:tblCellMar>
            <w:top w:w="55" w:type="dxa"/>
            <w:left w:w="55" w:type="dxa"/>
            <w:bottom w:w="55" w:type="dxa"/>
            <w:right w:w="55" w:type="dxa"/>
          </w:tblCellMar>
        </w:tblPrEx>
        <w:tc>
          <w:tcPr>
            <w:tcW w:w="9070" w:type="dxa"/>
            <w:tcBorders>
              <w:top w:val="single" w:color="000000" w:sz="2" w:space="0"/>
              <w:left w:val="single" w:color="000000" w:sz="2" w:space="0"/>
              <w:bottom w:val="single" w:color="000000" w:sz="2" w:space="0"/>
              <w:right w:val="single" w:color="000000" w:sz="2" w:space="0"/>
            </w:tcBorders>
          </w:tcPr>
          <w:p>
            <w:pPr>
              <w:pStyle w:val="75"/>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For UL transmissions and DL receptions across SBFD symbols and non-SBFD symbols in different slots (each transmission/reception within a slot has either all SBFD or all non-SBFD symbols), if the transmissions/receptions can be in SBFD symbols and non-SBFD symbols with different available resources, at least the following frequency resource allocation options for PDSCH, CSI-RS, PUSCH, PUCCH, SRS for SBFD-aware UE are studied.</w:t>
            </w:r>
          </w:p>
          <w:p>
            <w:pPr>
              <w:pStyle w:val="75"/>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-Option 1: Separate FDRA determination for SBFD slots and non-SBFD slots.</w:t>
            </w:r>
          </w:p>
          <w:p>
            <w:pPr>
              <w:pStyle w:val="75"/>
              <w:numPr>
                <w:ilvl w:val="0"/>
                <w:numId w:val="11"/>
              </w:numPr>
            </w:pPr>
            <w:r>
              <w:rPr>
                <w:rFonts w:ascii="Times New Roman" w:hAnsi="Times New Roman" w:eastAsia="Malgun Gothic" w:cs="Times New Roman"/>
                <w:b w:val="0"/>
                <w:bCs w:val="0"/>
                <w:color w:val="auto"/>
                <w:kern w:val="2"/>
                <w:sz w:val="20"/>
                <w:szCs w:val="20"/>
                <w:lang w:val="en-US" w:eastAsia="fi-FI" w:bidi="ar-SA"/>
              </w:rPr>
              <w:t>Option 1-1: Separate FDRA configurations/indications for SBFD slots and non-SBFD slots</w:t>
            </w:r>
          </w:p>
          <w:p>
            <w:pPr>
              <w:pStyle w:val="75"/>
              <w:numPr>
                <w:ilvl w:val="0"/>
                <w:numId w:val="11"/>
              </w:numPr>
            </w:pPr>
            <w:r>
              <w:rPr>
                <w:rFonts w:ascii="Times New Roman" w:hAnsi="Times New Roman" w:eastAsia="Malgun Gothic" w:cs="Times New Roman"/>
                <w:b w:val="0"/>
                <w:bCs w:val="0"/>
                <w:color w:val="auto"/>
                <w:kern w:val="2"/>
                <w:sz w:val="20"/>
                <w:szCs w:val="20"/>
                <w:lang w:val="en-US" w:eastAsia="fi-FI" w:bidi="ar-SA"/>
              </w:rPr>
              <w:t>Option 1-2: Separate frequency resources determined for SBFD slots and non-SBFD slots based on</w:t>
            </w:r>
          </w:p>
          <w:p>
            <w:pPr>
              <w:pStyle w:val="75"/>
            </w:pPr>
            <w:r>
              <w:rPr>
                <w:rFonts w:ascii="Times New Roman" w:hAnsi="Times New Roman" w:eastAsia="Malgun Gothic" w:cs="Times New Roman"/>
                <w:b w:val="0"/>
                <w:bCs w:val="0"/>
                <w:color w:val="auto"/>
                <w:kern w:val="2"/>
                <w:sz w:val="20"/>
                <w:szCs w:val="20"/>
                <w:lang w:val="en-US" w:eastAsia="fi-FI" w:bidi="ar-SA"/>
              </w:rPr>
              <w:t xml:space="preserve">                  single FDRA configuration/indication</w:t>
            </w:r>
          </w:p>
          <w:p>
            <w:pPr>
              <w:pStyle w:val="75"/>
              <w:numPr>
                <w:ilvl w:val="0"/>
                <w:numId w:val="12"/>
              </w:numPr>
            </w:pPr>
            <w:r>
              <w:rPr>
                <w:rFonts w:ascii="Times New Roman" w:hAnsi="Times New Roman" w:eastAsia="Malgun Gothic" w:cs="Times New Roman"/>
                <w:b w:val="0"/>
                <w:bCs w:val="0"/>
                <w:color w:val="auto"/>
                <w:kern w:val="2"/>
                <w:sz w:val="20"/>
                <w:szCs w:val="20"/>
                <w:lang w:val="en-US" w:eastAsia="fi-FI" w:bidi="ar-SA"/>
              </w:rPr>
              <w:t>Option 1-3: single FDRA configuration/indication and RB offset(s)</w:t>
            </w:r>
          </w:p>
          <w:p>
            <w:pPr>
              <w:pStyle w:val="75"/>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 Option 2: Perform rate matching or puncturing on the RBs outside DL/UL subbands for DL/UL channels/signals.</w:t>
            </w:r>
          </w:p>
          <w:p>
            <w:pPr>
              <w:pStyle w:val="75"/>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 Option 3: A DL/UL channel/signal overlapping with RBs outside DL/UL subbands in a SBFD slot is dropped</w:t>
            </w:r>
          </w:p>
          <w:p>
            <w:pPr>
              <w:pStyle w:val="75"/>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or postponed.</w:t>
            </w:r>
          </w:p>
          <w:p>
            <w:pPr>
              <w:pStyle w:val="75"/>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Note: Different options can be studied for different signals/channels.</w:t>
            </w:r>
          </w:p>
        </w:tc>
      </w:tr>
    </w:tbl>
    <w:p>
      <w:pPr>
        <w:pStyle w:val="25"/>
        <w:widowControl/>
        <w:numPr>
          <w:ilvl w:val="0"/>
          <w:numId w:val="0"/>
        </w:numPr>
        <w:spacing w:before="120" w:after="120"/>
        <w:ind w:left="0" w:firstLine="0"/>
        <w:jc w:val="left"/>
        <w:outlineLvl w:val="0"/>
        <w:rPr>
          <w:rFonts w:ascii="Times New Roman" w:hAnsi="Times New Roman" w:cs="Times New Roman" w:eastAsiaTheme="minorEastAsia"/>
          <w:b/>
          <w:color w:val="auto"/>
          <w:kern w:val="2"/>
          <w:sz w:val="26"/>
          <w:szCs w:val="26"/>
          <w:lang w:val="zh-CN" w:eastAsia="zh-CN" w:bidi="ar-SA"/>
        </w:rPr>
      </w:pPr>
      <w:r>
        <w:rPr>
          <w:rFonts w:ascii="Times New Roman" w:hAnsi="Times New Roman" w:eastAsia="Malgun Gothic" w:cs="Times New Roman"/>
          <w:b w:val="0"/>
          <w:bCs w:val="0"/>
          <w:color w:val="auto"/>
          <w:kern w:val="2"/>
          <w:sz w:val="20"/>
          <w:szCs w:val="20"/>
          <w:lang w:val="en-US" w:eastAsia="fi-FI" w:bidi="ar-SA"/>
        </w:rPr>
        <w:t>The sections below discuss the frequency resource allocation options for different channels.</w:t>
      </w:r>
    </w:p>
    <w:p>
      <w:pPr>
        <w:pStyle w:val="25"/>
        <w:widowControl/>
        <w:numPr>
          <w:ilvl w:val="0"/>
          <w:numId w:val="0"/>
        </w:numPr>
        <w:spacing w:before="120" w:after="120"/>
        <w:ind w:left="0" w:firstLine="0"/>
        <w:jc w:val="left"/>
        <w:outlineLvl w:val="0"/>
        <w:rPr>
          <w:rFonts w:ascii="Times New Roman" w:hAnsi="Times New Roman" w:cs="Times New Roman" w:eastAsiaTheme="minorEastAsia"/>
          <w:b/>
          <w:color w:val="auto"/>
          <w:kern w:val="2"/>
          <w:sz w:val="26"/>
          <w:szCs w:val="26"/>
          <w:lang w:val="zh-CN" w:eastAsia="zh-CN" w:bidi="ar-SA"/>
        </w:rPr>
      </w:pPr>
      <w:r>
        <w:rPr>
          <w:rFonts w:ascii="Times New Roman" w:hAnsi="Times New Roman" w:cs="Times New Roman" w:eastAsiaTheme="minorEastAsia"/>
          <w:b/>
          <w:bCs w:val="0"/>
          <w:color w:val="auto"/>
          <w:kern w:val="2"/>
          <w:sz w:val="26"/>
          <w:szCs w:val="26"/>
          <w:lang w:val="zh-CN" w:eastAsia="zh-CN" w:bidi="ar-SA"/>
        </w:rPr>
        <w:t>3.3.1 SPS and CG configurations</w:t>
      </w:r>
    </w:p>
    <w:tbl>
      <w:tblPr>
        <w:tblStyle w:val="8"/>
        <w:tblW w:w="9070" w:type="dxa"/>
        <w:tblInd w:w="0" w:type="dxa"/>
        <w:tblLayout w:type="autofit"/>
        <w:tblCellMar>
          <w:top w:w="55" w:type="dxa"/>
          <w:left w:w="55" w:type="dxa"/>
          <w:bottom w:w="55" w:type="dxa"/>
          <w:right w:w="55" w:type="dxa"/>
        </w:tblCellMar>
      </w:tblPr>
      <w:tblGrid>
        <w:gridCol w:w="9070"/>
      </w:tblGrid>
      <w:tr>
        <w:tblPrEx>
          <w:tblCellMar>
            <w:top w:w="55" w:type="dxa"/>
            <w:left w:w="55" w:type="dxa"/>
            <w:bottom w:w="55" w:type="dxa"/>
            <w:right w:w="55" w:type="dxa"/>
          </w:tblCellMar>
        </w:tblPrEx>
        <w:tc>
          <w:tcPr>
            <w:tcW w:w="9070" w:type="dxa"/>
            <w:tcBorders>
              <w:top w:val="single" w:color="000000" w:sz="2" w:space="0"/>
              <w:left w:val="single" w:color="000000" w:sz="2" w:space="0"/>
              <w:bottom w:val="single" w:color="000000" w:sz="2" w:space="0"/>
              <w:right w:val="single" w:color="000000" w:sz="2" w:space="0"/>
            </w:tcBorders>
          </w:tcPr>
          <w:p>
            <w:pPr>
              <w:rPr>
                <w:rFonts w:eastAsia="Malgun Gothic"/>
                <w:b/>
                <w:highlight w:val="green"/>
                <w:lang w:eastAsia="zh-CN"/>
              </w:rPr>
            </w:pPr>
            <w:r>
              <w:rPr>
                <w:rFonts w:eastAsia="Malgun Gothic"/>
                <w:b/>
                <w:highlight w:val="green"/>
                <w:lang w:eastAsia="zh-CN"/>
              </w:rPr>
              <w:t>Agreement</w:t>
            </w:r>
          </w:p>
          <w:p>
            <w:pPr>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 xml:space="preserve">For an SPS PDSCH configuration without repetitions, if the reception occasions are across SBFD symbols and non-SBFD symbols where each reception occasion has either all SBFD or all non-SBFD symbols, discuss and decide whether/which of the following option(s) are supported. </w:t>
            </w:r>
          </w:p>
          <w:p>
            <w:pPr>
              <w:numPr>
                <w:ilvl w:val="0"/>
                <w:numId w:val="13"/>
              </w:numPr>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Option 1: Separate resource allocations for SBFD symbols and non-SBFD symbols</w:t>
            </w:r>
          </w:p>
          <w:p>
            <w:pPr>
              <w:numPr>
                <w:ilvl w:val="1"/>
                <w:numId w:val="14"/>
              </w:numPr>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FFS other separate configurations for SBFD symbols and non-SBFD symbols</w:t>
            </w:r>
          </w:p>
          <w:p>
            <w:pPr>
              <w:numPr>
                <w:ilvl w:val="0"/>
                <w:numId w:val="13"/>
              </w:numPr>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Option 2: Single resource configuration/indication for one symbol type (SBFD or non-SBFD symbol) and RB offset(s) configuration/indication/determination to determine resource for the other symbol type</w:t>
            </w:r>
          </w:p>
          <w:p>
            <w:pPr>
              <w:numPr>
                <w:ilvl w:val="0"/>
                <w:numId w:val="13"/>
              </w:numPr>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 xml:space="preserve">Option 3: An SPS PDSCH reception occasion overlapping with RBs outside DL usable PRBs in SBFD symbols is invalid </w:t>
            </w:r>
          </w:p>
          <w:p>
            <w:pPr>
              <w:numPr>
                <w:ilvl w:val="0"/>
                <w:numId w:val="13"/>
              </w:numPr>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 xml:space="preserve">Option 4: Only SPS PDSCH reception occasion in one symbol type is valid and SPS PDSCH reception occasion in the other symbol type is invalid </w:t>
            </w:r>
          </w:p>
          <w:p>
            <w:pPr>
              <w:numPr>
                <w:ilvl w:val="0"/>
                <w:numId w:val="13"/>
              </w:numPr>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Option 5: Only the assigned PRBs within DL usable PRBs in SBFD symbols are considered to be valid for SPS PDSCH</w:t>
            </w:r>
          </w:p>
          <w:p>
            <w:pPr>
              <w:numPr>
                <w:ilvl w:val="0"/>
                <w:numId w:val="13"/>
              </w:numPr>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Other options are not precluded</w:t>
            </w:r>
          </w:p>
          <w:p>
            <w:pPr>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 xml:space="preserve">For a CG PUSCH configuration without repetitions, if the transmission occasions are across SBFD symbols and non-SBFD symbols where each transmission occasion has either all SBFD or all non-SBFD symbols, discuss and decide whether/which of the following option(s) are supported. </w:t>
            </w:r>
          </w:p>
          <w:p>
            <w:pPr>
              <w:numPr>
                <w:ilvl w:val="0"/>
                <w:numId w:val="13"/>
              </w:numPr>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Option 1: Separate resource configurations for SBFD symbols and non-SBFD symbols</w:t>
            </w:r>
          </w:p>
          <w:p>
            <w:pPr>
              <w:numPr>
                <w:ilvl w:val="1"/>
                <w:numId w:val="14"/>
              </w:numPr>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FFS type 2 CG PUSCH</w:t>
            </w:r>
          </w:p>
          <w:p>
            <w:pPr>
              <w:numPr>
                <w:ilvl w:val="1"/>
                <w:numId w:val="14"/>
              </w:numPr>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FFS other separate configurations for SBFD symbols and non-SBFD symbols</w:t>
            </w:r>
          </w:p>
          <w:p>
            <w:pPr>
              <w:numPr>
                <w:ilvl w:val="0"/>
                <w:numId w:val="13"/>
              </w:numPr>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Option 2: Single resource configuration/indication for one symbol type (SBFD or non-SBFD symbol) and RB offset(s) configuration/indication/determination to determine resource for the other symbol type</w:t>
            </w:r>
          </w:p>
          <w:p>
            <w:pPr>
              <w:numPr>
                <w:ilvl w:val="0"/>
                <w:numId w:val="13"/>
              </w:numPr>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Option 3: A CG PUSCH transmission occasion overlapping with RBs outside UL usable PRBs in SBFD symbols is invalid</w:t>
            </w:r>
          </w:p>
          <w:p>
            <w:pPr>
              <w:numPr>
                <w:ilvl w:val="0"/>
                <w:numId w:val="13"/>
              </w:numPr>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 xml:space="preserve">Option 4: Only CG PUSCH transmission occasion in one symbol type is valid and CG PUSCH transmission occasion in the other symbol type is invalid </w:t>
            </w:r>
          </w:p>
          <w:p>
            <w:pPr>
              <w:numPr>
                <w:ilvl w:val="0"/>
                <w:numId w:val="13"/>
              </w:numPr>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 xml:space="preserve">Option 5: Only the assigned PRBs within UL usable PRBs in SBFD symbols are considered to be valid for CG PUSCH </w:t>
            </w:r>
          </w:p>
          <w:p>
            <w:pPr>
              <w:numPr>
                <w:ilvl w:val="0"/>
                <w:numId w:val="13"/>
              </w:numPr>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Other options are not precluded</w:t>
            </w:r>
          </w:p>
        </w:tc>
      </w:tr>
    </w:tbl>
    <w:p>
      <w:pPr>
        <w:widowControl/>
        <w:numPr>
          <w:ilvl w:val="0"/>
          <w:numId w:val="0"/>
        </w:numPr>
        <w:spacing w:before="120" w:after="120"/>
        <w:ind w:left="0" w:firstLine="0"/>
        <w:jc w:val="left"/>
        <w:outlineLvl w:val="0"/>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 xml:space="preserve">For an SPS PDSCH configuration without repetitions, </w:t>
      </w:r>
    </w:p>
    <w:p>
      <w:pPr>
        <w:pStyle w:val="25"/>
        <w:widowControl/>
        <w:numPr>
          <w:ilvl w:val="0"/>
          <w:numId w:val="13"/>
        </w:numPr>
        <w:spacing w:before="120" w:after="120"/>
        <w:jc w:val="left"/>
        <w:outlineLvl w:val="0"/>
      </w:pPr>
      <w:r>
        <w:rPr>
          <w:rFonts w:ascii="Times New Roman" w:hAnsi="Times New Roman" w:eastAsia="Malgun Gothic" w:cs="Times New Roman"/>
          <w:b w:val="0"/>
          <w:bCs w:val="0"/>
          <w:color w:val="auto"/>
          <w:kern w:val="2"/>
          <w:sz w:val="20"/>
          <w:szCs w:val="20"/>
          <w:lang w:val="en-US" w:eastAsia="fi-FI" w:bidi="ar-SA"/>
        </w:rPr>
        <w:t xml:space="preserve">Option 1 can have less specification impact. E.g., the gNB signals the UE in DCI for a particular active SPS configuration ID with new FDRA for SBFD symbols. This is similar to the re-activation process of SPS. </w:t>
      </w:r>
    </w:p>
    <w:p>
      <w:pPr>
        <w:pStyle w:val="25"/>
        <w:widowControl/>
        <w:numPr>
          <w:ilvl w:val="0"/>
          <w:numId w:val="13"/>
        </w:numPr>
        <w:spacing w:before="120" w:after="120"/>
        <w:jc w:val="left"/>
        <w:outlineLvl w:val="0"/>
      </w:pPr>
      <w:r>
        <w:rPr>
          <w:rFonts w:ascii="Times New Roman" w:hAnsi="Times New Roman" w:eastAsia="Malgun Gothic" w:cs="Times New Roman"/>
          <w:b w:val="0"/>
          <w:bCs w:val="0"/>
          <w:color w:val="auto"/>
          <w:kern w:val="2"/>
          <w:sz w:val="20"/>
          <w:szCs w:val="20"/>
          <w:lang w:val="en-US" w:eastAsia="fi-FI" w:bidi="ar-SA"/>
        </w:rPr>
        <w:t>Option 2 has a significant amount of specification impact.</w:t>
      </w:r>
    </w:p>
    <w:p>
      <w:pPr>
        <w:pStyle w:val="25"/>
        <w:widowControl/>
        <w:numPr>
          <w:ilvl w:val="0"/>
          <w:numId w:val="13"/>
        </w:numPr>
        <w:spacing w:before="120" w:after="120"/>
        <w:jc w:val="left"/>
        <w:outlineLvl w:val="0"/>
      </w:pPr>
      <w:r>
        <w:rPr>
          <w:rFonts w:ascii="Times New Roman" w:hAnsi="Times New Roman" w:eastAsia="Malgun Gothic" w:cs="Times New Roman"/>
          <w:b w:val="0"/>
          <w:bCs w:val="0"/>
          <w:color w:val="auto"/>
          <w:kern w:val="2"/>
          <w:sz w:val="20"/>
          <w:szCs w:val="20"/>
          <w:lang w:val="en-US" w:eastAsia="fi-FI" w:bidi="ar-SA"/>
        </w:rPr>
        <w:t>Option 3 and option 4 will lead to reduction of resources since the PDSCH reception is being dropped. It will also impact the latency.</w:t>
      </w:r>
    </w:p>
    <w:p>
      <w:pPr>
        <w:pStyle w:val="25"/>
        <w:widowControl/>
        <w:numPr>
          <w:ilvl w:val="0"/>
          <w:numId w:val="13"/>
        </w:numPr>
        <w:spacing w:before="120" w:after="120"/>
        <w:jc w:val="left"/>
        <w:outlineLvl w:val="0"/>
      </w:pPr>
      <w:r>
        <w:rPr>
          <w:rFonts w:ascii="Times New Roman" w:hAnsi="Times New Roman" w:eastAsia="Malgun Gothic" w:cs="Times New Roman"/>
          <w:b w:val="0"/>
          <w:bCs w:val="0"/>
          <w:color w:val="auto"/>
          <w:kern w:val="2"/>
          <w:sz w:val="20"/>
          <w:szCs w:val="20"/>
          <w:lang w:val="en-US" w:eastAsia="fi-FI" w:bidi="ar-SA"/>
        </w:rPr>
        <w:t xml:space="preserve">Option 5 can lead to fewer resources since only the  </w:t>
      </w:r>
      <w:r>
        <w:rPr>
          <w:rFonts w:ascii="Times New Roman" w:hAnsi="Times New Roman" w:eastAsia="Malgun Gothic" w:cs="Times New Roman"/>
          <w:b w:val="0"/>
          <w:bCs w:val="0"/>
          <w:color w:val="auto"/>
          <w:kern w:val="2"/>
          <w:sz w:val="20"/>
          <w:szCs w:val="20"/>
          <w:lang w:val="en-US" w:eastAsia="zh-CN" w:bidi="ar-SA"/>
        </w:rPr>
        <w:t>assigned PRBs within DL usable PRBs in SBFD symbols are considered</w:t>
      </w:r>
    </w:p>
    <w:p>
      <w:pPr>
        <w:pStyle w:val="25"/>
        <w:widowControl/>
        <w:numPr>
          <w:ilvl w:val="0"/>
          <w:numId w:val="0"/>
        </w:numPr>
        <w:spacing w:before="120" w:after="120"/>
        <w:ind w:left="720" w:firstLine="0"/>
        <w:jc w:val="left"/>
        <w:outlineLvl w:val="0"/>
        <w:rPr>
          <w:rFonts w:ascii="Times New Roman" w:hAnsi="Times New Roman" w:eastAsia="Malgun Gothic" w:cs="Times New Roman"/>
          <w:b w:val="0"/>
          <w:bCs w:val="0"/>
          <w:color w:val="auto"/>
          <w:kern w:val="2"/>
          <w:sz w:val="20"/>
          <w:szCs w:val="20"/>
          <w:lang w:val="en-US" w:eastAsia="fi-FI" w:bidi="ar-SA"/>
        </w:rPr>
      </w:pPr>
    </w:p>
    <w:p>
      <w:pPr>
        <w:pStyle w:val="25"/>
        <w:widowControl/>
        <w:numPr>
          <w:ilvl w:val="0"/>
          <w:numId w:val="0"/>
        </w:numPr>
        <w:spacing w:before="120" w:after="120"/>
        <w:ind w:left="0" w:firstLine="0"/>
        <w:jc w:val="left"/>
        <w:outlineLvl w:val="0"/>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Based on the above, the following can be proposed.</w:t>
      </w:r>
    </w:p>
    <w:p>
      <w:pPr>
        <w:pStyle w:val="25"/>
        <w:widowControl/>
        <w:numPr>
          <w:ilvl w:val="0"/>
          <w:numId w:val="0"/>
        </w:numPr>
        <w:spacing w:before="120" w:after="120"/>
        <w:ind w:left="0" w:firstLine="0"/>
        <w:jc w:val="left"/>
        <w:outlineLvl w:val="0"/>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 xml:space="preserve">Proposal 18: </w:t>
      </w:r>
      <w:r>
        <w:rPr>
          <w:rFonts w:ascii="Times New Roman" w:hAnsi="Times New Roman" w:eastAsia="Malgun Gothic" w:cs="Times New Roman"/>
          <w:b/>
          <w:bCs/>
          <w:color w:val="auto"/>
          <w:kern w:val="2"/>
          <w:sz w:val="20"/>
          <w:szCs w:val="20"/>
          <w:lang w:val="en-US" w:eastAsia="zh-CN" w:bidi="ar-SA"/>
        </w:rPr>
        <w:t>For an SPS PDSCH configuration without repetitions, support Option 1: Separate resource allocations for SBFD symbols and non-SBFD symbols.</w:t>
      </w:r>
    </w:p>
    <w:p>
      <w:pPr>
        <w:widowControl/>
        <w:numPr>
          <w:ilvl w:val="0"/>
          <w:numId w:val="0"/>
        </w:numPr>
        <w:spacing w:before="120" w:after="120"/>
        <w:ind w:left="0" w:firstLine="0"/>
        <w:jc w:val="left"/>
        <w:outlineLvl w:val="0"/>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Similar method can be followed for CG PUSCH configuration without repetitions.</w:t>
      </w:r>
    </w:p>
    <w:p>
      <w:pPr>
        <w:pStyle w:val="25"/>
        <w:widowControl/>
        <w:numPr>
          <w:ilvl w:val="0"/>
          <w:numId w:val="0"/>
        </w:numPr>
        <w:spacing w:before="120" w:after="120"/>
        <w:ind w:left="0" w:firstLine="0"/>
        <w:jc w:val="left"/>
        <w:outlineLvl w:val="0"/>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zh-CN" w:bidi="ar-SA"/>
        </w:rPr>
        <w:t>Proposal 19: For both type 1 and type 2 CG PUSCH configuration without repetitions, support Option 1: Separate resource allocations for SBFD symbols and non-SBFD symbols.</w:t>
      </w:r>
    </w:p>
    <w:p>
      <w:pPr>
        <w:widowControl/>
        <w:numPr>
          <w:ilvl w:val="0"/>
          <w:numId w:val="0"/>
        </w:numPr>
        <w:spacing w:before="120" w:after="120"/>
        <w:ind w:left="0" w:firstLine="0"/>
        <w:jc w:val="left"/>
        <w:outlineLvl w:val="0"/>
        <w:rPr>
          <w:rFonts w:ascii="Times New Roman" w:hAnsi="Times New Roman" w:eastAsia="Malgun Gothic" w:cs="Times New Roman"/>
          <w:b/>
          <w:bCs/>
          <w:color w:val="auto"/>
          <w:kern w:val="2"/>
          <w:sz w:val="20"/>
          <w:szCs w:val="20"/>
          <w:lang w:val="en-US" w:eastAsia="zh-CN" w:bidi="ar-SA"/>
        </w:rPr>
      </w:pPr>
    </w:p>
    <w:p>
      <w:pPr>
        <w:pStyle w:val="25"/>
        <w:widowControl/>
        <w:numPr>
          <w:ilvl w:val="0"/>
          <w:numId w:val="0"/>
        </w:numPr>
        <w:spacing w:before="120" w:after="120"/>
        <w:ind w:left="0" w:firstLine="0"/>
        <w:jc w:val="left"/>
        <w:outlineLvl w:val="0"/>
        <w:rPr>
          <w:rFonts w:ascii="Times New Roman" w:hAnsi="Times New Roman" w:cs="Times New Roman" w:eastAsiaTheme="minorEastAsia"/>
          <w:b/>
          <w:color w:val="auto"/>
          <w:kern w:val="2"/>
          <w:sz w:val="26"/>
          <w:szCs w:val="26"/>
          <w:lang w:val="zh-CN" w:eastAsia="zh-CN" w:bidi="ar-SA"/>
        </w:rPr>
      </w:pPr>
    </w:p>
    <w:p>
      <w:pPr>
        <w:pStyle w:val="25"/>
        <w:widowControl/>
        <w:numPr>
          <w:ilvl w:val="0"/>
          <w:numId w:val="0"/>
        </w:numPr>
        <w:spacing w:before="120" w:after="120"/>
        <w:ind w:left="0" w:firstLine="0"/>
        <w:jc w:val="left"/>
        <w:outlineLvl w:val="0"/>
        <w:rPr>
          <w:rFonts w:ascii="Times New Roman" w:hAnsi="Times New Roman" w:cs="Times New Roman" w:eastAsiaTheme="minorEastAsia"/>
          <w:b/>
          <w:color w:val="auto"/>
          <w:kern w:val="2"/>
          <w:sz w:val="26"/>
          <w:szCs w:val="26"/>
          <w:lang w:val="zh-CN" w:eastAsia="zh-CN" w:bidi="ar-SA"/>
        </w:rPr>
      </w:pPr>
    </w:p>
    <w:p>
      <w:pPr>
        <w:pStyle w:val="25"/>
        <w:widowControl/>
        <w:numPr>
          <w:ilvl w:val="0"/>
          <w:numId w:val="0"/>
        </w:numPr>
        <w:spacing w:before="120" w:after="120"/>
        <w:ind w:left="0" w:firstLine="0"/>
        <w:jc w:val="left"/>
        <w:outlineLvl w:val="0"/>
        <w:rPr>
          <w:rFonts w:ascii="Times New Roman" w:hAnsi="Times New Roman" w:cs="Times New Roman" w:eastAsiaTheme="minorEastAsia"/>
          <w:b/>
          <w:color w:val="auto"/>
          <w:kern w:val="2"/>
          <w:sz w:val="26"/>
          <w:szCs w:val="26"/>
          <w:lang w:val="zh-CN" w:eastAsia="zh-CN" w:bidi="ar-SA"/>
        </w:rPr>
      </w:pPr>
    </w:p>
    <w:p>
      <w:pPr>
        <w:pStyle w:val="25"/>
        <w:widowControl/>
        <w:numPr>
          <w:ilvl w:val="0"/>
          <w:numId w:val="0"/>
        </w:numPr>
        <w:spacing w:before="120" w:after="120"/>
        <w:ind w:left="0" w:firstLine="0"/>
        <w:jc w:val="left"/>
        <w:outlineLvl w:val="0"/>
        <w:rPr>
          <w:rFonts w:ascii="Times New Roman" w:hAnsi="Times New Roman" w:cs="Times New Roman" w:eastAsiaTheme="minorEastAsia"/>
          <w:b/>
          <w:color w:val="auto"/>
          <w:kern w:val="2"/>
          <w:sz w:val="26"/>
          <w:szCs w:val="26"/>
          <w:lang w:val="zh-CN" w:eastAsia="zh-CN" w:bidi="ar-SA"/>
        </w:rPr>
      </w:pPr>
      <w:r>
        <w:rPr>
          <w:rFonts w:ascii="Times New Roman" w:hAnsi="Times New Roman" w:cs="Times New Roman" w:eastAsiaTheme="minorEastAsia"/>
          <w:b/>
          <w:bCs w:val="0"/>
          <w:color w:val="auto"/>
          <w:kern w:val="2"/>
          <w:sz w:val="26"/>
          <w:szCs w:val="26"/>
          <w:lang w:val="zh-CN" w:eastAsia="zh-CN" w:bidi="ar-SA"/>
        </w:rPr>
        <w:t>3.3.2 PDSCH Repetitions</w:t>
      </w:r>
    </w:p>
    <w:tbl>
      <w:tblPr>
        <w:tblStyle w:val="8"/>
        <w:tblW w:w="9070" w:type="dxa"/>
        <w:tblInd w:w="0" w:type="dxa"/>
        <w:tblLayout w:type="autofit"/>
        <w:tblCellMar>
          <w:top w:w="55" w:type="dxa"/>
          <w:left w:w="55" w:type="dxa"/>
          <w:bottom w:w="55" w:type="dxa"/>
          <w:right w:w="55" w:type="dxa"/>
        </w:tblCellMar>
      </w:tblPr>
      <w:tblGrid>
        <w:gridCol w:w="9070"/>
      </w:tblGrid>
      <w:tr>
        <w:tblPrEx>
          <w:tblCellMar>
            <w:top w:w="55" w:type="dxa"/>
            <w:left w:w="55" w:type="dxa"/>
            <w:bottom w:w="55" w:type="dxa"/>
            <w:right w:w="55" w:type="dxa"/>
          </w:tblCellMar>
        </w:tblPrEx>
        <w:tc>
          <w:tcPr>
            <w:tcW w:w="9070" w:type="dxa"/>
            <w:tcBorders>
              <w:top w:val="single" w:color="000000" w:sz="2" w:space="0"/>
              <w:left w:val="single" w:color="000000" w:sz="2" w:space="0"/>
              <w:bottom w:val="single" w:color="000000" w:sz="2" w:space="0"/>
              <w:right w:val="single" w:color="000000" w:sz="2" w:space="0"/>
            </w:tcBorders>
          </w:tcPr>
          <w:p>
            <w:pPr>
              <w:rPr>
                <w:rFonts w:eastAsia="Malgun Gothic"/>
                <w:b/>
                <w:highlight w:val="green"/>
                <w:lang w:eastAsia="zh-CN"/>
              </w:rPr>
            </w:pPr>
            <w:r>
              <w:rPr>
                <w:rFonts w:eastAsia="Malgun Gothic"/>
                <w:b/>
                <w:highlight w:val="green"/>
                <w:lang w:eastAsia="zh-CN"/>
              </w:rPr>
              <w:t>Agreement</w:t>
            </w:r>
          </w:p>
          <w:p>
            <w:pPr>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 xml:space="preserve">For PDSCH repetitions across SBFD symbols and non-SBFD symbols in different slots where each repetition has either all SBFD or all non-SBFD symbols, and for multi-PDSCH scheduled by a single DCI across SBFD symbols and non-SBFD symbols, where each PDSCH within a slot has either all SBFD or all non-SBFD symbols, discuss and decide whether/which of the following option(s) are supported. </w:t>
            </w:r>
          </w:p>
          <w:p>
            <w:pPr>
              <w:numPr>
                <w:ilvl w:val="0"/>
                <w:numId w:val="13"/>
              </w:numPr>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Option 1: Separate FDRA configuration/indications/interpretations for SBFD symbols and non-SBFD symbols</w:t>
            </w:r>
          </w:p>
          <w:p>
            <w:pPr>
              <w:numPr>
                <w:ilvl w:val="0"/>
                <w:numId w:val="13"/>
              </w:numPr>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 xml:space="preserve">Option 2: Single FDRA configuration/indication for one symbol type (SBFD or non-SBFD symbol) and RB offset(s) configuration/indication/determination to determine resource for the other symbol type </w:t>
            </w:r>
          </w:p>
          <w:p>
            <w:pPr>
              <w:numPr>
                <w:ilvl w:val="0"/>
                <w:numId w:val="13"/>
              </w:numPr>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Option 3: A PDSCH in a slot overlapping with RBs outside DL usable PRBs in SBFD symbols is invalid, e.g. the PDSCH in the slot is dropped</w:t>
            </w:r>
          </w:p>
          <w:p>
            <w:pPr>
              <w:numPr>
                <w:ilvl w:val="0"/>
                <w:numId w:val="13"/>
              </w:numPr>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Option 4: Only PDSCH in one symbol type is valid and PDSCH in the other symbol type is invalid</w:t>
            </w:r>
          </w:p>
          <w:p>
            <w:pPr>
              <w:numPr>
                <w:ilvl w:val="0"/>
                <w:numId w:val="13"/>
              </w:numPr>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 xml:space="preserve">Option 5: For a PDSCH in a slot overlapping with RBs outside DL usable PRBs in SBFD symbols, only the assigned PRBs within DL usable PRBs are considered to be valid </w:t>
            </w:r>
          </w:p>
          <w:p>
            <w:pPr>
              <w:numPr>
                <w:ilvl w:val="0"/>
                <w:numId w:val="13"/>
              </w:numPr>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Option 6: gNB does not schedule any PDSCH in SBFD symbols in a slot to be overlapping with PRBs outside DL usable PRBs</w:t>
            </w:r>
          </w:p>
          <w:p>
            <w:pPr>
              <w:numPr>
                <w:ilvl w:val="0"/>
                <w:numId w:val="13"/>
              </w:numPr>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Other options are not precluded</w:t>
            </w:r>
          </w:p>
          <w:p>
            <w:pPr>
              <w:numPr>
                <w:ilvl w:val="0"/>
                <w:numId w:val="13"/>
              </w:numPr>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FFS: Applicable conditions</w:t>
            </w:r>
          </w:p>
        </w:tc>
      </w:tr>
    </w:tbl>
    <w:p>
      <w:pPr>
        <w:pStyle w:val="25"/>
        <w:widowControl/>
        <w:numPr>
          <w:ilvl w:val="0"/>
          <w:numId w:val="0"/>
        </w:numPr>
        <w:spacing w:before="120" w:after="120"/>
        <w:ind w:left="0" w:firstLine="0"/>
        <w:jc w:val="both"/>
        <w:outlineLvl w:val="0"/>
        <w:rPr>
          <w:b w:val="0"/>
          <w:bCs w:val="0"/>
        </w:rPr>
      </w:pPr>
    </w:p>
    <w:p>
      <w:pPr>
        <w:pStyle w:val="25"/>
        <w:widowControl/>
        <w:numPr>
          <w:ilvl w:val="0"/>
          <w:numId w:val="13"/>
        </w:numPr>
        <w:spacing w:before="120" w:after="120"/>
        <w:jc w:val="both"/>
        <w:outlineLvl w:val="0"/>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Option 1 requires 2 FDRA configurations to be provided in a single DCI. This can lead to updating the DCI format or a new DCI format.</w:t>
      </w:r>
    </w:p>
    <w:p>
      <w:pPr>
        <w:pStyle w:val="25"/>
        <w:widowControl/>
        <w:numPr>
          <w:ilvl w:val="0"/>
          <w:numId w:val="13"/>
        </w:numPr>
        <w:spacing w:before="120" w:after="120"/>
        <w:jc w:val="both"/>
        <w:outlineLvl w:val="0"/>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Option 2 has significant specification impact.</w:t>
      </w:r>
    </w:p>
    <w:p>
      <w:pPr>
        <w:pStyle w:val="25"/>
        <w:widowControl/>
        <w:numPr>
          <w:ilvl w:val="0"/>
          <w:numId w:val="13"/>
        </w:numPr>
        <w:spacing w:before="120" w:after="120"/>
        <w:jc w:val="both"/>
        <w:outlineLvl w:val="0"/>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Option 3, 4 and 6 would lead to unnecessary reduction of resources.</w:t>
      </w:r>
    </w:p>
    <w:p>
      <w:pPr>
        <w:pStyle w:val="25"/>
        <w:widowControl/>
        <w:numPr>
          <w:ilvl w:val="0"/>
          <w:numId w:val="13"/>
        </w:numPr>
        <w:spacing w:before="120" w:after="120"/>
        <w:jc w:val="both"/>
        <w:outlineLvl w:val="0"/>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Option 5 has minimum specification impact and minimum reduction of resources. Latency is also not impacted.</w:t>
      </w:r>
    </w:p>
    <w:p>
      <w:pPr>
        <w:pStyle w:val="25"/>
        <w:widowControl/>
        <w:numPr>
          <w:ilvl w:val="0"/>
          <w:numId w:val="0"/>
        </w:numPr>
        <w:spacing w:before="120" w:after="120"/>
        <w:ind w:left="0" w:firstLine="0"/>
        <w:jc w:val="left"/>
        <w:outlineLvl w:val="0"/>
        <w:rPr>
          <w:b w:val="0"/>
          <w:bCs w:val="0"/>
        </w:rPr>
      </w:pPr>
      <w:r>
        <w:rPr>
          <w:rFonts w:ascii="Times New Roman" w:hAnsi="Times New Roman" w:eastAsia="Malgun Gothic" w:cs="Times New Roman"/>
          <w:b w:val="0"/>
          <w:bCs w:val="0"/>
          <w:color w:val="auto"/>
          <w:kern w:val="2"/>
          <w:sz w:val="20"/>
          <w:szCs w:val="20"/>
          <w:lang w:val="en-US" w:eastAsia="fi-FI" w:bidi="ar-SA"/>
        </w:rPr>
        <w:t>Based on the above, the following can be proposed.</w:t>
      </w:r>
    </w:p>
    <w:p>
      <w:pPr>
        <w:pStyle w:val="25"/>
        <w:widowControl/>
        <w:numPr>
          <w:ilvl w:val="0"/>
          <w:numId w:val="0"/>
        </w:numPr>
        <w:spacing w:before="120" w:after="120"/>
        <w:ind w:left="0" w:firstLine="0"/>
        <w:jc w:val="both"/>
        <w:outlineLvl w:val="0"/>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 xml:space="preserve">Proposal 20: </w:t>
      </w:r>
      <w:r>
        <w:rPr>
          <w:rFonts w:ascii="Times New Roman" w:hAnsi="Times New Roman" w:eastAsia="Malgun Gothic" w:cs="Times New Roman"/>
          <w:b/>
          <w:bCs/>
          <w:color w:val="auto"/>
          <w:kern w:val="2"/>
          <w:sz w:val="20"/>
          <w:szCs w:val="20"/>
          <w:lang w:val="en-US" w:eastAsia="zh-CN" w:bidi="ar-SA"/>
        </w:rPr>
        <w:t>For PDSCH repetitions across SBFD symbols and non-SBFD symbols in different slots where each repetition has either all SBFD or all non-SBFD symbols, and for multi-PDSCH scheduled by a single DCI across SBFD symbols and non-SBFD symbols, where each PDSCH within a slot has either all SBFD or all non-SBFD symbols, support option 5: For a PDSCH in a slot overlapping with RBs outside DL usable PRBs in SBFD symbols, only the assigned PRBs within DL usable PRBs are considered to be valid.</w:t>
      </w:r>
    </w:p>
    <w:p>
      <w:pPr>
        <w:pStyle w:val="25"/>
        <w:widowControl/>
        <w:numPr>
          <w:ilvl w:val="0"/>
          <w:numId w:val="0"/>
        </w:numPr>
        <w:spacing w:before="120" w:after="120"/>
        <w:ind w:left="0" w:firstLine="0"/>
        <w:jc w:val="both"/>
        <w:outlineLvl w:val="0"/>
        <w:rPr>
          <w:b w:val="0"/>
          <w:bCs w:val="0"/>
        </w:rPr>
      </w:pPr>
    </w:p>
    <w:p>
      <w:pPr>
        <w:pStyle w:val="25"/>
        <w:widowControl/>
        <w:numPr>
          <w:ilvl w:val="0"/>
          <w:numId w:val="0"/>
        </w:numPr>
        <w:spacing w:before="120" w:after="120"/>
        <w:ind w:left="0" w:firstLine="0"/>
        <w:jc w:val="left"/>
        <w:outlineLvl w:val="0"/>
        <w:rPr>
          <w:rFonts w:ascii="Times New Roman" w:hAnsi="Times New Roman" w:cs="Times New Roman" w:eastAsiaTheme="minorEastAsia"/>
          <w:b/>
          <w:color w:val="auto"/>
          <w:kern w:val="2"/>
          <w:sz w:val="26"/>
          <w:szCs w:val="26"/>
          <w:lang w:val="zh-CN" w:eastAsia="zh-CN" w:bidi="ar-SA"/>
        </w:rPr>
      </w:pPr>
      <w:r>
        <w:rPr>
          <w:rFonts w:ascii="Times New Roman" w:hAnsi="Times New Roman" w:cs="Times New Roman" w:eastAsiaTheme="minorEastAsia"/>
          <w:b/>
          <w:bCs w:val="0"/>
          <w:color w:val="auto"/>
          <w:kern w:val="2"/>
          <w:sz w:val="26"/>
          <w:szCs w:val="26"/>
          <w:lang w:val="zh-CN" w:eastAsia="zh-CN" w:bidi="ar-SA"/>
        </w:rPr>
        <w:t>3.3.3 PUSCH Repetitions</w:t>
      </w:r>
    </w:p>
    <w:tbl>
      <w:tblPr>
        <w:tblStyle w:val="8"/>
        <w:tblW w:w="9070" w:type="dxa"/>
        <w:tblInd w:w="0" w:type="dxa"/>
        <w:tblLayout w:type="autofit"/>
        <w:tblCellMar>
          <w:top w:w="55" w:type="dxa"/>
          <w:left w:w="55" w:type="dxa"/>
          <w:bottom w:w="55" w:type="dxa"/>
          <w:right w:w="55" w:type="dxa"/>
        </w:tblCellMar>
      </w:tblPr>
      <w:tblGrid>
        <w:gridCol w:w="9070"/>
      </w:tblGrid>
      <w:tr>
        <w:tblPrEx>
          <w:tblCellMar>
            <w:top w:w="55" w:type="dxa"/>
            <w:left w:w="55" w:type="dxa"/>
            <w:bottom w:w="55" w:type="dxa"/>
            <w:right w:w="55" w:type="dxa"/>
          </w:tblCellMar>
        </w:tblPrEx>
        <w:tc>
          <w:tcPr>
            <w:tcW w:w="9070" w:type="dxa"/>
            <w:tcBorders>
              <w:top w:val="single" w:color="000000" w:sz="2" w:space="0"/>
              <w:left w:val="single" w:color="000000" w:sz="2" w:space="0"/>
              <w:bottom w:val="single" w:color="000000" w:sz="2" w:space="0"/>
              <w:right w:val="single" w:color="000000" w:sz="2" w:space="0"/>
            </w:tcBorders>
          </w:tcPr>
          <w:p>
            <w:pPr>
              <w:rPr>
                <w:rFonts w:eastAsia="Malgun Gothic"/>
                <w:b/>
                <w:highlight w:val="green"/>
                <w:lang w:eastAsia="zh-CN"/>
              </w:rPr>
            </w:pPr>
            <w:r>
              <w:rPr>
                <w:rFonts w:eastAsia="Malgun Gothic"/>
                <w:b/>
                <w:highlight w:val="green"/>
                <w:lang w:eastAsia="zh-CN"/>
              </w:rPr>
              <w:t>Agreement</w:t>
            </w:r>
          </w:p>
          <w:p>
            <w:pPr>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 xml:space="preserve">For PUSCH repetition type-A across SBFD symbols and non-SBFD symbols in different slots where each repetition has either all SBFD or all non-SBFD symbols, and for multi-PUSCH scheduled by a single DCI across SBFD symbols and non-SBFD symbols, where each PUSCH within a slot has either all SBFD or all non-SBFD symbols, and for TBoMS across SBFD symbols and non-SBFD symbols in different slots, where each transmission within a slot has either all SBFD or all non-SBFD symbols, discuss and decide whether/which of the following option(s) are supported. </w:t>
            </w:r>
          </w:p>
          <w:p>
            <w:pPr>
              <w:numPr>
                <w:ilvl w:val="0"/>
                <w:numId w:val="13"/>
              </w:numPr>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Option 1: Separate FDRA configuration/indications/interpretations for SBFD symbols and non-SBFD symbols</w:t>
            </w:r>
          </w:p>
          <w:p>
            <w:pPr>
              <w:numPr>
                <w:ilvl w:val="0"/>
                <w:numId w:val="13"/>
              </w:numPr>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 xml:space="preserve">Option 2: Single FDRA configuration/indication for one symbol type (SBFD or non-SBFD symbol) and RB offset(s) configuration/indication/determination to determine resource for the other symbol type </w:t>
            </w:r>
          </w:p>
          <w:p>
            <w:pPr>
              <w:numPr>
                <w:ilvl w:val="0"/>
                <w:numId w:val="13"/>
              </w:numPr>
            </w:pPr>
            <w:r>
              <w:rPr>
                <w:rFonts w:ascii="Times New Roman" w:hAnsi="Times New Roman" w:eastAsia="Malgun Gothic" w:cs="Times New Roman"/>
                <w:b w:val="0"/>
                <w:bCs w:val="0"/>
                <w:color w:val="auto"/>
                <w:kern w:val="2"/>
                <w:sz w:val="20"/>
                <w:szCs w:val="20"/>
                <w:lang w:val="en-US" w:eastAsia="fi-FI" w:bidi="ar-SA"/>
              </w:rPr>
              <w:t>Option 3: A PUSCH in a slot overlapping with RBs outside UL usable PRBs in SBFD symbols is invalid, e.g. the PUSCH in the slot is dropped/po</w:t>
            </w:r>
            <w:r>
              <w:rPr>
                <w:rFonts w:eastAsia="Malgun Gothic"/>
                <w:lang w:eastAsia="zh-CN"/>
              </w:rPr>
              <w:t>stponed</w:t>
            </w:r>
          </w:p>
          <w:p>
            <w:pPr>
              <w:numPr>
                <w:ilvl w:val="0"/>
                <w:numId w:val="13"/>
              </w:numPr>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Option 4: Only PUSCH in one symbol type is valid and PUSCH in the other symbol type is invalid</w:t>
            </w:r>
          </w:p>
          <w:p>
            <w:pPr>
              <w:numPr>
                <w:ilvl w:val="0"/>
                <w:numId w:val="13"/>
              </w:numPr>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 xml:space="preserve">Option 5: For a PUSCH in a slot overlapping with RBs outside UL usable PRBs in SBFD symbols, only the assigned PRBs within UL usable PRBs are considered to be valid </w:t>
            </w:r>
          </w:p>
          <w:p>
            <w:pPr>
              <w:numPr>
                <w:ilvl w:val="0"/>
                <w:numId w:val="13"/>
              </w:numPr>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Option 6: gNB does not schedule any PUSCH in SBFD symbols in a slot to be overlapping with PRBs outside UL usable PRBs</w:t>
            </w:r>
          </w:p>
          <w:p>
            <w:pPr>
              <w:numPr>
                <w:ilvl w:val="0"/>
                <w:numId w:val="13"/>
              </w:numPr>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Other options are not precluded</w:t>
            </w:r>
          </w:p>
          <w:p>
            <w:pPr>
              <w:numPr>
                <w:ilvl w:val="0"/>
                <w:numId w:val="13"/>
              </w:numPr>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FFS: Applicable conditions</w:t>
            </w:r>
          </w:p>
        </w:tc>
      </w:tr>
    </w:tbl>
    <w:p>
      <w:pPr>
        <w:widowControl/>
        <w:numPr>
          <w:ilvl w:val="0"/>
          <w:numId w:val="0"/>
        </w:numPr>
        <w:spacing w:before="120" w:after="120"/>
        <w:ind w:left="0" w:firstLine="0"/>
        <w:jc w:val="left"/>
        <w:outlineLvl w:val="0"/>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Similar analysis can be followed for PUSCH repetition and the following is proposed.</w:t>
      </w:r>
    </w:p>
    <w:p>
      <w:pPr>
        <w:pStyle w:val="25"/>
        <w:widowControl/>
        <w:numPr>
          <w:ilvl w:val="0"/>
          <w:numId w:val="0"/>
        </w:numPr>
        <w:spacing w:before="120" w:after="120"/>
        <w:ind w:left="0" w:firstLine="0"/>
        <w:jc w:val="both"/>
        <w:outlineLvl w:val="0"/>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 xml:space="preserve">Proposal 21: </w:t>
      </w:r>
      <w:r>
        <w:rPr>
          <w:rFonts w:ascii="Times New Roman" w:hAnsi="Times New Roman" w:eastAsia="Malgun Gothic" w:cs="Times New Roman"/>
          <w:b/>
          <w:bCs/>
          <w:color w:val="auto"/>
          <w:kern w:val="2"/>
          <w:sz w:val="20"/>
          <w:szCs w:val="20"/>
          <w:lang w:val="en-US" w:eastAsia="zh-CN" w:bidi="ar-SA"/>
        </w:rPr>
        <w:t>For PUSCH repetitions across SBFD symbols and non-SBFD symbols in different slots where each repetition has either all SBFD or all non-SBFD symbols, and for multi-PUSCH scheduled by a single DCI across SBFD symbols and non-SBFD symbols, where each PUSCH within a slot has either all SBFD or all non-SBFD symbols, support option 5: For a PUSCH in a slot overlapping with RBs outside UL usable PRBs in SBFD symbols, only the assigned PRBs within UL usable PRBs are considered to be valid.</w:t>
      </w:r>
    </w:p>
    <w:p>
      <w:pPr>
        <w:pStyle w:val="25"/>
        <w:widowControl/>
        <w:numPr>
          <w:ilvl w:val="0"/>
          <w:numId w:val="0"/>
        </w:numPr>
        <w:spacing w:before="120" w:after="120"/>
        <w:ind w:left="0" w:firstLine="0"/>
        <w:jc w:val="left"/>
        <w:outlineLvl w:val="0"/>
        <w:rPr>
          <w:rFonts w:ascii="Times New Roman" w:hAnsi="Times New Roman" w:cs="Times New Roman" w:eastAsiaTheme="minorEastAsia"/>
          <w:b/>
          <w:color w:val="auto"/>
          <w:kern w:val="2"/>
          <w:sz w:val="26"/>
          <w:szCs w:val="26"/>
          <w:lang w:val="zh-CN" w:eastAsia="zh-CN" w:bidi="ar-SA"/>
        </w:rPr>
      </w:pPr>
      <w:r>
        <w:rPr>
          <w:rFonts w:ascii="Times New Roman" w:hAnsi="Times New Roman" w:cs="Times New Roman" w:eastAsiaTheme="minorEastAsia"/>
          <w:b/>
          <w:bCs w:val="0"/>
          <w:color w:val="auto"/>
          <w:kern w:val="2"/>
          <w:sz w:val="26"/>
          <w:szCs w:val="26"/>
          <w:lang w:val="zh-CN" w:eastAsia="zh-CN" w:bidi="ar-SA"/>
        </w:rPr>
        <w:t>3.3.4 CSI report</w:t>
      </w:r>
    </w:p>
    <w:p>
      <w:pPr>
        <w:pStyle w:val="25"/>
        <w:widowControl/>
        <w:numPr>
          <w:ilvl w:val="0"/>
          <w:numId w:val="0"/>
        </w:numPr>
        <w:spacing w:before="120" w:after="120"/>
        <w:ind w:left="0" w:firstLine="0"/>
        <w:jc w:val="left"/>
        <w:outlineLvl w:val="0"/>
        <w:rPr>
          <w:rFonts w:ascii="Times New Roman" w:hAnsi="Times New Roman" w:cs="Times New Roman" w:eastAsiaTheme="minorEastAsia"/>
          <w:b/>
          <w:color w:val="auto"/>
          <w:kern w:val="2"/>
          <w:sz w:val="26"/>
          <w:szCs w:val="26"/>
          <w:lang w:val="zh-CN" w:eastAsia="zh-CN" w:bidi="ar-SA"/>
        </w:rPr>
      </w:pPr>
      <w:r>
        <w:rPr>
          <w:rFonts w:ascii="Times New Roman" w:hAnsi="Times New Roman" w:eastAsia="Malgun Gothic" w:cs="Times New Roman"/>
          <w:b w:val="0"/>
          <w:bCs w:val="0"/>
          <w:color w:val="auto"/>
          <w:kern w:val="2"/>
          <w:sz w:val="20"/>
          <w:szCs w:val="20"/>
          <w:lang w:val="en-US" w:eastAsia="fi-FI" w:bidi="ar-SA"/>
        </w:rPr>
        <w:t>TR 38.858 captures the following on CSI report:</w:t>
      </w:r>
    </w:p>
    <w:tbl>
      <w:tblPr>
        <w:tblStyle w:val="8"/>
        <w:tblW w:w="9070" w:type="dxa"/>
        <w:tblInd w:w="0" w:type="dxa"/>
        <w:tblLayout w:type="autofit"/>
        <w:tblCellMar>
          <w:top w:w="55" w:type="dxa"/>
          <w:left w:w="55" w:type="dxa"/>
          <w:bottom w:w="55" w:type="dxa"/>
          <w:right w:w="55" w:type="dxa"/>
        </w:tblCellMar>
      </w:tblPr>
      <w:tblGrid>
        <w:gridCol w:w="9070"/>
      </w:tblGrid>
      <w:tr>
        <w:tblPrEx>
          <w:tblCellMar>
            <w:top w:w="55" w:type="dxa"/>
            <w:left w:w="55" w:type="dxa"/>
            <w:bottom w:w="55" w:type="dxa"/>
            <w:right w:w="55" w:type="dxa"/>
          </w:tblCellMar>
        </w:tblPrEx>
        <w:tc>
          <w:tcPr>
            <w:tcW w:w="9070" w:type="dxa"/>
            <w:tcBorders>
              <w:top w:val="single" w:color="000000" w:sz="2" w:space="0"/>
              <w:left w:val="single" w:color="000000" w:sz="2" w:space="0"/>
              <w:bottom w:val="single" w:color="000000" w:sz="2" w:space="0"/>
              <w:right w:val="single" w:color="000000" w:sz="2" w:space="0"/>
            </w:tcBorders>
          </w:tcPr>
          <w:p>
            <w:pPr>
              <w:pStyle w:val="75"/>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For SBFD-aware UEs, the following options are studied for CSI report associated with periodic/semi-persistent CSI-RS, in case the periodicity is such that CSI-RS instances occur in both SBFD symbols and non-SBFD symbols in different slots (each CSI-RS resource within a slot has either all SBFD or all non-SBFD symbols):</w:t>
            </w:r>
          </w:p>
          <w:p>
            <w:pPr>
              <w:pStyle w:val="75"/>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 Option 1: two CSI-ReportConfigs, where one is associated with SBFD symbols and the other is associated</w:t>
            </w:r>
          </w:p>
          <w:p>
            <w:pPr>
              <w:pStyle w:val="75"/>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with non-SBFD symbols</w:t>
            </w:r>
          </w:p>
          <w:p>
            <w:pPr>
              <w:pStyle w:val="75"/>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Option 1-1: One CSI-ReportConfig is associated with a CSI-RS restricted to SBFD symbols only and the</w:t>
            </w:r>
          </w:p>
          <w:p>
            <w:pPr>
              <w:pStyle w:val="75"/>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second CSI-ReportConfig is associated with a second CSI-RS restricted to non-SBFD symbols only;</w:t>
            </w:r>
          </w:p>
          <w:p>
            <w:pPr>
              <w:pStyle w:val="75"/>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Option 1-2: Both CSI-ReportConfigs are associated with the same CSI-RS. The CSI report associated</w:t>
            </w:r>
          </w:p>
          <w:p>
            <w:pPr>
              <w:pStyle w:val="75"/>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with one CSI-ReportConfig is derived based on CSI-RS instances in SBFD symbols only. The CSI report</w:t>
            </w:r>
          </w:p>
          <w:p>
            <w:pPr>
              <w:pStyle w:val="75"/>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associated with the second CSI-ReportConfig is derived based on CSI-RS instances in non-SBFD</w:t>
            </w:r>
          </w:p>
          <w:p>
            <w:pPr>
              <w:pStyle w:val="75"/>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symbols only.</w:t>
            </w:r>
          </w:p>
          <w:p>
            <w:pPr>
              <w:pStyle w:val="75"/>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 Option 2: one CSI-ReportConfig associated with both SBFD symbols and non-SBFD symbols</w:t>
            </w:r>
          </w:p>
          <w:p>
            <w:pPr>
              <w:pStyle w:val="75"/>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Option 2-1: One CSI-ReportConfig is associated with two CSI-RSs which are restricted to SBFD</w:t>
            </w:r>
          </w:p>
          <w:p>
            <w:pPr>
              <w:pStyle w:val="75"/>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symbols and non-SBFD symbols respectively. Separate CSI measurements are derived based on the first</w:t>
            </w:r>
          </w:p>
          <w:p>
            <w:pPr>
              <w:pStyle w:val="75"/>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and second CSI-RSs respectively.</w:t>
            </w:r>
          </w:p>
          <w:p>
            <w:pPr>
              <w:pStyle w:val="75"/>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Option 2-2: One CSI-ReportConfig is associated with one CSI-RS. The CSI report is derived based on</w:t>
            </w:r>
          </w:p>
          <w:p>
            <w:pPr>
              <w:pStyle w:val="75"/>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CSI-RS which can be in SBFD symbols or non-SBFD symbols in different time instances.</w:t>
            </w:r>
          </w:p>
          <w:p>
            <w:pPr>
              <w:pStyle w:val="75"/>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Note that whether the CSI-RS resource can be used for SBFD and non-SBFD symbols may depend on, e.g., gNB implementation of same/different antenna configuration in both symbols.</w:t>
            </w:r>
          </w:p>
        </w:tc>
      </w:tr>
    </w:tbl>
    <w:p>
      <w:pPr>
        <w:pStyle w:val="75"/>
        <w:rPr>
          <w:rFonts w:ascii="Times New Roman" w:hAnsi="Times New Roman" w:eastAsia="Malgun Gothic" w:cs="Times New Roman"/>
          <w:b w:val="0"/>
          <w:bCs w:val="0"/>
          <w:color w:val="auto"/>
          <w:kern w:val="2"/>
          <w:sz w:val="20"/>
          <w:szCs w:val="20"/>
          <w:lang w:val="en-US" w:eastAsia="fi-FI" w:bidi="ar-SA"/>
        </w:rPr>
      </w:pPr>
    </w:p>
    <w:p>
      <w:pPr>
        <w:pStyle w:val="75"/>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As discussed during the SI phase, Option 1-1 can be supported according to existing specification by gNB configuration of appropriate periodicities to ensure that the CSI-RS associated with each CSI-ReportConfig is confined to either SBFD symbols or non-SBFD symbols only. But it may restrict the gNB configuration flexibility and enhancements can be considered by additional indication or rules to determine the CSI-RS is valid within one symbol type and is invalid in the other symbol type. Option 2-2 can be supported according to existing specification to configure measurement restriction so that UE would not average CSI measurements across SBFD and non-SBFD symbols. Hence, we propose the following.</w:t>
      </w:r>
    </w:p>
    <w:p>
      <w:pPr>
        <w:pStyle w:val="25"/>
        <w:widowControl/>
        <w:numPr>
          <w:ilvl w:val="0"/>
          <w:numId w:val="0"/>
        </w:numPr>
        <w:spacing w:before="120" w:after="120"/>
        <w:ind w:left="0" w:firstLine="0"/>
        <w:jc w:val="both"/>
        <w:outlineLvl w:val="0"/>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Proposal 22: CSI report associated with periodic/semi-persistent CSI-RS, in case the periodicity is such that CSI-RS instances occur in both SBFD symbols and non-SBFD symbols in different slots, down-select Option 2 (one CSI-ReportConfig associated with both SBFD symbols and non-SBFD symbols).</w:t>
      </w:r>
    </w:p>
    <w:p>
      <w:pPr>
        <w:widowControl/>
        <w:overflowPunct w:val="0"/>
        <w:spacing w:before="0" w:after="180"/>
        <w:contextualSpacing/>
        <w:jc w:val="left"/>
        <w:textAlignment w:val="baseline"/>
      </w:pPr>
      <w:r>
        <w:rPr>
          <w:rFonts w:ascii="Times New Roman" w:hAnsi="Times New Roman" w:cs="Times New Roman" w:eastAsiaTheme="minorEastAsia"/>
          <w:b/>
          <w:color w:val="auto"/>
          <w:kern w:val="2"/>
          <w:sz w:val="28"/>
          <w:szCs w:val="20"/>
          <w:lang w:val="zh-CN" w:eastAsia="zh-CN" w:bidi="ar-SA"/>
        </w:rPr>
        <w:t xml:space="preserve">4.  </w:t>
      </w:r>
      <w:r>
        <w:rPr>
          <w:rFonts w:ascii="Times New Roman" w:hAnsi="Times New Roman" w:cs="Times New Roman" w:eastAsiaTheme="minorEastAsia"/>
          <w:b/>
          <w:bCs/>
          <w:color w:val="auto"/>
          <w:kern w:val="2"/>
          <w:sz w:val="28"/>
          <w:szCs w:val="20"/>
          <w:lang w:val="zh-CN" w:eastAsia="zh-CN" w:bidi="ar-SA"/>
        </w:rPr>
        <w:t xml:space="preserve">SRS, PUCCH and PUSCH in SBFD and non-SBFD symbols </w:t>
      </w:r>
      <w:r>
        <w:rPr>
          <w:rFonts w:ascii="Times New Roman" w:hAnsi="Times New Roman" w:eastAsia="Malgun Gothic" w:cs="Times New Roman"/>
          <w:b/>
          <w:bCs/>
          <w:color w:val="auto"/>
          <w:kern w:val="2"/>
          <w:sz w:val="28"/>
          <w:szCs w:val="20"/>
          <w:lang w:val="zh-CN" w:eastAsia="zh-CN" w:bidi="ar-SA"/>
        </w:rPr>
        <w:t>in different slots</w:t>
      </w:r>
    </w:p>
    <w:tbl>
      <w:tblPr>
        <w:tblStyle w:val="8"/>
        <w:tblW w:w="9070" w:type="dxa"/>
        <w:tblInd w:w="0" w:type="dxa"/>
        <w:tblLayout w:type="autofit"/>
        <w:tblCellMar>
          <w:top w:w="55" w:type="dxa"/>
          <w:left w:w="55" w:type="dxa"/>
          <w:bottom w:w="55" w:type="dxa"/>
          <w:right w:w="55" w:type="dxa"/>
        </w:tblCellMar>
      </w:tblPr>
      <w:tblGrid>
        <w:gridCol w:w="9070"/>
      </w:tblGrid>
      <w:tr>
        <w:tblPrEx>
          <w:tblCellMar>
            <w:top w:w="55" w:type="dxa"/>
            <w:left w:w="55" w:type="dxa"/>
            <w:bottom w:w="55" w:type="dxa"/>
            <w:right w:w="55" w:type="dxa"/>
          </w:tblCellMar>
        </w:tblPrEx>
        <w:tc>
          <w:tcPr>
            <w:tcW w:w="9070" w:type="dxa"/>
            <w:tcBorders>
              <w:top w:val="single" w:color="000000" w:sz="2" w:space="0"/>
              <w:left w:val="single" w:color="000000" w:sz="2" w:space="0"/>
              <w:bottom w:val="single" w:color="000000" w:sz="2" w:space="0"/>
              <w:right w:val="single" w:color="000000" w:sz="2" w:space="0"/>
            </w:tcBorders>
          </w:tcPr>
          <w:p>
            <w:pPr>
              <w:rPr>
                <w:rFonts w:eastAsia="Malgun Gothic"/>
                <w:b/>
                <w:highlight w:val="green"/>
                <w:lang w:eastAsia="zh-CN"/>
              </w:rPr>
            </w:pPr>
            <w:r>
              <w:rPr>
                <w:rFonts w:eastAsia="Malgun Gothic"/>
                <w:b/>
                <w:highlight w:val="green"/>
                <w:lang w:eastAsia="zh-CN"/>
              </w:rPr>
              <w:t>Agreement</w:t>
            </w:r>
          </w:p>
          <w:p>
            <w:pPr>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val="0"/>
                <w:bCs w:val="0"/>
                <w:color w:val="auto"/>
                <w:kern w:val="2"/>
                <w:sz w:val="20"/>
                <w:szCs w:val="20"/>
                <w:lang w:val="en-US" w:eastAsia="fi-FI" w:bidi="ar-SA"/>
              </w:rPr>
              <w:t>Study the feasibility and enhancements to support separate power control and/or spatial relation for SRS, PUCCH and PUSCH in SBFD and non-SBFD symbols in different slots, including repetition and non-repetition, by considering existing schemes, e.g. multi-TRP PUCCH/PUSCH repetition schemes.</w:t>
            </w:r>
          </w:p>
        </w:tc>
      </w:tr>
    </w:tbl>
    <w:p>
      <w:pPr>
        <w:widowControl/>
        <w:overflowPunct w:val="0"/>
        <w:spacing w:before="0" w:after="180"/>
        <w:contextualSpacing/>
        <w:jc w:val="left"/>
        <w:textAlignment w:val="baseline"/>
        <w:rPr>
          <w:rFonts w:ascii="Times New Roman" w:hAnsi="Times New Roman" w:cs="Times New Roman" w:eastAsiaTheme="minorEastAsia"/>
          <w:b/>
          <w:color w:val="auto"/>
          <w:kern w:val="2"/>
          <w:sz w:val="28"/>
          <w:szCs w:val="20"/>
          <w:lang w:val="zh-CN" w:eastAsia="zh-CN" w:bidi="ar-SA"/>
        </w:rPr>
      </w:pPr>
    </w:p>
    <w:p>
      <w:pPr>
        <w:widowControl/>
        <w:overflowPunct w:val="0"/>
        <w:spacing w:before="0" w:after="180"/>
        <w:contextualSpacing/>
        <w:jc w:val="both"/>
        <w:textAlignment w:val="baseline"/>
      </w:pPr>
      <w:r>
        <w:rPr>
          <w:rFonts w:ascii="Times New Roman" w:hAnsi="Times New Roman" w:eastAsia="Malgun Gothic" w:cs="Times New Roman"/>
          <w:b w:val="0"/>
          <w:bCs w:val="0"/>
          <w:color w:val="auto"/>
          <w:kern w:val="2"/>
          <w:sz w:val="20"/>
          <w:szCs w:val="20"/>
          <w:lang w:val="en-US" w:eastAsia="fi-FI" w:bidi="ar-SA"/>
        </w:rPr>
        <w:t>gNB can use different sets of antennas for UL and DL. This will provide spatial isolation between DL and UL</w:t>
      </w:r>
    </w:p>
    <w:p>
      <w:pPr>
        <w:widowControl/>
        <w:overflowPunct w:val="0"/>
        <w:spacing w:before="0" w:after="180"/>
        <w:contextualSpacing/>
        <w:jc w:val="both"/>
        <w:textAlignment w:val="baseline"/>
      </w:pPr>
      <w:r>
        <w:rPr>
          <w:rFonts w:ascii="Times New Roman" w:hAnsi="Times New Roman" w:eastAsia="Malgun Gothic" w:cs="Times New Roman"/>
          <w:b w:val="0"/>
          <w:bCs w:val="0"/>
          <w:color w:val="auto"/>
          <w:kern w:val="2"/>
          <w:sz w:val="20"/>
          <w:szCs w:val="20"/>
          <w:lang w:val="en-US" w:eastAsia="fi-FI" w:bidi="ar-SA"/>
        </w:rPr>
        <w:t xml:space="preserve">which will help to reduce interference (adjacent channel, leakage etc.) from the DL to UL resources at the gNB. In such a case, reciprocity assumptions between DL and UL will not hold true as the panels used are different. This will have an impact on the path loss measurement done by the UE for UL power control. Currently in NR, the pathloss is measured on a DL reference signal (e.g., CSI-RS/ synchronization signals) and the value is used in the UL power control equation for PUSCH and physical uplink control channel (PUCCH). This method works since reciprocity holds good between DL and UL paths. However, this will not hold good in case the gNB uses different panels for UL and DL. </w:t>
      </w:r>
    </w:p>
    <w:p>
      <w:pPr>
        <w:pStyle w:val="25"/>
        <w:widowControl/>
        <w:numPr>
          <w:ilvl w:val="0"/>
          <w:numId w:val="0"/>
        </w:numPr>
        <w:overflowPunct w:val="0"/>
        <w:spacing w:before="120" w:after="120"/>
        <w:ind w:left="0" w:firstLine="0"/>
        <w:jc w:val="both"/>
        <w:textAlignment w:val="baseline"/>
        <w:outlineLvl w:val="0"/>
        <w:rPr>
          <w:b/>
          <w:bCs/>
        </w:rPr>
      </w:pPr>
      <w:r>
        <w:rPr>
          <w:rFonts w:ascii="Times New Roman" w:hAnsi="Times New Roman" w:eastAsia="Malgun Gothic" w:cs="Times New Roman"/>
          <w:b/>
          <w:bCs/>
          <w:color w:val="auto"/>
          <w:kern w:val="2"/>
          <w:sz w:val="20"/>
          <w:szCs w:val="20"/>
          <w:lang w:val="en-US" w:eastAsia="fi-FI" w:bidi="ar-SA"/>
        </w:rPr>
        <w:t>Observation 8: Different sets of antennas are used for UL and DL, will impact reciprocity assumptions between DL and UL.</w:t>
      </w:r>
    </w:p>
    <w:p>
      <w:pPr>
        <w:widowControl/>
        <w:overflowPunct w:val="0"/>
        <w:spacing w:before="0" w:after="180"/>
        <w:contextualSpacing/>
        <w:jc w:val="both"/>
        <w:textAlignment w:val="baseline"/>
      </w:pPr>
      <w:r>
        <w:rPr>
          <w:rFonts w:ascii="Times New Roman" w:hAnsi="Times New Roman" w:eastAsia="Malgun Gothic" w:cs="Times New Roman"/>
          <w:b w:val="0"/>
          <w:bCs w:val="0"/>
          <w:color w:val="auto"/>
          <w:kern w:val="2"/>
          <w:sz w:val="20"/>
          <w:szCs w:val="20"/>
          <w:lang w:val="en-US" w:eastAsia="fi-FI" w:bidi="ar-SA"/>
        </w:rPr>
        <w:t>A solution to the above mentioned issue is that the gNB measures the pathloss on SRS transmitted by UE in UL and provide that value to the UE. The references to reference signal to be used for measurement for PUCCH and PUSCH power control in RRC is indicated as SRS (SRS ID) or none and the pathloss value is provided to the UE for PUSCH and PUCCH power control. The UE uses this value when reference signal to be used for measurement for PUCCH and PUSCH power control in RRC is indicated as SRS (SRS ID) or none.</w:t>
      </w:r>
    </w:p>
    <w:p>
      <w:pPr>
        <w:pStyle w:val="25"/>
        <w:widowControl/>
        <w:numPr>
          <w:ilvl w:val="0"/>
          <w:numId w:val="0"/>
        </w:numPr>
        <w:overflowPunct w:val="0"/>
        <w:spacing w:before="120" w:after="120"/>
        <w:ind w:left="0" w:firstLine="0"/>
        <w:jc w:val="both"/>
        <w:textAlignment w:val="baseline"/>
        <w:outlineLvl w:val="0"/>
      </w:pPr>
      <w:r>
        <w:rPr>
          <w:rFonts w:ascii="Times New Roman" w:hAnsi="Times New Roman" w:eastAsia="Malgun Gothic" w:cs="Times New Roman"/>
          <w:b/>
          <w:bCs/>
          <w:color w:val="auto"/>
          <w:kern w:val="2"/>
          <w:sz w:val="20"/>
          <w:szCs w:val="20"/>
          <w:lang w:val="en-US" w:eastAsia="fi-FI" w:bidi="ar-SA"/>
        </w:rPr>
        <w:t>Proposal 23: For PUCCH/PUSCH/SRS power control, the pathloss value is provided to the UE by the gNB.</w:t>
      </w:r>
    </w:p>
    <w:p>
      <w:pPr>
        <w:widowControl/>
        <w:overflowPunct w:val="0"/>
        <w:spacing w:before="0" w:after="180"/>
        <w:contextualSpacing/>
        <w:jc w:val="left"/>
        <w:textAlignment w:val="baseline"/>
        <w:rPr>
          <w:rFonts w:ascii="Times New Roman" w:hAnsi="Times New Roman" w:cs="Times New Roman" w:eastAsiaTheme="minorEastAsia"/>
          <w:b/>
          <w:color w:val="auto"/>
          <w:kern w:val="2"/>
          <w:sz w:val="28"/>
          <w:szCs w:val="20"/>
          <w:lang w:val="zh-CN" w:eastAsia="zh-CN" w:bidi="ar-SA"/>
        </w:rPr>
      </w:pPr>
    </w:p>
    <w:p>
      <w:pPr>
        <w:widowControl/>
        <w:overflowPunct w:val="0"/>
        <w:spacing w:before="0" w:after="180"/>
        <w:contextualSpacing/>
        <w:jc w:val="left"/>
        <w:textAlignment w:val="baseline"/>
        <w:rPr>
          <w:rFonts w:ascii="Times New Roman" w:hAnsi="Times New Roman" w:cs="Times New Roman" w:eastAsiaTheme="minorEastAsia"/>
          <w:b/>
          <w:color w:val="auto"/>
          <w:kern w:val="2"/>
          <w:sz w:val="28"/>
          <w:szCs w:val="20"/>
          <w:lang w:val="zh-CN" w:eastAsia="zh-CN" w:bidi="ar-SA"/>
        </w:rPr>
      </w:pPr>
      <w:r>
        <w:rPr>
          <w:rFonts w:ascii="Times New Roman" w:hAnsi="Times New Roman" w:cs="Times New Roman" w:eastAsiaTheme="minorEastAsia"/>
          <w:b/>
          <w:color w:val="auto"/>
          <w:kern w:val="2"/>
          <w:sz w:val="28"/>
          <w:szCs w:val="20"/>
          <w:lang w:val="zh-CN" w:eastAsia="zh-CN" w:bidi="ar-SA"/>
        </w:rPr>
        <w:t>5. Conclusion</w:t>
      </w:r>
    </w:p>
    <w:p>
      <w:pPr>
        <w:pStyle w:val="25"/>
        <w:widowControl/>
        <w:numPr>
          <w:ilvl w:val="0"/>
          <w:numId w:val="0"/>
        </w:numPr>
        <w:spacing w:before="120" w:after="120"/>
        <w:ind w:left="0" w:firstLine="0"/>
        <w:jc w:val="both"/>
        <w:outlineLvl w:val="0"/>
      </w:pPr>
      <w:r>
        <w:rPr>
          <w:rFonts w:ascii="Times New Roman" w:hAnsi="Times New Roman" w:eastAsia="Malgun Gothic" w:cs="Times New Roman"/>
          <w:b/>
          <w:bCs/>
          <w:color w:val="auto"/>
          <w:kern w:val="2"/>
          <w:sz w:val="20"/>
          <w:szCs w:val="20"/>
          <w:lang w:val="en-US" w:eastAsia="fi-FI" w:bidi="ar-SA"/>
        </w:rPr>
        <w:t>Proposal 1: The time domain indication of UL subbands is provided in a cell specific manner with the help of at least the following parameters; transmission periodicity, time units where the subband is active and starting offset.</w:t>
      </w:r>
    </w:p>
    <w:p>
      <w:pPr>
        <w:pStyle w:val="25"/>
        <w:widowControl/>
        <w:numPr>
          <w:ilvl w:val="0"/>
          <w:numId w:val="0"/>
        </w:numPr>
        <w:spacing w:before="120" w:after="120"/>
        <w:ind w:left="0" w:firstLine="0"/>
        <w:jc w:val="both"/>
        <w:outlineLvl w:val="0"/>
      </w:pPr>
      <w:r>
        <w:rPr>
          <w:rFonts w:ascii="Times New Roman" w:hAnsi="Times New Roman" w:eastAsia="Malgun Gothic" w:cs="Times New Roman"/>
          <w:b/>
          <w:bCs/>
          <w:color w:val="auto"/>
          <w:kern w:val="2"/>
          <w:sz w:val="20"/>
          <w:szCs w:val="20"/>
          <w:lang w:val="en-US" w:eastAsia="fi-FI" w:bidi="ar-SA"/>
        </w:rPr>
        <w:t xml:space="preserve">Proposal 2: The transmission periodicity is the same as TDD-UL-DL pattern period configured by </w:t>
      </w:r>
      <w:r>
        <w:rPr>
          <w:rFonts w:ascii="Times New Roman" w:hAnsi="Times New Roman" w:eastAsia="Malgun Gothic" w:cs="Times New Roman"/>
          <w:b/>
          <w:bCs/>
          <w:i/>
          <w:color w:val="auto"/>
          <w:kern w:val="2"/>
          <w:sz w:val="20"/>
          <w:szCs w:val="20"/>
          <w:lang w:val="en-US" w:eastAsia="fi-FI" w:bidi="ar-SA"/>
        </w:rPr>
        <w:t>dl-UL-TransmissionPeriodicity</w:t>
      </w:r>
      <w:r>
        <w:rPr>
          <w:rFonts w:ascii="Times New Roman" w:hAnsi="Times New Roman" w:eastAsia="Malgun Gothic" w:cs="Times New Roman"/>
          <w:b/>
          <w:bCs/>
          <w:color w:val="auto"/>
          <w:kern w:val="2"/>
          <w:sz w:val="20"/>
          <w:szCs w:val="20"/>
          <w:lang w:val="en-US" w:eastAsia="fi-FI" w:bidi="ar-SA"/>
        </w:rPr>
        <w:t xml:space="preserve"> in </w:t>
      </w:r>
      <w:r>
        <w:rPr>
          <w:rFonts w:ascii="Times New Roman" w:hAnsi="Times New Roman" w:eastAsia="Malgun Gothic" w:cs="Times New Roman"/>
          <w:b/>
          <w:bCs/>
          <w:i/>
          <w:color w:val="auto"/>
          <w:kern w:val="2"/>
          <w:sz w:val="20"/>
          <w:szCs w:val="20"/>
          <w:lang w:val="en-US" w:eastAsia="fi-FI" w:bidi="ar-SA"/>
        </w:rPr>
        <w:t>TDD-UL-DL-ConfigCommon</w:t>
      </w:r>
      <w:r>
        <w:rPr>
          <w:rFonts w:ascii="Times New Roman" w:hAnsi="Times New Roman" w:eastAsia="Malgun Gothic" w:cs="Times New Roman"/>
          <w:b/>
          <w:bCs/>
          <w:color w:val="auto"/>
          <w:kern w:val="2"/>
          <w:sz w:val="20"/>
          <w:szCs w:val="20"/>
          <w:lang w:val="en-US" w:eastAsia="fi-FI" w:bidi="ar-SA"/>
        </w:rPr>
        <w:t>.</w:t>
      </w:r>
    </w:p>
    <w:p>
      <w:pPr>
        <w:pStyle w:val="25"/>
        <w:widowControl/>
        <w:numPr>
          <w:ilvl w:val="0"/>
          <w:numId w:val="0"/>
        </w:numPr>
        <w:spacing w:before="120" w:after="120"/>
        <w:ind w:left="0" w:firstLine="0"/>
        <w:jc w:val="both"/>
        <w:outlineLvl w:val="0"/>
      </w:pPr>
      <w:r>
        <w:rPr>
          <w:rFonts w:ascii="Times New Roman" w:hAnsi="Times New Roman" w:eastAsia="Malgun Gothic" w:cs="Times New Roman"/>
          <w:b/>
          <w:bCs/>
          <w:color w:val="auto"/>
          <w:kern w:val="2"/>
          <w:sz w:val="20"/>
          <w:szCs w:val="20"/>
          <w:lang w:val="en-US" w:eastAsia="fi-FI" w:bidi="ar-SA"/>
        </w:rPr>
        <w:t>Proposal 3: For the time units where the subband is active, the following can be further studied:</w:t>
      </w:r>
    </w:p>
    <w:p>
      <w:pPr>
        <w:pStyle w:val="25"/>
        <w:widowControl/>
        <w:numPr>
          <w:ilvl w:val="1"/>
          <w:numId w:val="5"/>
        </w:numPr>
        <w:spacing w:before="120" w:after="120"/>
        <w:jc w:val="left"/>
        <w:outlineLvl w:val="0"/>
        <w:rPr>
          <w:rFonts w:ascii="Times New Roman" w:hAnsi="Times New Roman" w:eastAsia="Malgun Gothic" w:cs="Times New Roman"/>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contiguous slots and/or symbols</w:t>
      </w:r>
    </w:p>
    <w:p>
      <w:pPr>
        <w:pStyle w:val="25"/>
        <w:widowControl/>
        <w:numPr>
          <w:ilvl w:val="1"/>
          <w:numId w:val="5"/>
        </w:numPr>
        <w:spacing w:before="120" w:after="120"/>
        <w:jc w:val="left"/>
        <w:outlineLvl w:val="0"/>
        <w:rPr>
          <w:rFonts w:ascii="Times New Roman" w:hAnsi="Times New Roman" w:eastAsia="Malgun Gothic" w:cs="Times New Roman"/>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the number of active slots and/or symbols is considered the same as the number of DL slots/number of DL symbols and number of flexible symbols/slots defined in TDD-UL-DL-Pattern within the TDD common configuration</w:t>
      </w:r>
    </w:p>
    <w:p>
      <w:pPr>
        <w:pStyle w:val="25"/>
        <w:widowControl/>
        <w:numPr>
          <w:ilvl w:val="1"/>
          <w:numId w:val="5"/>
        </w:numPr>
        <w:spacing w:before="120" w:after="120"/>
        <w:jc w:val="left"/>
        <w:outlineLvl w:val="0"/>
        <w:rPr>
          <w:rFonts w:ascii="Times New Roman" w:hAnsi="Times New Roman" w:eastAsia="Malgun Gothic" w:cs="Times New Roman"/>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Bitmap</w:t>
      </w:r>
    </w:p>
    <w:p>
      <w:pPr>
        <w:pStyle w:val="25"/>
        <w:widowControl/>
        <w:numPr>
          <w:ilvl w:val="1"/>
          <w:numId w:val="5"/>
        </w:numPr>
        <w:spacing w:before="120" w:after="120"/>
        <w:jc w:val="both"/>
        <w:outlineLvl w:val="0"/>
        <w:rPr>
          <w:rFonts w:ascii="Times New Roman" w:hAnsi="Times New Roman" w:eastAsia="Malgun Gothic" w:cs="Times New Roman"/>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number of consecutive SBFD resources</w:t>
      </w:r>
    </w:p>
    <w:p>
      <w:pPr>
        <w:pStyle w:val="25"/>
        <w:widowControl/>
        <w:numPr>
          <w:ilvl w:val="0"/>
          <w:numId w:val="0"/>
        </w:numPr>
        <w:spacing w:before="120" w:after="120"/>
        <w:ind w:left="0" w:firstLine="0"/>
        <w:jc w:val="both"/>
        <w:outlineLvl w:val="0"/>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Proposal 4:  When two TDD-UL-DL patterns are configured, whether the SBFD symbols are configured for both patterns is decided based on how the time units where the subband is active is indicated.</w:t>
      </w:r>
    </w:p>
    <w:p>
      <w:pPr>
        <w:pStyle w:val="25"/>
        <w:widowControl/>
        <w:numPr>
          <w:ilvl w:val="0"/>
          <w:numId w:val="0"/>
        </w:numPr>
        <w:spacing w:before="120" w:after="120"/>
        <w:ind w:left="0" w:firstLine="0"/>
        <w:jc w:val="left"/>
        <w:outlineLvl w:val="0"/>
        <w:rPr>
          <w:b/>
          <w:bCs/>
        </w:rPr>
      </w:pPr>
      <w:r>
        <w:rPr>
          <w:rFonts w:ascii="Times New Roman" w:hAnsi="Times New Roman" w:eastAsia="Malgun Gothic" w:cs="Times New Roman"/>
          <w:b/>
          <w:bCs/>
          <w:color w:val="auto"/>
          <w:kern w:val="2"/>
          <w:sz w:val="20"/>
          <w:szCs w:val="20"/>
          <w:lang w:val="en-US" w:eastAsia="fi-FI" w:bidi="ar-SA"/>
        </w:rPr>
        <w:t>Proposal 5:  UE-specific configuration on time frequency locations of SBFD subbands is not supported.</w:t>
      </w:r>
    </w:p>
    <w:p>
      <w:pPr>
        <w:rPr>
          <w:b/>
          <w:bCs/>
        </w:rPr>
      </w:pPr>
      <w:r>
        <w:rPr>
          <w:rFonts w:ascii="Times New Roman" w:hAnsi="Times New Roman" w:eastAsia="Malgun Gothic" w:cs="Times New Roman"/>
          <w:b/>
          <w:bCs/>
          <w:color w:val="auto"/>
          <w:kern w:val="2"/>
          <w:sz w:val="20"/>
          <w:szCs w:val="20"/>
          <w:lang w:val="en-US" w:eastAsia="fi-FI" w:bidi="ar-SA"/>
        </w:rPr>
        <w:t>Observation 1:  The size of the guard band will be less than the size of the DL SBs, and hence signaling overhead will be less for explicit signaling of guard band.</w:t>
      </w:r>
    </w:p>
    <w:p>
      <w:pPr>
        <w:widowControl/>
        <w:numPr>
          <w:ilvl w:val="0"/>
          <w:numId w:val="0"/>
        </w:numPr>
        <w:spacing w:before="120" w:after="120"/>
        <w:ind w:left="0" w:firstLine="0"/>
        <w:jc w:val="left"/>
        <w:outlineLvl w:val="0"/>
        <w:rPr>
          <w:b/>
          <w:bCs/>
        </w:rPr>
      </w:pPr>
      <w:r>
        <w:rPr>
          <w:rFonts w:ascii="Times New Roman" w:hAnsi="Times New Roman" w:eastAsia="Malgun Gothic" w:cs="Times New Roman"/>
          <w:b/>
          <w:bCs/>
          <w:color w:val="auto"/>
          <w:kern w:val="2"/>
          <w:sz w:val="20"/>
          <w:szCs w:val="20"/>
          <w:lang w:val="en-US" w:eastAsia="fi-FI" w:bidi="ar-SA"/>
        </w:rPr>
        <w:t>Observation 2: The DL subband can be implicitly derived from the knowledge of UL SB, guard band and BWP of the UE.</w:t>
      </w:r>
    </w:p>
    <w:p>
      <w:pPr>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Proposal 6: Explicit indication of DL subbands is not supported.</w:t>
      </w:r>
    </w:p>
    <w:p>
      <w:pPr>
        <w:rPr>
          <w:rFonts w:ascii="Times New Roman" w:hAnsi="Times New Roman" w:eastAsia="Malgun Gothic" w:cs="Times New Roman"/>
          <w:b/>
          <w:bCs/>
          <w:color w:val="auto"/>
          <w:kern w:val="2"/>
          <w:sz w:val="20"/>
          <w:szCs w:val="20"/>
          <w:lang w:val="en-US" w:eastAsia="fi-FI" w:bidi="ar-SA"/>
        </w:rPr>
      </w:pPr>
    </w:p>
    <w:p>
      <w:pPr>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Proposal 7: Guard bands can be indicated in the following ways:</w:t>
      </w:r>
    </w:p>
    <w:p>
      <w:pPr>
        <w:numPr>
          <w:ilvl w:val="0"/>
          <w:numId w:val="6"/>
        </w:numPr>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Explicit indication consisting of only the size of the guard band</w:t>
      </w:r>
    </w:p>
    <w:p>
      <w:pPr>
        <w:numPr>
          <w:ilvl w:val="0"/>
          <w:numId w:val="6"/>
        </w:numPr>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Implicit indication where the gNB takes care of it by scheduling/rate matching or method similar to indication of guard band between different numerologies.</w:t>
      </w:r>
    </w:p>
    <w:p>
      <w:pPr>
        <w:widowControl/>
        <w:numPr>
          <w:ilvl w:val="0"/>
          <w:numId w:val="0"/>
        </w:numPr>
        <w:spacing w:before="120" w:after="120"/>
        <w:ind w:left="0" w:firstLine="0"/>
        <w:jc w:val="both"/>
        <w:outlineLvl w:val="0"/>
      </w:pPr>
      <w:r>
        <w:rPr>
          <w:rFonts w:ascii="Times New Roman" w:hAnsi="Times New Roman" w:eastAsia="Malgun Gothic" w:cs="Times New Roman"/>
          <w:b/>
          <w:bCs/>
          <w:color w:val="auto"/>
          <w:kern w:val="2"/>
          <w:sz w:val="20"/>
          <w:szCs w:val="20"/>
          <w:lang w:val="en-US" w:eastAsia="fi-FI" w:bidi="ar-SA"/>
        </w:rPr>
        <w:t xml:space="preserve">Proposal 8: For slot/symbol configured as DL using TDD-UL-DL-Config-common, consider the following options for UE behaviors in SBFD symbols in interaction with </w:t>
      </w:r>
      <w:r>
        <w:rPr>
          <w:rFonts w:ascii="Times New Roman" w:hAnsi="Times New Roman" w:eastAsia="Malgun Gothic" w:cs="Times New Roman"/>
          <w:b/>
          <w:bCs/>
          <w:i/>
          <w:color w:val="auto"/>
          <w:kern w:val="2"/>
          <w:sz w:val="20"/>
          <w:szCs w:val="20"/>
          <w:lang w:val="en-US" w:eastAsia="fi-FI" w:bidi="ar-SA"/>
        </w:rPr>
        <w:t xml:space="preserve">TDD-UL-DL-ConfigDedicated and </w:t>
      </w:r>
      <w:r>
        <w:rPr>
          <w:rFonts w:ascii="Times New Roman" w:hAnsi="Times New Roman" w:eastAsia="Malgun Gothic" w:cs="Times New Roman"/>
          <w:b/>
          <w:bCs/>
          <w:color w:val="auto"/>
          <w:kern w:val="2"/>
          <w:sz w:val="20"/>
          <w:szCs w:val="20"/>
          <w:lang w:val="en-US" w:eastAsia="fi-FI" w:bidi="ar-SA"/>
        </w:rPr>
        <w:t xml:space="preserve">SFI in DCI format 2_0 </w:t>
      </w:r>
    </w:p>
    <w:p>
      <w:pPr>
        <w:widowControl/>
        <w:numPr>
          <w:ilvl w:val="0"/>
          <w:numId w:val="7"/>
        </w:numPr>
        <w:spacing w:before="120" w:after="120"/>
        <w:ind w:left="0" w:firstLine="0"/>
        <w:jc w:val="left"/>
        <w:outlineLvl w:val="0"/>
        <w:rPr>
          <w:b/>
          <w:bCs/>
        </w:rPr>
      </w:pPr>
      <w:r>
        <w:rPr>
          <w:rFonts w:ascii="Times New Roman" w:hAnsi="Times New Roman" w:eastAsia="Malgun Gothic" w:cs="Times New Roman"/>
          <w:b/>
          <w:bCs/>
          <w:color w:val="auto"/>
          <w:kern w:val="2"/>
          <w:sz w:val="20"/>
          <w:szCs w:val="20"/>
          <w:lang w:val="en-US" w:eastAsia="fi-FI" w:bidi="ar-SA"/>
        </w:rPr>
        <w:t>TDD dedicated/SFI is not provided (legacy procedure)</w:t>
      </w:r>
    </w:p>
    <w:p>
      <w:pPr>
        <w:widowControl/>
        <w:numPr>
          <w:ilvl w:val="0"/>
          <w:numId w:val="7"/>
        </w:numPr>
        <w:spacing w:before="120" w:after="120"/>
        <w:ind w:left="0" w:firstLine="0"/>
        <w:jc w:val="left"/>
        <w:outlineLvl w:val="0"/>
        <w:rPr>
          <w:b/>
          <w:bCs/>
        </w:rPr>
      </w:pPr>
      <w:r>
        <w:rPr>
          <w:rFonts w:ascii="Times New Roman" w:hAnsi="Times New Roman" w:eastAsia="Malgun Gothic" w:cs="Times New Roman"/>
          <w:b/>
          <w:bCs/>
          <w:color w:val="auto"/>
          <w:kern w:val="2"/>
          <w:sz w:val="20"/>
          <w:szCs w:val="20"/>
          <w:lang w:val="en-US" w:eastAsia="fi-FI" w:bidi="ar-SA"/>
        </w:rPr>
        <w:t>TDD dedicated/SFI provides the link direction where the UL/DL is restricted to the UL/DL subbands respectively</w:t>
      </w:r>
    </w:p>
    <w:p>
      <w:pPr>
        <w:widowControl/>
        <w:numPr>
          <w:ilvl w:val="0"/>
          <w:numId w:val="0"/>
        </w:numPr>
        <w:spacing w:before="120" w:after="120"/>
        <w:ind w:left="0" w:firstLine="0"/>
        <w:jc w:val="left"/>
        <w:outlineLvl w:val="0"/>
        <w:rPr>
          <w:rFonts w:ascii="Times New Roman" w:hAnsi="Times New Roman" w:eastAsia="Malgun Gothic" w:cs="Times New Roman"/>
          <w:b/>
          <w:bCs/>
          <w:color w:val="auto"/>
          <w:kern w:val="2"/>
          <w:sz w:val="20"/>
          <w:szCs w:val="20"/>
          <w:lang w:val="en-US" w:eastAsia="fi-FI" w:bidi="ar-SA"/>
        </w:rPr>
      </w:pPr>
    </w:p>
    <w:p>
      <w:pPr>
        <w:widowControl/>
        <w:numPr>
          <w:ilvl w:val="0"/>
          <w:numId w:val="0"/>
        </w:numPr>
        <w:spacing w:before="120" w:after="120"/>
        <w:ind w:left="0" w:firstLine="0"/>
        <w:jc w:val="both"/>
        <w:outlineLvl w:val="0"/>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Proposal 9: For slot/symbol configured as DL using TDD-UL-DL-Config-common, the link direction can be provided in the following ways</w:t>
      </w:r>
    </w:p>
    <w:p>
      <w:pPr>
        <w:widowControl/>
        <w:numPr>
          <w:ilvl w:val="0"/>
          <w:numId w:val="7"/>
        </w:numPr>
        <w:spacing w:before="120" w:after="120"/>
        <w:ind w:left="0" w:firstLine="0"/>
        <w:jc w:val="left"/>
        <w:outlineLvl w:val="0"/>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 xml:space="preserve">Separate UE specific semistatic indication of link direction </w:t>
      </w:r>
    </w:p>
    <w:p>
      <w:pPr>
        <w:widowControl/>
        <w:numPr>
          <w:ilvl w:val="0"/>
          <w:numId w:val="7"/>
        </w:numPr>
        <w:spacing w:before="120" w:after="120"/>
        <w:ind w:left="0" w:firstLine="0"/>
        <w:jc w:val="left"/>
        <w:outlineLvl w:val="0"/>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 xml:space="preserve">TDD dedicated provides the link direction </w:t>
      </w:r>
    </w:p>
    <w:p>
      <w:pPr>
        <w:widowControl/>
        <w:numPr>
          <w:ilvl w:val="0"/>
          <w:numId w:val="7"/>
        </w:numPr>
        <w:spacing w:before="120" w:after="120"/>
        <w:ind w:left="0" w:firstLine="0"/>
        <w:jc w:val="left"/>
        <w:outlineLvl w:val="0"/>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SFI provides the link direction where the UL/DL is restricted to the UL/DL subbands respectively</w:t>
      </w:r>
    </w:p>
    <w:p>
      <w:pPr>
        <w:widowControl/>
        <w:numPr>
          <w:ilvl w:val="0"/>
          <w:numId w:val="7"/>
        </w:numPr>
        <w:spacing w:before="120" w:after="120"/>
        <w:ind w:left="0" w:firstLine="0"/>
        <w:jc w:val="left"/>
        <w:outlineLvl w:val="0"/>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DCI provides the link direction UL/DL is restricted to the UL/DL subbands respectively</w:t>
      </w:r>
    </w:p>
    <w:p>
      <w:pPr>
        <w:pStyle w:val="25"/>
        <w:widowControl/>
        <w:numPr>
          <w:ilvl w:val="0"/>
          <w:numId w:val="0"/>
        </w:numPr>
        <w:spacing w:before="120" w:after="120"/>
        <w:ind w:left="0" w:firstLine="0"/>
        <w:jc w:val="left"/>
        <w:outlineLvl w:val="0"/>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Proposal 10: If a slot/symbol is configured as F using TDD-UL-DL-Config-common,  subband for SBFD operation is configured and the UE receives DL/UL configuration by TDD dedicated configuration, then consider the following option:</w:t>
      </w:r>
    </w:p>
    <w:p>
      <w:pPr>
        <w:pStyle w:val="25"/>
        <w:widowControl/>
        <w:numPr>
          <w:ilvl w:val="0"/>
          <w:numId w:val="8"/>
        </w:numPr>
        <w:spacing w:before="120" w:after="120"/>
        <w:ind w:left="0" w:firstLine="0"/>
        <w:jc w:val="left"/>
        <w:outlineLvl w:val="0"/>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UL/DL is restricted to the UL/DL subbands respectively and it also gives the link direction</w:t>
      </w:r>
    </w:p>
    <w:p>
      <w:pPr>
        <w:pStyle w:val="25"/>
        <w:widowControl/>
        <w:numPr>
          <w:ilvl w:val="0"/>
          <w:numId w:val="0"/>
        </w:numPr>
        <w:spacing w:before="120" w:after="120"/>
        <w:ind w:left="0" w:firstLine="0"/>
        <w:jc w:val="left"/>
        <w:outlineLvl w:val="0"/>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Proposal 11: If a slot/symbol is configured as F,  subband for SBFD operation is configured and the UE receives DL/UL configuration by DCI/SFI, then consider the following options:</w:t>
      </w:r>
    </w:p>
    <w:p>
      <w:pPr>
        <w:pStyle w:val="25"/>
        <w:widowControl/>
        <w:numPr>
          <w:ilvl w:val="0"/>
          <w:numId w:val="8"/>
        </w:numPr>
        <w:spacing w:before="120" w:after="120"/>
        <w:ind w:left="0" w:firstLine="0"/>
        <w:jc w:val="left"/>
        <w:outlineLvl w:val="0"/>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UL/DL is restricted to the UL/DL subbands respectively and it also gives the link direction</w:t>
      </w:r>
    </w:p>
    <w:p>
      <w:pPr>
        <w:pStyle w:val="25"/>
        <w:widowControl/>
        <w:numPr>
          <w:ilvl w:val="0"/>
          <w:numId w:val="0"/>
        </w:numPr>
        <w:spacing w:before="120" w:after="120"/>
        <w:ind w:left="0" w:firstLine="0"/>
        <w:jc w:val="left"/>
        <w:outlineLvl w:val="0"/>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Proposal 12: For type 1 resource allocation for PDSCH, support Option 1-1.</w:t>
      </w:r>
    </w:p>
    <w:p>
      <w:pPr>
        <w:pStyle w:val="25"/>
        <w:widowControl/>
        <w:numPr>
          <w:ilvl w:val="0"/>
          <w:numId w:val="0"/>
        </w:numPr>
        <w:spacing w:before="120" w:after="120"/>
        <w:ind w:left="0" w:firstLine="0"/>
        <w:jc w:val="left"/>
        <w:outlineLvl w:val="0"/>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Observation 3: For type 0 resource allocation for PDSCH, there can be various ways to determine the RBG size.</w:t>
      </w:r>
    </w:p>
    <w:p>
      <w:pPr>
        <w:pStyle w:val="25"/>
        <w:widowControl/>
        <w:numPr>
          <w:ilvl w:val="0"/>
          <w:numId w:val="0"/>
        </w:numPr>
        <w:spacing w:before="120" w:after="120"/>
        <w:ind w:left="0" w:firstLine="0"/>
        <w:jc w:val="left"/>
        <w:outlineLvl w:val="0"/>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Proposal  13: For type 0 resource allocation for PDSCH,  various ways to determine the RBG size are</w:t>
      </w:r>
    </w:p>
    <w:p>
      <w:pPr>
        <w:pStyle w:val="25"/>
        <w:widowControl/>
        <w:numPr>
          <w:ilvl w:val="0"/>
          <w:numId w:val="0"/>
        </w:numPr>
        <w:suppressAutoHyphens/>
        <w:bidi w:val="0"/>
        <w:spacing w:before="120" w:after="120"/>
        <w:ind w:left="454" w:right="0" w:firstLine="0"/>
        <w:jc w:val="left"/>
        <w:outlineLvl w:val="0"/>
        <w:rPr>
          <w:b/>
          <w:bCs/>
        </w:rPr>
      </w:pPr>
      <w:r>
        <w:rPr>
          <w:rFonts w:ascii="Times New Roman" w:hAnsi="Times New Roman" w:eastAsia="Malgun Gothic" w:cs="Times New Roman"/>
          <w:b/>
          <w:bCs/>
          <w:color w:val="auto"/>
          <w:kern w:val="2"/>
          <w:sz w:val="20"/>
          <w:szCs w:val="20"/>
          <w:lang w:val="en-US" w:eastAsia="fi-FI" w:bidi="ar-SA"/>
        </w:rPr>
        <w:t>Method 1: The UE uses the number of PRBs in the configured BWP to determine RBG size.</w:t>
      </w:r>
    </w:p>
    <w:p>
      <w:pPr>
        <w:pStyle w:val="25"/>
        <w:widowControl/>
        <w:numPr>
          <w:ilvl w:val="0"/>
          <w:numId w:val="0"/>
        </w:numPr>
        <w:suppressAutoHyphens/>
        <w:bidi w:val="0"/>
        <w:spacing w:before="120" w:after="120"/>
        <w:ind w:left="454" w:right="0" w:firstLine="0"/>
        <w:jc w:val="left"/>
        <w:outlineLvl w:val="0"/>
        <w:rPr>
          <w:b/>
          <w:bCs/>
        </w:rPr>
      </w:pPr>
      <w:r>
        <w:rPr>
          <w:rFonts w:ascii="Times New Roman" w:hAnsi="Times New Roman" w:eastAsia="Malgun Gothic" w:cs="Times New Roman"/>
          <w:b/>
          <w:bCs/>
          <w:color w:val="auto"/>
          <w:kern w:val="2"/>
          <w:sz w:val="20"/>
          <w:szCs w:val="20"/>
          <w:lang w:val="en-US" w:eastAsia="fi-FI" w:bidi="ar-SA"/>
        </w:rPr>
        <w:t>Method 2: The UE updates the BWP size based on the active UL subband configured and determines RBG size based on the size of updated BWP size. The updated BWP size will be the RBs of the DL BWP overlapping with the active DL SB.</w:t>
      </w:r>
    </w:p>
    <w:p>
      <w:pPr>
        <w:pStyle w:val="25"/>
        <w:widowControl/>
        <w:numPr>
          <w:ilvl w:val="0"/>
          <w:numId w:val="0"/>
        </w:numPr>
        <w:suppressAutoHyphens/>
        <w:bidi w:val="0"/>
        <w:spacing w:before="120" w:after="120"/>
        <w:ind w:left="454" w:right="0" w:firstLine="0"/>
        <w:jc w:val="left"/>
        <w:outlineLvl w:val="0"/>
        <w:rPr>
          <w:b/>
          <w:bCs/>
        </w:rPr>
      </w:pPr>
      <w:r>
        <w:rPr>
          <w:rFonts w:ascii="Times New Roman" w:hAnsi="Times New Roman" w:eastAsia="Malgun Gothic" w:cs="Times New Roman"/>
          <w:b/>
          <w:bCs/>
          <w:color w:val="auto"/>
          <w:kern w:val="2"/>
          <w:sz w:val="20"/>
          <w:szCs w:val="20"/>
          <w:lang w:val="en-US" w:eastAsia="fi-FI" w:bidi="ar-SA"/>
        </w:rPr>
        <w:t>Method 3: The UE determines the RBG size for each non-contiguous section of active DL subband based on the size of the corresponding non-contiguous section.</w:t>
      </w:r>
    </w:p>
    <w:p>
      <w:pPr>
        <w:pStyle w:val="25"/>
        <w:widowControl/>
        <w:numPr>
          <w:ilvl w:val="0"/>
          <w:numId w:val="0"/>
        </w:numPr>
        <w:spacing w:before="120" w:after="120"/>
        <w:ind w:left="0" w:firstLine="0"/>
        <w:jc w:val="left"/>
        <w:outlineLvl w:val="0"/>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Proposal 14: One contiguous CSI-RS resource allocation with non-contiguous CSI-RS resource derived by excluding frequency resources outside DL subband(s) is supported across DL subband(s) for SBFD-aware UEs.</w:t>
      </w:r>
    </w:p>
    <w:p>
      <w:pPr>
        <w:pStyle w:val="25"/>
        <w:widowControl/>
        <w:numPr>
          <w:ilvl w:val="0"/>
          <w:numId w:val="0"/>
        </w:numPr>
        <w:spacing w:before="120" w:after="120"/>
        <w:ind w:left="0" w:firstLine="0"/>
        <w:jc w:val="both"/>
        <w:outlineLvl w:val="0"/>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Observation 5: The length of the CSI-RS sequence can be decided in 2 different ways: the length can be based on the total number of resources in the DL BWP that includes the UL subband or just based on the size of the DL subbands.</w:t>
      </w:r>
    </w:p>
    <w:p>
      <w:pPr>
        <w:pStyle w:val="25"/>
        <w:widowControl/>
        <w:numPr>
          <w:ilvl w:val="0"/>
          <w:numId w:val="0"/>
        </w:numPr>
        <w:suppressAutoHyphens/>
        <w:bidi w:val="0"/>
        <w:spacing w:before="120" w:after="120"/>
        <w:ind w:left="0" w:firstLine="0"/>
        <w:jc w:val="both"/>
        <w:outlineLvl w:val="0"/>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Proposal 15: Study the impact on the length of the CSI-RS sequence for one contiguous CSI-RS resource allocation in an SBFD symbol.</w:t>
      </w:r>
    </w:p>
    <w:p>
      <w:pPr>
        <w:pStyle w:val="25"/>
        <w:widowControl/>
        <w:numPr>
          <w:ilvl w:val="0"/>
          <w:numId w:val="0"/>
        </w:numPr>
        <w:spacing w:before="120" w:after="120"/>
        <w:ind w:left="0" w:firstLine="0"/>
        <w:jc w:val="both"/>
        <w:outlineLvl w:val="0"/>
        <w:rPr>
          <w:rFonts w:ascii="Times New Roman" w:hAnsi="Times New Roman" w:eastAsia="Malgun Gothic" w:cs="Times New Roman"/>
          <w:b w:val="0"/>
          <w:bCs w:val="0"/>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Observation 6: For SBFD slots, the size of CSI subbands can be calculated in various ways.</w:t>
      </w:r>
    </w:p>
    <w:p>
      <w:pPr>
        <w:pStyle w:val="25"/>
        <w:widowControl/>
        <w:numPr>
          <w:ilvl w:val="0"/>
          <w:numId w:val="0"/>
        </w:numPr>
        <w:suppressAutoHyphens/>
        <w:bidi w:val="0"/>
        <w:spacing w:before="120" w:after="120"/>
        <w:ind w:left="0" w:firstLine="0"/>
        <w:jc w:val="left"/>
        <w:outlineLvl w:val="0"/>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Proposal 16: For SBFD slots, study the impact of size of DL subband(s) on the size of CSI subbands.</w:t>
      </w:r>
    </w:p>
    <w:p>
      <w:pPr>
        <w:pStyle w:val="25"/>
        <w:widowControl/>
        <w:numPr>
          <w:ilvl w:val="0"/>
          <w:numId w:val="0"/>
        </w:numPr>
        <w:spacing w:before="120" w:after="120"/>
        <w:ind w:left="0" w:firstLine="0"/>
        <w:jc w:val="left"/>
        <w:outlineLvl w:val="0"/>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Observation 7: For SBFD slots, indication of active CSI reporting subbands can be done in various ways.</w:t>
      </w:r>
    </w:p>
    <w:p>
      <w:pPr>
        <w:pStyle w:val="25"/>
        <w:widowControl/>
        <w:numPr>
          <w:ilvl w:val="0"/>
          <w:numId w:val="0"/>
        </w:numPr>
        <w:suppressAutoHyphens/>
        <w:bidi w:val="0"/>
        <w:spacing w:before="120" w:after="120"/>
        <w:ind w:left="0" w:firstLine="0"/>
        <w:jc w:val="left"/>
        <w:outlineLvl w:val="0"/>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Proposal 17: For SBFD slots, study the impact on  indication of active CSI reporting subbands.</w:t>
      </w:r>
    </w:p>
    <w:p>
      <w:pPr>
        <w:pStyle w:val="25"/>
        <w:widowControl/>
        <w:numPr>
          <w:ilvl w:val="0"/>
          <w:numId w:val="0"/>
        </w:numPr>
        <w:spacing w:before="120" w:after="120"/>
        <w:ind w:left="0" w:firstLine="0"/>
        <w:jc w:val="left"/>
        <w:outlineLvl w:val="0"/>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 xml:space="preserve">Proposal 18: </w:t>
      </w:r>
      <w:r>
        <w:rPr>
          <w:rFonts w:ascii="Times New Roman" w:hAnsi="Times New Roman" w:eastAsia="Malgun Gothic" w:cs="Times New Roman"/>
          <w:b/>
          <w:bCs/>
          <w:color w:val="auto"/>
          <w:kern w:val="2"/>
          <w:sz w:val="20"/>
          <w:szCs w:val="20"/>
          <w:lang w:val="en-US" w:eastAsia="zh-CN" w:bidi="ar-SA"/>
        </w:rPr>
        <w:t>For an SPS PDSCH configuration without repetitions, support Option 1: Separate resource allocations for SBFD symbols and non-SBFD symbols.</w:t>
      </w:r>
    </w:p>
    <w:p>
      <w:pPr>
        <w:pStyle w:val="25"/>
        <w:widowControl/>
        <w:numPr>
          <w:ilvl w:val="0"/>
          <w:numId w:val="0"/>
        </w:numPr>
        <w:spacing w:before="120" w:after="120"/>
        <w:ind w:left="0" w:firstLine="0"/>
        <w:jc w:val="left"/>
        <w:outlineLvl w:val="0"/>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zh-CN" w:bidi="ar-SA"/>
        </w:rPr>
        <w:t>Proposal 19: For both type 1 and type 2 CG PUSCH configuration without repetitions, support Option 1: Separate resource allocations for SBFD symbols and non-SBFD symbols.</w:t>
      </w:r>
    </w:p>
    <w:p>
      <w:pPr>
        <w:pStyle w:val="25"/>
        <w:widowControl/>
        <w:numPr>
          <w:ilvl w:val="0"/>
          <w:numId w:val="0"/>
        </w:numPr>
        <w:suppressAutoHyphens/>
        <w:bidi w:val="0"/>
        <w:spacing w:before="120" w:after="120"/>
        <w:ind w:left="0" w:firstLine="0"/>
        <w:jc w:val="both"/>
        <w:outlineLvl w:val="0"/>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 xml:space="preserve">Proposal 20: </w:t>
      </w:r>
      <w:r>
        <w:rPr>
          <w:rFonts w:ascii="Times New Roman" w:hAnsi="Times New Roman" w:eastAsia="Malgun Gothic" w:cs="Times New Roman"/>
          <w:b/>
          <w:bCs/>
          <w:color w:val="auto"/>
          <w:kern w:val="2"/>
          <w:sz w:val="20"/>
          <w:szCs w:val="20"/>
          <w:lang w:val="en-US" w:eastAsia="zh-CN" w:bidi="ar-SA"/>
        </w:rPr>
        <w:t>For PDSCH repetitions across SBFD symbols and non-SBFD symbols in different slots where each repetition has either all SBFD or all non-SBFD symbols, and for multi-PDSCH scheduled by a single DCI across SBFD symbols and non-SBFD symbols, where each PDSCH within a slot has either all SBFD or all non-SBFD symbols, support option 5: For a PDSCH in a slot overlapping with RBs outside DL usable PRBs in SBFD symbols, only the assigned PRBs within DL usable PRBs are considered to be valid.</w:t>
      </w:r>
    </w:p>
    <w:p>
      <w:pPr>
        <w:pStyle w:val="25"/>
        <w:widowControl/>
        <w:numPr>
          <w:ilvl w:val="0"/>
          <w:numId w:val="0"/>
        </w:numPr>
        <w:suppressAutoHyphens/>
        <w:bidi w:val="0"/>
        <w:spacing w:before="120" w:after="120"/>
        <w:ind w:left="0" w:firstLine="0"/>
        <w:jc w:val="both"/>
        <w:outlineLvl w:val="0"/>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 xml:space="preserve">Proposal 21: </w:t>
      </w:r>
      <w:r>
        <w:rPr>
          <w:rFonts w:ascii="Times New Roman" w:hAnsi="Times New Roman" w:eastAsia="Malgun Gothic" w:cs="Times New Roman"/>
          <w:b/>
          <w:bCs/>
          <w:color w:val="auto"/>
          <w:kern w:val="2"/>
          <w:sz w:val="20"/>
          <w:szCs w:val="20"/>
          <w:lang w:val="en-US" w:eastAsia="zh-CN" w:bidi="ar-SA"/>
        </w:rPr>
        <w:t>For PUSCH repetitions across SBFD symbols and non-SBFD symbols in different slots where each repetition has either all SBFD or all non-SBFD symbols, and for multi-PUSCH scheduled by a single DCI across SBFD symbols and non-SBFD symbols, where each PUSCH within a slot has either all SBFD or all non-SBFD symbols, support option 5: For a PUSCH in a slot overlapping with RBs outside UL usable PRBs in SBFD symbols, only the assigned PRBs within UL usable PRBs are considered to be valid.</w:t>
      </w:r>
    </w:p>
    <w:p>
      <w:pPr>
        <w:pStyle w:val="25"/>
        <w:widowControl/>
        <w:numPr>
          <w:ilvl w:val="0"/>
          <w:numId w:val="0"/>
        </w:numPr>
        <w:suppressAutoHyphens/>
        <w:bidi w:val="0"/>
        <w:spacing w:before="120" w:after="120"/>
        <w:ind w:left="0" w:firstLine="0"/>
        <w:jc w:val="both"/>
        <w:outlineLvl w:val="0"/>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Proposal 22: CSI report associated with periodic/semi-persistent CSI-RS, in case the periodicity is such that CSI-RS instances occur in both SBFD symbols and non-SBFD symbols in different slots, down-select Option 2 (one CSI-ReportConfig associated with both SBFD symbols and non-SBFD symbols).</w:t>
      </w:r>
    </w:p>
    <w:p>
      <w:pPr>
        <w:pStyle w:val="25"/>
        <w:widowControl/>
        <w:numPr>
          <w:ilvl w:val="0"/>
          <w:numId w:val="0"/>
        </w:numPr>
        <w:overflowPunct w:val="0"/>
        <w:spacing w:before="120" w:after="120"/>
        <w:ind w:left="0" w:firstLine="0"/>
        <w:jc w:val="both"/>
        <w:textAlignment w:val="baseline"/>
        <w:outlineLvl w:val="0"/>
        <w:rPr>
          <w:b/>
          <w:bCs/>
        </w:rPr>
      </w:pPr>
      <w:r>
        <w:rPr>
          <w:rFonts w:ascii="Times New Roman" w:hAnsi="Times New Roman" w:eastAsia="Malgun Gothic" w:cs="Times New Roman"/>
          <w:b/>
          <w:bCs/>
          <w:color w:val="auto"/>
          <w:kern w:val="2"/>
          <w:sz w:val="20"/>
          <w:szCs w:val="20"/>
          <w:lang w:val="en-US" w:eastAsia="fi-FI" w:bidi="ar-SA"/>
        </w:rPr>
        <w:t>Observation 8: Different sets of antennas are used for UL and DL, will impact reciprocity assumptions between DL and UL.</w:t>
      </w:r>
    </w:p>
    <w:p>
      <w:pPr>
        <w:pStyle w:val="25"/>
        <w:widowControl/>
        <w:numPr>
          <w:ilvl w:val="0"/>
          <w:numId w:val="0"/>
        </w:numPr>
        <w:suppressAutoHyphens/>
        <w:overflowPunct w:val="0"/>
        <w:bidi w:val="0"/>
        <w:spacing w:before="120" w:after="120"/>
        <w:ind w:left="0" w:firstLine="0"/>
        <w:jc w:val="both"/>
        <w:textAlignment w:val="baseline"/>
        <w:outlineLvl w:val="0"/>
        <w:rPr>
          <w:rFonts w:ascii="Times New Roman" w:hAnsi="Times New Roman" w:eastAsia="Malgun Gothic" w:cs="Times New Roman"/>
          <w:b/>
          <w:bCs/>
          <w:color w:val="auto"/>
          <w:kern w:val="2"/>
          <w:sz w:val="20"/>
          <w:szCs w:val="20"/>
          <w:lang w:val="en-US" w:eastAsia="fi-FI" w:bidi="ar-SA"/>
        </w:rPr>
      </w:pPr>
      <w:r>
        <w:rPr>
          <w:rFonts w:ascii="Times New Roman" w:hAnsi="Times New Roman" w:eastAsia="Malgun Gothic" w:cs="Times New Roman"/>
          <w:b/>
          <w:bCs/>
          <w:color w:val="auto"/>
          <w:kern w:val="2"/>
          <w:sz w:val="20"/>
          <w:szCs w:val="20"/>
          <w:lang w:val="en-US" w:eastAsia="fi-FI" w:bidi="ar-SA"/>
        </w:rPr>
        <w:t>Proposal 23: For PUCCH/PUSCH/SRS power control, the pathloss value is provided to the UE by the gNB.</w:t>
      </w:r>
    </w:p>
    <w:p>
      <w:pPr>
        <w:widowControl/>
        <w:overflowPunct w:val="0"/>
        <w:spacing w:before="0" w:after="180"/>
        <w:contextualSpacing/>
        <w:jc w:val="left"/>
        <w:textAlignment w:val="baseline"/>
        <w:rPr>
          <w:rFonts w:ascii="Times New Roman" w:hAnsi="Times New Roman" w:cs="Times New Roman" w:eastAsiaTheme="minorEastAsia"/>
          <w:b/>
          <w:color w:val="auto"/>
          <w:kern w:val="2"/>
          <w:sz w:val="28"/>
          <w:szCs w:val="20"/>
          <w:lang w:val="zh-CN" w:eastAsia="zh-CN" w:bidi="ar-SA"/>
        </w:rPr>
      </w:pPr>
      <w:r>
        <w:rPr>
          <w:rFonts w:ascii="Times New Roman" w:hAnsi="Times New Roman" w:cs="Times New Roman" w:eastAsiaTheme="minorEastAsia"/>
          <w:b/>
          <w:color w:val="auto"/>
          <w:kern w:val="2"/>
          <w:sz w:val="28"/>
          <w:szCs w:val="20"/>
          <w:lang w:val="zh-CN" w:eastAsia="zh-CN" w:bidi="ar-SA"/>
        </w:rPr>
        <w:t>6. References</w:t>
      </w:r>
    </w:p>
    <w:p>
      <w:pPr>
        <w:widowControl/>
        <w:suppressAutoHyphens/>
        <w:overflowPunct w:val="0"/>
        <w:spacing w:before="120" w:after="120" w:line="276" w:lineRule="auto"/>
        <w:ind w:left="0" w:firstLine="0"/>
        <w:jc w:val="both"/>
        <w:textAlignment w:val="baseline"/>
        <w:rPr>
          <w:rFonts w:ascii="Times New Roman" w:hAnsi="Times New Roman" w:cs="Times New Roman" w:eastAsiaTheme="minorEastAsia"/>
          <w:b/>
          <w:color w:val="auto"/>
          <w:kern w:val="2"/>
          <w:sz w:val="28"/>
          <w:szCs w:val="20"/>
          <w:lang w:val="zh-CN" w:eastAsia="zh-CN" w:bidi="ar-SA"/>
        </w:rPr>
      </w:pPr>
      <w:r>
        <w:rPr>
          <w:rStyle w:val="12"/>
          <w:rFonts w:ascii="Times New Roman" w:hAnsi="Times New Roman" w:eastAsia="Malgun Gothic" w:cs="Times New Roman"/>
          <w:b w:val="0"/>
          <w:bCs w:val="0"/>
          <w:i w:val="0"/>
          <w:caps w:val="0"/>
          <w:smallCaps w:val="0"/>
          <w:strike w:val="0"/>
          <w:dstrike w:val="0"/>
          <w:color w:val="auto"/>
          <w:spacing w:val="0"/>
          <w:kern w:val="0"/>
          <w:sz w:val="20"/>
          <w:szCs w:val="20"/>
          <w:u w:val="none"/>
          <w:lang w:val="en-US" w:eastAsia="ko-KR" w:bidi="ar-SA"/>
        </w:rPr>
        <w:t>1. RP-234035, Evolution of NR duplex operation: Sub-band full duplex (SBFD).</w:t>
      </w:r>
    </w:p>
    <w:p>
      <w:pPr>
        <w:widowControl/>
        <w:suppressAutoHyphens/>
        <w:overflowPunct w:val="0"/>
        <w:spacing w:before="120" w:after="120" w:line="276" w:lineRule="auto"/>
        <w:ind w:left="0" w:firstLine="0"/>
        <w:jc w:val="both"/>
        <w:textAlignment w:val="baseline"/>
        <w:rPr>
          <w:rFonts w:ascii="Times New Roman" w:hAnsi="Times New Roman" w:cs="Times New Roman" w:eastAsiaTheme="minorEastAsia"/>
          <w:b/>
          <w:color w:val="auto"/>
          <w:kern w:val="2"/>
          <w:sz w:val="28"/>
          <w:szCs w:val="20"/>
          <w:lang w:val="zh-CN" w:eastAsia="zh-CN" w:bidi="ar-SA"/>
        </w:rPr>
      </w:pPr>
      <w:r>
        <w:rPr>
          <w:rStyle w:val="12"/>
          <w:rFonts w:ascii="Times New Roman" w:hAnsi="Times New Roman" w:eastAsia="Malgun Gothic" w:cs="Times New Roman"/>
          <w:b w:val="0"/>
          <w:bCs w:val="0"/>
          <w:i w:val="0"/>
          <w:caps w:val="0"/>
          <w:smallCaps w:val="0"/>
          <w:strike w:val="0"/>
          <w:dstrike w:val="0"/>
          <w:color w:val="auto"/>
          <w:spacing w:val="0"/>
          <w:kern w:val="0"/>
          <w:sz w:val="20"/>
          <w:szCs w:val="20"/>
          <w:u w:val="none"/>
          <w:lang w:val="en-US" w:eastAsia="ko-KR" w:bidi="ar-SA"/>
        </w:rPr>
        <w:t>2. Chair notes, 3GPP RAN1#116, Athens, Greece, February 26th – March 1st, 2024.</w:t>
      </w:r>
    </w:p>
    <w:p>
      <w:pPr>
        <w:widowControl/>
        <w:suppressAutoHyphens/>
        <w:overflowPunct w:val="0"/>
        <w:spacing w:before="120" w:after="120" w:line="276" w:lineRule="auto"/>
        <w:ind w:left="0" w:firstLine="0"/>
        <w:jc w:val="both"/>
        <w:textAlignment w:val="baseline"/>
        <w:rPr>
          <w:rFonts w:ascii="Times New Roman" w:hAnsi="Times New Roman" w:cs="Times New Roman" w:eastAsiaTheme="minorEastAsia"/>
          <w:b/>
          <w:color w:val="auto"/>
          <w:kern w:val="2"/>
          <w:sz w:val="28"/>
          <w:szCs w:val="20"/>
          <w:lang w:val="zh-CN" w:eastAsia="zh-CN" w:bidi="ar-SA"/>
        </w:rPr>
      </w:pPr>
      <w:r>
        <w:rPr>
          <w:rStyle w:val="12"/>
          <w:rFonts w:ascii="Times New Roman" w:hAnsi="Times New Roman" w:eastAsia="Malgun Gothic" w:cs="Times New Roman"/>
          <w:b w:val="0"/>
          <w:bCs w:val="0"/>
          <w:i w:val="0"/>
          <w:caps w:val="0"/>
          <w:smallCaps w:val="0"/>
          <w:strike w:val="0"/>
          <w:dstrike w:val="0"/>
          <w:color w:val="auto"/>
          <w:spacing w:val="0"/>
          <w:kern w:val="0"/>
          <w:sz w:val="20"/>
          <w:szCs w:val="20"/>
          <w:u w:val="none"/>
          <w:lang w:val="en-US" w:eastAsia="ko-KR" w:bidi="ar-SA"/>
        </w:rPr>
        <w:t>3. Chair notes, 3GPP RAN1#116bis, Changsha, China, April 15th - 19th, 2024.</w:t>
      </w:r>
    </w:p>
    <w:sectPr>
      <w:pgSz w:w="11906" w:h="16838"/>
      <w:pgMar w:top="1418" w:right="1418" w:bottom="1418" w:left="1418" w:header="0" w:footer="0" w:gutter="0"/>
      <w:pgNumType w:fmt="decimal"/>
      <w:cols w:space="720" w:num="1"/>
      <w:formProt w:val="0"/>
      <w:docGrid w:linePitch="360" w:charSpace="573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01"/>
    <w:family w:val="roman"/>
    <w:pitch w:val="default"/>
    <w:sig w:usb0="E4002EFF" w:usb1="C000247B" w:usb2="00000009" w:usb3="00000000" w:csb0="200001FF" w:csb1="00000000"/>
  </w:font>
  <w:font w:name="Cambria">
    <w:panose1 w:val="02040503050406030204"/>
    <w:charset w:val="01"/>
    <w:family w:val="roman"/>
    <w:pitch w:val="default"/>
    <w:sig w:usb0="E00006FF" w:usb1="420024FF" w:usb2="02000000" w:usb3="00000000" w:csb0="2000019F" w:csb1="00000000"/>
  </w:font>
  <w:font w:name="黑体">
    <w:altName w:val="SimSun"/>
    <w:panose1 w:val="00000000000000000000"/>
    <w:charset w:val="00"/>
    <w:family w:val="auto"/>
    <w:pitch w:val="default"/>
    <w:sig w:usb0="00000000" w:usb1="00000000" w:usb2="00000000" w:usb3="00000000" w:csb0="00000000" w:csb1="00000000"/>
  </w:font>
  <w:font w:name="OpenSymbol">
    <w:altName w:val="Segoe Print"/>
    <w:panose1 w:val="00000000000000000000"/>
    <w:charset w:val="01"/>
    <w:family w:val="roman"/>
    <w:pitch w:val="default"/>
    <w:sig w:usb0="00000000" w:usb1="00000000" w:usb2="00000000" w:usb3="00000000" w:csb0="00000000" w:csb1="00000000"/>
  </w:font>
  <w:font w:name="Times">
    <w:altName w:val="Times New Roman"/>
    <w:panose1 w:val="00000000000000000000"/>
    <w:charset w:val="01"/>
    <w:family w:val="roman"/>
    <w:pitch w:val="default"/>
    <w:sig w:usb0="00000000" w:usb1="00000000" w:usb2="00000000" w:usb3="00000000" w:csb0="00000000" w:csb1="00000000"/>
  </w:font>
  <w:font w:name="Batang;바탕">
    <w:altName w:val="Segoe Print"/>
    <w:panose1 w:val="00000000000000000000"/>
    <w:charset w:val="00"/>
    <w:family w:val="auto"/>
    <w:pitch w:val="default"/>
    <w:sig w:usb0="00000000" w:usb1="00000000" w:usb2="00000000" w:usb3="00000000" w:csb0="00000000" w:csb1="00000000"/>
  </w:font>
  <w:font w:name="Courier New">
    <w:panose1 w:val="02070309020205020404"/>
    <w:charset w:val="01"/>
    <w:family w:val="roman"/>
    <w:pitch w:val="default"/>
    <w:sig w:usb0="E0002EFF" w:usb1="C0007843" w:usb2="00000009" w:usb3="00000000" w:csb0="400001FF" w:csb1="FFFF0000"/>
  </w:font>
  <w:font w:name="Wingdings">
    <w:panose1 w:val="05000000000000000000"/>
    <w:charset w:val="01"/>
    <w:family w:val="roman"/>
    <w:pitch w:val="default"/>
    <w:sig w:usb0="00000000" w:usb1="0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Times;Times New Roman">
    <w:altName w:val="Segoe Print"/>
    <w:panose1 w:val="00000000000000000000"/>
    <w:charset w:val="00"/>
    <w:family w:val="auto"/>
    <w:pitch w:val="default"/>
    <w:sig w:usb0="00000000" w:usb1="00000000" w:usb2="00000000" w:usb3="00000000" w:csb0="00000000" w:csb1="00000000"/>
  </w:font>
  <w:font w:name="Liberation Sans">
    <w:altName w:val="Arial"/>
    <w:panose1 w:val="00000000000000000000"/>
    <w:charset w:val="01"/>
    <w:family w:val="roman"/>
    <w:pitch w:val="default"/>
    <w:sig w:usb0="00000000" w:usb1="00000000" w:usb2="00000000" w:usb3="00000000" w:csb0="00000000" w:csb1="00000000"/>
  </w:font>
  <w:font w:name="Noto Sans CJK SC">
    <w:altName w:val="Segoe Print"/>
    <w:panose1 w:val="00000000000000000000"/>
    <w:charset w:val="00"/>
    <w:family w:val="auto"/>
    <w:pitch w:val="default"/>
    <w:sig w:usb0="00000000" w:usb1="00000000" w:usb2="00000000" w:usb3="00000000" w:csb0="00000000" w:csb1="00000000"/>
  </w:font>
  <w:font w:name="Lohit Devanagari">
    <w:altName w:val="Segoe Print"/>
    <w:panose1 w:val="00000000000000000000"/>
    <w:charset w:val="00"/>
    <w:family w:val="auto"/>
    <w:pitch w:val="default"/>
    <w:sig w:usb0="00000000" w:usb1="00000000" w:usb2="00000000" w:usb3="00000000" w:csb0="00000000" w:csb1="00000000"/>
  </w:font>
  <w:font w:name="MS Mincho">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Malgun Gothic;맑은 고딕">
    <w:altName w:val="Segoe Print"/>
    <w:panose1 w:val="00000000000000000000"/>
    <w:charset w:val="00"/>
    <w:family w:val="auto"/>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o"/>
      <w:lvlJc w:val="left"/>
      <w:pPr>
        <w:tabs>
          <w:tab w:val="left" w:pos="0"/>
        </w:tabs>
        <w:ind w:left="2160" w:hanging="360"/>
      </w:pPr>
      <w:rPr>
        <w:rFonts w:hint="default" w:ascii="Courier New" w:hAnsi="Courier New" w:cs="Courier New"/>
      </w:rPr>
    </w:lvl>
    <w:lvl w:ilvl="3" w:tentative="0">
      <w:start w:val="1"/>
      <w:numFmt w:val="bullet"/>
      <w:lvlText w:val="-"/>
      <w:lvlJc w:val="left"/>
      <w:pPr>
        <w:tabs>
          <w:tab w:val="left" w:pos="0"/>
        </w:tabs>
        <w:ind w:left="2880" w:hanging="360"/>
      </w:pPr>
      <w:rPr>
        <w:rFonts w:hint="default" w:ascii="Times" w:hAnsi="Times" w:cs="Times"/>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
    <w:nsid w:val="B5E306ED"/>
    <w:multiLevelType w:val="multilevel"/>
    <w:tmpl w:val="B5E306ED"/>
    <w:lvl w:ilvl="0" w:tentative="0">
      <w:start w:val="1"/>
      <w:numFmt w:val="bullet"/>
      <w:lvlText w:val=""/>
      <w:lvlJc w:val="left"/>
      <w:pPr>
        <w:tabs>
          <w:tab w:val="left" w:pos="720"/>
        </w:tabs>
        <w:ind w:left="720" w:hanging="360"/>
      </w:pPr>
      <w:rPr>
        <w:rFonts w:hint="default" w:ascii="Symbol" w:hAnsi="Symbol" w:cs="Symbol"/>
      </w:rPr>
    </w:lvl>
    <w:lvl w:ilvl="1" w:tentative="0">
      <w:start w:val="1"/>
      <w:numFmt w:val="bullet"/>
      <w:lvlText w:val="◦"/>
      <w:lvlJc w:val="left"/>
      <w:pPr>
        <w:tabs>
          <w:tab w:val="left" w:pos="1080"/>
        </w:tabs>
        <w:ind w:left="1080" w:hanging="360"/>
      </w:pPr>
      <w:rPr>
        <w:rFonts w:hint="default" w:ascii="OpenSymbol" w:hAnsi="OpenSymbol" w:cs="OpenSymbol"/>
      </w:rPr>
    </w:lvl>
    <w:lvl w:ilvl="2" w:tentative="0">
      <w:start w:val="1"/>
      <w:numFmt w:val="bullet"/>
      <w:lvlText w:val="▪"/>
      <w:lvlJc w:val="left"/>
      <w:pPr>
        <w:tabs>
          <w:tab w:val="left" w:pos="1440"/>
        </w:tabs>
        <w:ind w:left="1440" w:hanging="360"/>
      </w:pPr>
      <w:rPr>
        <w:rFonts w:hint="default" w:ascii="OpenSymbol" w:hAnsi="OpenSymbol" w:cs="OpenSymbol"/>
      </w:rPr>
    </w:lvl>
    <w:lvl w:ilvl="3" w:tentative="0">
      <w:start w:val="1"/>
      <w:numFmt w:val="bullet"/>
      <w:lvlText w:val=""/>
      <w:lvlJc w:val="left"/>
      <w:pPr>
        <w:tabs>
          <w:tab w:val="left" w:pos="1800"/>
        </w:tabs>
        <w:ind w:left="1800" w:hanging="360"/>
      </w:pPr>
      <w:rPr>
        <w:rFonts w:hint="default" w:ascii="Symbol" w:hAnsi="Symbol" w:cs="Symbol"/>
      </w:rPr>
    </w:lvl>
    <w:lvl w:ilvl="4" w:tentative="0">
      <w:start w:val="1"/>
      <w:numFmt w:val="bullet"/>
      <w:lvlText w:val="◦"/>
      <w:lvlJc w:val="left"/>
      <w:pPr>
        <w:tabs>
          <w:tab w:val="left" w:pos="2160"/>
        </w:tabs>
        <w:ind w:left="2160" w:hanging="360"/>
      </w:pPr>
      <w:rPr>
        <w:rFonts w:hint="default" w:ascii="OpenSymbol" w:hAnsi="OpenSymbol" w:cs="OpenSymbol"/>
      </w:rPr>
    </w:lvl>
    <w:lvl w:ilvl="5" w:tentative="0">
      <w:start w:val="1"/>
      <w:numFmt w:val="bullet"/>
      <w:lvlText w:val="▪"/>
      <w:lvlJc w:val="left"/>
      <w:pPr>
        <w:tabs>
          <w:tab w:val="left" w:pos="2520"/>
        </w:tabs>
        <w:ind w:left="2520" w:hanging="360"/>
      </w:pPr>
      <w:rPr>
        <w:rFonts w:hint="default" w:ascii="OpenSymbol" w:hAnsi="OpenSymbol" w:cs="OpenSymbol"/>
      </w:rPr>
    </w:lvl>
    <w:lvl w:ilvl="6" w:tentative="0">
      <w:start w:val="1"/>
      <w:numFmt w:val="bullet"/>
      <w:lvlText w:val=""/>
      <w:lvlJc w:val="left"/>
      <w:pPr>
        <w:tabs>
          <w:tab w:val="left" w:pos="2880"/>
        </w:tabs>
        <w:ind w:left="2880" w:hanging="360"/>
      </w:pPr>
      <w:rPr>
        <w:rFonts w:hint="default" w:ascii="Symbol" w:hAnsi="Symbol" w:cs="Symbol"/>
      </w:rPr>
    </w:lvl>
    <w:lvl w:ilvl="7" w:tentative="0">
      <w:start w:val="1"/>
      <w:numFmt w:val="bullet"/>
      <w:lvlText w:val="◦"/>
      <w:lvlJc w:val="left"/>
      <w:pPr>
        <w:tabs>
          <w:tab w:val="left" w:pos="3240"/>
        </w:tabs>
        <w:ind w:left="3240" w:hanging="360"/>
      </w:pPr>
      <w:rPr>
        <w:rFonts w:hint="default" w:ascii="OpenSymbol" w:hAnsi="OpenSymbol" w:cs="OpenSymbol"/>
      </w:rPr>
    </w:lvl>
    <w:lvl w:ilvl="8" w:tentative="0">
      <w:start w:val="1"/>
      <w:numFmt w:val="bullet"/>
      <w:lvlText w:val="▪"/>
      <w:lvlJc w:val="left"/>
      <w:pPr>
        <w:tabs>
          <w:tab w:val="left" w:pos="3600"/>
        </w:tabs>
        <w:ind w:left="3600" w:hanging="360"/>
      </w:pPr>
      <w:rPr>
        <w:rFonts w:hint="default" w:ascii="OpenSymbol" w:hAnsi="OpenSymbol" w:cs="OpenSymbol"/>
      </w:rPr>
    </w:lvl>
  </w:abstractNum>
  <w:abstractNum w:abstractNumId="2">
    <w:nsid w:val="BF205925"/>
    <w:multiLevelType w:val="multilevel"/>
    <w:tmpl w:val="BF205925"/>
    <w:lvl w:ilvl="0" w:tentative="0">
      <w:start w:val="1"/>
      <w:numFmt w:val="bullet"/>
      <w:lvlText w:val=""/>
      <w:lvlJc w:val="left"/>
      <w:pPr>
        <w:tabs>
          <w:tab w:val="left" w:pos="720"/>
        </w:tabs>
        <w:ind w:left="720" w:hanging="360"/>
      </w:pPr>
      <w:rPr>
        <w:rFonts w:hint="default" w:ascii="Symbol" w:hAnsi="Symbol" w:cs="Symbol"/>
      </w:rPr>
    </w:lvl>
    <w:lvl w:ilvl="1" w:tentative="0">
      <w:start w:val="1"/>
      <w:numFmt w:val="bullet"/>
      <w:lvlText w:val="◦"/>
      <w:lvlJc w:val="left"/>
      <w:pPr>
        <w:tabs>
          <w:tab w:val="left" w:pos="1080"/>
        </w:tabs>
        <w:ind w:left="1080" w:hanging="360"/>
      </w:pPr>
      <w:rPr>
        <w:rFonts w:hint="default" w:ascii="OpenSymbol" w:hAnsi="OpenSymbol" w:cs="OpenSymbol"/>
      </w:rPr>
    </w:lvl>
    <w:lvl w:ilvl="2" w:tentative="0">
      <w:start w:val="1"/>
      <w:numFmt w:val="bullet"/>
      <w:lvlText w:val="▪"/>
      <w:lvlJc w:val="left"/>
      <w:pPr>
        <w:tabs>
          <w:tab w:val="left" w:pos="1440"/>
        </w:tabs>
        <w:ind w:left="1440" w:hanging="360"/>
      </w:pPr>
      <w:rPr>
        <w:rFonts w:hint="default" w:ascii="OpenSymbol" w:hAnsi="OpenSymbol" w:cs="OpenSymbol"/>
      </w:rPr>
    </w:lvl>
    <w:lvl w:ilvl="3" w:tentative="0">
      <w:start w:val="1"/>
      <w:numFmt w:val="bullet"/>
      <w:lvlText w:val=""/>
      <w:lvlJc w:val="left"/>
      <w:pPr>
        <w:tabs>
          <w:tab w:val="left" w:pos="1800"/>
        </w:tabs>
        <w:ind w:left="1800" w:hanging="360"/>
      </w:pPr>
      <w:rPr>
        <w:rFonts w:hint="default" w:ascii="Symbol" w:hAnsi="Symbol" w:cs="Symbol"/>
      </w:rPr>
    </w:lvl>
    <w:lvl w:ilvl="4" w:tentative="0">
      <w:start w:val="1"/>
      <w:numFmt w:val="bullet"/>
      <w:lvlText w:val="◦"/>
      <w:lvlJc w:val="left"/>
      <w:pPr>
        <w:tabs>
          <w:tab w:val="left" w:pos="2160"/>
        </w:tabs>
        <w:ind w:left="2160" w:hanging="360"/>
      </w:pPr>
      <w:rPr>
        <w:rFonts w:hint="default" w:ascii="OpenSymbol" w:hAnsi="OpenSymbol" w:cs="OpenSymbol"/>
      </w:rPr>
    </w:lvl>
    <w:lvl w:ilvl="5" w:tentative="0">
      <w:start w:val="1"/>
      <w:numFmt w:val="bullet"/>
      <w:lvlText w:val="▪"/>
      <w:lvlJc w:val="left"/>
      <w:pPr>
        <w:tabs>
          <w:tab w:val="left" w:pos="2520"/>
        </w:tabs>
        <w:ind w:left="2520" w:hanging="360"/>
      </w:pPr>
      <w:rPr>
        <w:rFonts w:hint="default" w:ascii="OpenSymbol" w:hAnsi="OpenSymbol" w:cs="OpenSymbol"/>
      </w:rPr>
    </w:lvl>
    <w:lvl w:ilvl="6" w:tentative="0">
      <w:start w:val="1"/>
      <w:numFmt w:val="bullet"/>
      <w:lvlText w:val=""/>
      <w:lvlJc w:val="left"/>
      <w:pPr>
        <w:tabs>
          <w:tab w:val="left" w:pos="2880"/>
        </w:tabs>
        <w:ind w:left="2880" w:hanging="360"/>
      </w:pPr>
      <w:rPr>
        <w:rFonts w:hint="default" w:ascii="Symbol" w:hAnsi="Symbol" w:cs="Symbol"/>
      </w:rPr>
    </w:lvl>
    <w:lvl w:ilvl="7" w:tentative="0">
      <w:start w:val="1"/>
      <w:numFmt w:val="bullet"/>
      <w:lvlText w:val="◦"/>
      <w:lvlJc w:val="left"/>
      <w:pPr>
        <w:tabs>
          <w:tab w:val="left" w:pos="3240"/>
        </w:tabs>
        <w:ind w:left="3240" w:hanging="360"/>
      </w:pPr>
      <w:rPr>
        <w:rFonts w:hint="default" w:ascii="OpenSymbol" w:hAnsi="OpenSymbol" w:cs="OpenSymbol"/>
      </w:rPr>
    </w:lvl>
    <w:lvl w:ilvl="8" w:tentative="0">
      <w:start w:val="1"/>
      <w:numFmt w:val="bullet"/>
      <w:lvlText w:val="▪"/>
      <w:lvlJc w:val="left"/>
      <w:pPr>
        <w:tabs>
          <w:tab w:val="left" w:pos="3600"/>
        </w:tabs>
        <w:ind w:left="3600" w:hanging="360"/>
      </w:pPr>
      <w:rPr>
        <w:rFonts w:hint="default" w:ascii="OpenSymbol" w:hAnsi="OpenSymbol" w:cs="OpenSymbol"/>
      </w:rPr>
    </w:lvl>
  </w:abstractNum>
  <w:abstractNum w:abstractNumId="3">
    <w:nsid w:val="C8879AEF"/>
    <w:multiLevelType w:val="multilevel"/>
    <w:tmpl w:val="C8879AEF"/>
    <w:lvl w:ilvl="0" w:tentative="0">
      <w:start w:val="150"/>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Times" w:hAnsi="Times" w:cs="Time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4">
    <w:nsid w:val="CF092B84"/>
    <w:multiLevelType w:val="multilevel"/>
    <w:tmpl w:val="CF092B84"/>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5">
    <w:nsid w:val="0053208E"/>
    <w:multiLevelType w:val="multilevel"/>
    <w:tmpl w:val="0053208E"/>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6">
    <w:nsid w:val="0248C179"/>
    <w:multiLevelType w:val="multilevel"/>
    <w:tmpl w:val="0248C179"/>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7">
    <w:nsid w:val="03D62ECE"/>
    <w:multiLevelType w:val="multilevel"/>
    <w:tmpl w:val="03D62ECE"/>
    <w:lvl w:ilvl="0" w:tentative="0">
      <w:start w:val="1"/>
      <w:numFmt w:val="bullet"/>
      <w:lvlText w:val=""/>
      <w:lvlJc w:val="left"/>
      <w:pPr>
        <w:tabs>
          <w:tab w:val="left" w:pos="720"/>
        </w:tabs>
        <w:ind w:left="720" w:hanging="360"/>
      </w:pPr>
      <w:rPr>
        <w:rFonts w:hint="default" w:ascii="Symbol" w:hAnsi="Symbol" w:cs="Symbol"/>
      </w:rPr>
    </w:lvl>
    <w:lvl w:ilvl="1" w:tentative="0">
      <w:start w:val="1"/>
      <w:numFmt w:val="bullet"/>
      <w:lvlText w:val="◦"/>
      <w:lvlJc w:val="left"/>
      <w:pPr>
        <w:tabs>
          <w:tab w:val="left" w:pos="1080"/>
        </w:tabs>
        <w:ind w:left="1080" w:hanging="360"/>
      </w:pPr>
      <w:rPr>
        <w:rFonts w:hint="default" w:ascii="OpenSymbol" w:hAnsi="OpenSymbol" w:cs="OpenSymbol"/>
      </w:rPr>
    </w:lvl>
    <w:lvl w:ilvl="2" w:tentative="0">
      <w:start w:val="1"/>
      <w:numFmt w:val="bullet"/>
      <w:lvlText w:val="▪"/>
      <w:lvlJc w:val="left"/>
      <w:pPr>
        <w:tabs>
          <w:tab w:val="left" w:pos="1440"/>
        </w:tabs>
        <w:ind w:left="1440" w:hanging="360"/>
      </w:pPr>
      <w:rPr>
        <w:rFonts w:hint="default" w:ascii="OpenSymbol" w:hAnsi="OpenSymbol" w:cs="OpenSymbol"/>
      </w:rPr>
    </w:lvl>
    <w:lvl w:ilvl="3" w:tentative="0">
      <w:start w:val="1"/>
      <w:numFmt w:val="bullet"/>
      <w:lvlText w:val=""/>
      <w:lvlJc w:val="left"/>
      <w:pPr>
        <w:tabs>
          <w:tab w:val="left" w:pos="1800"/>
        </w:tabs>
        <w:ind w:left="1800" w:hanging="360"/>
      </w:pPr>
      <w:rPr>
        <w:rFonts w:hint="default" w:ascii="Symbol" w:hAnsi="Symbol" w:cs="Symbol"/>
      </w:rPr>
    </w:lvl>
    <w:lvl w:ilvl="4" w:tentative="0">
      <w:start w:val="1"/>
      <w:numFmt w:val="bullet"/>
      <w:lvlText w:val="◦"/>
      <w:lvlJc w:val="left"/>
      <w:pPr>
        <w:tabs>
          <w:tab w:val="left" w:pos="2160"/>
        </w:tabs>
        <w:ind w:left="2160" w:hanging="360"/>
      </w:pPr>
      <w:rPr>
        <w:rFonts w:hint="default" w:ascii="OpenSymbol" w:hAnsi="OpenSymbol" w:cs="OpenSymbol"/>
      </w:rPr>
    </w:lvl>
    <w:lvl w:ilvl="5" w:tentative="0">
      <w:start w:val="1"/>
      <w:numFmt w:val="bullet"/>
      <w:lvlText w:val="▪"/>
      <w:lvlJc w:val="left"/>
      <w:pPr>
        <w:tabs>
          <w:tab w:val="left" w:pos="2520"/>
        </w:tabs>
        <w:ind w:left="2520" w:hanging="360"/>
      </w:pPr>
      <w:rPr>
        <w:rFonts w:hint="default" w:ascii="OpenSymbol" w:hAnsi="OpenSymbol" w:cs="OpenSymbol"/>
      </w:rPr>
    </w:lvl>
    <w:lvl w:ilvl="6" w:tentative="0">
      <w:start w:val="1"/>
      <w:numFmt w:val="bullet"/>
      <w:lvlText w:val=""/>
      <w:lvlJc w:val="left"/>
      <w:pPr>
        <w:tabs>
          <w:tab w:val="left" w:pos="2880"/>
        </w:tabs>
        <w:ind w:left="2880" w:hanging="360"/>
      </w:pPr>
      <w:rPr>
        <w:rFonts w:hint="default" w:ascii="Symbol" w:hAnsi="Symbol" w:cs="Symbol"/>
      </w:rPr>
    </w:lvl>
    <w:lvl w:ilvl="7" w:tentative="0">
      <w:start w:val="1"/>
      <w:numFmt w:val="bullet"/>
      <w:lvlText w:val="◦"/>
      <w:lvlJc w:val="left"/>
      <w:pPr>
        <w:tabs>
          <w:tab w:val="left" w:pos="3240"/>
        </w:tabs>
        <w:ind w:left="3240" w:hanging="360"/>
      </w:pPr>
      <w:rPr>
        <w:rFonts w:hint="default" w:ascii="OpenSymbol" w:hAnsi="OpenSymbol" w:cs="OpenSymbol"/>
      </w:rPr>
    </w:lvl>
    <w:lvl w:ilvl="8" w:tentative="0">
      <w:start w:val="1"/>
      <w:numFmt w:val="bullet"/>
      <w:lvlText w:val="▪"/>
      <w:lvlJc w:val="left"/>
      <w:pPr>
        <w:tabs>
          <w:tab w:val="left" w:pos="3600"/>
        </w:tabs>
        <w:ind w:left="3600" w:hanging="360"/>
      </w:pPr>
      <w:rPr>
        <w:rFonts w:hint="default" w:ascii="OpenSymbol" w:hAnsi="OpenSymbol" w:cs="OpenSymbol"/>
      </w:rPr>
    </w:lvl>
  </w:abstractNum>
  <w:abstractNum w:abstractNumId="8">
    <w:nsid w:val="25B654F3"/>
    <w:multiLevelType w:val="multilevel"/>
    <w:tmpl w:val="25B654F3"/>
    <w:lvl w:ilvl="0" w:tentative="0">
      <w:start w:val="1"/>
      <w:numFmt w:val="bullet"/>
      <w:lvlText w:val=""/>
      <w:lvlJc w:val="left"/>
      <w:pPr>
        <w:tabs>
          <w:tab w:val="left" w:pos="720"/>
        </w:tabs>
        <w:ind w:left="720" w:hanging="360"/>
      </w:pPr>
      <w:rPr>
        <w:rFonts w:hint="default" w:ascii="Symbol" w:hAnsi="Symbol" w:cs="Symbol"/>
      </w:rPr>
    </w:lvl>
    <w:lvl w:ilvl="1" w:tentative="0">
      <w:start w:val="1"/>
      <w:numFmt w:val="bullet"/>
      <w:lvlText w:val="◦"/>
      <w:lvlJc w:val="left"/>
      <w:pPr>
        <w:tabs>
          <w:tab w:val="left" w:pos="1080"/>
        </w:tabs>
        <w:ind w:left="1080" w:hanging="360"/>
      </w:pPr>
      <w:rPr>
        <w:rFonts w:hint="default" w:ascii="OpenSymbol" w:hAnsi="OpenSymbol" w:cs="OpenSymbol"/>
      </w:rPr>
    </w:lvl>
    <w:lvl w:ilvl="2" w:tentative="0">
      <w:start w:val="1"/>
      <w:numFmt w:val="bullet"/>
      <w:lvlText w:val="▪"/>
      <w:lvlJc w:val="left"/>
      <w:pPr>
        <w:tabs>
          <w:tab w:val="left" w:pos="1440"/>
        </w:tabs>
        <w:ind w:left="1440" w:hanging="360"/>
      </w:pPr>
      <w:rPr>
        <w:rFonts w:hint="default" w:ascii="OpenSymbol" w:hAnsi="OpenSymbol" w:cs="OpenSymbol"/>
      </w:rPr>
    </w:lvl>
    <w:lvl w:ilvl="3" w:tentative="0">
      <w:start w:val="1"/>
      <w:numFmt w:val="bullet"/>
      <w:lvlText w:val=""/>
      <w:lvlJc w:val="left"/>
      <w:pPr>
        <w:tabs>
          <w:tab w:val="left" w:pos="1800"/>
        </w:tabs>
        <w:ind w:left="1800" w:hanging="360"/>
      </w:pPr>
      <w:rPr>
        <w:rFonts w:hint="default" w:ascii="Symbol" w:hAnsi="Symbol" w:cs="Symbol"/>
      </w:rPr>
    </w:lvl>
    <w:lvl w:ilvl="4" w:tentative="0">
      <w:start w:val="1"/>
      <w:numFmt w:val="bullet"/>
      <w:lvlText w:val="◦"/>
      <w:lvlJc w:val="left"/>
      <w:pPr>
        <w:tabs>
          <w:tab w:val="left" w:pos="2160"/>
        </w:tabs>
        <w:ind w:left="2160" w:hanging="360"/>
      </w:pPr>
      <w:rPr>
        <w:rFonts w:hint="default" w:ascii="OpenSymbol" w:hAnsi="OpenSymbol" w:cs="OpenSymbol"/>
      </w:rPr>
    </w:lvl>
    <w:lvl w:ilvl="5" w:tentative="0">
      <w:start w:val="1"/>
      <w:numFmt w:val="bullet"/>
      <w:lvlText w:val="▪"/>
      <w:lvlJc w:val="left"/>
      <w:pPr>
        <w:tabs>
          <w:tab w:val="left" w:pos="2520"/>
        </w:tabs>
        <w:ind w:left="2520" w:hanging="360"/>
      </w:pPr>
      <w:rPr>
        <w:rFonts w:hint="default" w:ascii="OpenSymbol" w:hAnsi="OpenSymbol" w:cs="OpenSymbol"/>
      </w:rPr>
    </w:lvl>
    <w:lvl w:ilvl="6" w:tentative="0">
      <w:start w:val="1"/>
      <w:numFmt w:val="bullet"/>
      <w:lvlText w:val=""/>
      <w:lvlJc w:val="left"/>
      <w:pPr>
        <w:tabs>
          <w:tab w:val="left" w:pos="2880"/>
        </w:tabs>
        <w:ind w:left="2880" w:hanging="360"/>
      </w:pPr>
      <w:rPr>
        <w:rFonts w:hint="default" w:ascii="Symbol" w:hAnsi="Symbol" w:cs="Symbol"/>
      </w:rPr>
    </w:lvl>
    <w:lvl w:ilvl="7" w:tentative="0">
      <w:start w:val="1"/>
      <w:numFmt w:val="bullet"/>
      <w:lvlText w:val="◦"/>
      <w:lvlJc w:val="left"/>
      <w:pPr>
        <w:tabs>
          <w:tab w:val="left" w:pos="3240"/>
        </w:tabs>
        <w:ind w:left="3240" w:hanging="360"/>
      </w:pPr>
      <w:rPr>
        <w:rFonts w:hint="default" w:ascii="OpenSymbol" w:hAnsi="OpenSymbol" w:cs="OpenSymbol"/>
      </w:rPr>
    </w:lvl>
    <w:lvl w:ilvl="8" w:tentative="0">
      <w:start w:val="1"/>
      <w:numFmt w:val="bullet"/>
      <w:lvlText w:val="▪"/>
      <w:lvlJc w:val="left"/>
      <w:pPr>
        <w:tabs>
          <w:tab w:val="left" w:pos="3600"/>
        </w:tabs>
        <w:ind w:left="3600" w:hanging="360"/>
      </w:pPr>
      <w:rPr>
        <w:rFonts w:hint="default" w:ascii="OpenSymbol" w:hAnsi="OpenSymbol" w:cs="OpenSymbol"/>
      </w:rPr>
    </w:lvl>
  </w:abstractNum>
  <w:abstractNum w:abstractNumId="9">
    <w:nsid w:val="2A8F537B"/>
    <w:multiLevelType w:val="multilevel"/>
    <w:tmpl w:val="2A8F537B"/>
    <w:lvl w:ilvl="0" w:tentative="0">
      <w:start w:val="1"/>
      <w:numFmt w:val="bullet"/>
      <w:lvlText w:val=""/>
      <w:lvlJc w:val="left"/>
      <w:pPr>
        <w:tabs>
          <w:tab w:val="left" w:pos="768"/>
        </w:tabs>
        <w:ind w:left="768" w:hanging="360"/>
      </w:pPr>
      <w:rPr>
        <w:rFonts w:hint="default" w:ascii="Symbol" w:hAnsi="Symbol" w:cs="Symbol"/>
      </w:rPr>
    </w:lvl>
    <w:lvl w:ilvl="1" w:tentative="0">
      <w:start w:val="1"/>
      <w:numFmt w:val="bullet"/>
      <w:lvlText w:val="◦"/>
      <w:lvlJc w:val="left"/>
      <w:pPr>
        <w:tabs>
          <w:tab w:val="left" w:pos="1128"/>
        </w:tabs>
        <w:ind w:left="1128" w:hanging="360"/>
      </w:pPr>
      <w:rPr>
        <w:rFonts w:hint="default" w:ascii="OpenSymbol" w:hAnsi="OpenSymbol" w:cs="OpenSymbol"/>
      </w:rPr>
    </w:lvl>
    <w:lvl w:ilvl="2" w:tentative="0">
      <w:start w:val="1"/>
      <w:numFmt w:val="bullet"/>
      <w:lvlText w:val="▪"/>
      <w:lvlJc w:val="left"/>
      <w:pPr>
        <w:tabs>
          <w:tab w:val="left" w:pos="1488"/>
        </w:tabs>
        <w:ind w:left="1488" w:hanging="360"/>
      </w:pPr>
      <w:rPr>
        <w:rFonts w:hint="default" w:ascii="OpenSymbol" w:hAnsi="OpenSymbol" w:cs="OpenSymbol"/>
      </w:rPr>
    </w:lvl>
    <w:lvl w:ilvl="3" w:tentative="0">
      <w:start w:val="1"/>
      <w:numFmt w:val="bullet"/>
      <w:lvlText w:val=""/>
      <w:lvlJc w:val="left"/>
      <w:pPr>
        <w:tabs>
          <w:tab w:val="left" w:pos="1848"/>
        </w:tabs>
        <w:ind w:left="1848" w:hanging="360"/>
      </w:pPr>
      <w:rPr>
        <w:rFonts w:hint="default" w:ascii="Symbol" w:hAnsi="Symbol" w:cs="Symbol"/>
      </w:rPr>
    </w:lvl>
    <w:lvl w:ilvl="4" w:tentative="0">
      <w:start w:val="1"/>
      <w:numFmt w:val="bullet"/>
      <w:lvlText w:val="◦"/>
      <w:lvlJc w:val="left"/>
      <w:pPr>
        <w:tabs>
          <w:tab w:val="left" w:pos="2208"/>
        </w:tabs>
        <w:ind w:left="2208" w:hanging="360"/>
      </w:pPr>
      <w:rPr>
        <w:rFonts w:hint="default" w:ascii="OpenSymbol" w:hAnsi="OpenSymbol" w:cs="OpenSymbol"/>
      </w:rPr>
    </w:lvl>
    <w:lvl w:ilvl="5" w:tentative="0">
      <w:start w:val="1"/>
      <w:numFmt w:val="bullet"/>
      <w:lvlText w:val="▪"/>
      <w:lvlJc w:val="left"/>
      <w:pPr>
        <w:tabs>
          <w:tab w:val="left" w:pos="2568"/>
        </w:tabs>
        <w:ind w:left="2568" w:hanging="360"/>
      </w:pPr>
      <w:rPr>
        <w:rFonts w:hint="default" w:ascii="OpenSymbol" w:hAnsi="OpenSymbol" w:cs="OpenSymbol"/>
      </w:rPr>
    </w:lvl>
    <w:lvl w:ilvl="6" w:tentative="0">
      <w:start w:val="1"/>
      <w:numFmt w:val="bullet"/>
      <w:lvlText w:val=""/>
      <w:lvlJc w:val="left"/>
      <w:pPr>
        <w:tabs>
          <w:tab w:val="left" w:pos="2928"/>
        </w:tabs>
        <w:ind w:left="2928" w:hanging="360"/>
      </w:pPr>
      <w:rPr>
        <w:rFonts w:hint="default" w:ascii="Symbol" w:hAnsi="Symbol" w:cs="Symbol"/>
      </w:rPr>
    </w:lvl>
    <w:lvl w:ilvl="7" w:tentative="0">
      <w:start w:val="1"/>
      <w:numFmt w:val="bullet"/>
      <w:lvlText w:val="◦"/>
      <w:lvlJc w:val="left"/>
      <w:pPr>
        <w:tabs>
          <w:tab w:val="left" w:pos="3288"/>
        </w:tabs>
        <w:ind w:left="3288" w:hanging="360"/>
      </w:pPr>
      <w:rPr>
        <w:rFonts w:hint="default" w:ascii="OpenSymbol" w:hAnsi="OpenSymbol" w:cs="OpenSymbol"/>
      </w:rPr>
    </w:lvl>
    <w:lvl w:ilvl="8" w:tentative="0">
      <w:start w:val="1"/>
      <w:numFmt w:val="bullet"/>
      <w:lvlText w:val="▪"/>
      <w:lvlJc w:val="left"/>
      <w:pPr>
        <w:tabs>
          <w:tab w:val="left" w:pos="3648"/>
        </w:tabs>
        <w:ind w:left="3648" w:hanging="360"/>
      </w:pPr>
      <w:rPr>
        <w:rFonts w:hint="default" w:ascii="OpenSymbol" w:hAnsi="OpenSymbol" w:cs="OpenSymbol"/>
      </w:rPr>
    </w:lvl>
  </w:abstractNum>
  <w:abstractNum w:abstractNumId="10">
    <w:nsid w:val="4D4DC07F"/>
    <w:multiLevelType w:val="multilevel"/>
    <w:tmpl w:val="4D4DC07F"/>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o"/>
      <w:lvlJc w:val="left"/>
      <w:pPr>
        <w:tabs>
          <w:tab w:val="left" w:pos="0"/>
        </w:tabs>
        <w:ind w:left="2160" w:hanging="360"/>
      </w:pPr>
      <w:rPr>
        <w:rFonts w:hint="default" w:ascii="Courier New" w:hAnsi="Courier New" w:cs="Courier New"/>
      </w:rPr>
    </w:lvl>
    <w:lvl w:ilvl="3" w:tentative="0">
      <w:start w:val="1"/>
      <w:numFmt w:val="bullet"/>
      <w:lvlText w:val="-"/>
      <w:lvlJc w:val="left"/>
      <w:pPr>
        <w:tabs>
          <w:tab w:val="left" w:pos="0"/>
        </w:tabs>
        <w:ind w:left="2880" w:hanging="360"/>
      </w:pPr>
      <w:rPr>
        <w:rFonts w:hint="default" w:ascii="Times" w:hAnsi="Times" w:cs="Times"/>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1">
    <w:nsid w:val="59ADCABA"/>
    <w:multiLevelType w:val="multilevel"/>
    <w:tmpl w:val="59ADCABA"/>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2">
    <w:nsid w:val="5A241D34"/>
    <w:multiLevelType w:val="multilevel"/>
    <w:tmpl w:val="5A241D34"/>
    <w:lvl w:ilvl="0" w:tentative="0">
      <w:start w:val="1"/>
      <w:numFmt w:val="bullet"/>
      <w:lvlText w:val=""/>
      <w:lvlJc w:val="left"/>
      <w:pPr>
        <w:tabs>
          <w:tab w:val="left" w:pos="768"/>
        </w:tabs>
        <w:ind w:left="768" w:hanging="360"/>
      </w:pPr>
      <w:rPr>
        <w:rFonts w:hint="default" w:ascii="Symbol" w:hAnsi="Symbol" w:cs="Symbol"/>
      </w:rPr>
    </w:lvl>
    <w:lvl w:ilvl="1" w:tentative="0">
      <w:start w:val="1"/>
      <w:numFmt w:val="bullet"/>
      <w:lvlText w:val="◦"/>
      <w:lvlJc w:val="left"/>
      <w:pPr>
        <w:tabs>
          <w:tab w:val="left" w:pos="1128"/>
        </w:tabs>
        <w:ind w:left="1128" w:hanging="360"/>
      </w:pPr>
      <w:rPr>
        <w:rFonts w:hint="default" w:ascii="OpenSymbol" w:hAnsi="OpenSymbol" w:cs="OpenSymbol"/>
      </w:rPr>
    </w:lvl>
    <w:lvl w:ilvl="2" w:tentative="0">
      <w:start w:val="1"/>
      <w:numFmt w:val="bullet"/>
      <w:lvlText w:val="▪"/>
      <w:lvlJc w:val="left"/>
      <w:pPr>
        <w:tabs>
          <w:tab w:val="left" w:pos="1488"/>
        </w:tabs>
        <w:ind w:left="1488" w:hanging="360"/>
      </w:pPr>
      <w:rPr>
        <w:rFonts w:hint="default" w:ascii="OpenSymbol" w:hAnsi="OpenSymbol" w:cs="OpenSymbol"/>
      </w:rPr>
    </w:lvl>
    <w:lvl w:ilvl="3" w:tentative="0">
      <w:start w:val="1"/>
      <w:numFmt w:val="bullet"/>
      <w:lvlText w:val=""/>
      <w:lvlJc w:val="left"/>
      <w:pPr>
        <w:tabs>
          <w:tab w:val="left" w:pos="1848"/>
        </w:tabs>
        <w:ind w:left="1848" w:hanging="360"/>
      </w:pPr>
      <w:rPr>
        <w:rFonts w:hint="default" w:ascii="Symbol" w:hAnsi="Symbol" w:cs="Symbol"/>
      </w:rPr>
    </w:lvl>
    <w:lvl w:ilvl="4" w:tentative="0">
      <w:start w:val="1"/>
      <w:numFmt w:val="bullet"/>
      <w:lvlText w:val="◦"/>
      <w:lvlJc w:val="left"/>
      <w:pPr>
        <w:tabs>
          <w:tab w:val="left" w:pos="2208"/>
        </w:tabs>
        <w:ind w:left="2208" w:hanging="360"/>
      </w:pPr>
      <w:rPr>
        <w:rFonts w:hint="default" w:ascii="OpenSymbol" w:hAnsi="OpenSymbol" w:cs="OpenSymbol"/>
      </w:rPr>
    </w:lvl>
    <w:lvl w:ilvl="5" w:tentative="0">
      <w:start w:val="1"/>
      <w:numFmt w:val="bullet"/>
      <w:lvlText w:val="▪"/>
      <w:lvlJc w:val="left"/>
      <w:pPr>
        <w:tabs>
          <w:tab w:val="left" w:pos="2568"/>
        </w:tabs>
        <w:ind w:left="2568" w:hanging="360"/>
      </w:pPr>
      <w:rPr>
        <w:rFonts w:hint="default" w:ascii="OpenSymbol" w:hAnsi="OpenSymbol" w:cs="OpenSymbol"/>
      </w:rPr>
    </w:lvl>
    <w:lvl w:ilvl="6" w:tentative="0">
      <w:start w:val="1"/>
      <w:numFmt w:val="bullet"/>
      <w:lvlText w:val=""/>
      <w:lvlJc w:val="left"/>
      <w:pPr>
        <w:tabs>
          <w:tab w:val="left" w:pos="2928"/>
        </w:tabs>
        <w:ind w:left="2928" w:hanging="360"/>
      </w:pPr>
      <w:rPr>
        <w:rFonts w:hint="default" w:ascii="Symbol" w:hAnsi="Symbol" w:cs="Symbol"/>
      </w:rPr>
    </w:lvl>
    <w:lvl w:ilvl="7" w:tentative="0">
      <w:start w:val="1"/>
      <w:numFmt w:val="bullet"/>
      <w:lvlText w:val="◦"/>
      <w:lvlJc w:val="left"/>
      <w:pPr>
        <w:tabs>
          <w:tab w:val="left" w:pos="3288"/>
        </w:tabs>
        <w:ind w:left="3288" w:hanging="360"/>
      </w:pPr>
      <w:rPr>
        <w:rFonts w:hint="default" w:ascii="OpenSymbol" w:hAnsi="OpenSymbol" w:cs="OpenSymbol"/>
      </w:rPr>
    </w:lvl>
    <w:lvl w:ilvl="8" w:tentative="0">
      <w:start w:val="1"/>
      <w:numFmt w:val="bullet"/>
      <w:lvlText w:val="▪"/>
      <w:lvlJc w:val="left"/>
      <w:pPr>
        <w:tabs>
          <w:tab w:val="left" w:pos="3648"/>
        </w:tabs>
        <w:ind w:left="3648" w:hanging="360"/>
      </w:pPr>
      <w:rPr>
        <w:rFonts w:hint="default" w:ascii="OpenSymbol" w:hAnsi="OpenSymbol" w:cs="OpenSymbol"/>
      </w:rPr>
    </w:lvl>
  </w:abstractNum>
  <w:abstractNum w:abstractNumId="13">
    <w:nsid w:val="72183CF9"/>
    <w:multiLevelType w:val="multilevel"/>
    <w:tmpl w:val="72183CF9"/>
    <w:lvl w:ilvl="0" w:tentative="0">
      <w:start w:val="1"/>
      <w:numFmt w:val="bullet"/>
      <w:lvlText w:val=""/>
      <w:lvlJc w:val="left"/>
      <w:pPr>
        <w:tabs>
          <w:tab w:val="left" w:pos="720"/>
        </w:tabs>
        <w:ind w:left="720" w:hanging="360"/>
      </w:pPr>
      <w:rPr>
        <w:rFonts w:hint="default" w:ascii="Symbol" w:hAnsi="Symbol" w:cs="Symbol"/>
      </w:rPr>
    </w:lvl>
    <w:lvl w:ilvl="1" w:tentative="0">
      <w:start w:val="1"/>
      <w:numFmt w:val="bullet"/>
      <w:lvlText w:val="◦"/>
      <w:lvlJc w:val="left"/>
      <w:pPr>
        <w:tabs>
          <w:tab w:val="left" w:pos="1080"/>
        </w:tabs>
        <w:ind w:left="1080" w:hanging="360"/>
      </w:pPr>
      <w:rPr>
        <w:rFonts w:hint="default" w:ascii="OpenSymbol" w:hAnsi="OpenSymbol" w:cs="OpenSymbol"/>
      </w:rPr>
    </w:lvl>
    <w:lvl w:ilvl="2" w:tentative="0">
      <w:start w:val="1"/>
      <w:numFmt w:val="bullet"/>
      <w:lvlText w:val="▪"/>
      <w:lvlJc w:val="left"/>
      <w:pPr>
        <w:tabs>
          <w:tab w:val="left" w:pos="1440"/>
        </w:tabs>
        <w:ind w:left="1440" w:hanging="360"/>
      </w:pPr>
      <w:rPr>
        <w:rFonts w:hint="default" w:ascii="OpenSymbol" w:hAnsi="OpenSymbol" w:cs="OpenSymbol"/>
      </w:rPr>
    </w:lvl>
    <w:lvl w:ilvl="3" w:tentative="0">
      <w:start w:val="1"/>
      <w:numFmt w:val="bullet"/>
      <w:lvlText w:val=""/>
      <w:lvlJc w:val="left"/>
      <w:pPr>
        <w:tabs>
          <w:tab w:val="left" w:pos="1800"/>
        </w:tabs>
        <w:ind w:left="1800" w:hanging="360"/>
      </w:pPr>
      <w:rPr>
        <w:rFonts w:hint="default" w:ascii="Symbol" w:hAnsi="Symbol" w:cs="Symbol"/>
      </w:rPr>
    </w:lvl>
    <w:lvl w:ilvl="4" w:tentative="0">
      <w:start w:val="1"/>
      <w:numFmt w:val="bullet"/>
      <w:lvlText w:val="◦"/>
      <w:lvlJc w:val="left"/>
      <w:pPr>
        <w:tabs>
          <w:tab w:val="left" w:pos="2160"/>
        </w:tabs>
        <w:ind w:left="2160" w:hanging="360"/>
      </w:pPr>
      <w:rPr>
        <w:rFonts w:hint="default" w:ascii="OpenSymbol" w:hAnsi="OpenSymbol" w:cs="OpenSymbol"/>
      </w:rPr>
    </w:lvl>
    <w:lvl w:ilvl="5" w:tentative="0">
      <w:start w:val="1"/>
      <w:numFmt w:val="bullet"/>
      <w:lvlText w:val="▪"/>
      <w:lvlJc w:val="left"/>
      <w:pPr>
        <w:tabs>
          <w:tab w:val="left" w:pos="2520"/>
        </w:tabs>
        <w:ind w:left="2520" w:hanging="360"/>
      </w:pPr>
      <w:rPr>
        <w:rFonts w:hint="default" w:ascii="OpenSymbol" w:hAnsi="OpenSymbol" w:cs="OpenSymbol"/>
      </w:rPr>
    </w:lvl>
    <w:lvl w:ilvl="6" w:tentative="0">
      <w:start w:val="1"/>
      <w:numFmt w:val="bullet"/>
      <w:lvlText w:val=""/>
      <w:lvlJc w:val="left"/>
      <w:pPr>
        <w:tabs>
          <w:tab w:val="left" w:pos="2880"/>
        </w:tabs>
        <w:ind w:left="2880" w:hanging="360"/>
      </w:pPr>
      <w:rPr>
        <w:rFonts w:hint="default" w:ascii="Symbol" w:hAnsi="Symbol" w:cs="Symbol"/>
      </w:rPr>
    </w:lvl>
    <w:lvl w:ilvl="7" w:tentative="0">
      <w:start w:val="1"/>
      <w:numFmt w:val="bullet"/>
      <w:lvlText w:val="◦"/>
      <w:lvlJc w:val="left"/>
      <w:pPr>
        <w:tabs>
          <w:tab w:val="left" w:pos="3240"/>
        </w:tabs>
        <w:ind w:left="3240" w:hanging="360"/>
      </w:pPr>
      <w:rPr>
        <w:rFonts w:hint="default" w:ascii="OpenSymbol" w:hAnsi="OpenSymbol" w:cs="OpenSymbol"/>
      </w:rPr>
    </w:lvl>
    <w:lvl w:ilvl="8" w:tentative="0">
      <w:start w:val="1"/>
      <w:numFmt w:val="bullet"/>
      <w:lvlText w:val="▪"/>
      <w:lvlJc w:val="left"/>
      <w:pPr>
        <w:tabs>
          <w:tab w:val="left" w:pos="3600"/>
        </w:tabs>
        <w:ind w:left="3600" w:hanging="360"/>
      </w:pPr>
      <w:rPr>
        <w:rFonts w:hint="default" w:ascii="OpenSymbol" w:hAnsi="OpenSymbol" w:cs="OpenSymbol"/>
      </w:rPr>
    </w:lvl>
  </w:abstractNum>
  <w:num w:numId="1">
    <w:abstractNumId w:val="5"/>
  </w:num>
  <w:num w:numId="2">
    <w:abstractNumId w:val="4"/>
  </w:num>
  <w:num w:numId="3">
    <w:abstractNumId w:val="11"/>
  </w:num>
  <w:num w:numId="4">
    <w:abstractNumId w:val="2"/>
  </w:num>
  <w:num w:numId="5">
    <w:abstractNumId w:val="1"/>
  </w:num>
  <w:num w:numId="6">
    <w:abstractNumId w:val="7"/>
  </w:num>
  <w:num w:numId="7">
    <w:abstractNumId w:val="8"/>
  </w:num>
  <w:num w:numId="8">
    <w:abstractNumId w:val="13"/>
  </w:num>
  <w:num w:numId="9">
    <w:abstractNumId w:val="6"/>
  </w:num>
  <w:num w:numId="10">
    <w:abstractNumId w:val="0"/>
  </w:num>
  <w:num w:numId="11">
    <w:abstractNumId w:val="9"/>
  </w:num>
  <w:num w:numId="12">
    <w:abstractNumId w:val="12"/>
  </w:num>
  <w:num w:numId="13">
    <w:abstractNumId w:val="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autoHyphenation/>
  <w:displayHorizontalDrawingGridEvery w:val="1"/>
  <w:displayVerticalDrawingGridEvery w:val="1"/>
  <w:noPunctuationKerning w:val="1"/>
  <w:footnotePr>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59DB5708"/>
  </w:rsids>
  <m:mathPr>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iPriority="99" w:semiHidden="0" w:name="header"/>
    <w:lsdException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spacing w:before="0" w:after="0"/>
      <w:jc w:val="both"/>
    </w:pPr>
    <w:rPr>
      <w:rFonts w:asciiTheme="minorHAnsi" w:hAnsiTheme="minorHAnsi" w:eastAsiaTheme="minorEastAsia" w:cstheme="minorBidi"/>
      <w:color w:val="auto"/>
      <w:kern w:val="2"/>
      <w:sz w:val="21"/>
      <w:szCs w:val="22"/>
      <w:lang w:val="en-US" w:eastAsia="zh-CN" w:bidi="ar-SA"/>
    </w:rPr>
  </w:style>
  <w:style w:type="paragraph" w:styleId="2">
    <w:name w:val="heading 2"/>
    <w:basedOn w:val="1"/>
    <w:next w:val="1"/>
    <w:autoRedefine/>
    <w:unhideWhenUsed/>
    <w:qFormat/>
    <w:uiPriority w:val="0"/>
    <w:pPr>
      <w:keepNext/>
      <w:keepLines/>
      <w:widowControl/>
      <w:spacing w:before="200" w:after="0" w:line="360" w:lineRule="auto"/>
      <w:jc w:val="left"/>
      <w:outlineLvl w:val="1"/>
    </w:pPr>
    <w:rPr>
      <w:rFonts w:eastAsia="Arial" w:asciiTheme="majorHAnsi" w:hAnsiTheme="majorHAnsi" w:cstheme="majorBidi"/>
      <w:bCs/>
      <w:color w:val="4F81BD" w:themeColor="accent1"/>
      <w:kern w:val="0"/>
      <w:sz w:val="24"/>
      <w:szCs w:val="26"/>
      <w14:textFill>
        <w14:solidFill>
          <w14:schemeClr w14:val="accent1"/>
        </w14:solidFill>
      </w14:textFill>
    </w:rPr>
  </w:style>
  <w:style w:type="paragraph" w:styleId="3">
    <w:name w:val="heading 3"/>
    <w:basedOn w:val="1"/>
    <w:next w:val="1"/>
    <w:autoRedefine/>
    <w:unhideWhenUsed/>
    <w:qFormat/>
    <w:uiPriority w:val="9"/>
    <w:pPr>
      <w:keepNext/>
      <w:keepLines/>
      <w:spacing w:line="360" w:lineRule="auto"/>
      <w:outlineLvl w:val="2"/>
    </w:pPr>
    <w:rPr>
      <w:rFonts w:eastAsia="Arial"/>
      <w:bCs/>
      <w:sz w:val="24"/>
      <w:szCs w:val="32"/>
    </w:rPr>
  </w:style>
  <w:style w:type="paragraph" w:styleId="4">
    <w:name w:val="heading 4"/>
    <w:basedOn w:val="1"/>
    <w:next w:val="1"/>
    <w:semiHidden/>
    <w:unhideWhenUsed/>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5">
    <w:name w:val="heading 5"/>
    <w:basedOn w:val="1"/>
    <w:next w:val="1"/>
    <w:autoRedefine/>
    <w:semiHidden/>
    <w:unhideWhenUsed/>
    <w:qFormat/>
    <w:uiPriority w:val="9"/>
    <w:pPr>
      <w:keepNext/>
      <w:keepLines/>
      <w:spacing w:before="280" w:after="290" w:line="374" w:lineRule="auto"/>
      <w:outlineLvl w:val="4"/>
    </w:pPr>
    <w:rPr>
      <w:b/>
      <w:bCs/>
      <w:sz w:val="28"/>
      <w:szCs w:val="28"/>
    </w:rPr>
  </w:style>
  <w:style w:type="paragraph" w:styleId="6">
    <w:name w:val="heading 9"/>
    <w:basedOn w:val="1"/>
    <w:next w:val="1"/>
    <w:semiHidden/>
    <w:unhideWhenUsed/>
    <w:qFormat/>
    <w:uiPriority w:val="0"/>
    <w:pPr>
      <w:keepNext/>
      <w:keepLines/>
      <w:widowControl/>
      <w:spacing w:before="240" w:after="64" w:line="319" w:lineRule="auto"/>
      <w:jc w:val="left"/>
      <w:outlineLvl w:val="8"/>
    </w:pPr>
    <w:rPr>
      <w:rFonts w:ascii="Cambria" w:hAnsi="Cambria" w:eastAsia="SimSun" w:cs="Times New Roman"/>
      <w:kern w:val="0"/>
      <w:szCs w:val="21"/>
      <w:lang w:val="zh-CN" w:eastAsia="en-US"/>
    </w:rPr>
  </w:style>
  <w:style w:type="character" w:default="1" w:styleId="7">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9">
    <w:name w:val="Balloon Text"/>
    <w:basedOn w:val="1"/>
    <w:link w:val="23"/>
    <w:semiHidden/>
    <w:unhideWhenUsed/>
    <w:qFormat/>
    <w:uiPriority w:val="99"/>
    <w:rPr>
      <w:sz w:val="18"/>
      <w:szCs w:val="18"/>
    </w:rPr>
  </w:style>
  <w:style w:type="paragraph" w:styleId="10">
    <w:name w:val="Body Text"/>
    <w:basedOn w:val="1"/>
    <w:uiPriority w:val="0"/>
    <w:pPr>
      <w:spacing w:before="0" w:after="140" w:line="276" w:lineRule="auto"/>
    </w:pPr>
  </w:style>
  <w:style w:type="paragraph" w:styleId="11">
    <w:name w:val="caption"/>
    <w:basedOn w:val="1"/>
    <w:unhideWhenUsed/>
    <w:qFormat/>
    <w:uiPriority w:val="35"/>
    <w:rPr>
      <w:rFonts w:eastAsia="黑体" w:asciiTheme="majorHAnsi" w:hAnsiTheme="majorHAnsi" w:cstheme="majorBidi"/>
      <w:sz w:val="20"/>
      <w:szCs w:val="20"/>
    </w:rPr>
  </w:style>
  <w:style w:type="character" w:styleId="12">
    <w:name w:val="annotation reference"/>
    <w:basedOn w:val="7"/>
    <w:autoRedefine/>
    <w:semiHidden/>
    <w:unhideWhenUsed/>
    <w:qFormat/>
    <w:uiPriority w:val="99"/>
    <w:rPr>
      <w:sz w:val="21"/>
      <w:szCs w:val="21"/>
    </w:rPr>
  </w:style>
  <w:style w:type="paragraph" w:styleId="13">
    <w:name w:val="annotation text"/>
    <w:basedOn w:val="1"/>
    <w:link w:val="26"/>
    <w:unhideWhenUsed/>
    <w:qFormat/>
    <w:uiPriority w:val="99"/>
    <w:pPr>
      <w:jc w:val="left"/>
    </w:pPr>
  </w:style>
  <w:style w:type="paragraph" w:styleId="14">
    <w:name w:val="annotation subject"/>
    <w:basedOn w:val="13"/>
    <w:next w:val="13"/>
    <w:link w:val="27"/>
    <w:semiHidden/>
    <w:unhideWhenUsed/>
    <w:qFormat/>
    <w:uiPriority w:val="99"/>
    <w:rPr>
      <w:b/>
      <w:bCs/>
    </w:rPr>
  </w:style>
  <w:style w:type="paragraph" w:styleId="15">
    <w:name w:val="footer"/>
    <w:basedOn w:val="1"/>
    <w:unhideWhenUsed/>
    <w:uiPriority w:val="99"/>
    <w:pPr>
      <w:tabs>
        <w:tab w:val="center" w:pos="4153"/>
        <w:tab w:val="right" w:pos="8306"/>
      </w:tabs>
      <w:snapToGrid w:val="0"/>
      <w:jc w:val="left"/>
    </w:pPr>
    <w:rPr>
      <w:sz w:val="18"/>
      <w:szCs w:val="18"/>
    </w:rPr>
  </w:style>
  <w:style w:type="paragraph" w:styleId="16">
    <w:name w:val="header"/>
    <w:basedOn w:val="1"/>
    <w:link w:val="22"/>
    <w:unhideWhenUsed/>
    <w:uiPriority w:val="99"/>
    <w:pPr>
      <w:pBdr>
        <w:bottom w:val="single" w:color="000000" w:sz="6" w:space="1"/>
      </w:pBdr>
      <w:tabs>
        <w:tab w:val="center" w:pos="4153"/>
        <w:tab w:val="right" w:pos="8306"/>
      </w:tabs>
      <w:snapToGrid w:val="0"/>
      <w:jc w:val="center"/>
    </w:pPr>
    <w:rPr>
      <w:sz w:val="18"/>
      <w:szCs w:val="18"/>
    </w:rPr>
  </w:style>
  <w:style w:type="character" w:styleId="17">
    <w:name w:val="Hyperlink"/>
    <w:autoRedefine/>
    <w:qFormat/>
    <w:uiPriority w:val="99"/>
    <w:rPr>
      <w:color w:val="0000FF"/>
      <w:u w:val="single"/>
    </w:rPr>
  </w:style>
  <w:style w:type="paragraph" w:styleId="18">
    <w:name w:val="List"/>
    <w:basedOn w:val="10"/>
    <w:uiPriority w:val="0"/>
    <w:rPr>
      <w:rFonts w:cs="Lohit Devanagari"/>
    </w:rPr>
  </w:style>
  <w:style w:type="paragraph" w:styleId="19">
    <w:name w:val="Normal (Web)"/>
    <w:basedOn w:val="1"/>
    <w:unhideWhenUsed/>
    <w:qFormat/>
    <w:uiPriority w:val="99"/>
    <w:pPr>
      <w:widowControl/>
      <w:spacing w:beforeAutospacing="1" w:afterAutospacing="1"/>
      <w:jc w:val="left"/>
    </w:pPr>
    <w:rPr>
      <w:rFonts w:ascii="SimSun" w:hAnsi="SimSun" w:eastAsia="SimSun" w:cs="SimSun"/>
      <w:kern w:val="0"/>
      <w:sz w:val="24"/>
      <w:szCs w:val="24"/>
    </w:rPr>
  </w:style>
  <w:style w:type="character" w:styleId="20">
    <w:name w:val="Strong"/>
    <w:basedOn w:val="7"/>
    <w:autoRedefine/>
    <w:qFormat/>
    <w:uiPriority w:val="22"/>
    <w:rPr>
      <w:b/>
      <w:bCs/>
    </w:rPr>
  </w:style>
  <w:style w:type="table" w:styleId="21">
    <w:name w:val="Table Grid"/>
    <w:basedOn w:val="8"/>
    <w:uiPriority w:val="59"/>
    <w:rPr>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
    <w:name w:val="页眉 Char"/>
    <w:basedOn w:val="7"/>
    <w:link w:val="16"/>
    <w:qFormat/>
    <w:uiPriority w:val="99"/>
    <w:rPr>
      <w:sz w:val="18"/>
      <w:szCs w:val="18"/>
    </w:rPr>
  </w:style>
  <w:style w:type="character" w:customStyle="1" w:styleId="23">
    <w:name w:val="页脚 Char"/>
    <w:basedOn w:val="7"/>
    <w:link w:val="9"/>
    <w:autoRedefine/>
    <w:qFormat/>
    <w:uiPriority w:val="99"/>
    <w:rPr>
      <w:sz w:val="18"/>
      <w:szCs w:val="18"/>
    </w:rPr>
  </w:style>
  <w:style w:type="character" w:customStyle="1" w:styleId="24">
    <w:name w:val="批注框文本 Char"/>
    <w:basedOn w:val="7"/>
    <w:link w:val="25"/>
    <w:autoRedefine/>
    <w:semiHidden/>
    <w:qFormat/>
    <w:uiPriority w:val="99"/>
    <w:rPr>
      <w:sz w:val="18"/>
      <w:szCs w:val="18"/>
    </w:rPr>
  </w:style>
  <w:style w:type="paragraph" w:styleId="25">
    <w:name w:val="List Paragraph"/>
    <w:basedOn w:val="1"/>
    <w:link w:val="24"/>
    <w:qFormat/>
    <w:uiPriority w:val="34"/>
    <w:pPr>
      <w:ind w:firstLine="420"/>
    </w:pPr>
  </w:style>
  <w:style w:type="character" w:customStyle="1" w:styleId="26">
    <w:name w:val="列出段落 Char"/>
    <w:link w:val="13"/>
    <w:qFormat/>
    <w:locked/>
    <w:uiPriority w:val="34"/>
  </w:style>
  <w:style w:type="character" w:customStyle="1" w:styleId="27">
    <w:name w:val="批注文字 Char"/>
    <w:basedOn w:val="7"/>
    <w:link w:val="14"/>
    <w:autoRedefine/>
    <w:qFormat/>
    <w:uiPriority w:val="99"/>
  </w:style>
  <w:style w:type="character" w:customStyle="1" w:styleId="28">
    <w:name w:val="批注主题 Char"/>
    <w:basedOn w:val="27"/>
    <w:autoRedefine/>
    <w:semiHidden/>
    <w:qFormat/>
    <w:uiPriority w:val="99"/>
    <w:rPr>
      <w:b/>
      <w:bCs/>
    </w:rPr>
  </w:style>
  <w:style w:type="character" w:styleId="29">
    <w:name w:val="Placeholder Text"/>
    <w:basedOn w:val="7"/>
    <w:semiHidden/>
    <w:qFormat/>
    <w:uiPriority w:val="99"/>
    <w:rPr>
      <w:color w:val="808080"/>
    </w:rPr>
  </w:style>
  <w:style w:type="character" w:customStyle="1" w:styleId="30">
    <w:name w:val="标题 2 Char"/>
    <w:basedOn w:val="7"/>
    <w:autoRedefine/>
    <w:qFormat/>
    <w:uiPriority w:val="0"/>
    <w:rPr>
      <w:rFonts w:eastAsia="Arial" w:asciiTheme="majorHAnsi" w:hAnsiTheme="majorHAnsi" w:cstheme="majorBidi"/>
      <w:bCs/>
      <w:color w:val="4F81BD" w:themeColor="accent1"/>
      <w:kern w:val="0"/>
      <w:sz w:val="24"/>
      <w:szCs w:val="26"/>
      <w14:textFill>
        <w14:solidFill>
          <w14:schemeClr w14:val="accent1"/>
        </w14:solidFill>
      </w14:textFill>
    </w:rPr>
  </w:style>
  <w:style w:type="character" w:customStyle="1" w:styleId="31">
    <w:name w:val="标题 3 Char"/>
    <w:basedOn w:val="7"/>
    <w:qFormat/>
    <w:uiPriority w:val="9"/>
    <w:rPr>
      <w:rFonts w:eastAsia="Arial"/>
      <w:bCs/>
      <w:sz w:val="24"/>
      <w:szCs w:val="32"/>
    </w:rPr>
  </w:style>
  <w:style w:type="character" w:customStyle="1" w:styleId="32">
    <w:name w:val="标题 4 Char"/>
    <w:basedOn w:val="7"/>
    <w:autoRedefine/>
    <w:semiHidden/>
    <w:qFormat/>
    <w:uiPriority w:val="9"/>
    <w:rPr>
      <w:rFonts w:asciiTheme="majorHAnsi" w:hAnsiTheme="majorHAnsi" w:eastAsiaTheme="majorEastAsia" w:cstheme="majorBidi"/>
      <w:b/>
      <w:bCs/>
      <w:sz w:val="28"/>
      <w:szCs w:val="28"/>
    </w:rPr>
  </w:style>
  <w:style w:type="character" w:customStyle="1" w:styleId="33">
    <w:name w:val="标题 5 Char"/>
    <w:basedOn w:val="7"/>
    <w:autoRedefine/>
    <w:semiHidden/>
    <w:qFormat/>
    <w:uiPriority w:val="9"/>
    <w:rPr>
      <w:b/>
      <w:bCs/>
      <w:sz w:val="28"/>
      <w:szCs w:val="28"/>
    </w:rPr>
  </w:style>
  <w:style w:type="character" w:customStyle="1" w:styleId="34">
    <w:name w:val="TAC Char"/>
    <w:link w:val="35"/>
    <w:qFormat/>
    <w:uiPriority w:val="0"/>
    <w:rPr>
      <w:rFonts w:ascii="Arial" w:hAnsi="Arial" w:eastAsia="SimSun" w:cs="Times New Roman"/>
      <w:kern w:val="0"/>
      <w:sz w:val="18"/>
      <w:szCs w:val="20"/>
      <w:lang w:val="en-GB" w:eastAsia="en-US"/>
    </w:rPr>
  </w:style>
  <w:style w:type="paragraph" w:customStyle="1" w:styleId="35">
    <w:name w:val="TAC"/>
    <w:basedOn w:val="1"/>
    <w:link w:val="34"/>
    <w:qFormat/>
    <w:uiPriority w:val="0"/>
    <w:pPr>
      <w:keepNext/>
      <w:keepLines/>
      <w:widowControl/>
      <w:jc w:val="center"/>
    </w:pPr>
    <w:rPr>
      <w:rFonts w:ascii="Arial" w:hAnsi="Arial" w:eastAsia="SimSun" w:cs="Times New Roman"/>
      <w:kern w:val="0"/>
      <w:sz w:val="18"/>
      <w:szCs w:val="20"/>
      <w:lang w:val="en-GB" w:eastAsia="en-US"/>
    </w:rPr>
  </w:style>
  <w:style w:type="character" w:customStyle="1" w:styleId="36">
    <w:name w:val="TAH Car"/>
    <w:link w:val="37"/>
    <w:qFormat/>
    <w:uiPriority w:val="0"/>
    <w:rPr>
      <w:rFonts w:ascii="Arial" w:hAnsi="Arial" w:eastAsia="SimSun" w:cs="Times New Roman"/>
      <w:b/>
      <w:kern w:val="0"/>
      <w:sz w:val="18"/>
      <w:szCs w:val="20"/>
      <w:lang w:val="en-GB" w:eastAsia="en-US"/>
    </w:rPr>
  </w:style>
  <w:style w:type="paragraph" w:customStyle="1" w:styleId="37">
    <w:name w:val="TAH"/>
    <w:basedOn w:val="35"/>
    <w:link w:val="36"/>
    <w:qFormat/>
    <w:uiPriority w:val="0"/>
    <w:rPr>
      <w:b/>
    </w:rPr>
  </w:style>
  <w:style w:type="character" w:customStyle="1" w:styleId="38">
    <w:name w:val="TH Char"/>
    <w:link w:val="39"/>
    <w:autoRedefine/>
    <w:qFormat/>
    <w:uiPriority w:val="0"/>
    <w:rPr>
      <w:rFonts w:ascii="Arial" w:hAnsi="Arial" w:eastAsia="SimSun" w:cs="Times New Roman"/>
      <w:b/>
      <w:kern w:val="0"/>
      <w:sz w:val="20"/>
      <w:szCs w:val="20"/>
      <w:lang w:val="en-GB" w:eastAsia="en-US"/>
    </w:rPr>
  </w:style>
  <w:style w:type="paragraph" w:customStyle="1" w:styleId="39">
    <w:name w:val="TH"/>
    <w:basedOn w:val="1"/>
    <w:link w:val="38"/>
    <w:qFormat/>
    <w:uiPriority w:val="0"/>
    <w:pPr>
      <w:keepNext/>
      <w:keepLines/>
      <w:widowControl/>
      <w:spacing w:before="60" w:after="180"/>
      <w:jc w:val="center"/>
    </w:pPr>
    <w:rPr>
      <w:rFonts w:ascii="Arial" w:hAnsi="Arial" w:eastAsia="SimSun" w:cs="Times New Roman"/>
      <w:b/>
      <w:kern w:val="0"/>
      <w:sz w:val="20"/>
      <w:szCs w:val="20"/>
      <w:lang w:val="en-GB" w:eastAsia="en-US"/>
    </w:rPr>
  </w:style>
  <w:style w:type="character" w:customStyle="1" w:styleId="40">
    <w:name w:val="TAN Char"/>
    <w:link w:val="41"/>
    <w:autoRedefine/>
    <w:qFormat/>
    <w:uiPriority w:val="0"/>
    <w:rPr>
      <w:rFonts w:ascii="Arial" w:hAnsi="Arial" w:eastAsia="SimSun" w:cs="Times New Roman"/>
      <w:kern w:val="0"/>
      <w:sz w:val="18"/>
      <w:szCs w:val="20"/>
      <w:lang w:val="en-GB" w:eastAsia="en-US"/>
    </w:rPr>
  </w:style>
  <w:style w:type="paragraph" w:customStyle="1" w:styleId="41">
    <w:name w:val="TAN"/>
    <w:basedOn w:val="1"/>
    <w:link w:val="40"/>
    <w:qFormat/>
    <w:uiPriority w:val="0"/>
    <w:pPr>
      <w:keepNext/>
      <w:keepLines/>
      <w:widowControl/>
      <w:ind w:left="851" w:hanging="851"/>
      <w:jc w:val="left"/>
    </w:pPr>
    <w:rPr>
      <w:rFonts w:ascii="Arial" w:hAnsi="Arial" w:eastAsia="SimSun" w:cs="Times New Roman"/>
      <w:kern w:val="0"/>
      <w:sz w:val="18"/>
      <w:szCs w:val="20"/>
      <w:lang w:val="en-GB" w:eastAsia="en-US"/>
    </w:rPr>
  </w:style>
  <w:style w:type="character" w:customStyle="1" w:styleId="42">
    <w:name w:val="标题 9 Char"/>
    <w:basedOn w:val="7"/>
    <w:autoRedefine/>
    <w:semiHidden/>
    <w:qFormat/>
    <w:uiPriority w:val="0"/>
    <w:rPr>
      <w:rFonts w:ascii="Cambria" w:hAnsi="Cambria" w:eastAsia="SimSun" w:cs="Times New Roman"/>
      <w:kern w:val="0"/>
      <w:szCs w:val="21"/>
      <w:lang w:val="zh-CN" w:eastAsia="en-US"/>
    </w:rPr>
  </w:style>
  <w:style w:type="character" w:customStyle="1" w:styleId="43">
    <w:name w:val="列出段落 字符"/>
    <w:autoRedefine/>
    <w:qFormat/>
    <w:uiPriority w:val="34"/>
    <w:rPr>
      <w:rFonts w:ascii="Cambria" w:hAnsi="Cambria" w:eastAsia="黑体" w:cs="SimSun"/>
      <w:kern w:val="0"/>
      <w:sz w:val="20"/>
      <w:szCs w:val="20"/>
      <w:lang w:eastAsia="en-US"/>
    </w:rPr>
  </w:style>
  <w:style w:type="character" w:customStyle="1" w:styleId="44">
    <w:name w:val="Bullets"/>
    <w:autoRedefine/>
    <w:qFormat/>
    <w:uiPriority w:val="0"/>
    <w:rPr>
      <w:rFonts w:ascii="OpenSymbol" w:hAnsi="OpenSymbol" w:eastAsia="OpenSymbol" w:cs="OpenSymbol"/>
    </w:rPr>
  </w:style>
  <w:style w:type="character" w:customStyle="1" w:styleId="45">
    <w:name w:val="WW8Num114z0"/>
    <w:autoRedefine/>
    <w:qFormat/>
    <w:uiPriority w:val="0"/>
    <w:rPr>
      <w:rFonts w:ascii="Times" w:hAnsi="Times" w:eastAsia="Batang;바탕" w:cs="Times"/>
      <w:lang w:val="en-US"/>
    </w:rPr>
  </w:style>
  <w:style w:type="character" w:customStyle="1" w:styleId="46">
    <w:name w:val="WW8Num114z1"/>
    <w:autoRedefine/>
    <w:qFormat/>
    <w:uiPriority w:val="0"/>
    <w:rPr>
      <w:rFonts w:ascii="Courier New" w:hAnsi="Courier New" w:cs="Courier New"/>
      <w:lang w:val="en-US"/>
    </w:rPr>
  </w:style>
  <w:style w:type="character" w:customStyle="1" w:styleId="47">
    <w:name w:val="WW8Num114z2"/>
    <w:qFormat/>
    <w:uiPriority w:val="0"/>
    <w:rPr>
      <w:rFonts w:ascii="Wingdings" w:hAnsi="Wingdings" w:cs="Wingdings"/>
      <w:lang w:val="en-US"/>
    </w:rPr>
  </w:style>
  <w:style w:type="character" w:customStyle="1" w:styleId="48">
    <w:name w:val="WW8Num114z3"/>
    <w:autoRedefine/>
    <w:qFormat/>
    <w:uiPriority w:val="0"/>
    <w:rPr>
      <w:rFonts w:ascii="Symbol" w:hAnsi="Symbol" w:cs="Symbol"/>
      <w:lang w:val="en-US"/>
    </w:rPr>
  </w:style>
  <w:style w:type="character" w:customStyle="1" w:styleId="49">
    <w:name w:val="WW8Num272z0"/>
    <w:autoRedefine/>
    <w:qFormat/>
    <w:uiPriority w:val="0"/>
    <w:rPr>
      <w:rFonts w:ascii="Times" w:hAnsi="Times" w:cs="Times"/>
    </w:rPr>
  </w:style>
  <w:style w:type="character" w:customStyle="1" w:styleId="50">
    <w:name w:val="WW8Num272z1"/>
    <w:autoRedefine/>
    <w:qFormat/>
    <w:uiPriority w:val="0"/>
    <w:rPr>
      <w:rFonts w:ascii="Courier New" w:hAnsi="Courier New" w:cs="Courier New"/>
    </w:rPr>
  </w:style>
  <w:style w:type="character" w:customStyle="1" w:styleId="51">
    <w:name w:val="WW8Num272z2"/>
    <w:qFormat/>
    <w:uiPriority w:val="0"/>
    <w:rPr>
      <w:rFonts w:ascii="Wingdings" w:hAnsi="Wingdings" w:cs="Wingdings"/>
    </w:rPr>
  </w:style>
  <w:style w:type="character" w:customStyle="1" w:styleId="52">
    <w:name w:val="WW8Num272z3"/>
    <w:autoRedefine/>
    <w:qFormat/>
    <w:uiPriority w:val="0"/>
    <w:rPr>
      <w:rFonts w:ascii="Symbol" w:hAnsi="Symbol" w:cs="Symbol"/>
    </w:rPr>
  </w:style>
  <w:style w:type="character" w:customStyle="1" w:styleId="53">
    <w:name w:val="WW8Num11z0"/>
    <w:autoRedefine/>
    <w:qFormat/>
    <w:uiPriority w:val="0"/>
    <w:rPr>
      <w:rFonts w:ascii="Times;Times New Roman" w:hAnsi="Times;Times New Roman" w:cs="Times;Times New Roman"/>
      <w:szCs w:val="20"/>
      <w:lang w:val="en-US" w:eastAsia="zh-TW"/>
    </w:rPr>
  </w:style>
  <w:style w:type="character" w:customStyle="1" w:styleId="54">
    <w:name w:val="WW8Num11z1"/>
    <w:autoRedefine/>
    <w:qFormat/>
    <w:uiPriority w:val="0"/>
    <w:rPr>
      <w:rFonts w:ascii="Courier New" w:hAnsi="Courier New" w:cs="Courier New"/>
      <w:szCs w:val="20"/>
      <w:lang w:val="en-US" w:eastAsia="zh-TW"/>
    </w:rPr>
  </w:style>
  <w:style w:type="character" w:customStyle="1" w:styleId="55">
    <w:name w:val="WW8Num11z2"/>
    <w:autoRedefine/>
    <w:qFormat/>
    <w:uiPriority w:val="0"/>
    <w:rPr>
      <w:rFonts w:ascii="Wingdings" w:hAnsi="Wingdings" w:cs="Wingdings"/>
      <w:szCs w:val="20"/>
      <w:lang w:val="en-US" w:eastAsia="zh-TW"/>
    </w:rPr>
  </w:style>
  <w:style w:type="character" w:customStyle="1" w:styleId="56">
    <w:name w:val="WW8Num11z3"/>
    <w:qFormat/>
    <w:uiPriority w:val="0"/>
    <w:rPr>
      <w:rFonts w:ascii="Symbol" w:hAnsi="Symbol" w:cs="Symbol"/>
      <w:lang w:eastAsia="zh-TW"/>
    </w:rPr>
  </w:style>
  <w:style w:type="character" w:customStyle="1" w:styleId="57">
    <w:name w:val="WW8Num18z0"/>
    <w:qFormat/>
    <w:uiPriority w:val="0"/>
    <w:rPr>
      <w:rFonts w:ascii="Times;Times New Roman" w:hAnsi="Times;Times New Roman" w:cs="Times;Times New Roman"/>
    </w:rPr>
  </w:style>
  <w:style w:type="character" w:customStyle="1" w:styleId="58">
    <w:name w:val="WW8Num18z1"/>
    <w:qFormat/>
    <w:uiPriority w:val="0"/>
    <w:rPr>
      <w:rFonts w:ascii="Courier New" w:hAnsi="Courier New" w:cs="Courier New"/>
    </w:rPr>
  </w:style>
  <w:style w:type="character" w:customStyle="1" w:styleId="59">
    <w:name w:val="WW8Num18z5"/>
    <w:qFormat/>
    <w:uiPriority w:val="0"/>
    <w:rPr>
      <w:rFonts w:ascii="Wingdings" w:hAnsi="Wingdings" w:cs="Wingdings"/>
    </w:rPr>
  </w:style>
  <w:style w:type="character" w:customStyle="1" w:styleId="60">
    <w:name w:val="WW8Num18z6"/>
    <w:qFormat/>
    <w:uiPriority w:val="0"/>
    <w:rPr>
      <w:rFonts w:ascii="Symbol" w:hAnsi="Symbol" w:cs="Symbol"/>
    </w:rPr>
  </w:style>
  <w:style w:type="character" w:customStyle="1" w:styleId="61">
    <w:name w:val="WW8Num7z0"/>
    <w:qFormat/>
    <w:uiPriority w:val="0"/>
    <w:rPr>
      <w:rFonts w:ascii="Times;Times New Roman" w:hAnsi="Times;Times New Roman" w:cs="Times;Times New Roman"/>
      <w:lang w:eastAsia="zh-CN"/>
    </w:rPr>
  </w:style>
  <w:style w:type="character" w:customStyle="1" w:styleId="62">
    <w:name w:val="WW8Num7z1"/>
    <w:qFormat/>
    <w:uiPriority w:val="0"/>
    <w:rPr>
      <w:rFonts w:ascii="Courier New" w:hAnsi="Courier New" w:cs="Courier New"/>
    </w:rPr>
  </w:style>
  <w:style w:type="character" w:customStyle="1" w:styleId="63">
    <w:name w:val="WW8Num7z3"/>
    <w:qFormat/>
    <w:uiPriority w:val="0"/>
    <w:rPr>
      <w:rFonts w:ascii="Symbol" w:hAnsi="Symbol" w:cs="Symbol"/>
    </w:rPr>
  </w:style>
  <w:style w:type="character" w:customStyle="1" w:styleId="64">
    <w:name w:val="WW8Num7z5"/>
    <w:qFormat/>
    <w:uiPriority w:val="0"/>
    <w:rPr>
      <w:rFonts w:ascii="Wingdings" w:hAnsi="Wingdings" w:cs="Wingdings"/>
    </w:rPr>
  </w:style>
  <w:style w:type="character" w:customStyle="1" w:styleId="65">
    <w:name w:val="WW8Num13z0"/>
    <w:qFormat/>
    <w:uiPriority w:val="0"/>
    <w:rPr>
      <w:rFonts w:ascii="Times;Times New Roman" w:hAnsi="Times;Times New Roman" w:cs="Times;Times New Roman"/>
    </w:rPr>
  </w:style>
  <w:style w:type="character" w:customStyle="1" w:styleId="66">
    <w:name w:val="WW8Num13z1"/>
    <w:qFormat/>
    <w:uiPriority w:val="0"/>
    <w:rPr>
      <w:rFonts w:ascii="Courier New" w:hAnsi="Courier New" w:cs="Courier New"/>
      <w:lang w:eastAsia="zh-CN"/>
    </w:rPr>
  </w:style>
  <w:style w:type="character" w:customStyle="1" w:styleId="67">
    <w:name w:val="WW8Num13z5"/>
    <w:qFormat/>
    <w:uiPriority w:val="0"/>
    <w:rPr>
      <w:rFonts w:ascii="Wingdings" w:hAnsi="Wingdings" w:cs="Wingdings"/>
    </w:rPr>
  </w:style>
  <w:style w:type="character" w:customStyle="1" w:styleId="68">
    <w:name w:val="WW8Num13z6"/>
    <w:qFormat/>
    <w:uiPriority w:val="0"/>
    <w:rPr>
      <w:rFonts w:ascii="Symbol" w:hAnsi="Symbol" w:cs="Symbol"/>
    </w:rPr>
  </w:style>
  <w:style w:type="paragraph" w:customStyle="1" w:styleId="69">
    <w:name w:val="Heading"/>
    <w:basedOn w:val="1"/>
    <w:next w:val="10"/>
    <w:qFormat/>
    <w:uiPriority w:val="0"/>
    <w:pPr>
      <w:keepNext/>
      <w:spacing w:before="240" w:after="120"/>
    </w:pPr>
    <w:rPr>
      <w:rFonts w:ascii="Liberation Sans" w:hAnsi="Liberation Sans" w:eastAsia="Noto Sans CJK SC" w:cs="Lohit Devanagari"/>
      <w:sz w:val="28"/>
      <w:szCs w:val="28"/>
    </w:rPr>
  </w:style>
  <w:style w:type="paragraph" w:customStyle="1" w:styleId="70">
    <w:name w:val="Index"/>
    <w:basedOn w:val="1"/>
    <w:qFormat/>
    <w:uiPriority w:val="0"/>
    <w:pPr>
      <w:suppressLineNumbers/>
    </w:pPr>
    <w:rPr>
      <w:rFonts w:cs="Lohit Devanagari"/>
    </w:rPr>
  </w:style>
  <w:style w:type="paragraph" w:customStyle="1" w:styleId="71">
    <w:name w:val="Header and Footer"/>
    <w:basedOn w:val="1"/>
    <w:qFormat/>
    <w:uiPriority w:val="0"/>
  </w:style>
  <w:style w:type="paragraph" w:customStyle="1" w:styleId="72">
    <w:name w:val="Revision"/>
    <w:semiHidden/>
    <w:qFormat/>
    <w:uiPriority w:val="99"/>
    <w:pPr>
      <w:widowControl/>
      <w:suppressAutoHyphens/>
      <w:bidi w:val="0"/>
      <w:spacing w:before="0" w:after="0"/>
      <w:jc w:val="left"/>
    </w:pPr>
    <w:rPr>
      <w:rFonts w:asciiTheme="minorHAnsi" w:hAnsiTheme="minorHAnsi" w:eastAsiaTheme="minorEastAsia" w:cstheme="minorBidi"/>
      <w:color w:val="auto"/>
      <w:kern w:val="2"/>
      <w:sz w:val="21"/>
      <w:szCs w:val="22"/>
      <w:lang w:val="en-US" w:eastAsia="zh-CN" w:bidi="ar-SA"/>
    </w:rPr>
  </w:style>
  <w:style w:type="paragraph" w:customStyle="1" w:styleId="73">
    <w:name w:val="列出段落2"/>
    <w:basedOn w:val="1"/>
    <w:qFormat/>
    <w:uiPriority w:val="34"/>
    <w:pPr>
      <w:widowControl/>
      <w:suppressAutoHyphens/>
      <w:spacing w:before="0" w:after="50"/>
      <w:ind w:left="840" w:firstLine="0"/>
      <w:jc w:val="left"/>
    </w:pPr>
    <w:rPr>
      <w:rFonts w:ascii="Cambria" w:hAnsi="Cambria" w:eastAsia="黑体" w:cs="SimSun"/>
      <w:kern w:val="0"/>
      <w:sz w:val="20"/>
      <w:szCs w:val="20"/>
      <w:lang w:eastAsia="en-US"/>
    </w:rPr>
  </w:style>
  <w:style w:type="paragraph" w:customStyle="1" w:styleId="74">
    <w:name w:val="Default"/>
    <w:qFormat/>
    <w:uiPriority w:val="0"/>
    <w:pPr>
      <w:widowControl w:val="0"/>
      <w:suppressAutoHyphens/>
      <w:bidi w:val="0"/>
      <w:spacing w:before="0" w:after="0"/>
      <w:jc w:val="left"/>
    </w:pPr>
    <w:rPr>
      <w:rFonts w:ascii="Arial" w:hAnsi="Arial" w:eastAsia="SimSun" w:cs="Arial"/>
      <w:color w:val="000000"/>
      <w:kern w:val="0"/>
      <w:sz w:val="24"/>
      <w:szCs w:val="24"/>
      <w:lang w:val="en-US" w:eastAsia="zh-CN" w:bidi="ar-SA"/>
    </w:rPr>
  </w:style>
  <w:style w:type="paragraph" w:customStyle="1" w:styleId="75">
    <w:name w:val="Table Contents"/>
    <w:basedOn w:val="1"/>
    <w:qFormat/>
    <w:uiPriority w:val="0"/>
    <w:pPr>
      <w:suppressLineNumbers/>
    </w:pPr>
  </w:style>
  <w:style w:type="paragraph" w:customStyle="1" w:styleId="76">
    <w:name w:val="목록 단락"/>
    <w:basedOn w:val="1"/>
    <w:qFormat/>
    <w:uiPriority w:val="0"/>
    <w:pPr>
      <w:ind w:left="840" w:right="0" w:firstLine="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1FAE3-5297-474F-BC47-9280AE1F578F}">
  <ds:schemaRefs/>
</ds:datastoreItem>
</file>

<file path=docProps/app.xml><?xml version="1.0" encoding="utf-8"?>
<Properties xmlns="http://schemas.openxmlformats.org/officeDocument/2006/extended-properties" xmlns:vt="http://schemas.openxmlformats.org/officeDocument/2006/docPropsVTypes">
  <Template>Normal.dotm</Template>
  <Company>CATT</Company>
  <Pages>15</Pages>
  <Words>7777</Words>
  <Characters>40163</Characters>
  <Paragraphs>353</Paragraphs>
  <TotalTime>1785</TotalTime>
  <ScaleCrop>false</ScaleCrop>
  <LinksUpToDate>false</LinksUpToDate>
  <CharactersWithSpaces>47568</CharactersWithSpaces>
  <Application>WPS Office_12.2.0.16731_F1E327BC-269C-435d-A152-05C5408002CA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2024-01-05T02:29:00Z</dcterms:created>
  <dc:creator>CATT</dc:creator>
  <cp:lastModifiedBy>cewit</cp:lastModifiedBy>
  <dcterms:modified xsi:type="dcterms:W3CDTF">2024-05-10T12:45:33Z</dcterms:modified>
  <cp:revision>229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CATT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1033-12.2.0.16731</vt:lpwstr>
  </property>
  <property fmtid="{D5CDD505-2E9C-101B-9397-08002B2CF9AE}" pid="10" name="ICV">
    <vt:lpwstr>D1B68CB62AB84061B6843F5AF2C3DDF8_12</vt:lpwstr>
  </property>
</Properties>
</file>