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hint="default" w:ascii="Times New Roman" w:hAnsi="Times New Roman" w:eastAsia="宋体" w:cs="Times New Roman"/>
          <w:b/>
          <w:sz w:val="22"/>
          <w:szCs w:val="22"/>
          <w:lang w:eastAsia="zh-CN"/>
        </w:rPr>
      </w:pPr>
      <w:r>
        <w:rPr>
          <w:rFonts w:hint="default" w:ascii="Times New Roman" w:hAnsi="Times New Roman" w:eastAsia="宋体" w:cs="Times New Roman"/>
          <w:b/>
          <w:sz w:val="22"/>
          <w:szCs w:val="22"/>
          <w:lang w:eastAsia="zh-CN"/>
        </w:rPr>
        <w:t>3GPP TSG RAN WG1 #116</w:t>
      </w:r>
      <w:r>
        <w:rPr>
          <w:rFonts w:hint="default" w:ascii="Times New Roman" w:hAnsi="Times New Roman" w:eastAsia="宋体" w:cs="Times New Roman"/>
          <w:b/>
          <w:sz w:val="22"/>
          <w:szCs w:val="22"/>
          <w:lang w:val="en-US" w:eastAsia="zh-CN"/>
        </w:rPr>
        <w:t>bis</w:t>
      </w:r>
      <w:r>
        <w:rPr>
          <w:rFonts w:hint="default" w:ascii="Times New Roman" w:hAnsi="Times New Roman" w:eastAsia="宋体" w:cs="Times New Roman"/>
          <w:b/>
          <w:sz w:val="22"/>
          <w:szCs w:val="22"/>
          <w:lang w:eastAsia="zh-CN"/>
        </w:rPr>
        <w:tab/>
      </w:r>
      <w:r>
        <w:rPr>
          <w:rFonts w:hint="default" w:ascii="Times New Roman" w:hAnsi="Times New Roman" w:eastAsia="宋体" w:cs="Times New Roman"/>
          <w:b/>
          <w:sz w:val="22"/>
          <w:szCs w:val="22"/>
          <w:lang w:eastAsia="zh-CN"/>
        </w:rPr>
        <w:tab/>
      </w:r>
      <w:bookmarkStart w:id="8" w:name="_GoBack"/>
      <w:r>
        <w:rPr>
          <w:rFonts w:hint="default" w:ascii="Times New Roman" w:hAnsi="Times New Roman" w:eastAsia="宋体" w:cs="Times New Roman"/>
          <w:b/>
          <w:sz w:val="22"/>
          <w:szCs w:val="22"/>
          <w:highlight w:val="none"/>
          <w:lang w:eastAsia="zh-CN"/>
        </w:rPr>
        <w:t>R1-24</w:t>
      </w:r>
      <w:r>
        <w:rPr>
          <w:rFonts w:hint="eastAsia" w:eastAsia="宋体" w:cs="Times New Roman"/>
          <w:b/>
          <w:sz w:val="22"/>
          <w:szCs w:val="22"/>
          <w:highlight w:val="none"/>
          <w:lang w:val="en-US" w:eastAsia="zh-CN"/>
        </w:rPr>
        <w:t>02336</w:t>
      </w:r>
      <w:bookmarkEnd w:id="8"/>
    </w:p>
    <w:p>
      <w:pPr>
        <w:pStyle w:val="15"/>
        <w:rPr>
          <w:rFonts w:hint="default" w:ascii="Times New Roman" w:hAnsi="Times New Roman" w:eastAsia="宋体" w:cs="Times New Roman"/>
          <w:b/>
          <w:sz w:val="22"/>
          <w:szCs w:val="22"/>
          <w:lang w:eastAsia="zh-CN"/>
        </w:rPr>
      </w:pPr>
      <w:r>
        <w:rPr>
          <w:rFonts w:hint="default" w:ascii="Times New Roman" w:hAnsi="Times New Roman" w:eastAsia="宋体" w:cs="Times New Roman"/>
          <w:b/>
          <w:sz w:val="22"/>
          <w:szCs w:val="22"/>
          <w:lang w:val="en-US" w:eastAsia="zh-CN"/>
        </w:rPr>
        <w:t>Xiamen</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China</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April</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15</w:t>
      </w:r>
      <w:r>
        <w:rPr>
          <w:rFonts w:hint="default" w:ascii="Times New Roman" w:hAnsi="Times New Roman" w:eastAsia="宋体" w:cs="Times New Roman"/>
          <w:b/>
          <w:sz w:val="22"/>
          <w:szCs w:val="22"/>
          <w:vertAlign w:val="superscript"/>
          <w:lang w:eastAsia="zh-CN"/>
        </w:rPr>
        <w:t>th</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 xml:space="preserve"> 19</w:t>
      </w:r>
      <w:r>
        <w:rPr>
          <w:rFonts w:hint="default" w:ascii="Times New Roman" w:hAnsi="Times New Roman" w:eastAsia="宋体" w:cs="Times New Roman"/>
          <w:b/>
          <w:sz w:val="22"/>
          <w:szCs w:val="22"/>
          <w:vertAlign w:val="superscript"/>
          <w:lang w:val="en-US" w:eastAsia="zh-CN"/>
        </w:rPr>
        <w:t>th</w:t>
      </w:r>
      <w:r>
        <w:rPr>
          <w:rFonts w:hint="default" w:ascii="Times New Roman" w:hAnsi="Times New Roman" w:eastAsia="宋体" w:cs="Times New Roman"/>
          <w:b/>
          <w:sz w:val="22"/>
          <w:szCs w:val="22"/>
          <w:lang w:eastAsia="zh-CN"/>
        </w:rPr>
        <w:t>, 2024</w:t>
      </w:r>
    </w:p>
    <w:p>
      <w:pPr>
        <w:pStyle w:val="15"/>
        <w:rPr>
          <w:rFonts w:hint="default" w:ascii="Times New Roman" w:hAnsi="Times New Roman" w:eastAsia="宋体" w:cs="Times New Roman"/>
          <w:b/>
          <w:sz w:val="22"/>
          <w:szCs w:val="22"/>
          <w:lang w:eastAsia="zh-CN"/>
        </w:rPr>
      </w:pPr>
    </w:p>
    <w:p>
      <w:pPr>
        <w:pStyle w:val="15"/>
        <w:tabs>
          <w:tab w:val="left" w:pos="1800"/>
          <w:tab w:val="clear" w:pos="4536"/>
        </w:tabs>
        <w:ind w:left="1800" w:hanging="1800"/>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lang w:eastAsia="zh-CN"/>
        </w:rPr>
        <w:t>Source:</w:t>
      </w:r>
      <w:r>
        <w:rPr>
          <w:rFonts w:hint="default" w:ascii="Times New Roman" w:hAnsi="Times New Roman" w:eastAsia="宋体" w:cs="Times New Roman"/>
          <w:sz w:val="22"/>
          <w:szCs w:val="22"/>
          <w:lang w:eastAsia="zh-CN"/>
        </w:rPr>
        <w:tab/>
      </w:r>
      <w:r>
        <w:rPr>
          <w:rFonts w:hint="default" w:ascii="Times New Roman" w:hAnsi="Times New Roman" w:eastAsia="宋体" w:cs="Times New Roman"/>
          <w:sz w:val="22"/>
          <w:szCs w:val="22"/>
          <w:lang w:eastAsia="zh-CN"/>
        </w:rPr>
        <w:t>OPPO</w:t>
      </w:r>
    </w:p>
    <w:p>
      <w:pPr>
        <w:pStyle w:val="15"/>
        <w:tabs>
          <w:tab w:val="left" w:pos="1800"/>
          <w:tab w:val="clear" w:pos="4536"/>
        </w:tabs>
        <w:ind w:left="1800" w:hanging="1800"/>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rPr>
        <w:t xml:space="preserve">Discussion on </w:t>
      </w:r>
      <w:bookmarkStart w:id="0" w:name="_Hlk159079655"/>
      <w:r>
        <w:rPr>
          <w:rFonts w:hint="default" w:ascii="Times New Roman" w:hAnsi="Times New Roman" w:cs="Times New Roman"/>
          <w:sz w:val="22"/>
          <w:szCs w:val="22"/>
        </w:rPr>
        <w:t>adap</w:t>
      </w:r>
      <w:r>
        <w:rPr>
          <w:rFonts w:hint="default" w:ascii="Times New Roman" w:hAnsi="Times New Roman" w:cs="Times New Roman" w:eastAsiaTheme="minorEastAsia"/>
          <w:sz w:val="22"/>
          <w:szCs w:val="22"/>
          <w:lang w:eastAsia="zh-CN"/>
        </w:rPr>
        <w:t>t</w:t>
      </w:r>
      <w:r>
        <w:rPr>
          <w:rFonts w:hint="default" w:ascii="Times New Roman" w:hAnsi="Times New Roman" w:cs="Times New Roman"/>
          <w:sz w:val="22"/>
          <w:szCs w:val="22"/>
        </w:rPr>
        <w:t>ation of common signal/channel transmission</w:t>
      </w:r>
      <w:bookmarkEnd w:id="0"/>
    </w:p>
    <w:p>
      <w:pPr>
        <w:pStyle w:val="15"/>
        <w:tabs>
          <w:tab w:val="left" w:pos="1800"/>
        </w:tabs>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Agenda Item:</w:t>
      </w:r>
      <w:r>
        <w:rPr>
          <w:rFonts w:hint="default" w:ascii="Times New Roman" w:hAnsi="Times New Roman" w:cs="Times New Roman"/>
          <w:sz w:val="22"/>
          <w:szCs w:val="22"/>
        </w:rPr>
        <w:tab/>
      </w:r>
      <w:r>
        <w:rPr>
          <w:rFonts w:hint="default" w:ascii="Times New Roman" w:hAnsi="Times New Roman" w:eastAsia="宋体" w:cs="Times New Roman"/>
          <w:sz w:val="22"/>
          <w:szCs w:val="22"/>
          <w:lang w:eastAsia="zh-CN"/>
        </w:rPr>
        <w:t>9.5.3</w:t>
      </w:r>
    </w:p>
    <w:p>
      <w:pPr>
        <w:pStyle w:val="15"/>
        <w:tabs>
          <w:tab w:val="left" w:pos="1800"/>
        </w:tabs>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and Decision</w:t>
      </w:r>
    </w:p>
    <w:p>
      <w:pPr>
        <w:pBdr>
          <w:bottom w:val="single" w:color="auto" w:sz="4" w:space="1"/>
        </w:pBdr>
        <w:tabs>
          <w:tab w:val="left" w:pos="2552"/>
        </w:tabs>
        <w:rPr>
          <w:rFonts w:hint="default" w:ascii="Times New Roman" w:hAnsi="Times New Roman" w:cs="Times New Roman"/>
          <w:sz w:val="22"/>
          <w:szCs w:val="22"/>
        </w:rPr>
      </w:pPr>
    </w:p>
    <w:p>
      <w:pPr>
        <w:pStyle w:val="2"/>
        <w:rPr>
          <w:rFonts w:hint="default" w:ascii="Times New Roman" w:hAnsi="Times New Roman" w:cs="Times New Roman"/>
        </w:rPr>
      </w:pPr>
      <w:r>
        <w:rPr>
          <w:rFonts w:hint="default" w:ascii="Times New Roman" w:hAnsi="Times New Roman" w:cs="Times New Roman"/>
        </w:rPr>
        <w:t>Introduction</w:t>
      </w:r>
    </w:p>
    <w:p>
      <w:pPr>
        <w:pStyle w:val="4"/>
        <w:rPr>
          <w:rFonts w:hint="default" w:ascii="Times New Roman" w:hAnsi="Times New Roman" w:eastAsia="宋体" w:cs="Times New Roman"/>
          <w:bCs/>
          <w:szCs w:val="20"/>
          <w:lang w:val="en-GB" w:eastAsia="en-GB"/>
        </w:rPr>
      </w:pPr>
      <w:r>
        <w:rPr>
          <w:rFonts w:hint="default" w:ascii="Times New Roman" w:hAnsi="Times New Roman" w:eastAsia="等线" w:cs="Times New Roman"/>
          <w:szCs w:val="20"/>
          <w:lang w:eastAsia="zh-CN"/>
        </w:rPr>
        <w:t>In RAN meeting #102, the new WID regarding e</w:t>
      </w:r>
      <w:r>
        <w:rPr>
          <w:rFonts w:hint="default" w:ascii="Times New Roman" w:hAnsi="Times New Roman" w:eastAsia="宋体" w:cs="Times New Roman"/>
          <w:color w:val="000000"/>
          <w:szCs w:val="20"/>
          <w:lang w:eastAsia="zh-CN"/>
        </w:rPr>
        <w:t>nhancements of network energy savings for NR</w:t>
      </w:r>
      <w:r>
        <w:rPr>
          <w:rFonts w:hint="default" w:ascii="Times New Roman" w:hAnsi="Times New Roman" w:eastAsia="等线" w:cs="Times New Roman"/>
          <w:szCs w:val="20"/>
          <w:lang w:eastAsia="zh-CN"/>
        </w:rPr>
        <w:t xml:space="preserve"> [1] was approved. </w:t>
      </w:r>
      <w:r>
        <w:rPr>
          <w:rFonts w:hint="default" w:ascii="Times New Roman" w:hAnsi="Times New Roman" w:eastAsia="宋体" w:cs="Times New Roman"/>
          <w:bCs/>
          <w:szCs w:val="20"/>
          <w:lang w:val="en-GB" w:eastAsia="en-GB"/>
        </w:rPr>
        <w:t>One objective of the work item is the following</w:t>
      </w:r>
      <w:r>
        <w:rPr>
          <w:rFonts w:hint="default" w:ascii="Times New Roman" w:hAnsi="Times New Roman" w:eastAsia="宋体" w:cs="Times New Roman"/>
          <w:bCs/>
          <w:szCs w:val="20"/>
          <w:lang w:val="en-GB" w:eastAsia="zh-CN"/>
        </w:rPr>
        <w:t>.</w:t>
      </w:r>
    </w:p>
    <w:tbl>
      <w:tblPr>
        <w:tblStyle w:val="21"/>
        <w:tblW w:w="9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062" w:type="dxa"/>
          </w:tcPr>
          <w:p>
            <w:pPr>
              <w:numPr>
                <w:ilvl w:val="0"/>
                <w:numId w:val="7"/>
              </w:numPr>
              <w:overflowPunct w:val="0"/>
              <w:autoSpaceDE w:val="0"/>
              <w:autoSpaceDN w:val="0"/>
              <w:adjustRightInd w:val="0"/>
              <w:spacing w:after="180"/>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zh-CN"/>
              </w:rPr>
              <w:t>Specify a</w:t>
            </w:r>
            <w:r>
              <w:rPr>
                <w:rFonts w:hint="default" w:ascii="Times New Roman" w:hAnsi="Times New Roman" w:eastAsia="宋体" w:cs="Times New Roman"/>
                <w:i/>
                <w:iCs/>
                <w:szCs w:val="20"/>
                <w:lang w:val="en-GB" w:eastAsia="en-GB"/>
              </w:rPr>
              <w:t xml:space="preserve">daptation of common signal/channel transmissions. </w:t>
            </w:r>
            <w:r>
              <w:rPr>
                <w:rFonts w:hint="default" w:ascii="Times New Roman" w:hAnsi="Times New Roman" w:eastAsia="宋体" w:cs="Times New Roman"/>
                <w:i/>
                <w:iCs/>
                <w:szCs w:val="20"/>
                <w:lang w:val="en-GB" w:eastAsia="zh-CN"/>
              </w:rPr>
              <w:t>[RAN1/2/3/4]</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bCs/>
                <w:i/>
                <w:iCs/>
                <w:szCs w:val="20"/>
                <w:lang w:eastAsia="zh-CN"/>
              </w:rPr>
            </w:pPr>
            <w:r>
              <w:rPr>
                <w:rFonts w:hint="default" w:ascii="Times New Roman" w:hAnsi="Times New Roman" w:eastAsia="宋体" w:cs="Times New Roman"/>
                <w:bCs/>
                <w:i/>
                <w:iCs/>
                <w:szCs w:val="20"/>
                <w:lang w:eastAsia="zh-CN"/>
              </w:rPr>
              <w:t xml:space="preserve">Adaptation of SSB in time domain, e.g. adapting periodicity </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en-GB"/>
              </w:rPr>
              <w:t>Adaptation of PRACH in time domain</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en-GB"/>
              </w:rPr>
              <w:t>Study adaptation of PRACH in spatial domain, e.g.</w:t>
            </w:r>
            <w:bookmarkStart w:id="1" w:name="_Hlk159208959"/>
            <w:r>
              <w:rPr>
                <w:rFonts w:hint="default" w:ascii="Times New Roman" w:hAnsi="Times New Roman" w:eastAsia="宋体" w:cs="Times New Roman"/>
                <w:i/>
                <w:iCs/>
                <w:szCs w:val="20"/>
                <w:lang w:val="en-GB" w:eastAsia="en-GB"/>
              </w:rPr>
              <w:t xml:space="preserve"> </w:t>
            </w:r>
            <w:bookmarkStart w:id="2" w:name="_Hlk159208535"/>
            <w:r>
              <w:rPr>
                <w:rFonts w:hint="default" w:ascii="Times New Roman" w:hAnsi="Times New Roman" w:eastAsia="宋体" w:cs="Times New Roman"/>
                <w:i/>
                <w:iCs/>
                <w:szCs w:val="20"/>
                <w:lang w:val="en-GB" w:eastAsia="en-GB"/>
              </w:rPr>
              <w:t>non-uniform PRACH resources per SSB</w:t>
            </w:r>
            <w:bookmarkEnd w:id="1"/>
            <w:bookmarkEnd w:id="2"/>
            <w:r>
              <w:rPr>
                <w:rFonts w:hint="default" w:ascii="Times New Roman" w:hAnsi="Times New Roman" w:eastAsia="宋体" w:cs="Times New Roman"/>
                <w:i/>
                <w:iCs/>
                <w:szCs w:val="20"/>
                <w:lang w:val="en-GB" w:eastAsia="en-GB"/>
              </w:rPr>
              <w:t>, and specify if found beneficial</w:t>
            </w:r>
          </w:p>
          <w:p>
            <w:pPr>
              <w:numPr>
                <w:ilvl w:val="2"/>
                <w:numId w:val="7"/>
              </w:numPr>
              <w:overflowPunct w:val="0"/>
              <w:autoSpaceDE w:val="0"/>
              <w:autoSpaceDN w:val="0"/>
              <w:adjustRightInd w:val="0"/>
              <w:spacing w:before="120" w:beforeLines="50" w:after="120" w:afterLines="50"/>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en-GB"/>
              </w:rPr>
              <w:t>This study is to be done in 2Q’2024 only</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zh-CN"/>
              </w:rPr>
              <w:t xml:space="preserve">Adaptation of paging </w:t>
            </w:r>
            <w:bookmarkStart w:id="3" w:name="_Hlk159082137"/>
            <w:r>
              <w:rPr>
                <w:rFonts w:hint="default" w:ascii="Times New Roman" w:hAnsi="Times New Roman" w:eastAsia="宋体" w:cs="Times New Roman"/>
                <w:i/>
                <w:iCs/>
                <w:szCs w:val="20"/>
                <w:lang w:val="en-GB" w:eastAsia="zh-CN"/>
              </w:rPr>
              <w:t xml:space="preserve">occasions </w:t>
            </w:r>
            <w:bookmarkEnd w:id="3"/>
            <w:r>
              <w:rPr>
                <w:rFonts w:hint="default" w:ascii="Times New Roman" w:hAnsi="Times New Roman" w:eastAsia="宋体" w:cs="Times New Roman"/>
                <w:i/>
                <w:iCs/>
                <w:szCs w:val="20"/>
                <w:lang w:val="en-GB" w:eastAsia="zh-CN"/>
              </w:rPr>
              <w:t>including confining the paging occasions in the time domain</w:t>
            </w:r>
          </w:p>
          <w:p>
            <w:pPr>
              <w:numPr>
                <w:ilvl w:val="2"/>
                <w:numId w:val="7"/>
              </w:numPr>
              <w:overflowPunct w:val="0"/>
              <w:autoSpaceDE w:val="0"/>
              <w:autoSpaceDN w:val="0"/>
              <w:adjustRightInd w:val="0"/>
              <w:spacing w:before="120" w:beforeLines="50" w:after="120" w:afterLines="50"/>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zh-CN"/>
              </w:rPr>
              <w:t>Note: there shall be no paging latency increase</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zh-CN"/>
              </w:rPr>
              <w:t xml:space="preserve">Note: there shall be no negative impact to legacy UEs, unless significant benefits are shown </w:t>
            </w:r>
          </w:p>
        </w:tc>
      </w:tr>
    </w:tbl>
    <w:p>
      <w:pPr>
        <w:pStyle w:val="4"/>
        <w:rPr>
          <w:rFonts w:hint="default" w:ascii="Times New Roman" w:hAnsi="Times New Roman" w:eastAsia="宋体" w:cs="Times New Roman"/>
          <w:bCs/>
          <w:szCs w:val="20"/>
          <w:lang w:val="en-GB" w:eastAsia="en-GB"/>
        </w:rPr>
      </w:pPr>
    </w:p>
    <w:p>
      <w:pPr>
        <w:pStyle w:val="4"/>
        <w:rPr>
          <w:rFonts w:hint="default" w:ascii="Times New Roman" w:hAnsi="Times New Roman" w:eastAsia="等线" w:cs="Times New Roman"/>
          <w:szCs w:val="20"/>
          <w:lang w:val="en-GB" w:eastAsia="zh-CN"/>
        </w:rPr>
      </w:pPr>
      <w:r>
        <w:rPr>
          <w:rFonts w:hint="default" w:ascii="Times New Roman" w:hAnsi="Times New Roman" w:eastAsia="等线" w:cs="Times New Roman"/>
          <w:szCs w:val="20"/>
          <w:lang w:eastAsia="zh-CN"/>
        </w:rPr>
        <w:t xml:space="preserve">In this contribution, we provide our views on </w:t>
      </w:r>
      <w:r>
        <w:rPr>
          <w:rFonts w:hint="default" w:ascii="Times New Roman" w:hAnsi="Times New Roman" w:eastAsia="宋体" w:cs="Times New Roman"/>
          <w:bCs/>
          <w:szCs w:val="20"/>
          <w:lang w:val="en-GB" w:eastAsia="en-GB"/>
        </w:rPr>
        <w:t>adaptation of common signal/channel transmission</w:t>
      </w:r>
      <w:r>
        <w:rPr>
          <w:rFonts w:hint="default" w:ascii="Times New Roman" w:hAnsi="Times New Roman" w:eastAsia="等线" w:cs="Times New Roman"/>
          <w:szCs w:val="20"/>
          <w:lang w:eastAsia="zh-CN"/>
        </w:rPr>
        <w:t xml:space="preserve"> for </w:t>
      </w:r>
      <w:r>
        <w:rPr>
          <w:rFonts w:hint="default" w:ascii="Times New Roman" w:hAnsi="Times New Roman" w:eastAsia="宋体" w:cs="Times New Roman"/>
          <w:bCs/>
          <w:szCs w:val="20"/>
          <w:lang w:val="en-GB" w:eastAsia="en-GB"/>
        </w:rPr>
        <w:t>Rel-19 NES</w:t>
      </w:r>
      <w:r>
        <w:rPr>
          <w:rFonts w:hint="default" w:ascii="Times New Roman" w:hAnsi="Times New Roman" w:eastAsia="等线" w:cs="Times New Roman"/>
          <w:szCs w:val="20"/>
          <w:lang w:eastAsia="zh-CN"/>
        </w:rPr>
        <w:t xml:space="preserve">. </w:t>
      </w:r>
    </w:p>
    <w:p>
      <w:pPr>
        <w:pStyle w:val="2"/>
        <w:rPr>
          <w:rFonts w:hint="default" w:ascii="Times New Roman" w:hAnsi="Times New Roman" w:cs="Times New Roman"/>
        </w:rPr>
      </w:pPr>
      <w:r>
        <w:rPr>
          <w:rFonts w:hint="default" w:ascii="Times New Roman" w:hAnsi="Times New Roman" w:eastAsia="宋体" w:cs="Times New Roman"/>
          <w:lang w:eastAsia="zh-CN"/>
        </w:rPr>
        <w:t>Discussion</w:t>
      </w:r>
    </w:p>
    <w:p>
      <w:pPr>
        <w:pStyle w:val="4"/>
        <w:rPr>
          <w:rFonts w:hint="default" w:ascii="Times New Roman" w:hAnsi="Times New Roman" w:eastAsia="宋体" w:cs="Times New Roman"/>
          <w:szCs w:val="28"/>
          <w:lang w:val="en-US" w:eastAsia="zh-CN"/>
        </w:rPr>
      </w:pPr>
      <w:r>
        <w:rPr>
          <w:rFonts w:hint="default" w:ascii="Times New Roman" w:hAnsi="Times New Roman" w:eastAsia="宋体" w:cs="Times New Roman"/>
          <w:szCs w:val="28"/>
          <w:lang w:val="en-US" w:eastAsia="zh-CN"/>
        </w:rPr>
        <w:t xml:space="preserve">In last RAN1 meeting, RAN1 has conducted extensive discussions and made some guidance to the further study scope. In this section, we continue to provide our view to further consolidate the working scope and the suggest our proposed solutions. </w:t>
      </w:r>
    </w:p>
    <w:p>
      <w:pPr>
        <w:pStyle w:val="3"/>
        <w:rPr>
          <w:rFonts w:hint="default" w:ascii="Times New Roman" w:hAnsi="Times New Roman" w:cs="Times New Roman"/>
          <w:lang w:val="en-GB" w:eastAsia="zh-CN"/>
        </w:rPr>
      </w:pPr>
      <w:r>
        <w:rPr>
          <w:rFonts w:hint="default" w:ascii="Times New Roman" w:hAnsi="Times New Roman" w:cs="Times New Roman"/>
          <w:lang w:val="en-GB" w:eastAsia="zh-CN"/>
        </w:rPr>
        <w:t>Adaptation of SSB in time domain</w:t>
      </w:r>
    </w:p>
    <w:p>
      <w:pPr>
        <w:pStyle w:val="4"/>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 xml:space="preserve">For adaptation oF SSB in time domain, although the possible directions were given in the RAN1 agreement, we found that they are not indeed mutually conflict. In fact, the listed bullets may not be at the same level, because some bullets, e.g. Adaptation of SSB burst periodicity and adapting the transmitted number of SSBs within a SSB burst and adapting the position of SSBs within a SSB burst are referring to the dimension of the SSB time domain adaptation. These bullets can be understood by either adapting the SSB periodicity or adapting the SSB beam numbers within a burst or adapting the SSB beam directions within a burst. </w:t>
      </w:r>
    </w:p>
    <w:p>
      <w:pPr>
        <w:pStyle w:val="4"/>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 xml:space="preserve">On the other hand, some bullets, e.g. Adaptation based on two SSB configurations where up to two configurations can be active; and adaptation based on skipping/transmitting some SSB bursts non-uniformly with single SSB configuration; and Cell DTX for SSB adaptation are indeed the solution layer. By applying these solutions, the period level or beam level SSB adaptation can be realized. Therefore, in our view, the bullets in the previous RAN1 agreement cover both adaptation directions and also the mechanism to realize the adaptation. </w:t>
      </w: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hint="default" w:ascii="Times New Roman" w:hAnsi="Times New Roman" w:cs="Times New Roman"/>
                <w:b/>
                <w:bCs/>
                <w:sz w:val="18"/>
                <w:szCs w:val="18"/>
                <w:highlight w:val="green"/>
              </w:rPr>
            </w:pPr>
            <w:r>
              <w:rPr>
                <w:rFonts w:hint="default" w:ascii="Times New Roman" w:hAnsi="Times New Roman" w:cs="Times New Roman"/>
                <w:b/>
                <w:bCs/>
                <w:sz w:val="18"/>
                <w:szCs w:val="18"/>
                <w:highlight w:val="green"/>
              </w:rPr>
              <w:t>Agreement</w:t>
            </w:r>
          </w:p>
          <w:p>
            <w:pPr>
              <w:rPr>
                <w:rFonts w:hint="default" w:ascii="Times New Roman" w:hAnsi="Times New Roman" w:cs="Times New Roman"/>
                <w:sz w:val="18"/>
                <w:szCs w:val="18"/>
              </w:rPr>
            </w:pPr>
            <w:r>
              <w:rPr>
                <w:rFonts w:hint="default" w:ascii="Times New Roman" w:hAnsi="Times New Roman" w:cs="Times New Roman"/>
                <w:sz w:val="18"/>
                <w:szCs w:val="18"/>
              </w:rPr>
              <w:t xml:space="preserve">For adaptation of SSB in time-domain, consider the following adaptation mechanisms for further study </w:t>
            </w:r>
          </w:p>
          <w:p>
            <w:pPr>
              <w:pStyle w:val="4"/>
              <w:numPr>
                <w:ilvl w:val="0"/>
                <w:numId w:val="8"/>
              </w:numPr>
              <w:suppressAutoHyphens/>
              <w:spacing w:after="0"/>
              <w:rPr>
                <w:rFonts w:hint="default" w:ascii="Times New Roman" w:hAnsi="Times New Roman" w:cs="Times New Roman"/>
                <w:sz w:val="18"/>
                <w:szCs w:val="18"/>
              </w:rPr>
            </w:pPr>
            <w:r>
              <w:rPr>
                <w:rFonts w:hint="default" w:ascii="Times New Roman" w:hAnsi="Times New Roman" w:cs="Times New Roman"/>
                <w:sz w:val="18"/>
                <w:szCs w:val="18"/>
              </w:rPr>
              <w:t>Adaptation of SSB burst periodicity</w:t>
            </w:r>
          </w:p>
          <w:p>
            <w:pPr>
              <w:pStyle w:val="4"/>
              <w:numPr>
                <w:ilvl w:val="0"/>
                <w:numId w:val="8"/>
              </w:numPr>
              <w:suppressAutoHyphens/>
              <w:spacing w:after="0"/>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Adaptation based on two SSB configurations where up to two configurations can be active</w:t>
            </w:r>
          </w:p>
          <w:p>
            <w:pPr>
              <w:numPr>
                <w:ilvl w:val="0"/>
                <w:numId w:val="8"/>
              </w:numP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Adaptation based on skipping/transmitting some SSB bursts non-uniformly with single SSB configuration</w:t>
            </w:r>
          </w:p>
          <w:p>
            <w:pPr>
              <w:numPr>
                <w:ilvl w:val="0"/>
                <w:numId w:val="8"/>
              </w:numP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Adapting the transmitted number of SSBs within a SSB burst</w:t>
            </w:r>
          </w:p>
          <w:p>
            <w:pPr>
              <w:pStyle w:val="4"/>
              <w:numPr>
                <w:ilvl w:val="0"/>
                <w:numId w:val="8"/>
              </w:numPr>
              <w:suppressAutoHyphens/>
              <w:spacing w:after="0"/>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Cell DTX for SSB adaptation</w:t>
            </w:r>
          </w:p>
          <w:p>
            <w:pPr>
              <w:pStyle w:val="4"/>
              <w:numPr>
                <w:ilvl w:val="0"/>
                <w:numId w:val="8"/>
              </w:numPr>
              <w:suppressAutoHyphens/>
              <w:spacing w:after="0"/>
              <w:rPr>
                <w:rFonts w:hint="default" w:ascii="Times New Roman" w:hAnsi="Times New Roman" w:cs="Times New Roman"/>
                <w:sz w:val="18"/>
                <w:szCs w:val="18"/>
              </w:rPr>
            </w:pPr>
            <w:r>
              <w:rPr>
                <w:rFonts w:hint="default" w:ascii="Times New Roman" w:hAnsi="Times New Roman" w:cs="Times New Roman"/>
                <w:sz w:val="18"/>
                <w:szCs w:val="18"/>
              </w:rPr>
              <w:t>Whether to support new SSB burst periodicity value(s)</w:t>
            </w:r>
          </w:p>
          <w:p>
            <w:pPr>
              <w:pStyle w:val="4"/>
              <w:numPr>
                <w:ilvl w:val="0"/>
                <w:numId w:val="8"/>
              </w:numPr>
              <w:suppressAutoHyphens/>
              <w:spacing w:after="0"/>
              <w:rPr>
                <w:rFonts w:hint="default" w:ascii="Times New Roman" w:hAnsi="Times New Roman" w:cs="Times New Roman"/>
                <w:sz w:val="18"/>
                <w:szCs w:val="18"/>
              </w:rPr>
            </w:pPr>
            <w:r>
              <w:rPr>
                <w:rFonts w:hint="default" w:ascii="Times New Roman" w:hAnsi="Times New Roman" w:cs="Times New Roman"/>
                <w:sz w:val="18"/>
                <w:szCs w:val="18"/>
              </w:rPr>
              <w:t>Whether to support new SSB burst(s) (i.e. how SSB transmission is made within a burst)</w:t>
            </w:r>
          </w:p>
          <w:p>
            <w:pPr>
              <w:pStyle w:val="4"/>
              <w:numPr>
                <w:ilvl w:val="1"/>
                <w:numId w:val="8"/>
              </w:numPr>
              <w:suppressAutoHyphens/>
              <w:spacing w:after="0"/>
              <w:rPr>
                <w:rFonts w:hint="default" w:ascii="Times New Roman" w:hAnsi="Times New Roman" w:cs="Times New Roman"/>
                <w:sz w:val="18"/>
                <w:szCs w:val="18"/>
              </w:rPr>
            </w:pPr>
            <w:r>
              <w:rPr>
                <w:rFonts w:hint="default" w:ascii="Times New Roman" w:hAnsi="Times New Roman" w:cs="Times New Roman"/>
                <w:sz w:val="18"/>
                <w:szCs w:val="18"/>
              </w:rPr>
              <w:t xml:space="preserve">New compact SSB burst(s) </w:t>
            </w:r>
          </w:p>
          <w:p>
            <w:pPr>
              <w:pStyle w:val="4"/>
              <w:numPr>
                <w:ilvl w:val="1"/>
                <w:numId w:val="8"/>
              </w:numPr>
              <w:suppressAutoHyphens/>
              <w:spacing w:after="0"/>
              <w:rPr>
                <w:rFonts w:hint="default" w:ascii="Times New Roman" w:hAnsi="Times New Roman" w:cs="Times New Roman"/>
                <w:sz w:val="18"/>
                <w:szCs w:val="18"/>
              </w:rPr>
            </w:pPr>
            <w:r>
              <w:rPr>
                <w:rFonts w:hint="default" w:ascii="Times New Roman" w:hAnsi="Times New Roman" w:cs="Times New Roman"/>
                <w:sz w:val="18"/>
                <w:szCs w:val="18"/>
              </w:rPr>
              <w:t>Adapting the position of SSBs within a SSB burst</w:t>
            </w:r>
          </w:p>
          <w:p>
            <w:pPr>
              <w:pStyle w:val="4"/>
              <w:numPr>
                <w:ilvl w:val="0"/>
                <w:numId w:val="8"/>
              </w:numPr>
              <w:suppressAutoHyphens/>
              <w:spacing w:after="0"/>
              <w:rPr>
                <w:rFonts w:hint="default" w:ascii="Times New Roman" w:hAnsi="Times New Roman" w:eastAsia="等线" w:cs="Times New Roman"/>
                <w:szCs w:val="20"/>
                <w:vertAlign w:val="baseline"/>
                <w:lang w:eastAsia="zh-CN"/>
              </w:rPr>
            </w:pPr>
            <w:r>
              <w:rPr>
                <w:rFonts w:hint="default" w:ascii="Times New Roman" w:hAnsi="Times New Roman" w:cs="Times New Roman"/>
                <w:sz w:val="18"/>
                <w:szCs w:val="18"/>
              </w:rPr>
              <w:t>Other mechanisms/combinations are not precluded</w:t>
            </w:r>
          </w:p>
        </w:tc>
      </w:tr>
    </w:tbl>
    <w:p>
      <w:pPr>
        <w:pStyle w:val="4"/>
        <w:rPr>
          <w:rFonts w:hint="default" w:ascii="Times New Roman" w:hAnsi="Times New Roman" w:eastAsia="等线" w:cs="Times New Roman"/>
          <w:szCs w:val="20"/>
          <w:lang w:eastAsia="zh-CN"/>
        </w:rPr>
      </w:pPr>
    </w:p>
    <w:p>
      <w:pPr>
        <w:pStyle w:val="5"/>
        <w:numPr>
          <w:ilvl w:val="2"/>
          <w:numId w:val="0"/>
        </w:numPr>
        <w:tabs>
          <w:tab w:val="clear" w:pos="-1247"/>
        </w:tabs>
        <w:ind w:left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Adaptation SSB period</w:t>
      </w:r>
    </w:p>
    <w:p>
      <w:pPr>
        <w:pStyle w:val="4"/>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 xml:space="preserve">The SSB period adaptation is a very basic adaptation dimension, which controls the density of the SSB. The considered scenario is a heterogeneous layout and the cell is a PCell that also provides the coverage level to legacy UE. The SSB period configured for legacy UE is a sparse one; while it may adapt to a more dense SSB period for R19 NES. Figure 1 gives an illustrative example for this scenario. However, in another scenario where homogeneous deployment is considered, in order to ensure the continuous coverage, a 20 ms SSB period is assumed to support legacy UE, in this case, there is not much of energy saving gain when apply further SSB period adaptation. </w:t>
      </w:r>
    </w:p>
    <w:p>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Observation 1: In an heterogeneous layout and the cell is a PCell that also provides the coverage level to legacy UE. The SSB period configured for legacy UE is a sparse one; while it may adapt to a more dense SSB period for R19 NES.</w:t>
      </w:r>
    </w:p>
    <w:p>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 xml:space="preserve">Observation 2: In an homogeneous deployment, in order to ensure the continuous coverage, a 20 ms SSB period is assumed to support legacy UE, in this case, there is not much of energy saving gain when apply further SSB period adaptation. </w:t>
      </w:r>
    </w:p>
    <w:p>
      <w:pPr>
        <w:pStyle w:val="4"/>
        <w:rPr>
          <w:rFonts w:hint="default" w:ascii="Times New Roman" w:hAnsi="Times New Roman" w:eastAsia="等线" w:cs="Times New Roman"/>
          <w:szCs w:val="20"/>
          <w:lang w:val="en-US" w:eastAsia="zh-CN"/>
        </w:rPr>
      </w:pPr>
      <w:r>
        <w:rPr>
          <w:rFonts w:hint="default" w:ascii="Times New Roman" w:hAnsi="Times New Roman" w:eastAsia="等线" w:cs="Times New Roman"/>
          <w:b/>
          <w:bCs/>
          <w:szCs w:val="20"/>
          <w:lang w:val="en-US" w:eastAsia="zh-CN"/>
        </w:rPr>
        <w:t xml:space="preserve">Proposal 1: In the scenario of  heterogeneous deployment, adapting SSB period can be supported. </w:t>
      </w:r>
    </w:p>
    <w:p>
      <w:pPr>
        <w:pStyle w:val="5"/>
        <w:numPr>
          <w:ilvl w:val="2"/>
          <w:numId w:val="0"/>
        </w:numPr>
        <w:tabs>
          <w:tab w:val="clear" w:pos="-1247"/>
        </w:tabs>
        <w:ind w:left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Adaptation SSB beam number and directions</w:t>
      </w:r>
    </w:p>
    <w:p>
      <w:pPr>
        <w:pStyle w:val="4"/>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The SSB beam level adaptation is also a basic dimension, the beam sweeping feature is usually energy consuming transmission. When the cell can detect the UE activity becomes non-uniformly distributed across different SSB beam directions, the beam level adaptation can also bring benefit to network energy saving. Moreover, the SSB beam level adaptation and the SSB period adaptation are not mutual exclusive. They can be considered together.</w:t>
      </w:r>
    </w:p>
    <w:p>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 xml:space="preserve">Observation 3:  When the UE activity becomes non-uniformly distributed across different SSB beam directions, the beam level adaptation can also bring benefit to network energy saving. </w:t>
      </w:r>
    </w:p>
    <w:p>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Observation 4: SSB beam number and directions adaptation are another dimension for the time domain adaptation and they are not mutual exclusive to SSB period adaptation.</w:t>
      </w:r>
    </w:p>
    <w:p>
      <w:pPr>
        <w:pStyle w:val="4"/>
        <w:rPr>
          <w:rFonts w:hint="default" w:ascii="Times New Roman" w:hAnsi="Times New Roman" w:eastAsia="等线" w:cs="Times New Roman"/>
          <w:b/>
          <w:bCs/>
          <w:szCs w:val="20"/>
          <w:lang w:eastAsia="zh-CN"/>
        </w:rPr>
      </w:pPr>
      <w:r>
        <w:rPr>
          <w:rFonts w:hint="default" w:ascii="Times New Roman" w:hAnsi="Times New Roman" w:eastAsia="等线" w:cs="Times New Roman"/>
          <w:b/>
          <w:bCs/>
          <w:szCs w:val="20"/>
          <w:lang w:val="en-US" w:eastAsia="zh-CN"/>
        </w:rPr>
        <w:t>Proposal 2:  SSB beam number and position adaptation within a burst can be supported together with SSB period adaptation.</w:t>
      </w:r>
    </w:p>
    <w:p>
      <w:pPr>
        <w:pStyle w:val="5"/>
        <w:numPr>
          <w:ilvl w:val="2"/>
          <w:numId w:val="0"/>
        </w:numPr>
        <w:tabs>
          <w:tab w:val="clear" w:pos="-1247"/>
        </w:tabs>
        <w:ind w:left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Adaptation solutions</w:t>
      </w:r>
    </w:p>
    <w:p>
      <w:pPr>
        <w:pStyle w:val="4"/>
        <w:rPr>
          <w:rFonts w:hint="default" w:eastAsia="等线" w:cs="Times New Roman"/>
          <w:szCs w:val="20"/>
          <w:lang w:val="en-US" w:eastAsia="zh-CN"/>
        </w:rPr>
      </w:pPr>
      <w:r>
        <w:rPr>
          <w:rFonts w:hint="eastAsia" w:eastAsia="等线" w:cs="Times New Roman"/>
          <w:szCs w:val="20"/>
          <w:lang w:val="en-US" w:eastAsia="zh-CN"/>
        </w:rPr>
        <w:t>At the solution level for SSB time domain period adaptation, two alternatives have been proposed</w:t>
      </w:r>
    </w:p>
    <w:p>
      <w:pPr>
        <w:numPr>
          <w:ilvl w:val="0"/>
          <w:numId w:val="9"/>
        </w:numPr>
        <w:suppressAutoHyphens/>
        <w:spacing w:after="120"/>
        <w:jc w:val="both"/>
        <w:rPr>
          <w:rFonts w:hint="default" w:ascii="Times New Roman" w:hAnsi="Times New Roman" w:eastAsia="Batang" w:cs="Times New Roman"/>
          <w:szCs w:val="20"/>
          <w:lang w:val="en-GB" w:eastAsia="zh-CN"/>
        </w:rPr>
      </w:pPr>
      <w:bookmarkStart w:id="4" w:name="_Hlk159207027"/>
      <w:r>
        <w:rPr>
          <w:rFonts w:hint="default" w:ascii="Times New Roman" w:hAnsi="Times New Roman" w:eastAsia="Batang" w:cs="Times New Roman"/>
          <w:szCs w:val="20"/>
          <w:lang w:val="en-GB" w:eastAsia="zh-CN"/>
        </w:rPr>
        <w:t>Alt-1: Two SSB configurations with different period are configured.</w:t>
      </w:r>
      <w:bookmarkEnd w:id="4"/>
      <w:r>
        <w:rPr>
          <w:rFonts w:hint="default" w:ascii="Times New Roman" w:hAnsi="Times New Roman" w:eastAsia="Batang" w:cs="Times New Roman"/>
          <w:szCs w:val="20"/>
          <w:lang w:val="en-GB" w:eastAsia="zh-CN"/>
        </w:rPr>
        <w:t xml:space="preserve"> </w:t>
      </w:r>
      <w:r>
        <w:rPr>
          <w:rFonts w:hint="eastAsia" w:eastAsia="Batang" w:cs="Times New Roman"/>
          <w:szCs w:val="20"/>
          <w:lang w:val="en-US" w:eastAsia="zh-CN"/>
        </w:rPr>
        <w:t xml:space="preserve">One configuration can be a default configuration, which is used most likely also for the legacy UE. While an additional configuration can be added for R19 NES UE. When it comes to adaptation, one way is to only activate/deactivate the additional configuration, i.e., keeping the default SSB period unchanged. Thus, for the legacy UE, they can only see the default SSB period, and the R19 NES UE can see both periods. The activation/deactivation can consider using group-common DCI, as shown in Figure 1. </w:t>
      </w:r>
    </w:p>
    <w:p>
      <w:pPr>
        <w:numPr>
          <w:ilvl w:val="0"/>
          <w:numId w:val="9"/>
        </w:numPr>
        <w:suppressAutoHyphens/>
        <w:spacing w:after="120"/>
        <w:jc w:val="both"/>
        <w:rPr>
          <w:rFonts w:hint="default" w:ascii="Times New Roman" w:hAnsi="Times New Roman" w:eastAsia="Batang" w:cs="Times New Roman"/>
          <w:szCs w:val="20"/>
          <w:lang w:val="en-GB" w:eastAsia="zh-CN"/>
        </w:rPr>
      </w:pPr>
      <w:bookmarkStart w:id="5" w:name="_Hlk159207045"/>
      <w:r>
        <w:rPr>
          <w:rFonts w:hint="default" w:ascii="Times New Roman" w:hAnsi="Times New Roman" w:eastAsia="Batang" w:cs="Times New Roman"/>
          <w:szCs w:val="20"/>
          <w:lang w:val="en-GB" w:eastAsia="zh-CN"/>
        </w:rPr>
        <w:t xml:space="preserve">Alt-2: Enhancement to the </w:t>
      </w:r>
      <w:r>
        <w:rPr>
          <w:rFonts w:hint="eastAsia" w:eastAsia="Batang" w:cs="Times New Roman"/>
          <w:szCs w:val="20"/>
          <w:lang w:val="en-US" w:eastAsia="zh-CN"/>
        </w:rPr>
        <w:t xml:space="preserve">R18 </w:t>
      </w:r>
      <w:r>
        <w:rPr>
          <w:rFonts w:hint="default" w:ascii="Times New Roman" w:hAnsi="Times New Roman" w:eastAsia="Batang" w:cs="Times New Roman"/>
          <w:szCs w:val="20"/>
          <w:lang w:val="en-GB" w:eastAsia="zh-CN"/>
        </w:rPr>
        <w:t xml:space="preserve">cell DTX </w:t>
      </w:r>
      <w:r>
        <w:rPr>
          <w:rFonts w:hint="eastAsia" w:eastAsia="Batang" w:cs="Times New Roman"/>
          <w:szCs w:val="20"/>
          <w:lang w:val="en-US" w:eastAsia="zh-CN"/>
        </w:rPr>
        <w:t>procedure for R19</w:t>
      </w:r>
      <w:r>
        <w:rPr>
          <w:rFonts w:hint="default" w:ascii="Times New Roman" w:hAnsi="Times New Roman" w:eastAsia="Batang" w:cs="Times New Roman"/>
          <w:szCs w:val="20"/>
          <w:lang w:val="en-GB" w:eastAsia="zh-CN"/>
        </w:rPr>
        <w:t xml:space="preserve"> NES </w:t>
      </w:r>
      <w:r>
        <w:rPr>
          <w:rFonts w:hint="eastAsia" w:eastAsia="Batang" w:cs="Times New Roman"/>
          <w:szCs w:val="20"/>
          <w:lang w:val="en-US" w:eastAsia="zh-CN"/>
        </w:rPr>
        <w:t>UE</w:t>
      </w:r>
      <w:bookmarkEnd w:id="5"/>
      <w:r>
        <w:rPr>
          <w:rFonts w:hint="eastAsia" w:eastAsia="Batang" w:cs="Times New Roman"/>
          <w:szCs w:val="20"/>
          <w:lang w:val="en-US" w:eastAsia="zh-CN"/>
        </w:rPr>
        <w:t xml:space="preserve">. </w:t>
      </w:r>
      <w:r>
        <w:rPr>
          <w:rFonts w:hint="default" w:ascii="Times New Roman" w:hAnsi="Times New Roman" w:eastAsia="Batang" w:cs="Times New Roman"/>
          <w:szCs w:val="20"/>
          <w:lang w:val="en-GB" w:eastAsia="zh-CN"/>
        </w:rPr>
        <w:t>The SSB transmission</w:t>
      </w:r>
      <w:r>
        <w:rPr>
          <w:rFonts w:hint="eastAsia" w:eastAsia="Batang" w:cs="Times New Roman"/>
          <w:szCs w:val="20"/>
          <w:lang w:val="en-US" w:eastAsia="zh-CN"/>
        </w:rPr>
        <w:t>s or SSB bursts</w:t>
      </w:r>
      <w:r>
        <w:rPr>
          <w:rFonts w:hint="default" w:ascii="Times New Roman" w:hAnsi="Times New Roman" w:eastAsia="Batang" w:cs="Times New Roman"/>
          <w:szCs w:val="20"/>
          <w:lang w:val="en-GB" w:eastAsia="zh-CN"/>
        </w:rPr>
        <w:t xml:space="preserve"> </w:t>
      </w:r>
      <w:r>
        <w:rPr>
          <w:rFonts w:hint="eastAsia" w:eastAsia="Batang" w:cs="Times New Roman"/>
          <w:szCs w:val="20"/>
          <w:lang w:val="en-US" w:eastAsia="zh-CN"/>
        </w:rPr>
        <w:t>within</w:t>
      </w:r>
      <w:r>
        <w:rPr>
          <w:rFonts w:hint="default" w:ascii="Times New Roman" w:hAnsi="Times New Roman" w:eastAsia="Batang" w:cs="Times New Roman"/>
          <w:szCs w:val="20"/>
          <w:lang w:val="en-GB" w:eastAsia="zh-CN"/>
        </w:rPr>
        <w:t xml:space="preserve"> the non-active periods of the enhanced cell DTX</w:t>
      </w:r>
      <w:r>
        <w:rPr>
          <w:rFonts w:hint="eastAsia" w:eastAsia="Batang" w:cs="Times New Roman"/>
          <w:szCs w:val="20"/>
          <w:lang w:val="en-US" w:eastAsia="zh-CN"/>
        </w:rPr>
        <w:t xml:space="preserve"> are considered invalid</w:t>
      </w:r>
      <w:r>
        <w:rPr>
          <w:rFonts w:hint="default" w:ascii="Times New Roman" w:hAnsi="Times New Roman" w:eastAsia="Batang" w:cs="Times New Roman"/>
          <w:szCs w:val="20"/>
          <w:lang w:val="en-GB" w:eastAsia="zh-CN"/>
        </w:rPr>
        <w:t xml:space="preserve">. </w:t>
      </w:r>
      <w:r>
        <w:rPr>
          <w:rFonts w:hint="eastAsia" w:eastAsia="Batang" w:cs="Times New Roman"/>
          <w:szCs w:val="20"/>
          <w:lang w:val="en-US" w:eastAsia="zh-CN"/>
        </w:rPr>
        <w:t>But in order to ensure the SSB operation with legacy UE, still a default SSB period configuration and an additional SSB period configuration are needed. The enhanced DTX mechanism to invalidate the SSB transmissions only applies to the additional SSB period configuration, as shown in Figure 2.</w:t>
      </w:r>
    </w:p>
    <w:p>
      <w:pPr>
        <w:numPr>
          <w:ilvl w:val="0"/>
          <w:numId w:val="0"/>
        </w:numPr>
        <w:suppressAutoHyphens/>
        <w:spacing w:after="120"/>
        <w:ind w:left="360" w:leftChars="0"/>
        <w:jc w:val="both"/>
        <w:rPr>
          <w:rFonts w:hint="default" w:ascii="Times New Roman" w:hAnsi="Times New Roman" w:eastAsia="Batang" w:cs="Times New Roman"/>
          <w:szCs w:val="20"/>
          <w:lang w:val="en-GB" w:eastAsia="zh-CN"/>
        </w:rPr>
      </w:pPr>
    </w:p>
    <w:p>
      <w:pPr>
        <w:pStyle w:val="4"/>
        <w:rPr>
          <w:rFonts w:hint="default" w:ascii="Times New Roman" w:hAnsi="Times New Roman" w:eastAsia="等线" w:cs="Times New Roman"/>
          <w:szCs w:val="20"/>
          <w:lang w:eastAsia="zh-CN"/>
        </w:rPr>
      </w:pPr>
    </w:p>
    <w:p>
      <w:pPr>
        <w:pStyle w:val="4"/>
        <w:rPr>
          <w:rFonts w:hint="default" w:ascii="Times New Roman" w:hAnsi="Times New Roman" w:eastAsia="等线" w:cs="Times New Roman"/>
          <w:szCs w:val="20"/>
          <w:lang w:eastAsia="zh-CN"/>
        </w:rPr>
      </w:pPr>
      <w:r>
        <w:rPr>
          <w:rFonts w:hint="default" w:ascii="Times New Roman" w:hAnsi="Times New Roman" w:cs="Times New Roman"/>
        </w:rPr>
        <w:object>
          <v:shape id="_x0000_i1025" o:spt="75" type="#_x0000_t75" style="height:83.2pt;width:453.2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pStyle w:val="4"/>
        <w:jc w:val="center"/>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 xml:space="preserve">Figure </w:t>
      </w:r>
      <w:r>
        <w:rPr>
          <w:rFonts w:hint="eastAsia" w:eastAsia="宋体" w:cs="Times New Roman"/>
          <w:b/>
          <w:bCs/>
          <w:szCs w:val="28"/>
          <w:lang w:val="en-US" w:eastAsia="zh-CN"/>
        </w:rPr>
        <w:t>1:</w:t>
      </w:r>
      <w:r>
        <w:rPr>
          <w:rFonts w:hint="default" w:ascii="Times New Roman" w:hAnsi="Times New Roman" w:eastAsia="宋体" w:cs="Times New Roman"/>
          <w:b/>
          <w:bCs/>
          <w:szCs w:val="28"/>
          <w:lang w:eastAsia="zh-CN"/>
        </w:rPr>
        <w:t xml:space="preserve"> </w:t>
      </w:r>
      <w:r>
        <w:rPr>
          <w:rFonts w:hint="default" w:ascii="Times New Roman" w:hAnsi="Times New Roman" w:eastAsia="等线" w:cs="Times New Roman"/>
          <w:b/>
          <w:bCs/>
          <w:szCs w:val="20"/>
          <w:lang w:eastAsia="zh-CN"/>
        </w:rPr>
        <w:t>Two SSB configurations with different period for the NES cell</w:t>
      </w:r>
    </w:p>
    <w:p>
      <w:pPr>
        <w:pStyle w:val="4"/>
        <w:rPr>
          <w:rFonts w:hint="default" w:ascii="Times New Roman" w:hAnsi="Times New Roman" w:cs="Times New Roman" w:eastAsiaTheme="minorEastAsia"/>
          <w:szCs w:val="20"/>
          <w:lang w:val="en-GB" w:eastAsia="zh-CN"/>
        </w:rPr>
      </w:pPr>
    </w:p>
    <w:p>
      <w:pPr>
        <w:pStyle w:val="4"/>
        <w:rPr>
          <w:rFonts w:hint="default" w:ascii="Times New Roman" w:hAnsi="Times New Roman" w:cs="Times New Roman" w:eastAsiaTheme="minorEastAsia"/>
          <w:szCs w:val="20"/>
          <w:lang w:val="en-GB" w:eastAsia="zh-CN"/>
        </w:rPr>
      </w:pPr>
      <w:r>
        <w:rPr>
          <w:rFonts w:hint="default" w:ascii="Times New Roman" w:hAnsi="Times New Roman" w:cs="Times New Roman"/>
        </w:rPr>
        <w:object>
          <v:shape id="_x0000_i1026" o:spt="75" type="#_x0000_t75" style="height:83.2pt;width:453.2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pStyle w:val="4"/>
        <w:jc w:val="center"/>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 xml:space="preserve">Figure </w:t>
      </w:r>
      <w:r>
        <w:rPr>
          <w:rFonts w:hint="eastAsia" w:eastAsia="宋体" w:cs="Times New Roman"/>
          <w:b/>
          <w:bCs/>
          <w:szCs w:val="28"/>
          <w:lang w:val="en-US" w:eastAsia="zh-CN"/>
        </w:rPr>
        <w:t>2:</w:t>
      </w:r>
      <w:r>
        <w:rPr>
          <w:rFonts w:hint="default" w:ascii="Times New Roman" w:hAnsi="Times New Roman" w:eastAsia="宋体" w:cs="Times New Roman"/>
          <w:b/>
          <w:bCs/>
          <w:szCs w:val="28"/>
          <w:lang w:eastAsia="zh-CN"/>
        </w:rPr>
        <w:t xml:space="preserve"> </w:t>
      </w:r>
      <w:r>
        <w:rPr>
          <w:rFonts w:hint="default" w:ascii="Times New Roman" w:hAnsi="Times New Roman" w:eastAsia="等线" w:cs="Times New Roman"/>
          <w:b/>
          <w:bCs/>
          <w:szCs w:val="20"/>
          <w:lang w:eastAsia="zh-CN"/>
        </w:rPr>
        <w:t>The enhanced cell DTX for the NES cell</w:t>
      </w:r>
    </w:p>
    <w:p>
      <w:pPr>
        <w:pStyle w:val="4"/>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 xml:space="preserve">Proposal </w:t>
      </w:r>
      <w:r>
        <w:rPr>
          <w:rFonts w:hint="eastAsia" w:eastAsia="宋体" w:cs="Times New Roman"/>
          <w:b/>
          <w:bCs/>
          <w:szCs w:val="28"/>
          <w:lang w:val="en-US" w:eastAsia="zh-CN"/>
        </w:rPr>
        <w:t>3</w:t>
      </w:r>
      <w:r>
        <w:rPr>
          <w:rFonts w:hint="default" w:ascii="Times New Roman" w:hAnsi="Times New Roman" w:eastAsia="宋体" w:cs="Times New Roman"/>
          <w:b/>
          <w:bCs/>
          <w:szCs w:val="28"/>
          <w:lang w:eastAsia="zh-CN"/>
        </w:rPr>
        <w:t xml:space="preserve">: Two </w:t>
      </w:r>
      <w:r>
        <w:rPr>
          <w:rFonts w:hint="eastAsia" w:eastAsia="宋体" w:cs="Times New Roman"/>
          <w:b/>
          <w:bCs/>
          <w:szCs w:val="28"/>
          <w:lang w:val="en-US" w:eastAsia="zh-CN"/>
        </w:rPr>
        <w:t>alternatives</w:t>
      </w:r>
      <w:r>
        <w:rPr>
          <w:rFonts w:hint="default" w:ascii="Times New Roman" w:hAnsi="Times New Roman" w:eastAsia="宋体" w:cs="Times New Roman"/>
          <w:b/>
          <w:bCs/>
          <w:szCs w:val="28"/>
          <w:lang w:eastAsia="zh-CN"/>
        </w:rPr>
        <w:t xml:space="preserve"> can be considered as candidate schemes for adaptation of SSB in time domain for the NES cell:</w:t>
      </w:r>
    </w:p>
    <w:p>
      <w:pPr>
        <w:pStyle w:val="4"/>
        <w:numPr>
          <w:ilvl w:val="0"/>
          <w:numId w:val="10"/>
        </w:numPr>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 xml:space="preserve">Alt-1: </w:t>
      </w:r>
      <w:r>
        <w:rPr>
          <w:rFonts w:hint="eastAsia" w:eastAsia="宋体" w:cs="Times New Roman"/>
          <w:b/>
          <w:bCs/>
          <w:szCs w:val="28"/>
          <w:lang w:val="en-US" w:eastAsia="zh-CN"/>
        </w:rPr>
        <w:t xml:space="preserve">group-common DCI to activate/deactivate additional SSB period configuration; while a default SSB period configuration is not impacted and is served for legacy UE. </w:t>
      </w:r>
    </w:p>
    <w:p>
      <w:pPr>
        <w:pStyle w:val="4"/>
        <w:numPr>
          <w:ilvl w:val="0"/>
          <w:numId w:val="10"/>
        </w:numPr>
        <w:rPr>
          <w:rFonts w:hint="default" w:cs="Times New Roman" w:eastAsiaTheme="minorEastAsia"/>
          <w:szCs w:val="20"/>
          <w:lang w:val="en-US" w:eastAsia="zh-CN"/>
        </w:rPr>
      </w:pPr>
      <w:r>
        <w:rPr>
          <w:rFonts w:hint="default" w:ascii="Times New Roman" w:hAnsi="Times New Roman" w:eastAsia="宋体" w:cs="Times New Roman"/>
          <w:b/>
          <w:bCs/>
          <w:szCs w:val="28"/>
          <w:lang w:eastAsia="zh-CN"/>
        </w:rPr>
        <w:t xml:space="preserve">Alt-2: </w:t>
      </w:r>
      <w:r>
        <w:rPr>
          <w:rFonts w:hint="eastAsia" w:eastAsia="宋体" w:cs="Times New Roman"/>
          <w:b/>
          <w:bCs/>
          <w:szCs w:val="28"/>
          <w:lang w:val="en-US" w:eastAsia="zh-CN"/>
        </w:rPr>
        <w:t>Configure an additional SSB pattern for R19 NES UE, whose SSB transmissions are invalid within the non-active period of e</w:t>
      </w:r>
      <w:r>
        <w:rPr>
          <w:rFonts w:hint="default" w:ascii="Times New Roman" w:hAnsi="Times New Roman" w:eastAsia="宋体" w:cs="Times New Roman"/>
          <w:b/>
          <w:bCs/>
          <w:szCs w:val="28"/>
          <w:lang w:eastAsia="zh-CN"/>
        </w:rPr>
        <w:t>nhancement cell DTX.</w:t>
      </w:r>
    </w:p>
    <w:p>
      <w:pPr>
        <w:pStyle w:val="4"/>
        <w:rPr>
          <w:rFonts w:hint="default" w:ascii="Times New Roman" w:hAnsi="Times New Roman" w:eastAsia="等线" w:cs="Times New Roman"/>
          <w:szCs w:val="20"/>
          <w:lang w:eastAsia="zh-CN"/>
        </w:rPr>
      </w:pPr>
    </w:p>
    <w:p>
      <w:pPr>
        <w:pStyle w:val="4"/>
        <w:outlineLvl w:val="1"/>
        <w:rPr>
          <w:rFonts w:hint="default" w:ascii="Times New Roman" w:hAnsi="Times New Roman" w:cs="Times New Roman" w:eastAsiaTheme="minorEastAsia"/>
          <w:b/>
          <w:bCs/>
          <w:sz w:val="21"/>
          <w:szCs w:val="21"/>
          <w:lang w:val="en-GB" w:eastAsia="zh-CN"/>
        </w:rPr>
      </w:pPr>
      <w:r>
        <w:rPr>
          <w:rFonts w:hint="default" w:ascii="Times New Roman" w:hAnsi="Times New Roman" w:cs="Times New Roman" w:eastAsiaTheme="minorEastAsia"/>
          <w:b/>
          <w:bCs/>
          <w:sz w:val="21"/>
          <w:szCs w:val="21"/>
          <w:lang w:val="en-GB" w:eastAsia="zh-CN"/>
        </w:rPr>
        <w:t>2.2 Adaptation of PRACH in time domain</w:t>
      </w: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hint="default" w:ascii="Times New Roman" w:hAnsi="Times New Roman" w:cs="Times New Roman"/>
                <w:b/>
                <w:bCs/>
                <w:sz w:val="18"/>
                <w:szCs w:val="18"/>
                <w:highlight w:val="green"/>
              </w:rPr>
            </w:pPr>
            <w:r>
              <w:rPr>
                <w:rFonts w:hint="default" w:ascii="Times New Roman" w:hAnsi="Times New Roman" w:cs="Times New Roman"/>
                <w:b/>
                <w:bCs/>
                <w:sz w:val="18"/>
                <w:szCs w:val="18"/>
                <w:highlight w:val="green"/>
              </w:rPr>
              <w:t>Agreement</w:t>
            </w:r>
          </w:p>
          <w:p>
            <w:pPr>
              <w:pStyle w:val="4"/>
              <w:suppressAutoHyphens/>
              <w:spacing w:after="0"/>
              <w:rPr>
                <w:rFonts w:hint="default" w:ascii="Times New Roman" w:hAnsi="Times New Roman" w:cs="Times New Roman"/>
                <w:sz w:val="18"/>
                <w:szCs w:val="18"/>
              </w:rPr>
            </w:pPr>
            <w:r>
              <w:rPr>
                <w:rFonts w:hint="default" w:ascii="Times New Roman" w:hAnsi="Times New Roman" w:cs="Times New Roman"/>
                <w:sz w:val="18"/>
                <w:szCs w:val="18"/>
              </w:rPr>
              <w:t>For adaptation of PRACH in time-domain, consider the following adaptation mechanisms for further study</w:t>
            </w:r>
          </w:p>
          <w:p>
            <w:pPr>
              <w:pStyle w:val="4"/>
              <w:numPr>
                <w:ilvl w:val="0"/>
                <w:numId w:val="8"/>
              </w:numPr>
              <w:suppressAutoHyphens/>
              <w:spacing w:after="0"/>
              <w:jc w:val="left"/>
              <w:rPr>
                <w:rFonts w:hint="default" w:ascii="Times New Roman" w:hAnsi="Times New Roman" w:cs="Times New Roman"/>
                <w:sz w:val="18"/>
                <w:szCs w:val="18"/>
              </w:rPr>
            </w:pPr>
            <w:r>
              <w:rPr>
                <w:rFonts w:hint="default" w:ascii="Times New Roman" w:hAnsi="Times New Roman" w:cs="Times New Roman"/>
                <w:sz w:val="18"/>
                <w:szCs w:val="18"/>
              </w:rPr>
              <w:t>Adaptation based on configuration of additional[/different] PRACH resources for NES-capable UEs in addition to PRACH resources for legacy UEs (if any)</w:t>
            </w:r>
          </w:p>
          <w:p>
            <w:pPr>
              <w:pStyle w:val="4"/>
              <w:numPr>
                <w:ilvl w:val="1"/>
                <w:numId w:val="8"/>
              </w:numPr>
              <w:suppressAutoHyphens/>
              <w:spacing w:after="0"/>
              <w:jc w:val="left"/>
              <w:rPr>
                <w:rFonts w:hint="default" w:ascii="Times New Roman" w:hAnsi="Times New Roman" w:cs="Times New Roman"/>
                <w:sz w:val="18"/>
                <w:szCs w:val="18"/>
              </w:rPr>
            </w:pPr>
            <w:r>
              <w:rPr>
                <w:rFonts w:hint="default" w:ascii="Times New Roman" w:hAnsi="Times New Roman" w:cs="Times New Roman"/>
                <w:sz w:val="18"/>
                <w:szCs w:val="18"/>
              </w:rPr>
              <w:t>Note: NES-capable UEs can use both additional PRACH resources and PRACH resources for legacy UEs</w:t>
            </w:r>
          </w:p>
          <w:p>
            <w:pPr>
              <w:pStyle w:val="4"/>
              <w:numPr>
                <w:ilvl w:val="0"/>
                <w:numId w:val="8"/>
              </w:numPr>
              <w:suppressAutoHyphens/>
              <w:spacing w:after="0"/>
              <w:jc w:val="left"/>
              <w:rPr>
                <w:rFonts w:hint="default" w:ascii="Times New Roman" w:hAnsi="Times New Roman" w:cs="Times New Roman"/>
                <w:sz w:val="18"/>
                <w:szCs w:val="18"/>
              </w:rPr>
            </w:pPr>
            <w:r>
              <w:rPr>
                <w:rFonts w:hint="default" w:ascii="Times New Roman" w:hAnsi="Times New Roman" w:cs="Times New Roman"/>
                <w:sz w:val="18"/>
                <w:szCs w:val="18"/>
              </w:rPr>
              <w:t>For the additional PRACH resources,</w:t>
            </w:r>
          </w:p>
          <w:p>
            <w:pPr>
              <w:pStyle w:val="4"/>
              <w:numPr>
                <w:ilvl w:val="1"/>
                <w:numId w:val="8"/>
              </w:numPr>
              <w:suppressAutoHyphens/>
              <w:spacing w:after="0"/>
              <w:jc w:val="left"/>
              <w:rPr>
                <w:rFonts w:hint="default" w:ascii="Times New Roman" w:hAnsi="Times New Roman" w:cs="Times New Roman"/>
                <w:sz w:val="18"/>
                <w:szCs w:val="18"/>
              </w:rPr>
            </w:pPr>
            <w:r>
              <w:rPr>
                <w:rFonts w:hint="default" w:ascii="Times New Roman" w:hAnsi="Times New Roman" w:cs="Times New Roman"/>
                <w:sz w:val="18"/>
                <w:szCs w:val="18"/>
              </w:rPr>
              <w:t xml:space="preserve">Adaptation of PRACH resource periodicity/PRACH occasion </w:t>
            </w:r>
          </w:p>
          <w:p>
            <w:pPr>
              <w:pStyle w:val="4"/>
              <w:numPr>
                <w:ilvl w:val="1"/>
                <w:numId w:val="8"/>
              </w:numPr>
              <w:suppressAutoHyphens/>
              <w:spacing w:after="0"/>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Adaptation at PRACH configuration/association period/association pattern period level and SSB to RO mapping cycle</w:t>
            </w:r>
          </w:p>
          <w:p>
            <w:pPr>
              <w:pStyle w:val="4"/>
              <w:numPr>
                <w:ilvl w:val="1"/>
                <w:numId w:val="8"/>
              </w:numPr>
              <w:suppressAutoHyphens/>
              <w:spacing w:after="0"/>
              <w:jc w:val="left"/>
              <w:rPr>
                <w:rFonts w:hint="default" w:ascii="Times New Roman" w:hAnsi="Times New Roman" w:cs="Times New Roman"/>
                <w:sz w:val="18"/>
                <w:szCs w:val="18"/>
              </w:rPr>
            </w:pPr>
            <w:r>
              <w:rPr>
                <w:rFonts w:hint="default" w:ascii="Times New Roman" w:hAnsi="Times New Roman" w:cs="Times New Roman"/>
                <w:sz w:val="18"/>
                <w:szCs w:val="18"/>
              </w:rPr>
              <w:t>Adaptation based on extending cell DRX operation for PRACH</w:t>
            </w:r>
          </w:p>
          <w:p>
            <w:pPr>
              <w:pStyle w:val="4"/>
              <w:numPr>
                <w:ilvl w:val="1"/>
                <w:numId w:val="8"/>
              </w:numPr>
              <w:suppressAutoHyphens/>
              <w:spacing w:after="0"/>
              <w:jc w:val="left"/>
              <w:rPr>
                <w:rFonts w:hint="default" w:ascii="Times New Roman" w:hAnsi="Times New Roman" w:cs="Times New Roman"/>
                <w:sz w:val="18"/>
                <w:szCs w:val="18"/>
              </w:rPr>
            </w:pPr>
            <w:r>
              <w:rPr>
                <w:rFonts w:hint="default" w:ascii="Times New Roman" w:hAnsi="Times New Roman" w:cs="Times New Roman"/>
                <w:sz w:val="18"/>
                <w:szCs w:val="18"/>
              </w:rPr>
              <w:t>Concentrating ROs in time domain</w:t>
            </w:r>
          </w:p>
          <w:p>
            <w:pPr>
              <w:pStyle w:val="4"/>
              <w:numPr>
                <w:ilvl w:val="0"/>
                <w:numId w:val="8"/>
              </w:numPr>
              <w:suppressAutoHyphens/>
              <w:spacing w:after="0"/>
              <w:jc w:val="left"/>
              <w:rPr>
                <w:rFonts w:hint="default" w:ascii="Times New Roman" w:hAnsi="Times New Roman" w:cs="Times New Roman" w:eastAsiaTheme="minorEastAsia"/>
                <w:b/>
                <w:bCs/>
                <w:sz w:val="21"/>
                <w:szCs w:val="21"/>
                <w:vertAlign w:val="baseline"/>
                <w:lang w:val="en-GB" w:eastAsia="zh-CN"/>
              </w:rPr>
            </w:pPr>
            <w:r>
              <w:rPr>
                <w:rFonts w:hint="default" w:ascii="Times New Roman" w:hAnsi="Times New Roman" w:cs="Times New Roman"/>
                <w:sz w:val="18"/>
                <w:szCs w:val="18"/>
              </w:rPr>
              <w:t>Other options are not precluded</w:t>
            </w:r>
          </w:p>
        </w:tc>
      </w:tr>
    </w:tbl>
    <w:p>
      <w:pPr>
        <w:pStyle w:val="4"/>
        <w:outlineLvl w:val="1"/>
        <w:rPr>
          <w:rFonts w:hint="default" w:ascii="Times New Roman" w:hAnsi="Times New Roman" w:cs="Times New Roman" w:eastAsiaTheme="minorEastAsia"/>
          <w:b/>
          <w:bCs/>
          <w:sz w:val="21"/>
          <w:szCs w:val="21"/>
          <w:lang w:val="en-GB" w:eastAsia="zh-CN"/>
        </w:rPr>
      </w:pPr>
    </w:p>
    <w:p>
      <w:pPr>
        <w:pStyle w:val="4"/>
        <w:rPr>
          <w:rFonts w:hint="eastAsia" w:eastAsia="等线" w:cs="Times New Roman"/>
          <w:szCs w:val="20"/>
          <w:lang w:val="en-US" w:eastAsia="zh-CN"/>
        </w:rPr>
      </w:pPr>
      <w:r>
        <w:rPr>
          <w:rFonts w:hint="eastAsia" w:eastAsia="等线" w:cs="Times New Roman"/>
          <w:szCs w:val="20"/>
          <w:lang w:val="en-US" w:eastAsia="zh-CN"/>
        </w:rPr>
        <w:t xml:space="preserve">The PRACH adaptation also received much of attention in last RAN1 meeting, where the study directions were agreed. In this meeting, we would like to point out that according to WID, the adaptation of PRACH should be common PRACH channel, which means that the adaptation of PRACH resources from RRC dedicated configuration should be out of the WID scope. </w:t>
      </w:r>
    </w:p>
    <w:p>
      <w:pPr>
        <w:pStyle w:val="4"/>
        <w:rPr>
          <w:rFonts w:hint="eastAsia" w:eastAsia="等线" w:cs="Times New Roman"/>
          <w:b/>
          <w:bCs/>
          <w:szCs w:val="20"/>
          <w:lang w:val="en-US" w:eastAsia="zh-CN"/>
        </w:rPr>
      </w:pPr>
      <w:r>
        <w:rPr>
          <w:rFonts w:hint="eastAsia" w:eastAsia="等线" w:cs="Times New Roman"/>
          <w:b/>
          <w:bCs/>
          <w:szCs w:val="20"/>
          <w:lang w:val="en-US" w:eastAsia="zh-CN"/>
        </w:rPr>
        <w:t xml:space="preserve">Observation 5: according to WID, if the PRACH is configured by dedicated RRC configuration, the adaptation of such PRACH resource is out of WID scope. Only common PRACH adaptation is considered. </w:t>
      </w:r>
    </w:p>
    <w:p>
      <w:pPr>
        <w:pStyle w:val="4"/>
        <w:rPr>
          <w:rFonts w:hint="default" w:ascii="Times New Roman" w:hAnsi="Times New Roman" w:eastAsia="等线" w:cs="Times New Roman"/>
          <w:szCs w:val="20"/>
          <w:lang w:eastAsia="zh-CN"/>
        </w:rPr>
      </w:pPr>
      <w:r>
        <w:rPr>
          <w:rFonts w:hint="default" w:ascii="Times New Roman" w:hAnsi="Times New Roman" w:eastAsia="等线" w:cs="Times New Roman"/>
          <w:szCs w:val="20"/>
          <w:lang w:eastAsia="zh-CN"/>
        </w:rPr>
        <w:t>Similar to SSB, the adaptation of PRACH in time domain can also include the following two candidate schemes.</w:t>
      </w:r>
    </w:p>
    <w:p>
      <w:pPr>
        <w:numPr>
          <w:ilvl w:val="0"/>
          <w:numId w:val="9"/>
        </w:numPr>
        <w:suppressAutoHyphens/>
        <w:spacing w:after="120"/>
        <w:jc w:val="both"/>
        <w:rPr>
          <w:rFonts w:hint="default" w:ascii="Times New Roman" w:hAnsi="Times New Roman" w:eastAsia="Batang" w:cs="Times New Roman"/>
          <w:szCs w:val="20"/>
          <w:lang w:val="en-GB" w:eastAsia="zh-CN"/>
        </w:rPr>
      </w:pPr>
      <w:r>
        <w:rPr>
          <w:rFonts w:hint="default" w:ascii="Times New Roman" w:hAnsi="Times New Roman" w:eastAsia="Batang" w:cs="Times New Roman"/>
          <w:szCs w:val="20"/>
          <w:lang w:val="en-GB" w:eastAsia="zh-CN"/>
        </w:rPr>
        <w:t>Alt-1: Two PRACH configurations with different period  are configured for the NES cell. The ROs corresponding to the PRACH configuration with long-period are a subset of the ROs corresponding to the PRACH configuration with short-period. Which PRACH configuration is adopted for the NES cell is indicated by gNB via dynamic indication information (e.g., GC-PDCCH).</w:t>
      </w:r>
    </w:p>
    <w:p>
      <w:pPr>
        <w:numPr>
          <w:ilvl w:val="0"/>
          <w:numId w:val="9"/>
        </w:numPr>
        <w:suppressAutoHyphens/>
        <w:spacing w:after="120"/>
        <w:jc w:val="both"/>
        <w:rPr>
          <w:rFonts w:hint="default" w:ascii="Times New Roman" w:hAnsi="Times New Roman" w:eastAsia="Batang" w:cs="Times New Roman"/>
          <w:szCs w:val="20"/>
          <w:lang w:val="en-GB" w:eastAsia="zh-CN"/>
        </w:rPr>
      </w:pPr>
      <w:r>
        <w:rPr>
          <w:rFonts w:hint="default" w:ascii="Times New Roman" w:hAnsi="Times New Roman" w:eastAsia="Batang" w:cs="Times New Roman"/>
          <w:szCs w:val="20"/>
          <w:lang w:val="en-GB" w:eastAsia="zh-CN"/>
        </w:rPr>
        <w:t>Alt-2: Enhancement to the cell DRX configuration for the NES cell. The ROs are invalid during the non-active periods of the enhanced cell DRX. The activation or deactivation of the enhanced cell DRX of the NES cell is indicated by gNB via dynamic indication information (e.g. GC-PDCCH).</w:t>
      </w:r>
    </w:p>
    <w:p>
      <w:pPr>
        <w:pStyle w:val="4"/>
        <w:rPr>
          <w:rFonts w:hint="default" w:ascii="Times New Roman" w:hAnsi="Times New Roman" w:eastAsia="等线" w:cs="Times New Roman"/>
          <w:szCs w:val="20"/>
          <w:lang w:eastAsia="zh-CN"/>
        </w:rPr>
      </w:pPr>
      <w:r>
        <w:rPr>
          <w:rFonts w:hint="default" w:ascii="Times New Roman" w:hAnsi="Times New Roman" w:eastAsia="等线" w:cs="Times New Roman"/>
          <w:szCs w:val="20"/>
          <w:lang w:eastAsia="zh-CN"/>
        </w:rPr>
        <w:t>Similarly, both Alt-1 and Alt-2 can be considered as candidate schemes to reduce the transmission and reception of PRACH in time domain in the NES cell.</w:t>
      </w:r>
    </w:p>
    <w:p>
      <w:pPr>
        <w:pStyle w:val="4"/>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 xml:space="preserve">Proposal </w:t>
      </w:r>
      <w:r>
        <w:rPr>
          <w:rFonts w:hint="eastAsia" w:eastAsia="宋体" w:cs="Times New Roman"/>
          <w:b/>
          <w:bCs/>
          <w:szCs w:val="28"/>
          <w:lang w:val="en-US" w:eastAsia="zh-CN"/>
        </w:rPr>
        <w:t>4</w:t>
      </w:r>
      <w:r>
        <w:rPr>
          <w:rFonts w:hint="default" w:ascii="Times New Roman" w:hAnsi="Times New Roman" w:eastAsia="宋体" w:cs="Times New Roman"/>
          <w:b/>
          <w:bCs/>
          <w:szCs w:val="28"/>
          <w:lang w:eastAsia="zh-CN"/>
        </w:rPr>
        <w:t>: Two schemes can be considered as candidate schemes for adaptation of PRACH in time domain for the NES cell:</w:t>
      </w:r>
    </w:p>
    <w:p>
      <w:pPr>
        <w:pStyle w:val="4"/>
        <w:numPr>
          <w:ilvl w:val="0"/>
          <w:numId w:val="10"/>
        </w:numPr>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Alt-1: Two PRACH configurations with different period are configured for the NES cell.</w:t>
      </w:r>
    </w:p>
    <w:p>
      <w:pPr>
        <w:pStyle w:val="4"/>
        <w:numPr>
          <w:ilvl w:val="0"/>
          <w:numId w:val="10"/>
        </w:numPr>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Alt-2: Enhancement to the cell DRX configuration for the NES cell.</w:t>
      </w:r>
    </w:p>
    <w:p>
      <w:pPr>
        <w:pStyle w:val="4"/>
        <w:rPr>
          <w:rFonts w:hint="default" w:ascii="Times New Roman" w:hAnsi="Times New Roman" w:eastAsia="等线" w:cs="Times New Roman"/>
          <w:szCs w:val="20"/>
          <w:lang w:eastAsia="zh-CN"/>
        </w:rPr>
      </w:pPr>
    </w:p>
    <w:p>
      <w:pPr>
        <w:pStyle w:val="4"/>
        <w:outlineLvl w:val="1"/>
        <w:rPr>
          <w:rFonts w:hint="default" w:ascii="Times New Roman" w:hAnsi="Times New Roman" w:cs="Times New Roman" w:eastAsiaTheme="minorEastAsia"/>
          <w:b/>
          <w:bCs/>
          <w:sz w:val="21"/>
          <w:szCs w:val="21"/>
          <w:lang w:val="en-GB" w:eastAsia="zh-CN"/>
        </w:rPr>
      </w:pPr>
      <w:r>
        <w:rPr>
          <w:rFonts w:hint="default" w:ascii="Times New Roman" w:hAnsi="Times New Roman" w:cs="Times New Roman" w:eastAsiaTheme="minorEastAsia"/>
          <w:b/>
          <w:bCs/>
          <w:sz w:val="21"/>
          <w:szCs w:val="21"/>
          <w:lang w:val="en-GB" w:eastAsia="zh-CN"/>
        </w:rPr>
        <w:t>2.3 Adaptation of PRACH in spatial domain</w:t>
      </w:r>
    </w:p>
    <w:p>
      <w:pPr>
        <w:pStyle w:val="4"/>
        <w:rPr>
          <w:rFonts w:hint="default" w:ascii="Times New Roman" w:hAnsi="Times New Roman" w:eastAsia="等线" w:cs="Times New Roman"/>
          <w:szCs w:val="20"/>
          <w:lang w:eastAsia="zh-CN"/>
        </w:rPr>
      </w:pPr>
      <w:r>
        <w:rPr>
          <w:rFonts w:hint="default" w:ascii="Times New Roman" w:hAnsi="Times New Roman" w:eastAsia="等线" w:cs="Times New Roman"/>
          <w:szCs w:val="20"/>
          <w:lang w:eastAsia="zh-CN"/>
        </w:rPr>
        <w:t xml:space="preserve">In our view, if the adaptation of PRACH in spatial domain is supported, i.e., the non-uniform PRACH resources are associated with different SSB indexes, while the adaptation of SSB in spatial domain is not supported, i.e., the SSB indexes in the SSB burst for transmission are kept unchanged, the energy saving gain would not be obvious. </w:t>
      </w:r>
    </w:p>
    <w:p>
      <w:pPr>
        <w:pStyle w:val="4"/>
        <w:rPr>
          <w:rFonts w:hint="default" w:ascii="Times New Roman" w:hAnsi="Times New Roman" w:eastAsia="等线" w:cs="Times New Roman"/>
          <w:szCs w:val="20"/>
          <w:lang w:eastAsia="zh-CN"/>
        </w:rPr>
      </w:pPr>
      <w:r>
        <w:rPr>
          <w:rFonts w:hint="default" w:ascii="Times New Roman" w:hAnsi="Times New Roman" w:eastAsia="等线" w:cs="Times New Roman"/>
          <w:szCs w:val="20"/>
          <w:lang w:eastAsia="zh-CN"/>
        </w:rPr>
        <w:t xml:space="preserve">Moreover, to support non-uniform PRACH resources per SSB, it is necessary to enhance the mapping of the association relationship between SSB and RO, which requires a lot of additional standards effort as well as a large UE implementation complexity.  </w:t>
      </w:r>
    </w:p>
    <w:p>
      <w:pPr>
        <w:pStyle w:val="4"/>
        <w:rPr>
          <w:rFonts w:hint="default" w:ascii="Times New Roman" w:hAnsi="Times New Roman" w:eastAsia="等线" w:cs="Times New Roman"/>
          <w:szCs w:val="20"/>
          <w:lang w:eastAsia="zh-CN"/>
        </w:rPr>
      </w:pPr>
      <w:r>
        <w:rPr>
          <w:rFonts w:hint="default" w:ascii="Times New Roman" w:hAnsi="Times New Roman" w:eastAsia="等线" w:cs="Times New Roman"/>
          <w:szCs w:val="20"/>
          <w:lang w:eastAsia="zh-CN"/>
        </w:rPr>
        <w:t xml:space="preserve">Therefore, it is proposed to </w:t>
      </w:r>
      <w:bookmarkStart w:id="6" w:name="_Hlk159209553"/>
      <w:r>
        <w:rPr>
          <w:rFonts w:hint="default" w:ascii="Times New Roman" w:hAnsi="Times New Roman" w:eastAsia="等线" w:cs="Times New Roman"/>
          <w:szCs w:val="20"/>
          <w:lang w:eastAsia="zh-CN"/>
        </w:rPr>
        <w:t>deprioritize the discussion of adaptation of PRACH in spatial domain</w:t>
      </w:r>
      <w:bookmarkEnd w:id="6"/>
      <w:r>
        <w:rPr>
          <w:rFonts w:hint="default" w:ascii="Times New Roman" w:hAnsi="Times New Roman" w:eastAsia="等线" w:cs="Times New Roman"/>
          <w:szCs w:val="20"/>
          <w:lang w:eastAsia="zh-CN"/>
        </w:rPr>
        <w:t>, or to consider adaptation of PRACH in spatial domain together with adaptation of SSB in spatial domain if not deprioritized.</w:t>
      </w:r>
    </w:p>
    <w:p>
      <w:pPr>
        <w:pStyle w:val="4"/>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 xml:space="preserve">Proposal </w:t>
      </w:r>
      <w:r>
        <w:rPr>
          <w:rFonts w:hint="eastAsia" w:eastAsia="宋体" w:cs="Times New Roman"/>
          <w:b/>
          <w:bCs/>
          <w:szCs w:val="28"/>
          <w:lang w:val="en-US" w:eastAsia="zh-CN"/>
        </w:rPr>
        <w:t>5</w:t>
      </w:r>
      <w:r>
        <w:rPr>
          <w:rFonts w:hint="default" w:ascii="Times New Roman" w:hAnsi="Times New Roman" w:eastAsia="宋体" w:cs="Times New Roman"/>
          <w:b/>
          <w:bCs/>
          <w:szCs w:val="28"/>
          <w:lang w:eastAsia="zh-CN"/>
        </w:rPr>
        <w:t>: Deprioritize the discussion of adaptation of PRACH in spatial domain.</w:t>
      </w:r>
    </w:p>
    <w:p>
      <w:pPr>
        <w:pStyle w:val="4"/>
        <w:rPr>
          <w:rFonts w:hint="default" w:ascii="Times New Roman" w:hAnsi="Times New Roman" w:eastAsia="等线" w:cs="Times New Roman"/>
          <w:szCs w:val="20"/>
          <w:lang w:eastAsia="zh-CN"/>
        </w:rPr>
      </w:pPr>
    </w:p>
    <w:p>
      <w:pPr>
        <w:pStyle w:val="4"/>
        <w:outlineLvl w:val="1"/>
        <w:rPr>
          <w:rFonts w:hint="default" w:ascii="Times New Roman" w:hAnsi="Times New Roman" w:cs="Times New Roman" w:eastAsiaTheme="minorEastAsia"/>
          <w:b/>
          <w:bCs/>
          <w:sz w:val="21"/>
          <w:szCs w:val="21"/>
          <w:lang w:val="en-GB" w:eastAsia="zh-CN"/>
        </w:rPr>
      </w:pPr>
      <w:r>
        <w:rPr>
          <w:rFonts w:hint="default" w:ascii="Times New Roman" w:hAnsi="Times New Roman" w:cs="Times New Roman" w:eastAsiaTheme="minorEastAsia"/>
          <w:b/>
          <w:bCs/>
          <w:sz w:val="21"/>
          <w:szCs w:val="21"/>
          <w:lang w:val="en-GB" w:eastAsia="zh-CN"/>
        </w:rPr>
        <w:t>2.3 Adaptation of paging occasions</w:t>
      </w:r>
    </w:p>
    <w:p>
      <w:pPr>
        <w:pStyle w:val="4"/>
        <w:rPr>
          <w:rFonts w:hint="default" w:ascii="Times New Roman" w:hAnsi="Times New Roman" w:eastAsia="等线" w:cs="Times New Roman"/>
          <w:szCs w:val="20"/>
          <w:lang w:eastAsia="zh-CN"/>
        </w:rPr>
      </w:pPr>
      <w:r>
        <w:rPr>
          <w:rFonts w:hint="default" w:ascii="Times New Roman" w:hAnsi="Times New Roman" w:eastAsia="等线" w:cs="Times New Roman"/>
          <w:szCs w:val="20"/>
          <w:lang w:eastAsia="zh-CN"/>
        </w:rPr>
        <w:t xml:space="preserve">For the adaptation of paging in time domain, </w:t>
      </w:r>
      <w:bookmarkStart w:id="7" w:name="_Hlk159210338"/>
      <w:r>
        <w:rPr>
          <w:rFonts w:hint="default" w:ascii="Times New Roman" w:hAnsi="Times New Roman" w:eastAsia="等线" w:cs="Times New Roman"/>
          <w:szCs w:val="20"/>
          <w:lang w:eastAsia="zh-CN"/>
        </w:rPr>
        <w:t>enhancements to calculation formula of paging occasion index in a paging frame to realize the compacted POs in a PF may be considered</w:t>
      </w:r>
      <w:bookmarkEnd w:id="7"/>
      <w:r>
        <w:rPr>
          <w:rFonts w:hint="default" w:ascii="Times New Roman" w:hAnsi="Times New Roman" w:eastAsia="等线" w:cs="Times New Roman"/>
          <w:szCs w:val="20"/>
          <w:lang w:eastAsia="zh-CN"/>
        </w:rPr>
        <w:t xml:space="preserve"> for Rel-19 NES UE in the NES cell. Considering legacy UEs do not have the ability to enhance the PO calculation formula, to reduce the impact, it is better to transfer legacy UEs to a non-NES cell by gNB implementation, as discussed above.</w:t>
      </w:r>
    </w:p>
    <w:p>
      <w:pPr>
        <w:pStyle w:val="4"/>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 xml:space="preserve">Proposal </w:t>
      </w:r>
      <w:r>
        <w:rPr>
          <w:rFonts w:hint="eastAsia" w:eastAsia="宋体" w:cs="Times New Roman"/>
          <w:b/>
          <w:bCs/>
          <w:szCs w:val="28"/>
          <w:lang w:val="en-US" w:eastAsia="zh-CN"/>
        </w:rPr>
        <w:t>6</w:t>
      </w:r>
      <w:r>
        <w:rPr>
          <w:rFonts w:hint="default" w:ascii="Times New Roman" w:hAnsi="Times New Roman" w:eastAsia="宋体" w:cs="Times New Roman"/>
          <w:b/>
          <w:bCs/>
          <w:szCs w:val="28"/>
          <w:lang w:eastAsia="zh-CN"/>
        </w:rPr>
        <w:t>: Enhancements to calculation formula of paging occasion index in a paging frame to realize the compacted POs in a PF may be considered.</w:t>
      </w:r>
    </w:p>
    <w:p>
      <w:pPr>
        <w:pStyle w:val="4"/>
        <w:rPr>
          <w:rFonts w:hint="default" w:ascii="Times New Roman" w:hAnsi="Times New Roman" w:eastAsia="等线" w:cs="Times New Roman"/>
          <w:szCs w:val="20"/>
          <w:lang w:eastAsia="zh-CN"/>
        </w:rPr>
      </w:pPr>
    </w:p>
    <w:p>
      <w:pPr>
        <w:pStyle w:val="2"/>
        <w:rPr>
          <w:rFonts w:hint="default" w:ascii="Times New Roman" w:hAnsi="Times New Roman" w:cs="Times New Roman"/>
        </w:rPr>
      </w:pPr>
      <w:r>
        <w:rPr>
          <w:rFonts w:hint="default" w:ascii="Times New Roman" w:hAnsi="Times New Roman" w:cs="Times New Roman"/>
        </w:rPr>
        <w:t>Conclusion</w:t>
      </w:r>
    </w:p>
    <w:p>
      <w:pPr>
        <w:pStyle w:val="4"/>
        <w:spacing w:before="120" w:beforeLines="50"/>
        <w:rPr>
          <w:rFonts w:hint="default" w:ascii="Times New Roman" w:hAnsi="Times New Roman" w:eastAsia="等线" w:cs="Times New Roman"/>
          <w:szCs w:val="20"/>
          <w:lang w:eastAsia="zh-CN"/>
        </w:rPr>
      </w:pPr>
      <w:r>
        <w:rPr>
          <w:rFonts w:hint="default" w:ascii="Times New Roman" w:hAnsi="Times New Roman" w:eastAsia="等线" w:cs="Times New Roman"/>
          <w:szCs w:val="20"/>
          <w:lang w:eastAsia="zh-CN"/>
        </w:rPr>
        <w:t xml:space="preserve">In this contribution, we provide our views on </w:t>
      </w:r>
      <w:r>
        <w:rPr>
          <w:rFonts w:hint="default" w:ascii="Times New Roman" w:hAnsi="Times New Roman" w:eastAsia="宋体" w:cs="Times New Roman"/>
          <w:bCs/>
          <w:szCs w:val="20"/>
          <w:lang w:val="en-GB" w:eastAsia="en-GB"/>
        </w:rPr>
        <w:t>adaptation of common signal/channel transmission</w:t>
      </w:r>
      <w:r>
        <w:rPr>
          <w:rFonts w:hint="default" w:ascii="Times New Roman" w:hAnsi="Times New Roman" w:eastAsia="等线" w:cs="Times New Roman"/>
          <w:szCs w:val="20"/>
          <w:lang w:eastAsia="zh-CN"/>
        </w:rPr>
        <w:t xml:space="preserve"> for </w:t>
      </w:r>
      <w:r>
        <w:rPr>
          <w:rFonts w:hint="default" w:ascii="Times New Roman" w:hAnsi="Times New Roman" w:eastAsia="宋体" w:cs="Times New Roman"/>
          <w:bCs/>
          <w:szCs w:val="20"/>
          <w:lang w:val="en-GB" w:eastAsia="en-GB"/>
        </w:rPr>
        <w:t>Rel-19 NES</w:t>
      </w:r>
      <w:r>
        <w:rPr>
          <w:rFonts w:hint="default" w:ascii="Times New Roman" w:hAnsi="Times New Roman" w:eastAsia="宋体" w:cs="Times New Roman"/>
          <w:iCs/>
          <w:szCs w:val="20"/>
          <w:lang w:eastAsia="zh-CN"/>
        </w:rPr>
        <w:t xml:space="preserve">. The following proposals </w:t>
      </w:r>
      <w:r>
        <w:rPr>
          <w:rFonts w:hint="default" w:ascii="Times New Roman" w:hAnsi="Times New Roman" w:eastAsia="等线" w:cs="Times New Roman"/>
          <w:szCs w:val="20"/>
          <w:lang w:eastAsia="zh-CN"/>
        </w:rPr>
        <w:t>are provided.</w:t>
      </w:r>
    </w:p>
    <w:p>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Observation 1: In an heterogeneous layout and the cell is a PCell that also provides the coverage level to legacy UE. The SSB period configured for legacy UE is a sparse one; while it may adapt to a more dense SSB period for R19 NES.</w:t>
      </w:r>
    </w:p>
    <w:p>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 xml:space="preserve">Observation 2: In an homogeneous deployment, in order to ensure the continuous coverage, a 20 ms SSB period is assumed to support legacy UE, in this case, there is not much of energy saving gain when apply further SSB period adaptation. </w:t>
      </w:r>
    </w:p>
    <w:p>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 xml:space="preserve">Observation 3:  When the UE activity becomes non-uniformly distributed across different SSB beam directions, the beam level adaptation can also bring benefit to network energy saving. </w:t>
      </w:r>
    </w:p>
    <w:p>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Observation 4: SSB beam number and directions adaptation are another dimension for the time domain adaptation and they are not mutual exclusive to SSB period adaptation.</w:t>
      </w:r>
    </w:p>
    <w:p>
      <w:pPr>
        <w:pStyle w:val="4"/>
        <w:rPr>
          <w:rFonts w:hint="eastAsia" w:eastAsia="等线" w:cs="Times New Roman"/>
          <w:b/>
          <w:bCs/>
          <w:szCs w:val="20"/>
          <w:lang w:val="en-US" w:eastAsia="zh-CN"/>
        </w:rPr>
      </w:pPr>
      <w:r>
        <w:rPr>
          <w:rFonts w:hint="eastAsia" w:eastAsia="等线" w:cs="Times New Roman"/>
          <w:b/>
          <w:bCs/>
          <w:szCs w:val="20"/>
          <w:lang w:val="en-US" w:eastAsia="zh-CN"/>
        </w:rPr>
        <w:t xml:space="preserve">Observation 5: according to WID, if the PRACH is configured by dedicated RRC configuration, the adaptation of such PRACH resource is out of WID scope. Only common PRACH adaptation is considered. </w:t>
      </w:r>
    </w:p>
    <w:p>
      <w:pPr>
        <w:pStyle w:val="4"/>
        <w:spacing w:before="120" w:beforeLines="50"/>
        <w:rPr>
          <w:rFonts w:hint="default" w:ascii="Times New Roman" w:hAnsi="Times New Roman" w:eastAsia="等线" w:cs="Times New Roman"/>
          <w:szCs w:val="20"/>
          <w:lang w:eastAsia="zh-CN"/>
        </w:rPr>
      </w:pPr>
    </w:p>
    <w:p>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 xml:space="preserve">Proposal 1: In the scenario of  heterogeneous deployment, adapting SSB period can be supported. </w:t>
      </w:r>
    </w:p>
    <w:p>
      <w:pPr>
        <w:pStyle w:val="4"/>
        <w:rPr>
          <w:rFonts w:hint="default" w:ascii="Times New Roman" w:hAnsi="Times New Roman" w:eastAsia="等线" w:cs="Times New Roman"/>
          <w:b/>
          <w:bCs/>
          <w:szCs w:val="20"/>
          <w:lang w:eastAsia="zh-CN"/>
        </w:rPr>
      </w:pPr>
      <w:r>
        <w:rPr>
          <w:rFonts w:hint="default" w:ascii="Times New Roman" w:hAnsi="Times New Roman" w:eastAsia="等线" w:cs="Times New Roman"/>
          <w:b/>
          <w:bCs/>
          <w:szCs w:val="20"/>
          <w:lang w:val="en-US" w:eastAsia="zh-CN"/>
        </w:rPr>
        <w:t>Proposal 2:  SSB beam number and position adaptation within a burst can be supported together with SSB period adaptation.</w:t>
      </w:r>
    </w:p>
    <w:p>
      <w:pPr>
        <w:pStyle w:val="4"/>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 xml:space="preserve">Proposal </w:t>
      </w:r>
      <w:r>
        <w:rPr>
          <w:rFonts w:hint="eastAsia" w:eastAsia="宋体" w:cs="Times New Roman"/>
          <w:b/>
          <w:bCs/>
          <w:szCs w:val="28"/>
          <w:lang w:val="en-US" w:eastAsia="zh-CN"/>
        </w:rPr>
        <w:t>3</w:t>
      </w:r>
      <w:r>
        <w:rPr>
          <w:rFonts w:hint="default" w:ascii="Times New Roman" w:hAnsi="Times New Roman" w:eastAsia="宋体" w:cs="Times New Roman"/>
          <w:b/>
          <w:bCs/>
          <w:szCs w:val="28"/>
          <w:lang w:eastAsia="zh-CN"/>
        </w:rPr>
        <w:t xml:space="preserve">: Two </w:t>
      </w:r>
      <w:r>
        <w:rPr>
          <w:rFonts w:hint="eastAsia" w:eastAsia="宋体" w:cs="Times New Roman"/>
          <w:b/>
          <w:bCs/>
          <w:szCs w:val="28"/>
          <w:lang w:val="en-US" w:eastAsia="zh-CN"/>
        </w:rPr>
        <w:t>alternatives</w:t>
      </w:r>
      <w:r>
        <w:rPr>
          <w:rFonts w:hint="default" w:ascii="Times New Roman" w:hAnsi="Times New Roman" w:eastAsia="宋体" w:cs="Times New Roman"/>
          <w:b/>
          <w:bCs/>
          <w:szCs w:val="28"/>
          <w:lang w:eastAsia="zh-CN"/>
        </w:rPr>
        <w:t xml:space="preserve"> can be considered as candidate schemes for adaptation of SSB in time domain for the NES cell:</w:t>
      </w:r>
    </w:p>
    <w:p>
      <w:pPr>
        <w:pStyle w:val="4"/>
        <w:numPr>
          <w:ilvl w:val="0"/>
          <w:numId w:val="10"/>
        </w:numPr>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 xml:space="preserve">Alt-1: </w:t>
      </w:r>
      <w:r>
        <w:rPr>
          <w:rFonts w:hint="eastAsia" w:eastAsia="宋体" w:cs="Times New Roman"/>
          <w:b/>
          <w:bCs/>
          <w:szCs w:val="28"/>
          <w:lang w:val="en-US" w:eastAsia="zh-CN"/>
        </w:rPr>
        <w:t xml:space="preserve">group-common DCI to activate/deactivate additional SSB period configuration; while a default SSB period configuration is not impacted and is served for legacy UE. </w:t>
      </w:r>
    </w:p>
    <w:p>
      <w:pPr>
        <w:pStyle w:val="4"/>
        <w:numPr>
          <w:ilvl w:val="0"/>
          <w:numId w:val="10"/>
        </w:numPr>
        <w:rPr>
          <w:rFonts w:hint="default" w:cs="Times New Roman" w:eastAsiaTheme="minorEastAsia"/>
          <w:szCs w:val="20"/>
          <w:lang w:val="en-US" w:eastAsia="zh-CN"/>
        </w:rPr>
      </w:pPr>
      <w:r>
        <w:rPr>
          <w:rFonts w:hint="default" w:ascii="Times New Roman" w:hAnsi="Times New Roman" w:eastAsia="宋体" w:cs="Times New Roman"/>
          <w:b/>
          <w:bCs/>
          <w:szCs w:val="28"/>
          <w:lang w:eastAsia="zh-CN"/>
        </w:rPr>
        <w:t xml:space="preserve">Alt-2: </w:t>
      </w:r>
      <w:r>
        <w:rPr>
          <w:rFonts w:hint="eastAsia" w:eastAsia="宋体" w:cs="Times New Roman"/>
          <w:b/>
          <w:bCs/>
          <w:szCs w:val="28"/>
          <w:lang w:val="en-US" w:eastAsia="zh-CN"/>
        </w:rPr>
        <w:t>Configure an additional SSB pattern for R19 NES UE, whose SSB transmissions are invalid within the non-active period of e</w:t>
      </w:r>
      <w:r>
        <w:rPr>
          <w:rFonts w:hint="default" w:ascii="Times New Roman" w:hAnsi="Times New Roman" w:eastAsia="宋体" w:cs="Times New Roman"/>
          <w:b/>
          <w:bCs/>
          <w:szCs w:val="28"/>
          <w:lang w:eastAsia="zh-CN"/>
        </w:rPr>
        <w:t>nhancement cell DTX.</w:t>
      </w:r>
    </w:p>
    <w:p>
      <w:pPr>
        <w:pStyle w:val="4"/>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 xml:space="preserve">Proposal </w:t>
      </w:r>
      <w:r>
        <w:rPr>
          <w:rFonts w:hint="eastAsia" w:eastAsia="宋体" w:cs="Times New Roman"/>
          <w:b/>
          <w:bCs/>
          <w:szCs w:val="28"/>
          <w:lang w:val="en-US" w:eastAsia="zh-CN"/>
        </w:rPr>
        <w:t>4</w:t>
      </w:r>
      <w:r>
        <w:rPr>
          <w:rFonts w:hint="default" w:ascii="Times New Roman" w:hAnsi="Times New Roman" w:eastAsia="宋体" w:cs="Times New Roman"/>
          <w:b/>
          <w:bCs/>
          <w:szCs w:val="28"/>
          <w:lang w:eastAsia="zh-CN"/>
        </w:rPr>
        <w:t>: Two schemes can be considered as candidate schemes for adaptation of PRACH in time domain for the NES cell:</w:t>
      </w:r>
    </w:p>
    <w:p>
      <w:pPr>
        <w:pStyle w:val="4"/>
        <w:numPr>
          <w:ilvl w:val="0"/>
          <w:numId w:val="10"/>
        </w:numPr>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Alt-1: Two PRACH configurations with different period are configured for the NES cell.</w:t>
      </w:r>
    </w:p>
    <w:p>
      <w:pPr>
        <w:pStyle w:val="4"/>
        <w:numPr>
          <w:ilvl w:val="0"/>
          <w:numId w:val="10"/>
        </w:numPr>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Alt-2: Enhancement to the cell DRX configuration for the NES cell.</w:t>
      </w:r>
    </w:p>
    <w:p>
      <w:pPr>
        <w:pStyle w:val="4"/>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 xml:space="preserve">Proposal </w:t>
      </w:r>
      <w:r>
        <w:rPr>
          <w:rFonts w:hint="eastAsia" w:eastAsia="宋体" w:cs="Times New Roman"/>
          <w:b/>
          <w:bCs/>
          <w:szCs w:val="28"/>
          <w:lang w:val="en-US" w:eastAsia="zh-CN"/>
        </w:rPr>
        <w:t>5</w:t>
      </w:r>
      <w:r>
        <w:rPr>
          <w:rFonts w:hint="default" w:ascii="Times New Roman" w:hAnsi="Times New Roman" w:eastAsia="宋体" w:cs="Times New Roman"/>
          <w:b/>
          <w:bCs/>
          <w:szCs w:val="28"/>
          <w:lang w:eastAsia="zh-CN"/>
        </w:rPr>
        <w:t>: Deprioritize the discussion of adaptation of PRACH in spatial domain.</w:t>
      </w:r>
    </w:p>
    <w:p>
      <w:pPr>
        <w:pStyle w:val="4"/>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 xml:space="preserve">Proposal </w:t>
      </w:r>
      <w:r>
        <w:rPr>
          <w:rFonts w:hint="eastAsia" w:eastAsia="宋体" w:cs="Times New Roman"/>
          <w:b/>
          <w:bCs/>
          <w:szCs w:val="28"/>
          <w:lang w:val="en-US" w:eastAsia="zh-CN"/>
        </w:rPr>
        <w:t>6</w:t>
      </w:r>
      <w:r>
        <w:rPr>
          <w:rFonts w:hint="default" w:ascii="Times New Roman" w:hAnsi="Times New Roman" w:eastAsia="宋体" w:cs="Times New Roman"/>
          <w:b/>
          <w:bCs/>
          <w:szCs w:val="28"/>
          <w:lang w:eastAsia="zh-CN"/>
        </w:rPr>
        <w:t>: Enhancements to calculation formula of paging occasion index in a paging frame to realize the compacted POs in a PF may be considered.</w:t>
      </w:r>
    </w:p>
    <w:p>
      <w:pPr>
        <w:pStyle w:val="4"/>
        <w:rPr>
          <w:rFonts w:hint="default" w:ascii="Times New Roman" w:hAnsi="Times New Roman" w:cs="Times New Roman" w:eastAsiaTheme="minorEastAsia"/>
          <w:b/>
          <w:bCs/>
          <w:lang w:eastAsia="zh-CN"/>
        </w:rPr>
      </w:pPr>
    </w:p>
    <w:p>
      <w:pPr>
        <w:pStyle w:val="2"/>
        <w:rPr>
          <w:rFonts w:hint="default" w:ascii="Times New Roman" w:hAnsi="Times New Roman" w:cs="Times New Roman"/>
        </w:rPr>
      </w:pPr>
      <w:r>
        <w:rPr>
          <w:rFonts w:hint="default" w:ascii="Times New Roman" w:hAnsi="Times New Roman" w:cs="Times New Roman"/>
        </w:rPr>
        <w:t>Reference</w:t>
      </w:r>
    </w:p>
    <w:p>
      <w:pPr>
        <w:numPr>
          <w:ilvl w:val="0"/>
          <w:numId w:val="11"/>
        </w:numPr>
        <w:spacing w:after="120"/>
        <w:rPr>
          <w:rFonts w:hint="default" w:ascii="Times New Roman" w:hAnsi="Times New Roman" w:eastAsia="宋体" w:cs="Times New Roman"/>
          <w:color w:val="000000"/>
          <w:szCs w:val="20"/>
          <w:lang w:eastAsia="zh-CN"/>
        </w:rPr>
      </w:pPr>
      <w:r>
        <w:rPr>
          <w:rFonts w:hint="default" w:ascii="Times New Roman" w:hAnsi="Times New Roman" w:eastAsia="宋体" w:cs="Times New Roman"/>
          <w:color w:val="000000"/>
          <w:szCs w:val="20"/>
          <w:lang w:eastAsia="zh-CN"/>
        </w:rPr>
        <w:t>RP-234065, New WID: Enhancements of network energy savings for NR, Ericsson (Moderator).</w:t>
      </w:r>
    </w:p>
    <w:p>
      <w:pPr>
        <w:pStyle w:val="4"/>
        <w:spacing w:before="120" w:beforeLines="50"/>
        <w:rPr>
          <w:rFonts w:hint="default" w:ascii="Times New Roman" w:hAnsi="Times New Roman" w:eastAsia="宋体" w:cs="Times New Roman"/>
          <w:lang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modern"/>
    <w:pitch w:val="default"/>
    <w:sig w:usb0="800002BF" w:usb1="38CF7CFA"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Gothic">
    <w:panose1 w:val="020B0400000000000000"/>
    <w:charset w:val="80"/>
    <w:family w:val="swiss"/>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MS Gothic">
    <w:panose1 w:val="020B0609070205080204"/>
    <w:charset w:val="80"/>
    <w:family w:val="modern"/>
    <w:pitch w:val="default"/>
    <w:sig w:usb0="E00002FF" w:usb1="6AC7FDFB" w:usb2="08000012" w:usb3="00000000" w:csb0="4002009F" w:csb1="DFD70000"/>
  </w:font>
  <w:font w:name="ZapfDingbats">
    <w:altName w:val="微软雅黑"/>
    <w:panose1 w:val="00000000000000000000"/>
    <w:charset w:val="02"/>
    <w:family w:val="decorative"/>
    <w:pitch w:val="default"/>
    <w:sig w:usb0="00000000" w:usb1="00000000" w:usb2="00000000" w:usb3="00000000" w:csb0="80000000" w:csb1="00000000"/>
  </w:font>
  <w:font w:name="Gulim">
    <w:altName w:val="Malgun Gothic"/>
    <w:panose1 w:val="020B0600000101010101"/>
    <w:charset w:val="81"/>
    <w:family w:val="swiss"/>
    <w:pitch w:val="default"/>
    <w:sig w:usb0="00000000" w:usb1="00000000" w:usb2="00000030" w:usb3="00000000" w:csb0="0008009F" w:csb1="00000000"/>
  </w:font>
  <w:font w:name="t">
    <w:altName w:val="Segoe Print"/>
    <w:panose1 w:val="00000000000000000000"/>
    <w:charset w:val="00"/>
    <w:family w:val="auto"/>
    <w:pitch w:val="default"/>
    <w:sig w:usb0="00000000" w:usb1="00000000" w:usb2="00000000"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Swift">
    <w:altName w:val="Times New Roman"/>
    <w:panose1 w:val="00000000000000000000"/>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Ericsson Hilda">
    <w:altName w:val="Segoe Print"/>
    <w:panose1 w:val="00000000000000000000"/>
    <w:charset w:val="00"/>
    <w:family w:val="auto"/>
    <w:pitch w:val="default"/>
    <w:sig w:usb0="00000000" w:usb1="00000000" w:usb2="00000000" w:usb3="00000000" w:csb0="0000009F" w:csb1="00000000"/>
  </w:font>
  <w:font w:name="Century">
    <w:panose1 w:val="02040604050505020304"/>
    <w:charset w:val="00"/>
    <w:family w:val="roman"/>
    <w:pitch w:val="default"/>
    <w:sig w:usb0="00000287" w:usb1="00000000" w:usb2="00000000" w:usb3="00000000" w:csb0="2000009F" w:csb1="DFD70000"/>
  </w:font>
  <w:font w:name="PMingLiU">
    <w:altName w:val="Microsoft JhengHei UI"/>
    <w:panose1 w:val="02010601000101010101"/>
    <w:charset w:val="88"/>
    <w:family w:val="roman"/>
    <w:pitch w:val="default"/>
    <w:sig w:usb0="00000000" w:usb1="00000000" w:usb2="00000016" w:usb3="00000000" w:csb0="00100001" w:csb1="00000000"/>
  </w:font>
  <w:font w:name="Mincho">
    <w:altName w:val="Yu Gothic UI"/>
    <w:panose1 w:val="02020609040305080305"/>
    <w:charset w:val="80"/>
    <w:family w:val="roman"/>
    <w:pitch w:val="default"/>
    <w:sig w:usb0="00000000" w:usb1="00000000" w:usb2="00000010" w:usb3="00000000" w:csb0="00020000" w:csb1="00000000"/>
  </w:font>
  <w:font w:name="Calibri Light">
    <w:panose1 w:val="020F0302020204030204"/>
    <w:charset w:val="00"/>
    <w:family w:val="swiss"/>
    <w:pitch w:val="default"/>
    <w:sig w:usb0="E4002EFF" w:usb1="C200247B" w:usb2="00000009" w:usb3="00000000" w:csb0="200001FF" w:csb1="00000000"/>
  </w:font>
  <w:font w:name="????">
    <w:altName w:val="MingLiU-ExtB"/>
    <w:panose1 w:val="00000000000000000000"/>
    <w:charset w:val="88"/>
    <w:family w:val="auto"/>
    <w:pitch w:val="default"/>
    <w:sig w:usb0="00000000" w:usb1="00000000" w:usb2="00000010" w:usb3="00000000" w:csb0="00100000" w:csb1="00000000"/>
  </w:font>
  <w:font w:name="Nirmala UI">
    <w:panose1 w:val="020B0502040204020203"/>
    <w:charset w:val="00"/>
    <w:family w:val="swiss"/>
    <w:pitch w:val="default"/>
    <w:sig w:usb0="80FF8023" w:usb1="0200004A" w:usb2="00000200" w:usb3="00040000" w:csb0="00000001" w:csb1="00000000"/>
  </w:font>
  <w:font w:name="Segoe UI">
    <w:panose1 w:val="020B0502040204020203"/>
    <w:charset w:val="00"/>
    <w:family w:val="swiss"/>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n">
    <w:altName w:val="Cambria"/>
    <w:panose1 w:val="00000000000000000000"/>
    <w:charset w:val="00"/>
    <w:family w:val="roman"/>
    <w:pitch w:val="default"/>
    <w:sig w:usb0="00000000" w:usb1="00000000" w:usb2="00000000" w:usb3="00000000" w:csb0="00040001" w:csb1="00000000"/>
  </w:font>
  <w:font w:name="Yu Mincho">
    <w:altName w:val="Yu Gothic"/>
    <w:panose1 w:val="00000000000000000000"/>
    <w:charset w:val="80"/>
    <w:family w:val="roman"/>
    <w:pitch w:val="default"/>
    <w:sig w:usb0="00000000" w:usb1="00000000" w:usb2="00000012" w:usb3="00000000" w:csb0="0002009F" w:csb1="00000000"/>
  </w:font>
  <w:font w:name="Times New Roman Italic">
    <w:altName w:val="Times New Roman"/>
    <w:panose1 w:val="02020503050405090304"/>
    <w:charset w:val="00"/>
    <w:family w:val="roman"/>
    <w:pitch w:val="default"/>
    <w:sig w:usb0="00000000" w:usb1="00000000" w:usb2="00000000" w:usb3="00000000" w:csb0="00040001" w:csb1="00000000"/>
  </w:font>
  <w:font w:name="Aptos">
    <w:altName w:val="Courier New"/>
    <w:panose1 w:val="00000000000000000000"/>
    <w:charset w:val="00"/>
    <w:family w:val="swiss"/>
    <w:pitch w:val="default"/>
    <w:sig w:usb0="00000000" w:usb1="00000000" w:usb2="00000000" w:usb3="00000000" w:csb0="0000019F" w:csb1="00000000"/>
  </w:font>
  <w:font w:name="Microsoft YaHei UI">
    <w:panose1 w:val="020B0503020204020204"/>
    <w:charset w:val="86"/>
    <w:family w:val="swiss"/>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 w:name="Arial Unicode MS">
    <w:altName w:val="微软雅黑"/>
    <w:panose1 w:val="020B0604020202020204"/>
    <w:charset w:val="86"/>
    <w:family w:val="swiss"/>
    <w:pitch w:val="default"/>
    <w:sig w:usb0="00000000" w:usb1="00000000" w:usb2="0000003F" w:usb3="00000001" w:csb0="603F01FF" w:csb1="7FFFFFFF"/>
  </w:font>
  <w:font w:name="바탕">
    <w:altName w:val="Malgun Gothic"/>
    <w:panose1 w:val="02030600000101010101"/>
    <w:charset w:val="81"/>
    <w:family w:val="roman"/>
    <w:pitch w:val="default"/>
    <w:sig w:usb0="00000000" w:usb1="00000000" w:usb2="00000030" w:usb3="00000000" w:csb0="0008009F" w:csb1="00000000"/>
  </w:font>
  <w:font w:name="굴림">
    <w:altName w:val="Malgun Gothic"/>
    <w:panose1 w:val="020B0600000101010101"/>
    <w:charset w:val="81"/>
    <w:family w:val="modern"/>
    <w:pitch w:val="default"/>
    <w:sig w:usb0="00000000" w:usb1="00000000" w:usb2="00000030" w:usb3="00000000" w:csb0="0008009F" w:csb1="00000000"/>
  </w:font>
  <w:font w:name="MS Mincho">
    <w:altName w:val="Segoe Print"/>
    <w:panose1 w:val="00000000000000000000"/>
    <w:charset w:val="00"/>
    <w:family w:val="auto"/>
    <w:pitch w:val="default"/>
    <w:sig w:usb0="00000000" w:usb1="00000000" w:usb2="00000000" w:usb3="00000000" w:csb0="00000000" w:csb1="00000000"/>
  </w:font>
  <w:font w:name="Microsoft JhengHei">
    <w:panose1 w:val="020B0604030504040204"/>
    <w:charset w:val="88"/>
    <w:family w:val="auto"/>
    <w:pitch w:val="default"/>
    <w:sig w:usb0="000002A7" w:usb1="28CF4400" w:usb2="00000016" w:usb3="00000000" w:csb0="00100009" w:csb1="00000000"/>
  </w:font>
  <w:font w:name="Book Antiqua">
    <w:panose1 w:val="02040602050305030304"/>
    <w:charset w:val="00"/>
    <w:family w:val="roman"/>
    <w:pitch w:val="default"/>
    <w:sig w:usb0="00000287" w:usb1="00000000" w:usb2="00000000" w:usb3="00000000" w:csb0="2000009F" w:csb1="DFD70000"/>
  </w:font>
  <w:font w:name="BatangChe">
    <w:altName w:val="Malgun Gothic"/>
    <w:panose1 w:val="00000000000000000000"/>
    <w:charset w:val="81"/>
    <w:family w:val="modern"/>
    <w:pitch w:val="default"/>
    <w:sig w:usb0="00000000" w:usb1="00000000" w:usb2="00000030" w:usb3="00000000" w:csb0="0008009F" w:csb1="00000000"/>
  </w:font>
  <w:font w:name="Times New Roman , serif">
    <w:altName w:val="Times New Roman"/>
    <w:panose1 w:val="00000000000000000000"/>
    <w:charset w:val="00"/>
    <w:family w:val="roman"/>
    <w:pitch w:val="default"/>
    <w:sig w:usb0="00000000" w:usb1="00000000" w:usb2="00000000" w:usb3="00000000" w:csb0="00000000" w:csb1="00000000"/>
  </w:font>
  <w:font w:name="Nokia Pure Text Light">
    <w:altName w:val="Leelawadee UI"/>
    <w:panose1 w:val="00000000000000000000"/>
    <w:charset w:val="00"/>
    <w:family w:val="swiss"/>
    <w:pitch w:val="default"/>
    <w:sig w:usb0="00000000" w:usb1="00000000" w:usb2="00010000" w:usb3="00000000" w:csb0="0000019F" w:csb1="00000000"/>
  </w:font>
  <w:font w:name="Leelawadee UI">
    <w:panose1 w:val="020B0502040204020203"/>
    <w:charset w:val="00"/>
    <w:family w:val="auto"/>
    <w:pitch w:val="default"/>
    <w:sig w:usb0="83000003" w:usb1="00000000" w:usb2="00010000" w:usb3="00000001" w:csb0="000101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02ACB7F7"/>
    <w:multiLevelType w:val="singleLevel"/>
    <w:tmpl w:val="02ACB7F7"/>
    <w:lvl w:ilvl="0" w:tentative="0">
      <w:start w:val="1"/>
      <w:numFmt w:val="decimal"/>
      <w:suff w:val="space"/>
      <w:lvlText w:val="[%1]"/>
      <w:lvlJc w:val="left"/>
    </w:lvl>
  </w:abstractNum>
  <w:abstractNum w:abstractNumId="2">
    <w:nsid w:val="04F60BAF"/>
    <w:multiLevelType w:val="multilevel"/>
    <w:tmpl w:val="04F60B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CEB0DA6"/>
    <w:multiLevelType w:val="multilevel"/>
    <w:tmpl w:val="4CEB0D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90E18EA"/>
    <w:multiLevelType w:val="multilevel"/>
    <w:tmpl w:val="690E18EA"/>
    <w:lvl w:ilvl="0" w:tentative="0">
      <w:start w:val="5"/>
      <w:numFmt w:val="bullet"/>
      <w:lvlText w:val="-"/>
      <w:lvlJc w:val="left"/>
      <w:pPr>
        <w:ind w:left="420" w:hanging="42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77E30194"/>
    <w:multiLevelType w:val="multilevel"/>
    <w:tmpl w:val="77E30194"/>
    <w:lvl w:ilvl="0" w:tentative="0">
      <w:start w:val="3"/>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10"/>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7"/>
  </w:num>
  <w:num w:numId="4">
    <w:abstractNumId w:val="4"/>
  </w:num>
  <w:num w:numId="5">
    <w:abstractNumId w:val="3"/>
  </w:num>
  <w:num w:numId="6">
    <w:abstractNumId w:val="5"/>
  </w:num>
  <w:num w:numId="7">
    <w:abstractNumId w:val="9"/>
  </w:num>
  <w:num w:numId="8">
    <w:abstractNumId w:val="2"/>
  </w:num>
  <w:num w:numId="9">
    <w:abstractNumId w:val="6"/>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2C5D"/>
    <w:rsid w:val="00002DCC"/>
    <w:rsid w:val="0000393C"/>
    <w:rsid w:val="00003D3D"/>
    <w:rsid w:val="00004175"/>
    <w:rsid w:val="000064C2"/>
    <w:rsid w:val="00006655"/>
    <w:rsid w:val="00010782"/>
    <w:rsid w:val="00011B2D"/>
    <w:rsid w:val="000122C0"/>
    <w:rsid w:val="0001252C"/>
    <w:rsid w:val="00012997"/>
    <w:rsid w:val="00012E43"/>
    <w:rsid w:val="00013FB0"/>
    <w:rsid w:val="00015378"/>
    <w:rsid w:val="000159B6"/>
    <w:rsid w:val="00016C1F"/>
    <w:rsid w:val="00017298"/>
    <w:rsid w:val="000175CE"/>
    <w:rsid w:val="00017F1A"/>
    <w:rsid w:val="00020597"/>
    <w:rsid w:val="00020BFD"/>
    <w:rsid w:val="00020DAE"/>
    <w:rsid w:val="00021597"/>
    <w:rsid w:val="0002224F"/>
    <w:rsid w:val="00023BB9"/>
    <w:rsid w:val="00023DD4"/>
    <w:rsid w:val="000247E2"/>
    <w:rsid w:val="0002481B"/>
    <w:rsid w:val="000249A4"/>
    <w:rsid w:val="000251AF"/>
    <w:rsid w:val="00025675"/>
    <w:rsid w:val="00025E53"/>
    <w:rsid w:val="00025F10"/>
    <w:rsid w:val="00026651"/>
    <w:rsid w:val="00026DCD"/>
    <w:rsid w:val="00026E34"/>
    <w:rsid w:val="0002743B"/>
    <w:rsid w:val="0003036B"/>
    <w:rsid w:val="00032B75"/>
    <w:rsid w:val="00032B7A"/>
    <w:rsid w:val="00034BE6"/>
    <w:rsid w:val="00034D64"/>
    <w:rsid w:val="0003579A"/>
    <w:rsid w:val="00035840"/>
    <w:rsid w:val="0003585C"/>
    <w:rsid w:val="00036E0F"/>
    <w:rsid w:val="00037FD3"/>
    <w:rsid w:val="000400B7"/>
    <w:rsid w:val="000409CB"/>
    <w:rsid w:val="00040C2A"/>
    <w:rsid w:val="00041524"/>
    <w:rsid w:val="00042218"/>
    <w:rsid w:val="000439FC"/>
    <w:rsid w:val="00043E71"/>
    <w:rsid w:val="00044953"/>
    <w:rsid w:val="00044EE0"/>
    <w:rsid w:val="000459DB"/>
    <w:rsid w:val="00050CF5"/>
    <w:rsid w:val="00052AFF"/>
    <w:rsid w:val="000545F1"/>
    <w:rsid w:val="00055212"/>
    <w:rsid w:val="000554B4"/>
    <w:rsid w:val="00055936"/>
    <w:rsid w:val="00057018"/>
    <w:rsid w:val="0005724B"/>
    <w:rsid w:val="00060FCC"/>
    <w:rsid w:val="00061DC7"/>
    <w:rsid w:val="000620A1"/>
    <w:rsid w:val="00063012"/>
    <w:rsid w:val="00064A2B"/>
    <w:rsid w:val="000659BA"/>
    <w:rsid w:val="000659BE"/>
    <w:rsid w:val="00066040"/>
    <w:rsid w:val="00066188"/>
    <w:rsid w:val="00066A6C"/>
    <w:rsid w:val="00066CC7"/>
    <w:rsid w:val="00070940"/>
    <w:rsid w:val="0007312D"/>
    <w:rsid w:val="000735DA"/>
    <w:rsid w:val="0007362D"/>
    <w:rsid w:val="00073B62"/>
    <w:rsid w:val="00073B64"/>
    <w:rsid w:val="000741FB"/>
    <w:rsid w:val="00074FF2"/>
    <w:rsid w:val="0007544B"/>
    <w:rsid w:val="00075973"/>
    <w:rsid w:val="00076063"/>
    <w:rsid w:val="000773D6"/>
    <w:rsid w:val="000829B6"/>
    <w:rsid w:val="00083D8A"/>
    <w:rsid w:val="0008401F"/>
    <w:rsid w:val="0008457F"/>
    <w:rsid w:val="000850E7"/>
    <w:rsid w:val="0008539E"/>
    <w:rsid w:val="000865B1"/>
    <w:rsid w:val="00086808"/>
    <w:rsid w:val="00086DA8"/>
    <w:rsid w:val="00086F4C"/>
    <w:rsid w:val="000871A0"/>
    <w:rsid w:val="00087DDE"/>
    <w:rsid w:val="000901C1"/>
    <w:rsid w:val="0009037F"/>
    <w:rsid w:val="00090F1F"/>
    <w:rsid w:val="00091D81"/>
    <w:rsid w:val="00092514"/>
    <w:rsid w:val="0009473C"/>
    <w:rsid w:val="00097AEC"/>
    <w:rsid w:val="00097E68"/>
    <w:rsid w:val="000A11A8"/>
    <w:rsid w:val="000A159C"/>
    <w:rsid w:val="000A218D"/>
    <w:rsid w:val="000A2BEF"/>
    <w:rsid w:val="000A3D73"/>
    <w:rsid w:val="000A46AA"/>
    <w:rsid w:val="000A5153"/>
    <w:rsid w:val="000A566D"/>
    <w:rsid w:val="000B009D"/>
    <w:rsid w:val="000B0466"/>
    <w:rsid w:val="000B0890"/>
    <w:rsid w:val="000B0DCC"/>
    <w:rsid w:val="000B1623"/>
    <w:rsid w:val="000B18AE"/>
    <w:rsid w:val="000B32DE"/>
    <w:rsid w:val="000B56B3"/>
    <w:rsid w:val="000B6837"/>
    <w:rsid w:val="000C05AE"/>
    <w:rsid w:val="000C0FB6"/>
    <w:rsid w:val="000C1603"/>
    <w:rsid w:val="000C283F"/>
    <w:rsid w:val="000C2D7E"/>
    <w:rsid w:val="000C4326"/>
    <w:rsid w:val="000C584C"/>
    <w:rsid w:val="000C5A25"/>
    <w:rsid w:val="000D1226"/>
    <w:rsid w:val="000D162F"/>
    <w:rsid w:val="000D1864"/>
    <w:rsid w:val="000D217D"/>
    <w:rsid w:val="000D7CAD"/>
    <w:rsid w:val="000E012F"/>
    <w:rsid w:val="000E0A50"/>
    <w:rsid w:val="000E0C43"/>
    <w:rsid w:val="000E13C5"/>
    <w:rsid w:val="000E1F91"/>
    <w:rsid w:val="000E3E20"/>
    <w:rsid w:val="000E53E6"/>
    <w:rsid w:val="000E548B"/>
    <w:rsid w:val="000E5850"/>
    <w:rsid w:val="000E5CFD"/>
    <w:rsid w:val="000E67A2"/>
    <w:rsid w:val="000E7EA0"/>
    <w:rsid w:val="000F056C"/>
    <w:rsid w:val="000F0656"/>
    <w:rsid w:val="000F22FB"/>
    <w:rsid w:val="000F287A"/>
    <w:rsid w:val="000F43D1"/>
    <w:rsid w:val="000F4507"/>
    <w:rsid w:val="000F45AD"/>
    <w:rsid w:val="000F45DC"/>
    <w:rsid w:val="000F4893"/>
    <w:rsid w:val="000F4CFC"/>
    <w:rsid w:val="000F4D84"/>
    <w:rsid w:val="000F7254"/>
    <w:rsid w:val="000F7E84"/>
    <w:rsid w:val="00101CFD"/>
    <w:rsid w:val="001020EC"/>
    <w:rsid w:val="0010289E"/>
    <w:rsid w:val="001028BB"/>
    <w:rsid w:val="001038F5"/>
    <w:rsid w:val="00104A5E"/>
    <w:rsid w:val="001060AD"/>
    <w:rsid w:val="00106637"/>
    <w:rsid w:val="001073B6"/>
    <w:rsid w:val="00110372"/>
    <w:rsid w:val="0011043F"/>
    <w:rsid w:val="001108D7"/>
    <w:rsid w:val="0011261A"/>
    <w:rsid w:val="001141D4"/>
    <w:rsid w:val="00114BFB"/>
    <w:rsid w:val="00114D33"/>
    <w:rsid w:val="00114F37"/>
    <w:rsid w:val="00115575"/>
    <w:rsid w:val="00117F57"/>
    <w:rsid w:val="00120A54"/>
    <w:rsid w:val="00121154"/>
    <w:rsid w:val="00122329"/>
    <w:rsid w:val="00122CDB"/>
    <w:rsid w:val="00123A21"/>
    <w:rsid w:val="0012404F"/>
    <w:rsid w:val="001267D4"/>
    <w:rsid w:val="00126F60"/>
    <w:rsid w:val="0012764B"/>
    <w:rsid w:val="001309BC"/>
    <w:rsid w:val="00130D9A"/>
    <w:rsid w:val="00133722"/>
    <w:rsid w:val="0013618E"/>
    <w:rsid w:val="00137BCF"/>
    <w:rsid w:val="00137D81"/>
    <w:rsid w:val="00137E9B"/>
    <w:rsid w:val="00140CB9"/>
    <w:rsid w:val="00141108"/>
    <w:rsid w:val="00141BDD"/>
    <w:rsid w:val="0014344A"/>
    <w:rsid w:val="0014392B"/>
    <w:rsid w:val="00143CE9"/>
    <w:rsid w:val="0014564A"/>
    <w:rsid w:val="00145655"/>
    <w:rsid w:val="0014617D"/>
    <w:rsid w:val="00146767"/>
    <w:rsid w:val="00146E80"/>
    <w:rsid w:val="00147C1F"/>
    <w:rsid w:val="00147D23"/>
    <w:rsid w:val="00150A86"/>
    <w:rsid w:val="001510EB"/>
    <w:rsid w:val="00151F09"/>
    <w:rsid w:val="00152213"/>
    <w:rsid w:val="0015312C"/>
    <w:rsid w:val="00154D00"/>
    <w:rsid w:val="00155781"/>
    <w:rsid w:val="00156E73"/>
    <w:rsid w:val="00157CD2"/>
    <w:rsid w:val="00160C09"/>
    <w:rsid w:val="0016104C"/>
    <w:rsid w:val="00161E25"/>
    <w:rsid w:val="001620FA"/>
    <w:rsid w:val="001620FE"/>
    <w:rsid w:val="0016230E"/>
    <w:rsid w:val="001644E6"/>
    <w:rsid w:val="00164743"/>
    <w:rsid w:val="00164B9F"/>
    <w:rsid w:val="00166F6A"/>
    <w:rsid w:val="00167009"/>
    <w:rsid w:val="00167651"/>
    <w:rsid w:val="00167C1A"/>
    <w:rsid w:val="001700DA"/>
    <w:rsid w:val="00170D25"/>
    <w:rsid w:val="0017129A"/>
    <w:rsid w:val="0017148F"/>
    <w:rsid w:val="00171BD9"/>
    <w:rsid w:val="001726BE"/>
    <w:rsid w:val="00174B67"/>
    <w:rsid w:val="001754E4"/>
    <w:rsid w:val="00176175"/>
    <w:rsid w:val="00177E3B"/>
    <w:rsid w:val="001804CF"/>
    <w:rsid w:val="00180715"/>
    <w:rsid w:val="00180C2C"/>
    <w:rsid w:val="00181798"/>
    <w:rsid w:val="00181E12"/>
    <w:rsid w:val="001828EF"/>
    <w:rsid w:val="00182C39"/>
    <w:rsid w:val="001837D5"/>
    <w:rsid w:val="001839BC"/>
    <w:rsid w:val="0018416D"/>
    <w:rsid w:val="00184237"/>
    <w:rsid w:val="00184E8E"/>
    <w:rsid w:val="0018612B"/>
    <w:rsid w:val="00190520"/>
    <w:rsid w:val="00190AE7"/>
    <w:rsid w:val="00193370"/>
    <w:rsid w:val="00193B25"/>
    <w:rsid w:val="00193BCA"/>
    <w:rsid w:val="00193CD9"/>
    <w:rsid w:val="00193D7D"/>
    <w:rsid w:val="00193F8B"/>
    <w:rsid w:val="00193FFE"/>
    <w:rsid w:val="00194673"/>
    <w:rsid w:val="00195844"/>
    <w:rsid w:val="001958D2"/>
    <w:rsid w:val="00195E91"/>
    <w:rsid w:val="00196536"/>
    <w:rsid w:val="001A030C"/>
    <w:rsid w:val="001A0CBD"/>
    <w:rsid w:val="001A1C32"/>
    <w:rsid w:val="001A21C8"/>
    <w:rsid w:val="001A3A4B"/>
    <w:rsid w:val="001A4E36"/>
    <w:rsid w:val="001A524D"/>
    <w:rsid w:val="001A5463"/>
    <w:rsid w:val="001A56FC"/>
    <w:rsid w:val="001A5B0D"/>
    <w:rsid w:val="001A65C8"/>
    <w:rsid w:val="001A7956"/>
    <w:rsid w:val="001B12BE"/>
    <w:rsid w:val="001B234C"/>
    <w:rsid w:val="001B2CDA"/>
    <w:rsid w:val="001B2CE2"/>
    <w:rsid w:val="001B3760"/>
    <w:rsid w:val="001B38B5"/>
    <w:rsid w:val="001B48C7"/>
    <w:rsid w:val="001B4C51"/>
    <w:rsid w:val="001B4EA1"/>
    <w:rsid w:val="001B56BB"/>
    <w:rsid w:val="001B65BD"/>
    <w:rsid w:val="001B6AA1"/>
    <w:rsid w:val="001B79D1"/>
    <w:rsid w:val="001B7BA6"/>
    <w:rsid w:val="001C1868"/>
    <w:rsid w:val="001C1D3D"/>
    <w:rsid w:val="001C2217"/>
    <w:rsid w:val="001C3942"/>
    <w:rsid w:val="001C42B6"/>
    <w:rsid w:val="001C44FD"/>
    <w:rsid w:val="001C4C8E"/>
    <w:rsid w:val="001C4F58"/>
    <w:rsid w:val="001C5D99"/>
    <w:rsid w:val="001C5F06"/>
    <w:rsid w:val="001C5FCA"/>
    <w:rsid w:val="001C6DB5"/>
    <w:rsid w:val="001C7659"/>
    <w:rsid w:val="001D1529"/>
    <w:rsid w:val="001D324A"/>
    <w:rsid w:val="001D350B"/>
    <w:rsid w:val="001D448E"/>
    <w:rsid w:val="001D5282"/>
    <w:rsid w:val="001D5302"/>
    <w:rsid w:val="001D7AE2"/>
    <w:rsid w:val="001D7C73"/>
    <w:rsid w:val="001D7CBD"/>
    <w:rsid w:val="001D7D5E"/>
    <w:rsid w:val="001E0D7A"/>
    <w:rsid w:val="001E207B"/>
    <w:rsid w:val="001E5A56"/>
    <w:rsid w:val="001E5ACF"/>
    <w:rsid w:val="001E5B3A"/>
    <w:rsid w:val="001E6C0C"/>
    <w:rsid w:val="001E7C81"/>
    <w:rsid w:val="001F0B2B"/>
    <w:rsid w:val="001F22E9"/>
    <w:rsid w:val="001F32AC"/>
    <w:rsid w:val="001F3F1A"/>
    <w:rsid w:val="001F4344"/>
    <w:rsid w:val="001F4A09"/>
    <w:rsid w:val="001F4BB3"/>
    <w:rsid w:val="001F4BD0"/>
    <w:rsid w:val="001F5E5D"/>
    <w:rsid w:val="001F64D8"/>
    <w:rsid w:val="001F73AB"/>
    <w:rsid w:val="0020073A"/>
    <w:rsid w:val="0020140C"/>
    <w:rsid w:val="00201FD7"/>
    <w:rsid w:val="00202388"/>
    <w:rsid w:val="00202537"/>
    <w:rsid w:val="00203A86"/>
    <w:rsid w:val="00203DF5"/>
    <w:rsid w:val="002050D7"/>
    <w:rsid w:val="00205462"/>
    <w:rsid w:val="0020577B"/>
    <w:rsid w:val="00205B20"/>
    <w:rsid w:val="00205BAD"/>
    <w:rsid w:val="002061EB"/>
    <w:rsid w:val="00207FC6"/>
    <w:rsid w:val="0021000B"/>
    <w:rsid w:val="00210A7F"/>
    <w:rsid w:val="002117A5"/>
    <w:rsid w:val="00211D38"/>
    <w:rsid w:val="00213D20"/>
    <w:rsid w:val="0021416F"/>
    <w:rsid w:val="00217DC7"/>
    <w:rsid w:val="00220A76"/>
    <w:rsid w:val="00221316"/>
    <w:rsid w:val="00221C32"/>
    <w:rsid w:val="00222807"/>
    <w:rsid w:val="00222CDB"/>
    <w:rsid w:val="00223B41"/>
    <w:rsid w:val="00223CEA"/>
    <w:rsid w:val="002248B2"/>
    <w:rsid w:val="00225B6B"/>
    <w:rsid w:val="00227285"/>
    <w:rsid w:val="002276E3"/>
    <w:rsid w:val="00227846"/>
    <w:rsid w:val="002309B4"/>
    <w:rsid w:val="00230BDC"/>
    <w:rsid w:val="0023111D"/>
    <w:rsid w:val="00231AFD"/>
    <w:rsid w:val="00232490"/>
    <w:rsid w:val="00232674"/>
    <w:rsid w:val="00233A7D"/>
    <w:rsid w:val="0023758F"/>
    <w:rsid w:val="00241E92"/>
    <w:rsid w:val="00242BD7"/>
    <w:rsid w:val="00242E70"/>
    <w:rsid w:val="0024337C"/>
    <w:rsid w:val="0024370E"/>
    <w:rsid w:val="00243A6E"/>
    <w:rsid w:val="00244E55"/>
    <w:rsid w:val="002452A0"/>
    <w:rsid w:val="00245C4C"/>
    <w:rsid w:val="00246534"/>
    <w:rsid w:val="0024659E"/>
    <w:rsid w:val="00247820"/>
    <w:rsid w:val="00250E92"/>
    <w:rsid w:val="0025103B"/>
    <w:rsid w:val="00251DE1"/>
    <w:rsid w:val="00252153"/>
    <w:rsid w:val="00252D72"/>
    <w:rsid w:val="0025439A"/>
    <w:rsid w:val="00254E00"/>
    <w:rsid w:val="00255586"/>
    <w:rsid w:val="00255916"/>
    <w:rsid w:val="00256A9A"/>
    <w:rsid w:val="00260F6A"/>
    <w:rsid w:val="00261082"/>
    <w:rsid w:val="00262038"/>
    <w:rsid w:val="00262F15"/>
    <w:rsid w:val="00263CA2"/>
    <w:rsid w:val="00263E1B"/>
    <w:rsid w:val="0026427E"/>
    <w:rsid w:val="00264720"/>
    <w:rsid w:val="0026474F"/>
    <w:rsid w:val="00264CE4"/>
    <w:rsid w:val="00264DEA"/>
    <w:rsid w:val="0026644D"/>
    <w:rsid w:val="0027091B"/>
    <w:rsid w:val="002715B9"/>
    <w:rsid w:val="002730EC"/>
    <w:rsid w:val="00274075"/>
    <w:rsid w:val="002741EF"/>
    <w:rsid w:val="0027493F"/>
    <w:rsid w:val="00274C2E"/>
    <w:rsid w:val="00275735"/>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2B86"/>
    <w:rsid w:val="00293792"/>
    <w:rsid w:val="00293ACD"/>
    <w:rsid w:val="00294608"/>
    <w:rsid w:val="002954FB"/>
    <w:rsid w:val="00295720"/>
    <w:rsid w:val="00296A16"/>
    <w:rsid w:val="00297252"/>
    <w:rsid w:val="002A2429"/>
    <w:rsid w:val="002A3A05"/>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D1DCB"/>
    <w:rsid w:val="002D24DD"/>
    <w:rsid w:val="002D29D6"/>
    <w:rsid w:val="002D3E21"/>
    <w:rsid w:val="002D465B"/>
    <w:rsid w:val="002D4CA4"/>
    <w:rsid w:val="002D5FC6"/>
    <w:rsid w:val="002D6CA5"/>
    <w:rsid w:val="002D74E5"/>
    <w:rsid w:val="002E025F"/>
    <w:rsid w:val="002E0E61"/>
    <w:rsid w:val="002E200E"/>
    <w:rsid w:val="002E2933"/>
    <w:rsid w:val="002E2D0F"/>
    <w:rsid w:val="002E305B"/>
    <w:rsid w:val="002E50A8"/>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C93"/>
    <w:rsid w:val="002F52AD"/>
    <w:rsid w:val="002F54CF"/>
    <w:rsid w:val="002F5D0D"/>
    <w:rsid w:val="002F6219"/>
    <w:rsid w:val="002F6323"/>
    <w:rsid w:val="002F6BF3"/>
    <w:rsid w:val="002F7ACD"/>
    <w:rsid w:val="002F7E70"/>
    <w:rsid w:val="003002D6"/>
    <w:rsid w:val="00302F28"/>
    <w:rsid w:val="00303516"/>
    <w:rsid w:val="00303688"/>
    <w:rsid w:val="00303833"/>
    <w:rsid w:val="00304BD5"/>
    <w:rsid w:val="003053C2"/>
    <w:rsid w:val="003058DF"/>
    <w:rsid w:val="003059E0"/>
    <w:rsid w:val="00305B03"/>
    <w:rsid w:val="00306025"/>
    <w:rsid w:val="0030723B"/>
    <w:rsid w:val="003077B6"/>
    <w:rsid w:val="003078F2"/>
    <w:rsid w:val="00311070"/>
    <w:rsid w:val="003110CD"/>
    <w:rsid w:val="003112E5"/>
    <w:rsid w:val="003118CB"/>
    <w:rsid w:val="003129D5"/>
    <w:rsid w:val="003139F4"/>
    <w:rsid w:val="003156F3"/>
    <w:rsid w:val="003158CF"/>
    <w:rsid w:val="00315A9B"/>
    <w:rsid w:val="003218A0"/>
    <w:rsid w:val="00321FAF"/>
    <w:rsid w:val="003229BD"/>
    <w:rsid w:val="0032349E"/>
    <w:rsid w:val="00324767"/>
    <w:rsid w:val="003250F6"/>
    <w:rsid w:val="003257FE"/>
    <w:rsid w:val="00325BFC"/>
    <w:rsid w:val="00325FBF"/>
    <w:rsid w:val="0032732A"/>
    <w:rsid w:val="00327AB3"/>
    <w:rsid w:val="00327E3D"/>
    <w:rsid w:val="00331780"/>
    <w:rsid w:val="00331B72"/>
    <w:rsid w:val="00331B9D"/>
    <w:rsid w:val="00331D23"/>
    <w:rsid w:val="003320B9"/>
    <w:rsid w:val="0033217D"/>
    <w:rsid w:val="0033236C"/>
    <w:rsid w:val="00333EF3"/>
    <w:rsid w:val="0033425C"/>
    <w:rsid w:val="003346A6"/>
    <w:rsid w:val="00334781"/>
    <w:rsid w:val="003359C1"/>
    <w:rsid w:val="00335F9C"/>
    <w:rsid w:val="0033778A"/>
    <w:rsid w:val="00340905"/>
    <w:rsid w:val="00340CD9"/>
    <w:rsid w:val="00341F06"/>
    <w:rsid w:val="00343C12"/>
    <w:rsid w:val="00343C65"/>
    <w:rsid w:val="00343D13"/>
    <w:rsid w:val="0034400C"/>
    <w:rsid w:val="00344155"/>
    <w:rsid w:val="0034484F"/>
    <w:rsid w:val="0034488B"/>
    <w:rsid w:val="00344904"/>
    <w:rsid w:val="003457AB"/>
    <w:rsid w:val="00345D98"/>
    <w:rsid w:val="00347228"/>
    <w:rsid w:val="00350A20"/>
    <w:rsid w:val="00352327"/>
    <w:rsid w:val="00352C98"/>
    <w:rsid w:val="00353241"/>
    <w:rsid w:val="00353258"/>
    <w:rsid w:val="003537DD"/>
    <w:rsid w:val="0035503B"/>
    <w:rsid w:val="00355517"/>
    <w:rsid w:val="00355634"/>
    <w:rsid w:val="0035590B"/>
    <w:rsid w:val="00355916"/>
    <w:rsid w:val="00356A5B"/>
    <w:rsid w:val="00356CB5"/>
    <w:rsid w:val="0035781E"/>
    <w:rsid w:val="003608B3"/>
    <w:rsid w:val="00360D4D"/>
    <w:rsid w:val="00362412"/>
    <w:rsid w:val="0036399C"/>
    <w:rsid w:val="003642FE"/>
    <w:rsid w:val="00364BFE"/>
    <w:rsid w:val="00364D0B"/>
    <w:rsid w:val="00365CB3"/>
    <w:rsid w:val="00366185"/>
    <w:rsid w:val="00366FAE"/>
    <w:rsid w:val="0036720E"/>
    <w:rsid w:val="00367925"/>
    <w:rsid w:val="003720B9"/>
    <w:rsid w:val="0037248B"/>
    <w:rsid w:val="00373557"/>
    <w:rsid w:val="0037604F"/>
    <w:rsid w:val="00376A77"/>
    <w:rsid w:val="003802A1"/>
    <w:rsid w:val="003806E8"/>
    <w:rsid w:val="00380A33"/>
    <w:rsid w:val="00380C42"/>
    <w:rsid w:val="00380CA5"/>
    <w:rsid w:val="00380CE3"/>
    <w:rsid w:val="00380F64"/>
    <w:rsid w:val="0038120A"/>
    <w:rsid w:val="00381456"/>
    <w:rsid w:val="00383927"/>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11FC"/>
    <w:rsid w:val="003A165D"/>
    <w:rsid w:val="003A22D0"/>
    <w:rsid w:val="003A2960"/>
    <w:rsid w:val="003A3312"/>
    <w:rsid w:val="003A5649"/>
    <w:rsid w:val="003A59ED"/>
    <w:rsid w:val="003A69F2"/>
    <w:rsid w:val="003B0262"/>
    <w:rsid w:val="003B0662"/>
    <w:rsid w:val="003B067A"/>
    <w:rsid w:val="003B09F2"/>
    <w:rsid w:val="003B1082"/>
    <w:rsid w:val="003B46AD"/>
    <w:rsid w:val="003B4D6A"/>
    <w:rsid w:val="003B5210"/>
    <w:rsid w:val="003B6473"/>
    <w:rsid w:val="003B77A6"/>
    <w:rsid w:val="003B7B1F"/>
    <w:rsid w:val="003C0706"/>
    <w:rsid w:val="003C156C"/>
    <w:rsid w:val="003C194F"/>
    <w:rsid w:val="003C1FAD"/>
    <w:rsid w:val="003C2C7C"/>
    <w:rsid w:val="003C39EA"/>
    <w:rsid w:val="003C3C42"/>
    <w:rsid w:val="003C4051"/>
    <w:rsid w:val="003C48E9"/>
    <w:rsid w:val="003C4C44"/>
    <w:rsid w:val="003C5CDA"/>
    <w:rsid w:val="003C668C"/>
    <w:rsid w:val="003C6C18"/>
    <w:rsid w:val="003C6ED0"/>
    <w:rsid w:val="003C6F9D"/>
    <w:rsid w:val="003D0FEE"/>
    <w:rsid w:val="003D1711"/>
    <w:rsid w:val="003D1ADA"/>
    <w:rsid w:val="003D1FEA"/>
    <w:rsid w:val="003D32F1"/>
    <w:rsid w:val="003D3F27"/>
    <w:rsid w:val="003D4228"/>
    <w:rsid w:val="003D47B0"/>
    <w:rsid w:val="003D4DB8"/>
    <w:rsid w:val="003D55F2"/>
    <w:rsid w:val="003E053E"/>
    <w:rsid w:val="003E0916"/>
    <w:rsid w:val="003E095B"/>
    <w:rsid w:val="003E2640"/>
    <w:rsid w:val="003E298F"/>
    <w:rsid w:val="003E4DB4"/>
    <w:rsid w:val="003E57D9"/>
    <w:rsid w:val="003E5B8A"/>
    <w:rsid w:val="003E7A0E"/>
    <w:rsid w:val="003F054D"/>
    <w:rsid w:val="003F15B5"/>
    <w:rsid w:val="003F2A4F"/>
    <w:rsid w:val="003F32AB"/>
    <w:rsid w:val="003F54A6"/>
    <w:rsid w:val="003F5DD0"/>
    <w:rsid w:val="003F6698"/>
    <w:rsid w:val="00400DD2"/>
    <w:rsid w:val="00401196"/>
    <w:rsid w:val="00401830"/>
    <w:rsid w:val="00401A8E"/>
    <w:rsid w:val="004029BC"/>
    <w:rsid w:val="00402B0E"/>
    <w:rsid w:val="00402C54"/>
    <w:rsid w:val="00403C65"/>
    <w:rsid w:val="00403E3C"/>
    <w:rsid w:val="00403FBE"/>
    <w:rsid w:val="00404A9D"/>
    <w:rsid w:val="00404C1A"/>
    <w:rsid w:val="004052EB"/>
    <w:rsid w:val="004053AB"/>
    <w:rsid w:val="004062A1"/>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314D8"/>
    <w:rsid w:val="00432E25"/>
    <w:rsid w:val="00433C1F"/>
    <w:rsid w:val="00433CBE"/>
    <w:rsid w:val="004347EC"/>
    <w:rsid w:val="004357C7"/>
    <w:rsid w:val="00436396"/>
    <w:rsid w:val="00436697"/>
    <w:rsid w:val="00437037"/>
    <w:rsid w:val="00437B5C"/>
    <w:rsid w:val="00437C8F"/>
    <w:rsid w:val="00437E52"/>
    <w:rsid w:val="00440EEA"/>
    <w:rsid w:val="0044166F"/>
    <w:rsid w:val="0044662F"/>
    <w:rsid w:val="00447516"/>
    <w:rsid w:val="00447698"/>
    <w:rsid w:val="00447DEB"/>
    <w:rsid w:val="0045081D"/>
    <w:rsid w:val="00450A4A"/>
    <w:rsid w:val="00451B40"/>
    <w:rsid w:val="004528B2"/>
    <w:rsid w:val="004529B1"/>
    <w:rsid w:val="00452FBA"/>
    <w:rsid w:val="00454862"/>
    <w:rsid w:val="00455177"/>
    <w:rsid w:val="004566E0"/>
    <w:rsid w:val="00456A14"/>
    <w:rsid w:val="0045704F"/>
    <w:rsid w:val="00463DDD"/>
    <w:rsid w:val="00463FAF"/>
    <w:rsid w:val="004661EE"/>
    <w:rsid w:val="004665AA"/>
    <w:rsid w:val="004715A4"/>
    <w:rsid w:val="00472165"/>
    <w:rsid w:val="0047237A"/>
    <w:rsid w:val="00472419"/>
    <w:rsid w:val="0047299E"/>
    <w:rsid w:val="00472AB0"/>
    <w:rsid w:val="00472CB6"/>
    <w:rsid w:val="0047489A"/>
    <w:rsid w:val="00475237"/>
    <w:rsid w:val="00476E6A"/>
    <w:rsid w:val="00477849"/>
    <w:rsid w:val="004801D4"/>
    <w:rsid w:val="004804F5"/>
    <w:rsid w:val="004809E1"/>
    <w:rsid w:val="00481B3E"/>
    <w:rsid w:val="0048281B"/>
    <w:rsid w:val="00484463"/>
    <w:rsid w:val="00484838"/>
    <w:rsid w:val="00484B58"/>
    <w:rsid w:val="004850BB"/>
    <w:rsid w:val="00485B9D"/>
    <w:rsid w:val="00485C02"/>
    <w:rsid w:val="00485E5B"/>
    <w:rsid w:val="00485F40"/>
    <w:rsid w:val="004873EA"/>
    <w:rsid w:val="004904FB"/>
    <w:rsid w:val="0049123A"/>
    <w:rsid w:val="00493429"/>
    <w:rsid w:val="004946D2"/>
    <w:rsid w:val="00494EFA"/>
    <w:rsid w:val="004956EE"/>
    <w:rsid w:val="00495D0E"/>
    <w:rsid w:val="004968ED"/>
    <w:rsid w:val="004A2A08"/>
    <w:rsid w:val="004A397F"/>
    <w:rsid w:val="004A468B"/>
    <w:rsid w:val="004A4CAE"/>
    <w:rsid w:val="004A569C"/>
    <w:rsid w:val="004A6EB2"/>
    <w:rsid w:val="004A75B8"/>
    <w:rsid w:val="004A7614"/>
    <w:rsid w:val="004A7B80"/>
    <w:rsid w:val="004A7F61"/>
    <w:rsid w:val="004B2BC2"/>
    <w:rsid w:val="004B2C74"/>
    <w:rsid w:val="004B465F"/>
    <w:rsid w:val="004B6650"/>
    <w:rsid w:val="004B7AD8"/>
    <w:rsid w:val="004C1366"/>
    <w:rsid w:val="004C1AC4"/>
    <w:rsid w:val="004C2819"/>
    <w:rsid w:val="004C2A82"/>
    <w:rsid w:val="004C344E"/>
    <w:rsid w:val="004C3DB0"/>
    <w:rsid w:val="004C6ABC"/>
    <w:rsid w:val="004C745C"/>
    <w:rsid w:val="004D16C0"/>
    <w:rsid w:val="004D187B"/>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F0B21"/>
    <w:rsid w:val="004F1AF6"/>
    <w:rsid w:val="004F26DE"/>
    <w:rsid w:val="004F35F4"/>
    <w:rsid w:val="004F36F1"/>
    <w:rsid w:val="004F370D"/>
    <w:rsid w:val="004F3DFA"/>
    <w:rsid w:val="004F49B8"/>
    <w:rsid w:val="004F60EE"/>
    <w:rsid w:val="004F6F3C"/>
    <w:rsid w:val="005007B6"/>
    <w:rsid w:val="00501571"/>
    <w:rsid w:val="00501DDB"/>
    <w:rsid w:val="00502652"/>
    <w:rsid w:val="00502D67"/>
    <w:rsid w:val="00502DF3"/>
    <w:rsid w:val="00504A66"/>
    <w:rsid w:val="00504D7F"/>
    <w:rsid w:val="005063FE"/>
    <w:rsid w:val="00507033"/>
    <w:rsid w:val="00510753"/>
    <w:rsid w:val="00510B02"/>
    <w:rsid w:val="00510B5D"/>
    <w:rsid w:val="00512040"/>
    <w:rsid w:val="00513CC1"/>
    <w:rsid w:val="00514230"/>
    <w:rsid w:val="00516681"/>
    <w:rsid w:val="0052005E"/>
    <w:rsid w:val="00520551"/>
    <w:rsid w:val="005208A3"/>
    <w:rsid w:val="00521490"/>
    <w:rsid w:val="00522DC1"/>
    <w:rsid w:val="00524518"/>
    <w:rsid w:val="00525770"/>
    <w:rsid w:val="00525A4C"/>
    <w:rsid w:val="00525AE3"/>
    <w:rsid w:val="005263C9"/>
    <w:rsid w:val="00527130"/>
    <w:rsid w:val="00527563"/>
    <w:rsid w:val="005275C7"/>
    <w:rsid w:val="00530393"/>
    <w:rsid w:val="00530A8F"/>
    <w:rsid w:val="005314CF"/>
    <w:rsid w:val="00531AB2"/>
    <w:rsid w:val="00536255"/>
    <w:rsid w:val="005370D7"/>
    <w:rsid w:val="005375F9"/>
    <w:rsid w:val="0053772A"/>
    <w:rsid w:val="00540891"/>
    <w:rsid w:val="00540EB6"/>
    <w:rsid w:val="00542FE3"/>
    <w:rsid w:val="00543C0E"/>
    <w:rsid w:val="00544418"/>
    <w:rsid w:val="00545015"/>
    <w:rsid w:val="00545ED9"/>
    <w:rsid w:val="005463EB"/>
    <w:rsid w:val="00546520"/>
    <w:rsid w:val="00546727"/>
    <w:rsid w:val="00546F78"/>
    <w:rsid w:val="0054731B"/>
    <w:rsid w:val="005473F2"/>
    <w:rsid w:val="0055083B"/>
    <w:rsid w:val="005509E8"/>
    <w:rsid w:val="00551464"/>
    <w:rsid w:val="005517F1"/>
    <w:rsid w:val="005525D4"/>
    <w:rsid w:val="00553270"/>
    <w:rsid w:val="00553BCB"/>
    <w:rsid w:val="00554E3F"/>
    <w:rsid w:val="00554F61"/>
    <w:rsid w:val="00555815"/>
    <w:rsid w:val="00555EF9"/>
    <w:rsid w:val="00560027"/>
    <w:rsid w:val="00560210"/>
    <w:rsid w:val="00561447"/>
    <w:rsid w:val="005618A4"/>
    <w:rsid w:val="0056366B"/>
    <w:rsid w:val="00563694"/>
    <w:rsid w:val="00563737"/>
    <w:rsid w:val="005637E8"/>
    <w:rsid w:val="005643E8"/>
    <w:rsid w:val="00564A9C"/>
    <w:rsid w:val="00565EF3"/>
    <w:rsid w:val="00566568"/>
    <w:rsid w:val="00566ABE"/>
    <w:rsid w:val="00566BEF"/>
    <w:rsid w:val="00567A4F"/>
    <w:rsid w:val="00567A7D"/>
    <w:rsid w:val="00571A23"/>
    <w:rsid w:val="00572E79"/>
    <w:rsid w:val="00573924"/>
    <w:rsid w:val="00573D8A"/>
    <w:rsid w:val="00574E30"/>
    <w:rsid w:val="005761C5"/>
    <w:rsid w:val="0057726B"/>
    <w:rsid w:val="005804B5"/>
    <w:rsid w:val="005816C4"/>
    <w:rsid w:val="00581A3A"/>
    <w:rsid w:val="00586A7B"/>
    <w:rsid w:val="00590F75"/>
    <w:rsid w:val="005912DF"/>
    <w:rsid w:val="00592DF2"/>
    <w:rsid w:val="00593108"/>
    <w:rsid w:val="00593589"/>
    <w:rsid w:val="005943CC"/>
    <w:rsid w:val="005955AE"/>
    <w:rsid w:val="00595CF2"/>
    <w:rsid w:val="00595DD6"/>
    <w:rsid w:val="00596358"/>
    <w:rsid w:val="005963F9"/>
    <w:rsid w:val="00596C1B"/>
    <w:rsid w:val="0059792D"/>
    <w:rsid w:val="005A0464"/>
    <w:rsid w:val="005A109D"/>
    <w:rsid w:val="005A2DEA"/>
    <w:rsid w:val="005A4070"/>
    <w:rsid w:val="005A467F"/>
    <w:rsid w:val="005A6171"/>
    <w:rsid w:val="005A62FF"/>
    <w:rsid w:val="005A6452"/>
    <w:rsid w:val="005A7B44"/>
    <w:rsid w:val="005B17E4"/>
    <w:rsid w:val="005B2010"/>
    <w:rsid w:val="005B2C25"/>
    <w:rsid w:val="005B3762"/>
    <w:rsid w:val="005B3C8F"/>
    <w:rsid w:val="005B4EA7"/>
    <w:rsid w:val="005B64F4"/>
    <w:rsid w:val="005B7038"/>
    <w:rsid w:val="005B7248"/>
    <w:rsid w:val="005B7A22"/>
    <w:rsid w:val="005C14E1"/>
    <w:rsid w:val="005C1EA7"/>
    <w:rsid w:val="005C2134"/>
    <w:rsid w:val="005C46B9"/>
    <w:rsid w:val="005C4B75"/>
    <w:rsid w:val="005C4FC9"/>
    <w:rsid w:val="005C53D8"/>
    <w:rsid w:val="005C58C3"/>
    <w:rsid w:val="005C5CA3"/>
    <w:rsid w:val="005C7591"/>
    <w:rsid w:val="005C7CD6"/>
    <w:rsid w:val="005D5A46"/>
    <w:rsid w:val="005D7BF0"/>
    <w:rsid w:val="005E0C71"/>
    <w:rsid w:val="005E3740"/>
    <w:rsid w:val="005E3DB9"/>
    <w:rsid w:val="005E4FE3"/>
    <w:rsid w:val="005E6A8D"/>
    <w:rsid w:val="005E6EA0"/>
    <w:rsid w:val="005E6F56"/>
    <w:rsid w:val="005E7714"/>
    <w:rsid w:val="005F02F8"/>
    <w:rsid w:val="005F06CC"/>
    <w:rsid w:val="005F2085"/>
    <w:rsid w:val="005F2661"/>
    <w:rsid w:val="005F2894"/>
    <w:rsid w:val="005F32DF"/>
    <w:rsid w:val="005F37E6"/>
    <w:rsid w:val="005F3DB1"/>
    <w:rsid w:val="005F496C"/>
    <w:rsid w:val="005F4CE3"/>
    <w:rsid w:val="005F55E0"/>
    <w:rsid w:val="005F6065"/>
    <w:rsid w:val="005F62F2"/>
    <w:rsid w:val="005F66F9"/>
    <w:rsid w:val="005F7CD0"/>
    <w:rsid w:val="0060195A"/>
    <w:rsid w:val="0060226F"/>
    <w:rsid w:val="00604B29"/>
    <w:rsid w:val="00606BA0"/>
    <w:rsid w:val="00607F29"/>
    <w:rsid w:val="00610076"/>
    <w:rsid w:val="006106DC"/>
    <w:rsid w:val="00611CDF"/>
    <w:rsid w:val="0061200A"/>
    <w:rsid w:val="006123A5"/>
    <w:rsid w:val="006130AA"/>
    <w:rsid w:val="00613BBD"/>
    <w:rsid w:val="00613D79"/>
    <w:rsid w:val="00614C12"/>
    <w:rsid w:val="0061588E"/>
    <w:rsid w:val="00615C64"/>
    <w:rsid w:val="00616C30"/>
    <w:rsid w:val="00616D03"/>
    <w:rsid w:val="00617443"/>
    <w:rsid w:val="006208DC"/>
    <w:rsid w:val="00620F04"/>
    <w:rsid w:val="006223D7"/>
    <w:rsid w:val="006236DE"/>
    <w:rsid w:val="00626AEE"/>
    <w:rsid w:val="00627664"/>
    <w:rsid w:val="00627BA5"/>
    <w:rsid w:val="00630834"/>
    <w:rsid w:val="00630925"/>
    <w:rsid w:val="00630E17"/>
    <w:rsid w:val="00631861"/>
    <w:rsid w:val="006329F2"/>
    <w:rsid w:val="00632EC1"/>
    <w:rsid w:val="00633171"/>
    <w:rsid w:val="00633322"/>
    <w:rsid w:val="00633A3C"/>
    <w:rsid w:val="006343EE"/>
    <w:rsid w:val="00634802"/>
    <w:rsid w:val="00634C2C"/>
    <w:rsid w:val="006350FD"/>
    <w:rsid w:val="006358B3"/>
    <w:rsid w:val="00635A09"/>
    <w:rsid w:val="006369D4"/>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B5A"/>
    <w:rsid w:val="00656D56"/>
    <w:rsid w:val="006575E3"/>
    <w:rsid w:val="0066003B"/>
    <w:rsid w:val="0066122B"/>
    <w:rsid w:val="00661429"/>
    <w:rsid w:val="006614C5"/>
    <w:rsid w:val="00661F69"/>
    <w:rsid w:val="0066300E"/>
    <w:rsid w:val="00665CF6"/>
    <w:rsid w:val="006667BB"/>
    <w:rsid w:val="00666B5D"/>
    <w:rsid w:val="006672D2"/>
    <w:rsid w:val="0066740B"/>
    <w:rsid w:val="00671083"/>
    <w:rsid w:val="006726A6"/>
    <w:rsid w:val="00672C86"/>
    <w:rsid w:val="00673FE6"/>
    <w:rsid w:val="00673FF6"/>
    <w:rsid w:val="00675899"/>
    <w:rsid w:val="0067780D"/>
    <w:rsid w:val="006819C7"/>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3104"/>
    <w:rsid w:val="006A340B"/>
    <w:rsid w:val="006A3C04"/>
    <w:rsid w:val="006A40E9"/>
    <w:rsid w:val="006A47FC"/>
    <w:rsid w:val="006A6725"/>
    <w:rsid w:val="006A68E9"/>
    <w:rsid w:val="006A73D5"/>
    <w:rsid w:val="006A796E"/>
    <w:rsid w:val="006B11B9"/>
    <w:rsid w:val="006B1A91"/>
    <w:rsid w:val="006B2E80"/>
    <w:rsid w:val="006B41BF"/>
    <w:rsid w:val="006B4D79"/>
    <w:rsid w:val="006C14C3"/>
    <w:rsid w:val="006C1A00"/>
    <w:rsid w:val="006C1B80"/>
    <w:rsid w:val="006C2398"/>
    <w:rsid w:val="006C2B2E"/>
    <w:rsid w:val="006C355A"/>
    <w:rsid w:val="006C65F7"/>
    <w:rsid w:val="006D0D9B"/>
    <w:rsid w:val="006D1B3C"/>
    <w:rsid w:val="006D1D44"/>
    <w:rsid w:val="006D67BC"/>
    <w:rsid w:val="006D6C9A"/>
    <w:rsid w:val="006D735C"/>
    <w:rsid w:val="006D78D3"/>
    <w:rsid w:val="006E0A9E"/>
    <w:rsid w:val="006E1953"/>
    <w:rsid w:val="006E3896"/>
    <w:rsid w:val="006E5B15"/>
    <w:rsid w:val="006F2664"/>
    <w:rsid w:val="006F295E"/>
    <w:rsid w:val="006F3B71"/>
    <w:rsid w:val="006F5E06"/>
    <w:rsid w:val="006F6C1D"/>
    <w:rsid w:val="006F6F3D"/>
    <w:rsid w:val="006F730A"/>
    <w:rsid w:val="00700B9E"/>
    <w:rsid w:val="00702CF2"/>
    <w:rsid w:val="00702E64"/>
    <w:rsid w:val="00703B49"/>
    <w:rsid w:val="0070539F"/>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DEE"/>
    <w:rsid w:val="00722143"/>
    <w:rsid w:val="007233C7"/>
    <w:rsid w:val="007237EF"/>
    <w:rsid w:val="00723897"/>
    <w:rsid w:val="00724879"/>
    <w:rsid w:val="00724CB3"/>
    <w:rsid w:val="00724D60"/>
    <w:rsid w:val="0072575A"/>
    <w:rsid w:val="00725E9C"/>
    <w:rsid w:val="007264D8"/>
    <w:rsid w:val="0072733E"/>
    <w:rsid w:val="00727F8E"/>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25B4"/>
    <w:rsid w:val="00742E19"/>
    <w:rsid w:val="007447BE"/>
    <w:rsid w:val="00747476"/>
    <w:rsid w:val="007474BD"/>
    <w:rsid w:val="00747837"/>
    <w:rsid w:val="007500D8"/>
    <w:rsid w:val="00750610"/>
    <w:rsid w:val="00750B65"/>
    <w:rsid w:val="00750F18"/>
    <w:rsid w:val="007511C2"/>
    <w:rsid w:val="007511E3"/>
    <w:rsid w:val="007521C2"/>
    <w:rsid w:val="00752D46"/>
    <w:rsid w:val="007537DB"/>
    <w:rsid w:val="00753A37"/>
    <w:rsid w:val="0075429C"/>
    <w:rsid w:val="007561F7"/>
    <w:rsid w:val="007563FD"/>
    <w:rsid w:val="0075689A"/>
    <w:rsid w:val="007604C9"/>
    <w:rsid w:val="00760F15"/>
    <w:rsid w:val="00762F53"/>
    <w:rsid w:val="00763CDC"/>
    <w:rsid w:val="007641E2"/>
    <w:rsid w:val="007647D2"/>
    <w:rsid w:val="007652F7"/>
    <w:rsid w:val="00765442"/>
    <w:rsid w:val="00765D0D"/>
    <w:rsid w:val="007674D4"/>
    <w:rsid w:val="00767B22"/>
    <w:rsid w:val="007708F0"/>
    <w:rsid w:val="0077149B"/>
    <w:rsid w:val="00772532"/>
    <w:rsid w:val="007732B1"/>
    <w:rsid w:val="00774C6B"/>
    <w:rsid w:val="00774D67"/>
    <w:rsid w:val="00775919"/>
    <w:rsid w:val="00775AB2"/>
    <w:rsid w:val="0078019F"/>
    <w:rsid w:val="00781017"/>
    <w:rsid w:val="00781A7B"/>
    <w:rsid w:val="007833B8"/>
    <w:rsid w:val="0078351A"/>
    <w:rsid w:val="00784C69"/>
    <w:rsid w:val="00784F26"/>
    <w:rsid w:val="007852F0"/>
    <w:rsid w:val="00785370"/>
    <w:rsid w:val="00785656"/>
    <w:rsid w:val="00785923"/>
    <w:rsid w:val="00786A99"/>
    <w:rsid w:val="007873EC"/>
    <w:rsid w:val="00790952"/>
    <w:rsid w:val="00791195"/>
    <w:rsid w:val="007917DF"/>
    <w:rsid w:val="00791DCD"/>
    <w:rsid w:val="0079213B"/>
    <w:rsid w:val="007927F5"/>
    <w:rsid w:val="00793A48"/>
    <w:rsid w:val="00793D29"/>
    <w:rsid w:val="00795B6A"/>
    <w:rsid w:val="00797C0B"/>
    <w:rsid w:val="007A05B0"/>
    <w:rsid w:val="007A0875"/>
    <w:rsid w:val="007A0B23"/>
    <w:rsid w:val="007A1BE1"/>
    <w:rsid w:val="007A214C"/>
    <w:rsid w:val="007A2152"/>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C0CBE"/>
    <w:rsid w:val="007C1F2D"/>
    <w:rsid w:val="007C207D"/>
    <w:rsid w:val="007C2259"/>
    <w:rsid w:val="007C34D4"/>
    <w:rsid w:val="007C49F2"/>
    <w:rsid w:val="007C5566"/>
    <w:rsid w:val="007C7425"/>
    <w:rsid w:val="007D03DC"/>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220B"/>
    <w:rsid w:val="007E22F0"/>
    <w:rsid w:val="007E4272"/>
    <w:rsid w:val="007E48DD"/>
    <w:rsid w:val="007E6F4B"/>
    <w:rsid w:val="007E7024"/>
    <w:rsid w:val="007E7BB4"/>
    <w:rsid w:val="007F0952"/>
    <w:rsid w:val="007F097F"/>
    <w:rsid w:val="007F1D02"/>
    <w:rsid w:val="007F1F3A"/>
    <w:rsid w:val="007F223B"/>
    <w:rsid w:val="007F2BA6"/>
    <w:rsid w:val="007F2BA8"/>
    <w:rsid w:val="007F39AC"/>
    <w:rsid w:val="007F3DD0"/>
    <w:rsid w:val="007F66C3"/>
    <w:rsid w:val="007F6AFF"/>
    <w:rsid w:val="00801935"/>
    <w:rsid w:val="00801E01"/>
    <w:rsid w:val="00801F28"/>
    <w:rsid w:val="008024C3"/>
    <w:rsid w:val="008033CA"/>
    <w:rsid w:val="00803DD9"/>
    <w:rsid w:val="0080439F"/>
    <w:rsid w:val="00804D30"/>
    <w:rsid w:val="008055E1"/>
    <w:rsid w:val="00807126"/>
    <w:rsid w:val="00810536"/>
    <w:rsid w:val="008107CC"/>
    <w:rsid w:val="0081110E"/>
    <w:rsid w:val="00811264"/>
    <w:rsid w:val="0081143F"/>
    <w:rsid w:val="008125B3"/>
    <w:rsid w:val="00812770"/>
    <w:rsid w:val="008139BD"/>
    <w:rsid w:val="008140B3"/>
    <w:rsid w:val="00815160"/>
    <w:rsid w:val="00815FAB"/>
    <w:rsid w:val="008171E9"/>
    <w:rsid w:val="008172C6"/>
    <w:rsid w:val="008179D7"/>
    <w:rsid w:val="00817D8F"/>
    <w:rsid w:val="00820A7B"/>
    <w:rsid w:val="00821284"/>
    <w:rsid w:val="00821B3B"/>
    <w:rsid w:val="00821E13"/>
    <w:rsid w:val="00821ECB"/>
    <w:rsid w:val="008238A5"/>
    <w:rsid w:val="0082481B"/>
    <w:rsid w:val="00824E61"/>
    <w:rsid w:val="00824ECF"/>
    <w:rsid w:val="00825268"/>
    <w:rsid w:val="00825E25"/>
    <w:rsid w:val="00825F21"/>
    <w:rsid w:val="008265F2"/>
    <w:rsid w:val="0083082B"/>
    <w:rsid w:val="00832698"/>
    <w:rsid w:val="00832D19"/>
    <w:rsid w:val="00833165"/>
    <w:rsid w:val="008339CA"/>
    <w:rsid w:val="00834301"/>
    <w:rsid w:val="008343A4"/>
    <w:rsid w:val="00835325"/>
    <w:rsid w:val="00836029"/>
    <w:rsid w:val="008369B5"/>
    <w:rsid w:val="00836BA0"/>
    <w:rsid w:val="00836E5B"/>
    <w:rsid w:val="00837108"/>
    <w:rsid w:val="00840905"/>
    <w:rsid w:val="00840C37"/>
    <w:rsid w:val="00841997"/>
    <w:rsid w:val="00841F6B"/>
    <w:rsid w:val="00842A9F"/>
    <w:rsid w:val="008431D7"/>
    <w:rsid w:val="008442F2"/>
    <w:rsid w:val="008443CA"/>
    <w:rsid w:val="00844755"/>
    <w:rsid w:val="00845082"/>
    <w:rsid w:val="0084629B"/>
    <w:rsid w:val="00847120"/>
    <w:rsid w:val="00847EAF"/>
    <w:rsid w:val="00851B75"/>
    <w:rsid w:val="00851C16"/>
    <w:rsid w:val="0085524E"/>
    <w:rsid w:val="0085571D"/>
    <w:rsid w:val="00856542"/>
    <w:rsid w:val="008578B5"/>
    <w:rsid w:val="00860803"/>
    <w:rsid w:val="00860FA9"/>
    <w:rsid w:val="00861952"/>
    <w:rsid w:val="00861B99"/>
    <w:rsid w:val="00863D0B"/>
    <w:rsid w:val="00864172"/>
    <w:rsid w:val="008642FA"/>
    <w:rsid w:val="008644BC"/>
    <w:rsid w:val="008645FD"/>
    <w:rsid w:val="00864DA5"/>
    <w:rsid w:val="00866336"/>
    <w:rsid w:val="00866443"/>
    <w:rsid w:val="008664A0"/>
    <w:rsid w:val="0086686A"/>
    <w:rsid w:val="00867CD4"/>
    <w:rsid w:val="008708C7"/>
    <w:rsid w:val="00870EC6"/>
    <w:rsid w:val="0087117E"/>
    <w:rsid w:val="0087154D"/>
    <w:rsid w:val="00871894"/>
    <w:rsid w:val="008737F5"/>
    <w:rsid w:val="00873BC5"/>
    <w:rsid w:val="008742D1"/>
    <w:rsid w:val="00874BDC"/>
    <w:rsid w:val="00875B02"/>
    <w:rsid w:val="00876E3C"/>
    <w:rsid w:val="008774EC"/>
    <w:rsid w:val="00877B6F"/>
    <w:rsid w:val="00877F24"/>
    <w:rsid w:val="00880679"/>
    <w:rsid w:val="00884CE0"/>
    <w:rsid w:val="008855F5"/>
    <w:rsid w:val="0088573D"/>
    <w:rsid w:val="008859EE"/>
    <w:rsid w:val="00885DF1"/>
    <w:rsid w:val="00887219"/>
    <w:rsid w:val="008878E6"/>
    <w:rsid w:val="00890C66"/>
    <w:rsid w:val="008916E2"/>
    <w:rsid w:val="0089171C"/>
    <w:rsid w:val="00892681"/>
    <w:rsid w:val="00892CA1"/>
    <w:rsid w:val="00893489"/>
    <w:rsid w:val="00893DD3"/>
    <w:rsid w:val="00894241"/>
    <w:rsid w:val="00894952"/>
    <w:rsid w:val="00894CCE"/>
    <w:rsid w:val="00895148"/>
    <w:rsid w:val="00895AE0"/>
    <w:rsid w:val="008A0237"/>
    <w:rsid w:val="008A0DD7"/>
    <w:rsid w:val="008A0E51"/>
    <w:rsid w:val="008A1880"/>
    <w:rsid w:val="008A276C"/>
    <w:rsid w:val="008A3B45"/>
    <w:rsid w:val="008A40C8"/>
    <w:rsid w:val="008A41A6"/>
    <w:rsid w:val="008A53F7"/>
    <w:rsid w:val="008A5450"/>
    <w:rsid w:val="008A5480"/>
    <w:rsid w:val="008A7730"/>
    <w:rsid w:val="008A79CA"/>
    <w:rsid w:val="008B1718"/>
    <w:rsid w:val="008B1E59"/>
    <w:rsid w:val="008B38AC"/>
    <w:rsid w:val="008B46CE"/>
    <w:rsid w:val="008B5057"/>
    <w:rsid w:val="008B613E"/>
    <w:rsid w:val="008B6359"/>
    <w:rsid w:val="008B6AFD"/>
    <w:rsid w:val="008B713A"/>
    <w:rsid w:val="008B769D"/>
    <w:rsid w:val="008B79E0"/>
    <w:rsid w:val="008C0C2B"/>
    <w:rsid w:val="008C174A"/>
    <w:rsid w:val="008C301F"/>
    <w:rsid w:val="008C49A2"/>
    <w:rsid w:val="008C560B"/>
    <w:rsid w:val="008C5924"/>
    <w:rsid w:val="008C6190"/>
    <w:rsid w:val="008C61C0"/>
    <w:rsid w:val="008C7017"/>
    <w:rsid w:val="008C75A1"/>
    <w:rsid w:val="008C7823"/>
    <w:rsid w:val="008D03AB"/>
    <w:rsid w:val="008D0ABB"/>
    <w:rsid w:val="008D0CE1"/>
    <w:rsid w:val="008D1705"/>
    <w:rsid w:val="008D194E"/>
    <w:rsid w:val="008D1B66"/>
    <w:rsid w:val="008D2526"/>
    <w:rsid w:val="008D25BB"/>
    <w:rsid w:val="008D34EB"/>
    <w:rsid w:val="008D453B"/>
    <w:rsid w:val="008D76C3"/>
    <w:rsid w:val="008E0C0B"/>
    <w:rsid w:val="008E305B"/>
    <w:rsid w:val="008E3B10"/>
    <w:rsid w:val="008E4D54"/>
    <w:rsid w:val="008E5905"/>
    <w:rsid w:val="008E6310"/>
    <w:rsid w:val="008E6F48"/>
    <w:rsid w:val="008E736D"/>
    <w:rsid w:val="008E7556"/>
    <w:rsid w:val="008E7A1F"/>
    <w:rsid w:val="008E7CFA"/>
    <w:rsid w:val="008E7DE9"/>
    <w:rsid w:val="008E7DEC"/>
    <w:rsid w:val="008E7F29"/>
    <w:rsid w:val="008E7FC0"/>
    <w:rsid w:val="008F0CB1"/>
    <w:rsid w:val="008F1E8C"/>
    <w:rsid w:val="008F3A61"/>
    <w:rsid w:val="008F40B8"/>
    <w:rsid w:val="008F4DCF"/>
    <w:rsid w:val="008F55C2"/>
    <w:rsid w:val="008F59A0"/>
    <w:rsid w:val="008F5C2C"/>
    <w:rsid w:val="008F7A8D"/>
    <w:rsid w:val="00900042"/>
    <w:rsid w:val="00900795"/>
    <w:rsid w:val="00900DC0"/>
    <w:rsid w:val="00900E1D"/>
    <w:rsid w:val="00901F2B"/>
    <w:rsid w:val="0090309D"/>
    <w:rsid w:val="0090361D"/>
    <w:rsid w:val="00905238"/>
    <w:rsid w:val="00905579"/>
    <w:rsid w:val="00905674"/>
    <w:rsid w:val="00905B10"/>
    <w:rsid w:val="0090643A"/>
    <w:rsid w:val="0090663C"/>
    <w:rsid w:val="00907C59"/>
    <w:rsid w:val="00910E5D"/>
    <w:rsid w:val="0091171F"/>
    <w:rsid w:val="0091330D"/>
    <w:rsid w:val="0091347A"/>
    <w:rsid w:val="00914EC8"/>
    <w:rsid w:val="00915878"/>
    <w:rsid w:val="009179EE"/>
    <w:rsid w:val="0092114D"/>
    <w:rsid w:val="0092140C"/>
    <w:rsid w:val="00922A7A"/>
    <w:rsid w:val="00923450"/>
    <w:rsid w:val="00925C76"/>
    <w:rsid w:val="00926A5A"/>
    <w:rsid w:val="00926B4A"/>
    <w:rsid w:val="00927BE1"/>
    <w:rsid w:val="00930915"/>
    <w:rsid w:val="009309F2"/>
    <w:rsid w:val="00931F41"/>
    <w:rsid w:val="00932276"/>
    <w:rsid w:val="00932993"/>
    <w:rsid w:val="00934B13"/>
    <w:rsid w:val="0093524A"/>
    <w:rsid w:val="00935AD2"/>
    <w:rsid w:val="00936544"/>
    <w:rsid w:val="00936FB0"/>
    <w:rsid w:val="009402FB"/>
    <w:rsid w:val="00940A18"/>
    <w:rsid w:val="00941516"/>
    <w:rsid w:val="00942788"/>
    <w:rsid w:val="009436A9"/>
    <w:rsid w:val="00944796"/>
    <w:rsid w:val="00944850"/>
    <w:rsid w:val="00946C56"/>
    <w:rsid w:val="00947487"/>
    <w:rsid w:val="00951182"/>
    <w:rsid w:val="009536E6"/>
    <w:rsid w:val="009541DF"/>
    <w:rsid w:val="0095492C"/>
    <w:rsid w:val="00955200"/>
    <w:rsid w:val="00956588"/>
    <w:rsid w:val="00956752"/>
    <w:rsid w:val="00956CC0"/>
    <w:rsid w:val="00957B21"/>
    <w:rsid w:val="00957F16"/>
    <w:rsid w:val="00960067"/>
    <w:rsid w:val="00960108"/>
    <w:rsid w:val="009602A6"/>
    <w:rsid w:val="009612DA"/>
    <w:rsid w:val="0096147E"/>
    <w:rsid w:val="009615D4"/>
    <w:rsid w:val="00961812"/>
    <w:rsid w:val="00961DDB"/>
    <w:rsid w:val="00962284"/>
    <w:rsid w:val="009633DE"/>
    <w:rsid w:val="00964312"/>
    <w:rsid w:val="00965B39"/>
    <w:rsid w:val="0096644E"/>
    <w:rsid w:val="009677B2"/>
    <w:rsid w:val="00967EAD"/>
    <w:rsid w:val="0097489A"/>
    <w:rsid w:val="009748DC"/>
    <w:rsid w:val="0097587D"/>
    <w:rsid w:val="00976A4F"/>
    <w:rsid w:val="00976AEC"/>
    <w:rsid w:val="009772E4"/>
    <w:rsid w:val="00977E6E"/>
    <w:rsid w:val="00980254"/>
    <w:rsid w:val="00980446"/>
    <w:rsid w:val="00981595"/>
    <w:rsid w:val="0098280E"/>
    <w:rsid w:val="009836AA"/>
    <w:rsid w:val="00983C20"/>
    <w:rsid w:val="009845F3"/>
    <w:rsid w:val="00984CEB"/>
    <w:rsid w:val="009862FA"/>
    <w:rsid w:val="00990667"/>
    <w:rsid w:val="00990AEC"/>
    <w:rsid w:val="00990C84"/>
    <w:rsid w:val="00991A5C"/>
    <w:rsid w:val="00991DE4"/>
    <w:rsid w:val="00993F5B"/>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71BA"/>
    <w:rsid w:val="009A7758"/>
    <w:rsid w:val="009B03A5"/>
    <w:rsid w:val="009B5365"/>
    <w:rsid w:val="009B5B0B"/>
    <w:rsid w:val="009B5F7A"/>
    <w:rsid w:val="009B68D9"/>
    <w:rsid w:val="009B69FD"/>
    <w:rsid w:val="009C0631"/>
    <w:rsid w:val="009C1258"/>
    <w:rsid w:val="009C1FA5"/>
    <w:rsid w:val="009C4099"/>
    <w:rsid w:val="009C4478"/>
    <w:rsid w:val="009C4617"/>
    <w:rsid w:val="009C6458"/>
    <w:rsid w:val="009C6CF7"/>
    <w:rsid w:val="009D22C5"/>
    <w:rsid w:val="009D3F48"/>
    <w:rsid w:val="009D3FFC"/>
    <w:rsid w:val="009D4BD6"/>
    <w:rsid w:val="009D66E3"/>
    <w:rsid w:val="009D7F78"/>
    <w:rsid w:val="009E0C13"/>
    <w:rsid w:val="009E12E9"/>
    <w:rsid w:val="009E1EE8"/>
    <w:rsid w:val="009E26B1"/>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B94"/>
    <w:rsid w:val="00A0028C"/>
    <w:rsid w:val="00A0059E"/>
    <w:rsid w:val="00A005E8"/>
    <w:rsid w:val="00A013E8"/>
    <w:rsid w:val="00A02576"/>
    <w:rsid w:val="00A03A1E"/>
    <w:rsid w:val="00A03E63"/>
    <w:rsid w:val="00A06AF0"/>
    <w:rsid w:val="00A06E6B"/>
    <w:rsid w:val="00A11D3C"/>
    <w:rsid w:val="00A128EA"/>
    <w:rsid w:val="00A12C6D"/>
    <w:rsid w:val="00A12D1B"/>
    <w:rsid w:val="00A1331D"/>
    <w:rsid w:val="00A14C45"/>
    <w:rsid w:val="00A152C0"/>
    <w:rsid w:val="00A15349"/>
    <w:rsid w:val="00A16B4B"/>
    <w:rsid w:val="00A16F7E"/>
    <w:rsid w:val="00A171E1"/>
    <w:rsid w:val="00A17BAF"/>
    <w:rsid w:val="00A17FB0"/>
    <w:rsid w:val="00A21388"/>
    <w:rsid w:val="00A21C46"/>
    <w:rsid w:val="00A22798"/>
    <w:rsid w:val="00A22FD8"/>
    <w:rsid w:val="00A23445"/>
    <w:rsid w:val="00A239F5"/>
    <w:rsid w:val="00A23BA3"/>
    <w:rsid w:val="00A244E6"/>
    <w:rsid w:val="00A24E0B"/>
    <w:rsid w:val="00A26739"/>
    <w:rsid w:val="00A26B28"/>
    <w:rsid w:val="00A30854"/>
    <w:rsid w:val="00A30DBD"/>
    <w:rsid w:val="00A30E24"/>
    <w:rsid w:val="00A31697"/>
    <w:rsid w:val="00A3283B"/>
    <w:rsid w:val="00A33298"/>
    <w:rsid w:val="00A34CC1"/>
    <w:rsid w:val="00A34E68"/>
    <w:rsid w:val="00A3509A"/>
    <w:rsid w:val="00A353D0"/>
    <w:rsid w:val="00A35B11"/>
    <w:rsid w:val="00A3601E"/>
    <w:rsid w:val="00A368B4"/>
    <w:rsid w:val="00A37787"/>
    <w:rsid w:val="00A377C7"/>
    <w:rsid w:val="00A4034C"/>
    <w:rsid w:val="00A40CD7"/>
    <w:rsid w:val="00A410CA"/>
    <w:rsid w:val="00A416CB"/>
    <w:rsid w:val="00A42CEB"/>
    <w:rsid w:val="00A44B27"/>
    <w:rsid w:val="00A44C2D"/>
    <w:rsid w:val="00A45030"/>
    <w:rsid w:val="00A45094"/>
    <w:rsid w:val="00A467A6"/>
    <w:rsid w:val="00A47919"/>
    <w:rsid w:val="00A503AD"/>
    <w:rsid w:val="00A52A9E"/>
    <w:rsid w:val="00A52E0F"/>
    <w:rsid w:val="00A52E37"/>
    <w:rsid w:val="00A53C06"/>
    <w:rsid w:val="00A53C07"/>
    <w:rsid w:val="00A53D2F"/>
    <w:rsid w:val="00A6049B"/>
    <w:rsid w:val="00A60C8D"/>
    <w:rsid w:val="00A61262"/>
    <w:rsid w:val="00A61B0B"/>
    <w:rsid w:val="00A61D7E"/>
    <w:rsid w:val="00A63304"/>
    <w:rsid w:val="00A638A1"/>
    <w:rsid w:val="00A63FAD"/>
    <w:rsid w:val="00A6469B"/>
    <w:rsid w:val="00A64B30"/>
    <w:rsid w:val="00A6525C"/>
    <w:rsid w:val="00A662F6"/>
    <w:rsid w:val="00A67411"/>
    <w:rsid w:val="00A6755F"/>
    <w:rsid w:val="00A67583"/>
    <w:rsid w:val="00A7078F"/>
    <w:rsid w:val="00A70913"/>
    <w:rsid w:val="00A70955"/>
    <w:rsid w:val="00A70E7C"/>
    <w:rsid w:val="00A71724"/>
    <w:rsid w:val="00A71F19"/>
    <w:rsid w:val="00A73222"/>
    <w:rsid w:val="00A74CE2"/>
    <w:rsid w:val="00A74FEF"/>
    <w:rsid w:val="00A75E36"/>
    <w:rsid w:val="00A80152"/>
    <w:rsid w:val="00A808DC"/>
    <w:rsid w:val="00A81918"/>
    <w:rsid w:val="00A8206B"/>
    <w:rsid w:val="00A850D4"/>
    <w:rsid w:val="00A8548B"/>
    <w:rsid w:val="00A86C99"/>
    <w:rsid w:val="00A90CCC"/>
    <w:rsid w:val="00A90E11"/>
    <w:rsid w:val="00A91389"/>
    <w:rsid w:val="00A9321E"/>
    <w:rsid w:val="00A93D6A"/>
    <w:rsid w:val="00A96282"/>
    <w:rsid w:val="00A97888"/>
    <w:rsid w:val="00AA0B6B"/>
    <w:rsid w:val="00AA0BFB"/>
    <w:rsid w:val="00AA0F67"/>
    <w:rsid w:val="00AA10AD"/>
    <w:rsid w:val="00AA1648"/>
    <w:rsid w:val="00AA2A5A"/>
    <w:rsid w:val="00AA5442"/>
    <w:rsid w:val="00AA6629"/>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237F"/>
    <w:rsid w:val="00AC2EBF"/>
    <w:rsid w:val="00AC37DB"/>
    <w:rsid w:val="00AC43E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60A5"/>
    <w:rsid w:val="00AF6E0B"/>
    <w:rsid w:val="00AF7499"/>
    <w:rsid w:val="00B00B36"/>
    <w:rsid w:val="00B00F80"/>
    <w:rsid w:val="00B01B18"/>
    <w:rsid w:val="00B0250D"/>
    <w:rsid w:val="00B030DF"/>
    <w:rsid w:val="00B03524"/>
    <w:rsid w:val="00B0463E"/>
    <w:rsid w:val="00B04C0C"/>
    <w:rsid w:val="00B05B92"/>
    <w:rsid w:val="00B05DC2"/>
    <w:rsid w:val="00B05E10"/>
    <w:rsid w:val="00B064AD"/>
    <w:rsid w:val="00B07708"/>
    <w:rsid w:val="00B10C30"/>
    <w:rsid w:val="00B11069"/>
    <w:rsid w:val="00B11402"/>
    <w:rsid w:val="00B11809"/>
    <w:rsid w:val="00B11B2F"/>
    <w:rsid w:val="00B12536"/>
    <w:rsid w:val="00B126DD"/>
    <w:rsid w:val="00B14282"/>
    <w:rsid w:val="00B14D4C"/>
    <w:rsid w:val="00B15ADC"/>
    <w:rsid w:val="00B1677D"/>
    <w:rsid w:val="00B16F93"/>
    <w:rsid w:val="00B17F08"/>
    <w:rsid w:val="00B2046B"/>
    <w:rsid w:val="00B21B77"/>
    <w:rsid w:val="00B21D49"/>
    <w:rsid w:val="00B21EF7"/>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F95"/>
    <w:rsid w:val="00B33A45"/>
    <w:rsid w:val="00B3456E"/>
    <w:rsid w:val="00B36345"/>
    <w:rsid w:val="00B36853"/>
    <w:rsid w:val="00B368A5"/>
    <w:rsid w:val="00B368E9"/>
    <w:rsid w:val="00B369B5"/>
    <w:rsid w:val="00B40BA9"/>
    <w:rsid w:val="00B41A98"/>
    <w:rsid w:val="00B41BEB"/>
    <w:rsid w:val="00B41E68"/>
    <w:rsid w:val="00B4299A"/>
    <w:rsid w:val="00B42E78"/>
    <w:rsid w:val="00B44225"/>
    <w:rsid w:val="00B44C91"/>
    <w:rsid w:val="00B45FA4"/>
    <w:rsid w:val="00B47965"/>
    <w:rsid w:val="00B50789"/>
    <w:rsid w:val="00B517F0"/>
    <w:rsid w:val="00B526F4"/>
    <w:rsid w:val="00B5404E"/>
    <w:rsid w:val="00B540B2"/>
    <w:rsid w:val="00B5481B"/>
    <w:rsid w:val="00B54CC8"/>
    <w:rsid w:val="00B56825"/>
    <w:rsid w:val="00B56FEF"/>
    <w:rsid w:val="00B5733C"/>
    <w:rsid w:val="00B57883"/>
    <w:rsid w:val="00B6099B"/>
    <w:rsid w:val="00B60EDD"/>
    <w:rsid w:val="00B61E2D"/>
    <w:rsid w:val="00B61EF9"/>
    <w:rsid w:val="00B61FA8"/>
    <w:rsid w:val="00B62C3E"/>
    <w:rsid w:val="00B6336C"/>
    <w:rsid w:val="00B66923"/>
    <w:rsid w:val="00B708AE"/>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17D6"/>
    <w:rsid w:val="00B92041"/>
    <w:rsid w:val="00B92287"/>
    <w:rsid w:val="00B939B2"/>
    <w:rsid w:val="00B969F7"/>
    <w:rsid w:val="00B9720A"/>
    <w:rsid w:val="00BA218E"/>
    <w:rsid w:val="00BA2905"/>
    <w:rsid w:val="00BA29A0"/>
    <w:rsid w:val="00BA44A3"/>
    <w:rsid w:val="00BA49AE"/>
    <w:rsid w:val="00BA4CA7"/>
    <w:rsid w:val="00BA568B"/>
    <w:rsid w:val="00BA643C"/>
    <w:rsid w:val="00BA7B0C"/>
    <w:rsid w:val="00BB0B3F"/>
    <w:rsid w:val="00BB11FE"/>
    <w:rsid w:val="00BB1993"/>
    <w:rsid w:val="00BB1F2D"/>
    <w:rsid w:val="00BB392C"/>
    <w:rsid w:val="00BB3976"/>
    <w:rsid w:val="00BB3F8C"/>
    <w:rsid w:val="00BB4007"/>
    <w:rsid w:val="00BB4BB0"/>
    <w:rsid w:val="00BC0538"/>
    <w:rsid w:val="00BC228C"/>
    <w:rsid w:val="00BC2B16"/>
    <w:rsid w:val="00BC59AF"/>
    <w:rsid w:val="00BC5A30"/>
    <w:rsid w:val="00BC6004"/>
    <w:rsid w:val="00BC6180"/>
    <w:rsid w:val="00BD00A8"/>
    <w:rsid w:val="00BD1131"/>
    <w:rsid w:val="00BD1890"/>
    <w:rsid w:val="00BD1C0D"/>
    <w:rsid w:val="00BD1DBC"/>
    <w:rsid w:val="00BD1ED5"/>
    <w:rsid w:val="00BD258F"/>
    <w:rsid w:val="00BD319A"/>
    <w:rsid w:val="00BD398A"/>
    <w:rsid w:val="00BD3C1C"/>
    <w:rsid w:val="00BD3DA5"/>
    <w:rsid w:val="00BD5961"/>
    <w:rsid w:val="00BD5C41"/>
    <w:rsid w:val="00BD5F24"/>
    <w:rsid w:val="00BD662C"/>
    <w:rsid w:val="00BD70AC"/>
    <w:rsid w:val="00BD7E3B"/>
    <w:rsid w:val="00BE018E"/>
    <w:rsid w:val="00BE0F8C"/>
    <w:rsid w:val="00BE19AE"/>
    <w:rsid w:val="00BE230B"/>
    <w:rsid w:val="00BE24EF"/>
    <w:rsid w:val="00BE2918"/>
    <w:rsid w:val="00BE39CE"/>
    <w:rsid w:val="00BE3F98"/>
    <w:rsid w:val="00BE70E9"/>
    <w:rsid w:val="00BE7213"/>
    <w:rsid w:val="00BF00EB"/>
    <w:rsid w:val="00BF0452"/>
    <w:rsid w:val="00BF0539"/>
    <w:rsid w:val="00BF0863"/>
    <w:rsid w:val="00BF1854"/>
    <w:rsid w:val="00BF1D86"/>
    <w:rsid w:val="00BF2C12"/>
    <w:rsid w:val="00BF348A"/>
    <w:rsid w:val="00BF3BDE"/>
    <w:rsid w:val="00BF4413"/>
    <w:rsid w:val="00BF61A4"/>
    <w:rsid w:val="00BF6637"/>
    <w:rsid w:val="00BF67FF"/>
    <w:rsid w:val="00BF726D"/>
    <w:rsid w:val="00BF77BF"/>
    <w:rsid w:val="00BF7EC2"/>
    <w:rsid w:val="00C0137A"/>
    <w:rsid w:val="00C04338"/>
    <w:rsid w:val="00C052C5"/>
    <w:rsid w:val="00C056BF"/>
    <w:rsid w:val="00C1047C"/>
    <w:rsid w:val="00C10577"/>
    <w:rsid w:val="00C1073C"/>
    <w:rsid w:val="00C113EF"/>
    <w:rsid w:val="00C11AA8"/>
    <w:rsid w:val="00C11ABA"/>
    <w:rsid w:val="00C125B4"/>
    <w:rsid w:val="00C135B5"/>
    <w:rsid w:val="00C14124"/>
    <w:rsid w:val="00C150E3"/>
    <w:rsid w:val="00C15873"/>
    <w:rsid w:val="00C15B28"/>
    <w:rsid w:val="00C168C6"/>
    <w:rsid w:val="00C16EC9"/>
    <w:rsid w:val="00C1713B"/>
    <w:rsid w:val="00C173BB"/>
    <w:rsid w:val="00C22540"/>
    <w:rsid w:val="00C24A02"/>
    <w:rsid w:val="00C24AF6"/>
    <w:rsid w:val="00C2614D"/>
    <w:rsid w:val="00C26852"/>
    <w:rsid w:val="00C26BE7"/>
    <w:rsid w:val="00C273E3"/>
    <w:rsid w:val="00C30E37"/>
    <w:rsid w:val="00C3179F"/>
    <w:rsid w:val="00C32ADB"/>
    <w:rsid w:val="00C32C8A"/>
    <w:rsid w:val="00C33321"/>
    <w:rsid w:val="00C33FAE"/>
    <w:rsid w:val="00C34380"/>
    <w:rsid w:val="00C34671"/>
    <w:rsid w:val="00C351AC"/>
    <w:rsid w:val="00C36650"/>
    <w:rsid w:val="00C378BD"/>
    <w:rsid w:val="00C42A49"/>
    <w:rsid w:val="00C4547A"/>
    <w:rsid w:val="00C466D8"/>
    <w:rsid w:val="00C46F75"/>
    <w:rsid w:val="00C477DC"/>
    <w:rsid w:val="00C503AC"/>
    <w:rsid w:val="00C50ADC"/>
    <w:rsid w:val="00C5163E"/>
    <w:rsid w:val="00C52129"/>
    <w:rsid w:val="00C5267A"/>
    <w:rsid w:val="00C52BE6"/>
    <w:rsid w:val="00C5314C"/>
    <w:rsid w:val="00C544FB"/>
    <w:rsid w:val="00C54E6D"/>
    <w:rsid w:val="00C55C2E"/>
    <w:rsid w:val="00C55C49"/>
    <w:rsid w:val="00C55E06"/>
    <w:rsid w:val="00C56BD7"/>
    <w:rsid w:val="00C56C8E"/>
    <w:rsid w:val="00C570F6"/>
    <w:rsid w:val="00C57674"/>
    <w:rsid w:val="00C57E76"/>
    <w:rsid w:val="00C60EB2"/>
    <w:rsid w:val="00C61610"/>
    <w:rsid w:val="00C61A23"/>
    <w:rsid w:val="00C62577"/>
    <w:rsid w:val="00C6375C"/>
    <w:rsid w:val="00C63DB0"/>
    <w:rsid w:val="00C6482B"/>
    <w:rsid w:val="00C65767"/>
    <w:rsid w:val="00C66BEC"/>
    <w:rsid w:val="00C6701C"/>
    <w:rsid w:val="00C67203"/>
    <w:rsid w:val="00C6754F"/>
    <w:rsid w:val="00C708A0"/>
    <w:rsid w:val="00C71982"/>
    <w:rsid w:val="00C71F2A"/>
    <w:rsid w:val="00C727D0"/>
    <w:rsid w:val="00C72ACE"/>
    <w:rsid w:val="00C72CD2"/>
    <w:rsid w:val="00C7345F"/>
    <w:rsid w:val="00C74284"/>
    <w:rsid w:val="00C745A2"/>
    <w:rsid w:val="00C75BAC"/>
    <w:rsid w:val="00C75C41"/>
    <w:rsid w:val="00C77479"/>
    <w:rsid w:val="00C826CF"/>
    <w:rsid w:val="00C82A51"/>
    <w:rsid w:val="00C845CF"/>
    <w:rsid w:val="00C84EE1"/>
    <w:rsid w:val="00C85A57"/>
    <w:rsid w:val="00C85B2D"/>
    <w:rsid w:val="00C87231"/>
    <w:rsid w:val="00C901B6"/>
    <w:rsid w:val="00C918B3"/>
    <w:rsid w:val="00C91CCC"/>
    <w:rsid w:val="00C927F4"/>
    <w:rsid w:val="00C92A63"/>
    <w:rsid w:val="00C93094"/>
    <w:rsid w:val="00C931E8"/>
    <w:rsid w:val="00C94608"/>
    <w:rsid w:val="00C950B9"/>
    <w:rsid w:val="00C95671"/>
    <w:rsid w:val="00C95EFF"/>
    <w:rsid w:val="00C9622B"/>
    <w:rsid w:val="00C97B7A"/>
    <w:rsid w:val="00C97C89"/>
    <w:rsid w:val="00CA06E1"/>
    <w:rsid w:val="00CA20F3"/>
    <w:rsid w:val="00CA2227"/>
    <w:rsid w:val="00CA22AF"/>
    <w:rsid w:val="00CA27F3"/>
    <w:rsid w:val="00CA2821"/>
    <w:rsid w:val="00CA2ADB"/>
    <w:rsid w:val="00CA2CC4"/>
    <w:rsid w:val="00CA3869"/>
    <w:rsid w:val="00CA5C97"/>
    <w:rsid w:val="00CA5F6B"/>
    <w:rsid w:val="00CA6C20"/>
    <w:rsid w:val="00CA70CC"/>
    <w:rsid w:val="00CB078D"/>
    <w:rsid w:val="00CB169E"/>
    <w:rsid w:val="00CB1C73"/>
    <w:rsid w:val="00CB2DD3"/>
    <w:rsid w:val="00CB2F6C"/>
    <w:rsid w:val="00CB338F"/>
    <w:rsid w:val="00CB433E"/>
    <w:rsid w:val="00CB44EF"/>
    <w:rsid w:val="00CB4BB5"/>
    <w:rsid w:val="00CB578E"/>
    <w:rsid w:val="00CB638B"/>
    <w:rsid w:val="00CC0A63"/>
    <w:rsid w:val="00CC1D16"/>
    <w:rsid w:val="00CC2752"/>
    <w:rsid w:val="00CC2AC0"/>
    <w:rsid w:val="00CC3A8D"/>
    <w:rsid w:val="00CC3CDD"/>
    <w:rsid w:val="00CC48C5"/>
    <w:rsid w:val="00CC64DF"/>
    <w:rsid w:val="00CC7D0A"/>
    <w:rsid w:val="00CD0795"/>
    <w:rsid w:val="00CD0911"/>
    <w:rsid w:val="00CD0F0A"/>
    <w:rsid w:val="00CD167A"/>
    <w:rsid w:val="00CD191B"/>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FB7"/>
    <w:rsid w:val="00CF5FC3"/>
    <w:rsid w:val="00CF6EAB"/>
    <w:rsid w:val="00CF7F27"/>
    <w:rsid w:val="00D00928"/>
    <w:rsid w:val="00D00E2F"/>
    <w:rsid w:val="00D01D7A"/>
    <w:rsid w:val="00D0246D"/>
    <w:rsid w:val="00D06E34"/>
    <w:rsid w:val="00D0713E"/>
    <w:rsid w:val="00D07644"/>
    <w:rsid w:val="00D1066E"/>
    <w:rsid w:val="00D1094E"/>
    <w:rsid w:val="00D112AC"/>
    <w:rsid w:val="00D11C1E"/>
    <w:rsid w:val="00D11C38"/>
    <w:rsid w:val="00D11EEF"/>
    <w:rsid w:val="00D12B0E"/>
    <w:rsid w:val="00D13045"/>
    <w:rsid w:val="00D13606"/>
    <w:rsid w:val="00D152CA"/>
    <w:rsid w:val="00D155FF"/>
    <w:rsid w:val="00D1634C"/>
    <w:rsid w:val="00D16841"/>
    <w:rsid w:val="00D1740D"/>
    <w:rsid w:val="00D179DB"/>
    <w:rsid w:val="00D17C44"/>
    <w:rsid w:val="00D2070E"/>
    <w:rsid w:val="00D22A11"/>
    <w:rsid w:val="00D23A9A"/>
    <w:rsid w:val="00D24A65"/>
    <w:rsid w:val="00D24EAB"/>
    <w:rsid w:val="00D25AE7"/>
    <w:rsid w:val="00D26A3C"/>
    <w:rsid w:val="00D26DAF"/>
    <w:rsid w:val="00D30D93"/>
    <w:rsid w:val="00D32811"/>
    <w:rsid w:val="00D33F62"/>
    <w:rsid w:val="00D34001"/>
    <w:rsid w:val="00D3485F"/>
    <w:rsid w:val="00D35C30"/>
    <w:rsid w:val="00D36DE8"/>
    <w:rsid w:val="00D42780"/>
    <w:rsid w:val="00D42796"/>
    <w:rsid w:val="00D42ADE"/>
    <w:rsid w:val="00D42F56"/>
    <w:rsid w:val="00D4374A"/>
    <w:rsid w:val="00D4383C"/>
    <w:rsid w:val="00D50421"/>
    <w:rsid w:val="00D5159C"/>
    <w:rsid w:val="00D51C75"/>
    <w:rsid w:val="00D55941"/>
    <w:rsid w:val="00D56ACB"/>
    <w:rsid w:val="00D57433"/>
    <w:rsid w:val="00D574AE"/>
    <w:rsid w:val="00D61780"/>
    <w:rsid w:val="00D619E3"/>
    <w:rsid w:val="00D61C78"/>
    <w:rsid w:val="00D620C4"/>
    <w:rsid w:val="00D625D5"/>
    <w:rsid w:val="00D62A6A"/>
    <w:rsid w:val="00D62F59"/>
    <w:rsid w:val="00D62FA1"/>
    <w:rsid w:val="00D64315"/>
    <w:rsid w:val="00D64813"/>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2A05"/>
    <w:rsid w:val="00D73303"/>
    <w:rsid w:val="00D745CC"/>
    <w:rsid w:val="00D7592B"/>
    <w:rsid w:val="00D75CB0"/>
    <w:rsid w:val="00D77214"/>
    <w:rsid w:val="00D80170"/>
    <w:rsid w:val="00D804F2"/>
    <w:rsid w:val="00D80827"/>
    <w:rsid w:val="00D81578"/>
    <w:rsid w:val="00D820F8"/>
    <w:rsid w:val="00D852C2"/>
    <w:rsid w:val="00D856C5"/>
    <w:rsid w:val="00D856D3"/>
    <w:rsid w:val="00D8595F"/>
    <w:rsid w:val="00D85CE4"/>
    <w:rsid w:val="00D86409"/>
    <w:rsid w:val="00D870BF"/>
    <w:rsid w:val="00D877B3"/>
    <w:rsid w:val="00D9098E"/>
    <w:rsid w:val="00D90E1F"/>
    <w:rsid w:val="00D90FDD"/>
    <w:rsid w:val="00D923FF"/>
    <w:rsid w:val="00D9474C"/>
    <w:rsid w:val="00D9649B"/>
    <w:rsid w:val="00D96DF4"/>
    <w:rsid w:val="00D9706C"/>
    <w:rsid w:val="00D97524"/>
    <w:rsid w:val="00D97C6B"/>
    <w:rsid w:val="00DA06A4"/>
    <w:rsid w:val="00DA07AE"/>
    <w:rsid w:val="00DA1DD9"/>
    <w:rsid w:val="00DA236E"/>
    <w:rsid w:val="00DA2EE7"/>
    <w:rsid w:val="00DA4004"/>
    <w:rsid w:val="00DA499E"/>
    <w:rsid w:val="00DA5E12"/>
    <w:rsid w:val="00DA6806"/>
    <w:rsid w:val="00DA6CD1"/>
    <w:rsid w:val="00DA75E3"/>
    <w:rsid w:val="00DA7708"/>
    <w:rsid w:val="00DA795C"/>
    <w:rsid w:val="00DA7A1D"/>
    <w:rsid w:val="00DB03F4"/>
    <w:rsid w:val="00DB09E4"/>
    <w:rsid w:val="00DB0E80"/>
    <w:rsid w:val="00DB1CC6"/>
    <w:rsid w:val="00DB2595"/>
    <w:rsid w:val="00DB2CFA"/>
    <w:rsid w:val="00DB3B1D"/>
    <w:rsid w:val="00DB3D87"/>
    <w:rsid w:val="00DB3EEF"/>
    <w:rsid w:val="00DB4E3F"/>
    <w:rsid w:val="00DB7452"/>
    <w:rsid w:val="00DB7F02"/>
    <w:rsid w:val="00DC0E39"/>
    <w:rsid w:val="00DC18DB"/>
    <w:rsid w:val="00DC18EF"/>
    <w:rsid w:val="00DC1A59"/>
    <w:rsid w:val="00DC2E40"/>
    <w:rsid w:val="00DC3B4B"/>
    <w:rsid w:val="00DC4EAD"/>
    <w:rsid w:val="00DC5748"/>
    <w:rsid w:val="00DC5FB8"/>
    <w:rsid w:val="00DC5FCE"/>
    <w:rsid w:val="00DC7924"/>
    <w:rsid w:val="00DD11C2"/>
    <w:rsid w:val="00DD3036"/>
    <w:rsid w:val="00DD311E"/>
    <w:rsid w:val="00DD31C1"/>
    <w:rsid w:val="00DD356B"/>
    <w:rsid w:val="00DD3FC4"/>
    <w:rsid w:val="00DD47D5"/>
    <w:rsid w:val="00DD4845"/>
    <w:rsid w:val="00DD4917"/>
    <w:rsid w:val="00DD4E1E"/>
    <w:rsid w:val="00DD52B7"/>
    <w:rsid w:val="00DD5301"/>
    <w:rsid w:val="00DD5709"/>
    <w:rsid w:val="00DD670C"/>
    <w:rsid w:val="00DE187A"/>
    <w:rsid w:val="00DE18DB"/>
    <w:rsid w:val="00DE1B4A"/>
    <w:rsid w:val="00DE3293"/>
    <w:rsid w:val="00DE337E"/>
    <w:rsid w:val="00DE38A2"/>
    <w:rsid w:val="00DE3B0F"/>
    <w:rsid w:val="00DE5357"/>
    <w:rsid w:val="00DE53BD"/>
    <w:rsid w:val="00DE6F79"/>
    <w:rsid w:val="00DE7D47"/>
    <w:rsid w:val="00DF0183"/>
    <w:rsid w:val="00DF0663"/>
    <w:rsid w:val="00DF1D74"/>
    <w:rsid w:val="00DF263D"/>
    <w:rsid w:val="00DF3850"/>
    <w:rsid w:val="00DF40DE"/>
    <w:rsid w:val="00DF487C"/>
    <w:rsid w:val="00DF7382"/>
    <w:rsid w:val="00DF7EBC"/>
    <w:rsid w:val="00E019C2"/>
    <w:rsid w:val="00E01A5D"/>
    <w:rsid w:val="00E02688"/>
    <w:rsid w:val="00E02E2E"/>
    <w:rsid w:val="00E057CE"/>
    <w:rsid w:val="00E06BBE"/>
    <w:rsid w:val="00E06E24"/>
    <w:rsid w:val="00E07ADF"/>
    <w:rsid w:val="00E10308"/>
    <w:rsid w:val="00E10D3B"/>
    <w:rsid w:val="00E11E84"/>
    <w:rsid w:val="00E125F3"/>
    <w:rsid w:val="00E12717"/>
    <w:rsid w:val="00E12948"/>
    <w:rsid w:val="00E12E6C"/>
    <w:rsid w:val="00E138E3"/>
    <w:rsid w:val="00E140A6"/>
    <w:rsid w:val="00E141E5"/>
    <w:rsid w:val="00E14797"/>
    <w:rsid w:val="00E15968"/>
    <w:rsid w:val="00E16032"/>
    <w:rsid w:val="00E16540"/>
    <w:rsid w:val="00E166CC"/>
    <w:rsid w:val="00E16E28"/>
    <w:rsid w:val="00E16FC8"/>
    <w:rsid w:val="00E173C2"/>
    <w:rsid w:val="00E209EA"/>
    <w:rsid w:val="00E2145A"/>
    <w:rsid w:val="00E21C9E"/>
    <w:rsid w:val="00E228F2"/>
    <w:rsid w:val="00E239F5"/>
    <w:rsid w:val="00E23B94"/>
    <w:rsid w:val="00E2449C"/>
    <w:rsid w:val="00E24C5D"/>
    <w:rsid w:val="00E25E9F"/>
    <w:rsid w:val="00E266C4"/>
    <w:rsid w:val="00E271D4"/>
    <w:rsid w:val="00E309E3"/>
    <w:rsid w:val="00E317DF"/>
    <w:rsid w:val="00E3267C"/>
    <w:rsid w:val="00E328AA"/>
    <w:rsid w:val="00E34E58"/>
    <w:rsid w:val="00E3575E"/>
    <w:rsid w:val="00E35D63"/>
    <w:rsid w:val="00E35E24"/>
    <w:rsid w:val="00E36367"/>
    <w:rsid w:val="00E3711C"/>
    <w:rsid w:val="00E37334"/>
    <w:rsid w:val="00E37F10"/>
    <w:rsid w:val="00E4012F"/>
    <w:rsid w:val="00E4257F"/>
    <w:rsid w:val="00E45E91"/>
    <w:rsid w:val="00E46524"/>
    <w:rsid w:val="00E467BD"/>
    <w:rsid w:val="00E50A98"/>
    <w:rsid w:val="00E5180E"/>
    <w:rsid w:val="00E51B93"/>
    <w:rsid w:val="00E526F4"/>
    <w:rsid w:val="00E5488D"/>
    <w:rsid w:val="00E54E1B"/>
    <w:rsid w:val="00E54F54"/>
    <w:rsid w:val="00E5711C"/>
    <w:rsid w:val="00E603D2"/>
    <w:rsid w:val="00E60BF8"/>
    <w:rsid w:val="00E61114"/>
    <w:rsid w:val="00E61301"/>
    <w:rsid w:val="00E61639"/>
    <w:rsid w:val="00E61D44"/>
    <w:rsid w:val="00E622B9"/>
    <w:rsid w:val="00E63621"/>
    <w:rsid w:val="00E63AEA"/>
    <w:rsid w:val="00E647E8"/>
    <w:rsid w:val="00E6564D"/>
    <w:rsid w:val="00E66048"/>
    <w:rsid w:val="00E66A25"/>
    <w:rsid w:val="00E67145"/>
    <w:rsid w:val="00E71865"/>
    <w:rsid w:val="00E719B5"/>
    <w:rsid w:val="00E72807"/>
    <w:rsid w:val="00E732BA"/>
    <w:rsid w:val="00E735EF"/>
    <w:rsid w:val="00E73AD2"/>
    <w:rsid w:val="00E74243"/>
    <w:rsid w:val="00E7474A"/>
    <w:rsid w:val="00E74EED"/>
    <w:rsid w:val="00E77093"/>
    <w:rsid w:val="00E8093C"/>
    <w:rsid w:val="00E80DCD"/>
    <w:rsid w:val="00E820AD"/>
    <w:rsid w:val="00E83550"/>
    <w:rsid w:val="00E83573"/>
    <w:rsid w:val="00E84405"/>
    <w:rsid w:val="00E85233"/>
    <w:rsid w:val="00E853E4"/>
    <w:rsid w:val="00E86809"/>
    <w:rsid w:val="00E86DDC"/>
    <w:rsid w:val="00E87BC2"/>
    <w:rsid w:val="00E87D88"/>
    <w:rsid w:val="00E90523"/>
    <w:rsid w:val="00E92AB7"/>
    <w:rsid w:val="00E947C9"/>
    <w:rsid w:val="00E95847"/>
    <w:rsid w:val="00E95F08"/>
    <w:rsid w:val="00E96923"/>
    <w:rsid w:val="00E96D99"/>
    <w:rsid w:val="00E96F1D"/>
    <w:rsid w:val="00EA06B0"/>
    <w:rsid w:val="00EA0BCC"/>
    <w:rsid w:val="00EA13A5"/>
    <w:rsid w:val="00EA1D94"/>
    <w:rsid w:val="00EA555A"/>
    <w:rsid w:val="00EA581A"/>
    <w:rsid w:val="00EA59CC"/>
    <w:rsid w:val="00EA6122"/>
    <w:rsid w:val="00EA68C3"/>
    <w:rsid w:val="00EA7C46"/>
    <w:rsid w:val="00EA7D6D"/>
    <w:rsid w:val="00EB0344"/>
    <w:rsid w:val="00EB0A84"/>
    <w:rsid w:val="00EB0D6E"/>
    <w:rsid w:val="00EB1C19"/>
    <w:rsid w:val="00EB22AA"/>
    <w:rsid w:val="00EB2491"/>
    <w:rsid w:val="00EB2976"/>
    <w:rsid w:val="00EB351B"/>
    <w:rsid w:val="00EB3589"/>
    <w:rsid w:val="00EB3A88"/>
    <w:rsid w:val="00EB47E6"/>
    <w:rsid w:val="00EB4A44"/>
    <w:rsid w:val="00EB50DD"/>
    <w:rsid w:val="00EB50F4"/>
    <w:rsid w:val="00EB5B43"/>
    <w:rsid w:val="00EB5ECA"/>
    <w:rsid w:val="00EB6730"/>
    <w:rsid w:val="00EB7B13"/>
    <w:rsid w:val="00EC061A"/>
    <w:rsid w:val="00EC0708"/>
    <w:rsid w:val="00EC4E68"/>
    <w:rsid w:val="00EC543C"/>
    <w:rsid w:val="00EC6849"/>
    <w:rsid w:val="00EC6C23"/>
    <w:rsid w:val="00EC6E8A"/>
    <w:rsid w:val="00EC6EB9"/>
    <w:rsid w:val="00EC7775"/>
    <w:rsid w:val="00ED0E52"/>
    <w:rsid w:val="00ED2D78"/>
    <w:rsid w:val="00ED3B80"/>
    <w:rsid w:val="00ED4499"/>
    <w:rsid w:val="00ED6D62"/>
    <w:rsid w:val="00ED6FCA"/>
    <w:rsid w:val="00ED7179"/>
    <w:rsid w:val="00ED76A0"/>
    <w:rsid w:val="00ED7803"/>
    <w:rsid w:val="00EE08F6"/>
    <w:rsid w:val="00EE0947"/>
    <w:rsid w:val="00EE3D45"/>
    <w:rsid w:val="00EE415A"/>
    <w:rsid w:val="00EE572F"/>
    <w:rsid w:val="00EE608F"/>
    <w:rsid w:val="00EE761A"/>
    <w:rsid w:val="00EE78E2"/>
    <w:rsid w:val="00EE7C14"/>
    <w:rsid w:val="00EF02A8"/>
    <w:rsid w:val="00EF2342"/>
    <w:rsid w:val="00EF3AF9"/>
    <w:rsid w:val="00EF3CB0"/>
    <w:rsid w:val="00EF41E0"/>
    <w:rsid w:val="00EF51AF"/>
    <w:rsid w:val="00EF56D8"/>
    <w:rsid w:val="00EF5C8E"/>
    <w:rsid w:val="00EF5CCE"/>
    <w:rsid w:val="00EF66D2"/>
    <w:rsid w:val="00EF77AA"/>
    <w:rsid w:val="00EF798A"/>
    <w:rsid w:val="00F0081B"/>
    <w:rsid w:val="00F01011"/>
    <w:rsid w:val="00F0108B"/>
    <w:rsid w:val="00F0183C"/>
    <w:rsid w:val="00F028BD"/>
    <w:rsid w:val="00F033B3"/>
    <w:rsid w:val="00F03458"/>
    <w:rsid w:val="00F0399C"/>
    <w:rsid w:val="00F03F2A"/>
    <w:rsid w:val="00F047AA"/>
    <w:rsid w:val="00F078D2"/>
    <w:rsid w:val="00F07D99"/>
    <w:rsid w:val="00F07E43"/>
    <w:rsid w:val="00F11A2D"/>
    <w:rsid w:val="00F11F11"/>
    <w:rsid w:val="00F126F3"/>
    <w:rsid w:val="00F157EE"/>
    <w:rsid w:val="00F15D2C"/>
    <w:rsid w:val="00F15EE6"/>
    <w:rsid w:val="00F16815"/>
    <w:rsid w:val="00F17994"/>
    <w:rsid w:val="00F17AB6"/>
    <w:rsid w:val="00F21CE0"/>
    <w:rsid w:val="00F23523"/>
    <w:rsid w:val="00F24B61"/>
    <w:rsid w:val="00F24E54"/>
    <w:rsid w:val="00F26FC2"/>
    <w:rsid w:val="00F27C39"/>
    <w:rsid w:val="00F3007D"/>
    <w:rsid w:val="00F30109"/>
    <w:rsid w:val="00F30AD2"/>
    <w:rsid w:val="00F31E17"/>
    <w:rsid w:val="00F31FEC"/>
    <w:rsid w:val="00F32FF6"/>
    <w:rsid w:val="00F34D84"/>
    <w:rsid w:val="00F369CF"/>
    <w:rsid w:val="00F36E58"/>
    <w:rsid w:val="00F40205"/>
    <w:rsid w:val="00F407CD"/>
    <w:rsid w:val="00F40C63"/>
    <w:rsid w:val="00F42758"/>
    <w:rsid w:val="00F42C02"/>
    <w:rsid w:val="00F44892"/>
    <w:rsid w:val="00F45619"/>
    <w:rsid w:val="00F46201"/>
    <w:rsid w:val="00F46A7C"/>
    <w:rsid w:val="00F475D1"/>
    <w:rsid w:val="00F62D53"/>
    <w:rsid w:val="00F6387C"/>
    <w:rsid w:val="00F639E3"/>
    <w:rsid w:val="00F64F06"/>
    <w:rsid w:val="00F6594E"/>
    <w:rsid w:val="00F661A6"/>
    <w:rsid w:val="00F674DC"/>
    <w:rsid w:val="00F70440"/>
    <w:rsid w:val="00F70D1C"/>
    <w:rsid w:val="00F72388"/>
    <w:rsid w:val="00F742ED"/>
    <w:rsid w:val="00F7430F"/>
    <w:rsid w:val="00F7467E"/>
    <w:rsid w:val="00F74BCE"/>
    <w:rsid w:val="00F775B3"/>
    <w:rsid w:val="00F802AD"/>
    <w:rsid w:val="00F80936"/>
    <w:rsid w:val="00F80F2B"/>
    <w:rsid w:val="00F836EC"/>
    <w:rsid w:val="00F84249"/>
    <w:rsid w:val="00F8436E"/>
    <w:rsid w:val="00F861AD"/>
    <w:rsid w:val="00F87491"/>
    <w:rsid w:val="00F877BE"/>
    <w:rsid w:val="00F87DBD"/>
    <w:rsid w:val="00F90389"/>
    <w:rsid w:val="00F91630"/>
    <w:rsid w:val="00F916C6"/>
    <w:rsid w:val="00F938BF"/>
    <w:rsid w:val="00F93C83"/>
    <w:rsid w:val="00F93D26"/>
    <w:rsid w:val="00F95AAB"/>
    <w:rsid w:val="00F9670F"/>
    <w:rsid w:val="00F96852"/>
    <w:rsid w:val="00F96DDA"/>
    <w:rsid w:val="00F9770E"/>
    <w:rsid w:val="00F97F42"/>
    <w:rsid w:val="00FA0440"/>
    <w:rsid w:val="00FA046C"/>
    <w:rsid w:val="00FA0ECC"/>
    <w:rsid w:val="00FA295C"/>
    <w:rsid w:val="00FA427C"/>
    <w:rsid w:val="00FA4349"/>
    <w:rsid w:val="00FA482B"/>
    <w:rsid w:val="00FA4B3B"/>
    <w:rsid w:val="00FA665A"/>
    <w:rsid w:val="00FB0996"/>
    <w:rsid w:val="00FB1BBD"/>
    <w:rsid w:val="00FB2632"/>
    <w:rsid w:val="00FB2994"/>
    <w:rsid w:val="00FB2BA4"/>
    <w:rsid w:val="00FB49D2"/>
    <w:rsid w:val="00FB517D"/>
    <w:rsid w:val="00FB51B1"/>
    <w:rsid w:val="00FB5A5F"/>
    <w:rsid w:val="00FB6232"/>
    <w:rsid w:val="00FB6513"/>
    <w:rsid w:val="00FB6571"/>
    <w:rsid w:val="00FB65C5"/>
    <w:rsid w:val="00FB71D9"/>
    <w:rsid w:val="00FB7F97"/>
    <w:rsid w:val="00FC0086"/>
    <w:rsid w:val="00FC0857"/>
    <w:rsid w:val="00FC145B"/>
    <w:rsid w:val="00FC17F4"/>
    <w:rsid w:val="00FC32EC"/>
    <w:rsid w:val="00FC3B95"/>
    <w:rsid w:val="00FC412D"/>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6CBE"/>
    <w:rsid w:val="00FD6E1B"/>
    <w:rsid w:val="00FD7E75"/>
    <w:rsid w:val="00FE0300"/>
    <w:rsid w:val="00FE0455"/>
    <w:rsid w:val="00FE0966"/>
    <w:rsid w:val="00FE1233"/>
    <w:rsid w:val="00FE1541"/>
    <w:rsid w:val="00FE24D3"/>
    <w:rsid w:val="00FE273C"/>
    <w:rsid w:val="00FE32AF"/>
    <w:rsid w:val="00FE3B11"/>
    <w:rsid w:val="00FE51FD"/>
    <w:rsid w:val="00FE6290"/>
    <w:rsid w:val="00FE6CF6"/>
    <w:rsid w:val="00FE74AC"/>
    <w:rsid w:val="00FE78EF"/>
    <w:rsid w:val="00FF06C2"/>
    <w:rsid w:val="00FF1D74"/>
    <w:rsid w:val="00FF2C42"/>
    <w:rsid w:val="00FF4158"/>
    <w:rsid w:val="00FF4870"/>
    <w:rsid w:val="00FF5124"/>
    <w:rsid w:val="00FF651C"/>
    <w:rsid w:val="00FF78C0"/>
    <w:rsid w:val="02CD37A8"/>
    <w:rsid w:val="035E4559"/>
    <w:rsid w:val="0BB95D1D"/>
    <w:rsid w:val="100A447D"/>
    <w:rsid w:val="134277FC"/>
    <w:rsid w:val="14486D32"/>
    <w:rsid w:val="18AF707B"/>
    <w:rsid w:val="1E85739C"/>
    <w:rsid w:val="207850EF"/>
    <w:rsid w:val="2C8622C4"/>
    <w:rsid w:val="2DBF09AB"/>
    <w:rsid w:val="2E8259FF"/>
    <w:rsid w:val="2F9F402B"/>
    <w:rsid w:val="345937CE"/>
    <w:rsid w:val="3595172F"/>
    <w:rsid w:val="380F45CC"/>
    <w:rsid w:val="3A981197"/>
    <w:rsid w:val="3C1515AA"/>
    <w:rsid w:val="3FD7004F"/>
    <w:rsid w:val="43B347BD"/>
    <w:rsid w:val="471B610B"/>
    <w:rsid w:val="4AD86832"/>
    <w:rsid w:val="4ADD0CE6"/>
    <w:rsid w:val="4BC86638"/>
    <w:rsid w:val="4E5527F6"/>
    <w:rsid w:val="55423750"/>
    <w:rsid w:val="55A253EC"/>
    <w:rsid w:val="5BFA42C1"/>
    <w:rsid w:val="5DF60ACB"/>
    <w:rsid w:val="60025EA2"/>
    <w:rsid w:val="66403909"/>
    <w:rsid w:val="68EC0320"/>
    <w:rsid w:val="6DBE4BE1"/>
    <w:rsid w:val="6E3851B0"/>
    <w:rsid w:val="6E8700BC"/>
    <w:rsid w:val="70752F43"/>
    <w:rsid w:val="73B351D8"/>
    <w:rsid w:val="757C14D3"/>
    <w:rsid w:val="75E825D6"/>
    <w:rsid w:val="79A95ED4"/>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3">
    <w:name w:val="heading 2"/>
    <w:basedOn w:val="1"/>
    <w:next w:val="4"/>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unhideWhenUsed/>
    <w:qFormat/>
    <w:uiPriority w:val="9"/>
    <w:pPr>
      <w:keepNext/>
      <w:keepLines/>
      <w:spacing w:before="240" w:after="64" w:line="320" w:lineRule="auto"/>
      <w:outlineLvl w:val="7"/>
    </w:pPr>
    <w:rPr>
      <w:rFonts w:ascii="Cambria" w:hAnsi="Cambria" w:eastAsia="宋体"/>
      <w:sz w:val="24"/>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link w:val="27"/>
    <w:qFormat/>
    <w:uiPriority w:val="0"/>
    <w:pPr>
      <w:spacing w:after="120"/>
      <w:jc w:val="both"/>
    </w:pPr>
    <w:rPr>
      <w:rFonts w:eastAsia="MS Mincho"/>
    </w:rPr>
  </w:style>
  <w:style w:type="paragraph" w:styleId="9">
    <w:name w:val="annotation subject"/>
    <w:basedOn w:val="10"/>
    <w:next w:val="10"/>
    <w:link w:val="32"/>
    <w:unhideWhenUsed/>
    <w:qFormat/>
    <w:uiPriority w:val="99"/>
    <w:rPr>
      <w:b/>
      <w:bCs/>
    </w:rPr>
  </w:style>
  <w:style w:type="paragraph" w:styleId="10">
    <w:name w:val="annotation text"/>
    <w:basedOn w:val="1"/>
    <w:link w:val="31"/>
    <w:unhideWhenUsed/>
    <w:qFormat/>
    <w:uiPriority w:val="99"/>
    <w:rPr>
      <w:szCs w:val="20"/>
    </w:rPr>
  </w:style>
  <w:style w:type="paragraph" w:styleId="11">
    <w:name w:val="caption"/>
    <w:basedOn w:val="1"/>
    <w:next w:val="1"/>
    <w:unhideWhenUsed/>
    <w:qFormat/>
    <w:uiPriority w:val="35"/>
    <w:pPr>
      <w:spacing w:after="200"/>
    </w:pPr>
    <w:rPr>
      <w:b/>
      <w:bCs/>
      <w:sz w:val="18"/>
      <w:szCs w:val="18"/>
    </w:rPr>
  </w:style>
  <w:style w:type="paragraph" w:styleId="12">
    <w:name w:val="List 2"/>
    <w:basedOn w:val="1"/>
    <w:unhideWhenUsed/>
    <w:qFormat/>
    <w:uiPriority w:val="99"/>
    <w:pPr>
      <w:ind w:left="100" w:leftChars="200" w:hanging="200" w:hangingChars="200"/>
      <w:contextualSpacing/>
    </w:pPr>
  </w:style>
  <w:style w:type="paragraph" w:styleId="13">
    <w:name w:val="Balloon Text"/>
    <w:basedOn w:val="1"/>
    <w:link w:val="29"/>
    <w:unhideWhenUsed/>
    <w:qFormat/>
    <w:uiPriority w:val="99"/>
    <w:rPr>
      <w:rFonts w:ascii="Tahoma" w:hAnsi="Tahoma" w:cs="Tahoma"/>
      <w:sz w:val="16"/>
      <w:szCs w:val="16"/>
    </w:rPr>
  </w:style>
  <w:style w:type="paragraph" w:styleId="14">
    <w:name w:val="footer"/>
    <w:basedOn w:val="1"/>
    <w:link w:val="33"/>
    <w:unhideWhenUsed/>
    <w:qFormat/>
    <w:uiPriority w:val="99"/>
    <w:pPr>
      <w:tabs>
        <w:tab w:val="center" w:pos="4536"/>
        <w:tab w:val="right" w:pos="9072"/>
      </w:tabs>
    </w:pPr>
  </w:style>
  <w:style w:type="paragraph" w:styleId="15">
    <w:name w:val="header"/>
    <w:basedOn w:val="1"/>
    <w:link w:val="28"/>
    <w:qFormat/>
    <w:uiPriority w:val="0"/>
    <w:pPr>
      <w:tabs>
        <w:tab w:val="center" w:pos="4536"/>
        <w:tab w:val="right" w:pos="9072"/>
      </w:tabs>
    </w:pPr>
    <w:rPr>
      <w:rFonts w:ascii="Arial" w:hAnsi="Arial" w:eastAsia="MS Mincho"/>
      <w:b/>
    </w:rPr>
  </w:style>
  <w:style w:type="paragraph" w:styleId="16">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16"/>
      <w:szCs w:val="16"/>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3"/>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4"/>
    <w:qFormat/>
    <w:uiPriority w:val="0"/>
    <w:rPr>
      <w:rFonts w:ascii="Times New Roman" w:hAnsi="Times New Roman" w:eastAsia="MS Mincho" w:cs="Times New Roman"/>
      <w:sz w:val="20"/>
      <w:szCs w:val="24"/>
      <w:lang w:val="en-US"/>
    </w:rPr>
  </w:style>
  <w:style w:type="character" w:customStyle="1" w:styleId="28">
    <w:name w:val="页眉 字符1"/>
    <w:link w:val="15"/>
    <w:qFormat/>
    <w:uiPriority w:val="0"/>
    <w:rPr>
      <w:rFonts w:ascii="Arial" w:hAnsi="Arial" w:eastAsia="MS Mincho" w:cs="Times New Roman"/>
      <w:b/>
      <w:sz w:val="20"/>
      <w:szCs w:val="24"/>
      <w:lang w:val="en-US"/>
    </w:rPr>
  </w:style>
  <w:style w:type="character" w:customStyle="1" w:styleId="29">
    <w:name w:val="批注框文本 字符"/>
    <w:link w:val="13"/>
    <w:semiHidden/>
    <w:qFormat/>
    <w:uiPriority w:val="99"/>
    <w:rPr>
      <w:rFonts w:ascii="Tahoma" w:hAnsi="Tahoma" w:eastAsia="Times New Roman" w:cs="Tahoma"/>
      <w:sz w:val="16"/>
      <w:szCs w:val="16"/>
      <w:lang w:val="en-US"/>
    </w:rPr>
  </w:style>
  <w:style w:type="paragraph" w:customStyle="1" w:styleId="30">
    <w:name w:val="List Paragraph"/>
    <w:basedOn w:val="1"/>
    <w:link w:val="34"/>
    <w:qFormat/>
    <w:uiPriority w:val="34"/>
    <w:pPr>
      <w:ind w:left="720"/>
      <w:contextualSpacing/>
    </w:pPr>
  </w:style>
  <w:style w:type="character" w:customStyle="1" w:styleId="31">
    <w:name w:val="批注文字 字符1"/>
    <w:link w:val="10"/>
    <w:qFormat/>
    <w:uiPriority w:val="0"/>
    <w:rPr>
      <w:rFonts w:ascii="Times New Roman" w:hAnsi="Times New Roman" w:eastAsia="Times New Roman" w:cs="Times New Roman"/>
      <w:sz w:val="20"/>
      <w:szCs w:val="20"/>
      <w:lang w:val="en-US"/>
    </w:rPr>
  </w:style>
  <w:style w:type="character" w:customStyle="1" w:styleId="32">
    <w:name w:val="批注主题 字符"/>
    <w:link w:val="9"/>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4"/>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1">
    <w:name w:val="Proposal"/>
    <w:basedOn w:val="4"/>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2"/>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blPr>
        <w:tblLayout w:type="fixed"/>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blPr>
        <w:tblLayout w:type="fixed"/>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blPr>
        <w:tblLayout w:type="fixed"/>
      </w:tblPr>
      <w:tcPr>
        <w:shd w:val="clear" w:color="auto" w:fill="C5E0B3" w:themeFill="accent6" w:themeFillTint="66"/>
      </w:tcPr>
    </w:tblStylePr>
    <w:tblStylePr w:type="band1Horz">
      <w:tblPr>
        <w:tblLayout w:type="fixed"/>
      </w:tblPr>
      <w:tcPr>
        <w:shd w:val="clear" w:color="auto" w:fill="C5E0B3" w:themeFill="accent6" w:themeFillTint="66"/>
      </w:tcPr>
    </w:tblStylePr>
  </w:style>
  <w:style w:type="table" w:customStyle="1" w:styleId="91">
    <w:name w:val="网格表 4 - 着色 61"/>
    <w:basedOn w:val="2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blPr>
        <w:tblLayout w:type="fixed"/>
      </w:tbl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blPr>
        <w:tblLayout w:type="fixed"/>
      </w:tblPr>
      <w:tcPr>
        <w:tcBorders>
          <w:top w:val="double" w:color="70AD47" w:themeColor="accent6" w:sz="4" w:space="0"/>
        </w:tcBorders>
      </w:tcPr>
    </w:tblStylePr>
    <w:tblStylePr w:type="firstCol">
      <w:rPr>
        <w:b/>
        <w:bCs/>
      </w:rPr>
    </w:tblStylePr>
    <w:tblStylePr w:type="lastCol">
      <w:rPr>
        <w:b/>
        <w:bCs/>
      </w:rPr>
    </w:tblStylePr>
    <w:tblStylePr w:type="band1Vert">
      <w:tblPr>
        <w:tblLayout w:type="fixed"/>
      </w:tblPr>
      <w:tcPr>
        <w:shd w:val="clear" w:color="auto" w:fill="E2EFD9" w:themeFill="accent6" w:themeFillTint="33"/>
      </w:tcPr>
    </w:tblStylePr>
    <w:tblStylePr w:type="band1Horz">
      <w:tblPr>
        <w:tblLayout w:type="fixed"/>
      </w:tblPr>
      <w:tcPr>
        <w:shd w:val="clear" w:color="auto" w:fill="E2EFD9" w:themeFill="accent6" w:themeFillTint="33"/>
      </w:tcPr>
    </w:tblStylePr>
  </w:style>
  <w:style w:type="paragraph" w:customStyle="1" w:styleId="92">
    <w:name w:val="H6"/>
    <w:basedOn w:val="7"/>
    <w:next w:val="1"/>
    <w:link w:val="93"/>
    <w:qFormat/>
    <w:uiPriority w:val="0"/>
    <w:pPr>
      <w:keepNext/>
      <w:keepLines/>
      <w:spacing w:before="120" w:after="180"/>
      <w:ind w:left="1985" w:hanging="1985"/>
      <w:outlineLvl w:val="9"/>
    </w:pPr>
    <w:rPr>
      <w:rFonts w:ascii="Arial" w:hAnsi="Arial" w:eastAsia="宋体"/>
      <w:b w:val="0"/>
      <w:bCs w:val="0"/>
      <w:i w:val="0"/>
      <w:iCs w:val="0"/>
      <w:sz w:val="20"/>
      <w:szCs w:val="20"/>
      <w:lang w:val="en-GB" w:eastAsia="zh-CN"/>
    </w:rPr>
  </w:style>
  <w:style w:type="character" w:customStyle="1" w:styleId="93">
    <w:name w:val="H6 Char"/>
    <w:link w:val="92"/>
    <w:qFormat/>
    <w:uiPriority w:val="0"/>
    <w:rPr>
      <w:rFonts w:ascii="Arial" w:hAnsi="Arial"/>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C2D6E3-B8B4-4820-A4E0-FF9A9E7A73F0}">
  <ds:schemaRefs/>
</ds:datastoreItem>
</file>

<file path=customXml/itemProps3.xml><?xml version="1.0" encoding="utf-8"?>
<ds:datastoreItem xmlns:ds="http://schemas.openxmlformats.org/officeDocument/2006/customXml" ds:itemID="{E3616DC6-1F18-4330-A78B-E643F6D64352}">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4</Pages>
  <Words>1404</Words>
  <Characters>8009</Characters>
  <Lines>66</Lines>
  <Paragraphs>18</Paragraphs>
  <ScaleCrop>false</ScaleCrop>
  <LinksUpToDate>false</LinksUpToDate>
  <CharactersWithSpaces>9395</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Hao Lin</cp:lastModifiedBy>
  <dcterms:modified xsi:type="dcterms:W3CDTF">2024-04-03T11:51:00Z</dcterms:modified>
  <cp:revision>937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E5F5276C1D7441A5BCFF99E68545BA3F</vt:lpwstr>
  </property>
</Properties>
</file>