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pacing w:before="120"/>
        <w:ind w:right="2"/>
        <w:jc w:val="left"/>
        <w:rPr>
          <w:rFonts w:ascii="Arial" w:hAnsi="Arial" w:cs="Arial"/>
          <w:b/>
          <w:bCs/>
          <w:sz w:val="28"/>
        </w:rPr>
      </w:pPr>
      <w:bookmarkStart w:id="0" w:name="_Hlk117841894"/>
      <w:bookmarkStart w:id="1" w:name="OLE_LINK12"/>
      <w:bookmarkStart w:id="2" w:name="OLE_LINK13"/>
      <w:r>
        <w:rPr>
          <w:rFonts w:ascii="Arial" w:hAnsi="Arial" w:cs="Arial"/>
          <w:b/>
          <w:bCs/>
          <w:sz w:val="28"/>
        </w:rPr>
        <w:t>3GPP TSG RAN WG1 #11</w:t>
      </w:r>
      <w:r>
        <w:rPr>
          <w:rFonts w:hint="eastAsia" w:ascii="Arial" w:hAnsi="Arial" w:cs="Arial"/>
          <w:b/>
          <w:bCs/>
          <w:sz w:val="28"/>
        </w:rPr>
        <w:t>6b</w:t>
      </w:r>
      <w:r>
        <w:rPr>
          <w:rFonts w:ascii="Arial" w:hAnsi="Arial" w:cs="Arial"/>
          <w:b/>
          <w:bCs/>
          <w:sz w:val="28"/>
        </w:rPr>
        <w:tab/>
      </w:r>
      <w:r>
        <w:rPr>
          <w:rFonts w:ascii="Arial" w:hAnsi="Arial" w:cs="Arial"/>
          <w:b/>
          <w:bCs/>
          <w:sz w:val="28"/>
        </w:rPr>
        <w:tab/>
      </w:r>
      <w:r>
        <w:rPr>
          <w:rFonts w:hint="eastAsia" w:ascii="Arial" w:hAnsi="Arial" w:cs="Arial"/>
          <w:b/>
          <w:bCs/>
          <w:sz w:val="28"/>
        </w:rPr>
        <w:t xml:space="preserve">                    </w:t>
      </w:r>
      <w:r>
        <w:rPr>
          <w:rFonts w:ascii="Arial" w:hAnsi="Arial" w:cs="Arial"/>
          <w:b/>
          <w:bCs/>
          <w:sz w:val="28"/>
        </w:rPr>
        <w:t>R1-2</w:t>
      </w:r>
      <w:r>
        <w:rPr>
          <w:rFonts w:hint="eastAsia" w:ascii="Arial" w:hAnsi="Arial" w:cs="Arial"/>
          <w:b/>
          <w:bCs/>
          <w:sz w:val="28"/>
        </w:rPr>
        <w:t>4</w:t>
      </w:r>
      <w:r>
        <w:rPr>
          <w:rFonts w:ascii="Arial" w:hAnsi="Arial" w:cs="Arial"/>
          <w:b/>
          <w:bCs/>
          <w:sz w:val="28"/>
        </w:rPr>
        <w:t>0</w:t>
      </w:r>
      <w:r>
        <w:rPr>
          <w:rFonts w:hint="eastAsia" w:ascii="Arial" w:hAnsi="Arial" w:cs="Arial"/>
          <w:b/>
          <w:bCs/>
          <w:sz w:val="28"/>
        </w:rPr>
        <w:t>2194</w:t>
      </w:r>
    </w:p>
    <w:p>
      <w:pPr>
        <w:tabs>
          <w:tab w:val="center" w:pos="4536"/>
          <w:tab w:val="right" w:pos="9072"/>
        </w:tabs>
        <w:spacing w:before="120"/>
        <w:rPr>
          <w:rFonts w:ascii="Arial" w:hAnsi="Arial" w:eastAsia="MS Mincho" w:cs="Arial"/>
          <w:b/>
          <w:bCs/>
          <w:sz w:val="28"/>
          <w:lang w:eastAsia="ja-JP"/>
        </w:rPr>
      </w:pPr>
      <w:r>
        <w:rPr>
          <w:rFonts w:hint="eastAsia" w:ascii="Arial" w:hAnsi="Arial" w:eastAsia="MS Mincho" w:cs="Arial"/>
          <w:b/>
          <w:bCs/>
          <w:sz w:val="28"/>
          <w:lang w:eastAsia="ja-JP"/>
        </w:rPr>
        <w:t>Changsha, China</w:t>
      </w:r>
      <w:r>
        <w:rPr>
          <w:rFonts w:ascii="Arial" w:hAnsi="Arial" w:eastAsia="MS Mincho" w:cs="Arial"/>
          <w:b/>
          <w:bCs/>
          <w:sz w:val="28"/>
          <w:lang w:eastAsia="ja-JP"/>
        </w:rPr>
        <w:t xml:space="preserve">, </w:t>
      </w:r>
      <w:r>
        <w:rPr>
          <w:rFonts w:hint="eastAsia" w:ascii="Arial" w:hAnsi="Arial" w:cs="Arial"/>
          <w:b/>
          <w:bCs/>
          <w:sz w:val="28"/>
        </w:rPr>
        <w:t xml:space="preserve">April </w:t>
      </w:r>
      <w:bookmarkStart w:id="3" w:name="OLE_LINK90"/>
      <w:r>
        <w:rPr>
          <w:rFonts w:hint="eastAsia" w:ascii="Arial" w:hAnsi="Arial" w:cs="Arial"/>
          <w:b/>
          <w:bCs/>
          <w:sz w:val="28"/>
        </w:rPr>
        <w:t>15</w:t>
      </w:r>
      <w:r>
        <w:rPr>
          <w:rFonts w:hint="eastAsia" w:ascii="Arial" w:hAnsi="Arial" w:eastAsia="MS Mincho" w:cs="Arial"/>
          <w:b/>
          <w:bCs/>
          <w:sz w:val="28"/>
          <w:vertAlign w:val="superscript"/>
          <w:lang w:eastAsia="ko-KR"/>
        </w:rPr>
        <w:t>th</w:t>
      </w:r>
      <w:bookmarkEnd w:id="3"/>
      <w:r>
        <w:rPr>
          <w:rFonts w:ascii="Arial" w:hAnsi="Arial" w:eastAsia="MS Mincho" w:cs="Arial"/>
          <w:b/>
          <w:bCs/>
          <w:sz w:val="28"/>
          <w:lang w:eastAsia="ja-JP"/>
        </w:rPr>
        <w:t xml:space="preserve"> – </w:t>
      </w:r>
      <w:r>
        <w:rPr>
          <w:rFonts w:hint="eastAsia" w:ascii="Arial" w:hAnsi="Arial" w:cs="Arial"/>
          <w:b/>
          <w:bCs/>
          <w:sz w:val="28"/>
        </w:rPr>
        <w:t>19</w:t>
      </w:r>
      <w:r>
        <w:rPr>
          <w:rFonts w:hint="eastAsia" w:ascii="Arial" w:hAnsi="Arial" w:eastAsia="MS Mincho" w:cs="Arial"/>
          <w:b/>
          <w:bCs/>
          <w:sz w:val="28"/>
          <w:vertAlign w:val="superscript"/>
          <w:lang w:eastAsia="ko-KR"/>
        </w:rPr>
        <w:t>th</w:t>
      </w:r>
      <w:r>
        <w:rPr>
          <w:rFonts w:ascii="Arial" w:hAnsi="Arial" w:eastAsia="MS Mincho" w:cs="Arial"/>
          <w:b/>
          <w:bCs/>
          <w:sz w:val="28"/>
          <w:lang w:eastAsia="ja-JP"/>
        </w:rPr>
        <w:t>, 2024</w:t>
      </w:r>
    </w:p>
    <w:p>
      <w:pPr>
        <w:spacing w:before="120" w:after="0"/>
        <w:jc w:val="left"/>
        <w:rPr>
          <w:szCs w:val="20"/>
        </w:rPr>
      </w:pPr>
    </w:p>
    <w:p>
      <w:pPr>
        <w:tabs>
          <w:tab w:val="left" w:pos="1985"/>
          <w:tab w:val="left" w:pos="2837"/>
          <w:tab w:val="right" w:pos="9078"/>
          <w:tab w:val="right" w:pos="10213"/>
        </w:tabs>
        <w:spacing w:before="120" w:after="0"/>
        <w:jc w:val="left"/>
        <w:outlineLvl w:val="0"/>
        <w:rPr>
          <w:rFonts w:ascii="Arial" w:hAnsi="Arial"/>
          <w:b/>
          <w:sz w:val="22"/>
          <w:szCs w:val="20"/>
        </w:rPr>
      </w:pPr>
      <w:r>
        <w:rPr>
          <w:rFonts w:ascii="Arial" w:hAnsi="Arial" w:eastAsia="Batang"/>
          <w:b/>
          <w:sz w:val="22"/>
          <w:szCs w:val="20"/>
          <w:lang w:bidi="ar"/>
        </w:rPr>
        <w:t xml:space="preserve">Source: </w:t>
      </w:r>
      <w:r>
        <w:rPr>
          <w:rFonts w:ascii="Arial" w:hAnsi="Arial" w:eastAsia="Batang"/>
          <w:b/>
          <w:sz w:val="22"/>
          <w:szCs w:val="20"/>
          <w:lang w:bidi="ar"/>
        </w:rPr>
        <w:tab/>
      </w:r>
      <w:r>
        <w:rPr>
          <w:rFonts w:ascii="Arial" w:hAnsi="Arial" w:eastAsia="Batang"/>
          <w:b/>
          <w:sz w:val="22"/>
          <w:szCs w:val="20"/>
          <w:lang w:bidi="ar"/>
        </w:rPr>
        <w:t>ZTE, Sanechips</w:t>
      </w:r>
    </w:p>
    <w:p>
      <w:pPr>
        <w:tabs>
          <w:tab w:val="left" w:pos="1985"/>
          <w:tab w:val="left" w:pos="2837"/>
          <w:tab w:val="right" w:pos="9078"/>
          <w:tab w:val="right" w:pos="10213"/>
        </w:tabs>
        <w:spacing w:before="120" w:after="0"/>
        <w:jc w:val="left"/>
        <w:outlineLvl w:val="0"/>
        <w:rPr>
          <w:rFonts w:ascii="Arial" w:hAnsi="Arial" w:eastAsia="Batang"/>
          <w:b/>
          <w:sz w:val="22"/>
          <w:szCs w:val="20"/>
          <w:lang w:bidi="ar"/>
        </w:rPr>
      </w:pPr>
      <w:r>
        <w:rPr>
          <w:rFonts w:ascii="Arial" w:hAnsi="Arial" w:eastAsia="Batang"/>
          <w:b/>
          <w:sz w:val="22"/>
          <w:szCs w:val="20"/>
          <w:lang w:bidi="ar"/>
        </w:rPr>
        <w:t>Title:</w:t>
      </w:r>
      <w:r>
        <w:rPr>
          <w:rFonts w:ascii="Arial" w:hAnsi="Arial" w:eastAsia="Batang"/>
          <w:b/>
          <w:sz w:val="22"/>
          <w:szCs w:val="20"/>
          <w:lang w:bidi="ar"/>
        </w:rPr>
        <w:tab/>
      </w:r>
      <w:r>
        <w:rPr>
          <w:rFonts w:hint="eastAsia" w:ascii="Arial" w:hAnsi="Arial"/>
          <w:b/>
          <w:sz w:val="22"/>
          <w:szCs w:val="20"/>
          <w:lang w:bidi="ar"/>
        </w:rPr>
        <w:t xml:space="preserve">Discussion on </w:t>
      </w:r>
      <w:r>
        <w:rPr>
          <w:rFonts w:ascii="Arial" w:hAnsi="Arial" w:eastAsia="Batang"/>
          <w:b/>
          <w:sz w:val="22"/>
          <w:szCs w:val="20"/>
          <w:lang w:bidi="ar"/>
        </w:rPr>
        <w:t xml:space="preserve">LP-WUS </w:t>
      </w:r>
      <w:r>
        <w:rPr>
          <w:rFonts w:hint="eastAsia" w:ascii="Arial" w:hAnsi="Arial"/>
          <w:b/>
          <w:sz w:val="22"/>
          <w:szCs w:val="20"/>
          <w:lang w:bidi="ar"/>
        </w:rPr>
        <w:t>operation in IDLE/INACTIVE mode</w:t>
      </w:r>
    </w:p>
    <w:p>
      <w:pPr>
        <w:tabs>
          <w:tab w:val="left" w:pos="1985"/>
          <w:tab w:val="left" w:pos="2837"/>
          <w:tab w:val="right" w:pos="9078"/>
          <w:tab w:val="right" w:pos="10213"/>
        </w:tabs>
        <w:spacing w:before="120" w:after="0"/>
        <w:jc w:val="left"/>
        <w:outlineLvl w:val="0"/>
        <w:rPr>
          <w:rFonts w:ascii="Arial" w:hAnsi="Arial"/>
          <w:b/>
          <w:sz w:val="22"/>
          <w:szCs w:val="20"/>
          <w:lang w:bidi="ar"/>
        </w:rPr>
      </w:pPr>
      <w:r>
        <w:rPr>
          <w:rFonts w:ascii="Arial" w:hAnsi="Arial" w:eastAsia="Batang"/>
          <w:b/>
          <w:sz w:val="22"/>
          <w:szCs w:val="20"/>
          <w:lang w:bidi="ar"/>
        </w:rPr>
        <w:t xml:space="preserve">Agenda item: </w:t>
      </w:r>
      <w:r>
        <w:rPr>
          <w:rFonts w:ascii="Arial" w:hAnsi="Arial" w:eastAsia="Batang"/>
          <w:b/>
          <w:sz w:val="22"/>
          <w:szCs w:val="20"/>
          <w:lang w:bidi="ar"/>
        </w:rPr>
        <w:tab/>
      </w:r>
      <w:r>
        <w:rPr>
          <w:rFonts w:ascii="Arial" w:hAnsi="Arial" w:eastAsia="Batang"/>
          <w:b/>
          <w:sz w:val="22"/>
          <w:szCs w:val="20"/>
          <w:lang w:bidi="ar"/>
        </w:rPr>
        <w:t>9.</w:t>
      </w:r>
      <w:r>
        <w:rPr>
          <w:rFonts w:hint="eastAsia" w:ascii="Arial" w:hAnsi="Arial"/>
          <w:b/>
          <w:sz w:val="22"/>
          <w:szCs w:val="20"/>
          <w:lang w:bidi="ar"/>
        </w:rPr>
        <w:t>6</w:t>
      </w:r>
      <w:r>
        <w:rPr>
          <w:rFonts w:ascii="Arial" w:hAnsi="Arial" w:eastAsia="Batang"/>
          <w:b/>
          <w:sz w:val="22"/>
          <w:szCs w:val="20"/>
          <w:lang w:bidi="ar"/>
        </w:rPr>
        <w:t>.</w:t>
      </w:r>
      <w:r>
        <w:rPr>
          <w:rFonts w:hint="eastAsia" w:ascii="Arial" w:hAnsi="Arial"/>
          <w:b/>
          <w:sz w:val="22"/>
          <w:szCs w:val="20"/>
          <w:lang w:bidi="ar"/>
        </w:rPr>
        <w:t>2</w:t>
      </w:r>
    </w:p>
    <w:p>
      <w:pPr>
        <w:tabs>
          <w:tab w:val="left" w:pos="1985"/>
          <w:tab w:val="left" w:pos="2837"/>
          <w:tab w:val="right" w:pos="9078"/>
          <w:tab w:val="right" w:pos="10213"/>
        </w:tabs>
        <w:spacing w:before="120" w:after="0"/>
        <w:jc w:val="left"/>
        <w:outlineLvl w:val="0"/>
        <w:rPr>
          <w:rFonts w:ascii="Arial" w:hAnsi="Arial"/>
          <w:b/>
          <w:sz w:val="22"/>
          <w:szCs w:val="20"/>
        </w:rPr>
      </w:pPr>
      <w:r>
        <w:rPr>
          <w:rFonts w:ascii="Arial" w:hAnsi="Arial" w:eastAsia="Batang"/>
          <w:b/>
          <w:sz w:val="22"/>
          <w:szCs w:val="20"/>
          <w:lang w:bidi="ar"/>
        </w:rPr>
        <w:t>Document for:</w:t>
      </w:r>
      <w:r>
        <w:rPr>
          <w:rFonts w:ascii="Arial" w:hAnsi="Arial" w:eastAsia="Batang"/>
          <w:b/>
          <w:sz w:val="22"/>
          <w:szCs w:val="20"/>
          <w:lang w:bidi="ar"/>
        </w:rPr>
        <w:tab/>
      </w:r>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p>
      <w:pPr>
        <w:pBdr>
          <w:bottom w:val="single" w:color="auto" w:sz="4" w:space="1"/>
        </w:pBdr>
        <w:tabs>
          <w:tab w:val="left" w:pos="2552"/>
        </w:tabs>
        <w:spacing w:before="120"/>
        <w:rPr>
          <w:sz w:val="24"/>
        </w:rPr>
      </w:pPr>
    </w:p>
    <w:p>
      <w:pPr>
        <w:pStyle w:val="2"/>
        <w:spacing w:before="120"/>
        <w:rPr>
          <w:lang w:val="en-US"/>
        </w:rPr>
      </w:pPr>
      <w:r>
        <w:rPr>
          <w:rFonts w:hint="eastAsia"/>
          <w:lang w:val="en-US"/>
        </w:rPr>
        <w:t>Introduction</w:t>
      </w:r>
    </w:p>
    <w:bookmarkEnd w:id="0"/>
    <w:p>
      <w:pPr>
        <w:overflowPunct w:val="0"/>
        <w:autoSpaceDE w:val="0"/>
        <w:autoSpaceDN w:val="0"/>
        <w:adjustRightInd w:val="0"/>
        <w:spacing w:before="120" w:beforeLines="0" w:line="276" w:lineRule="auto"/>
        <w:ind w:right="-96"/>
        <w:textAlignment w:val="baseline"/>
        <w:rPr>
          <w:szCs w:val="20"/>
        </w:rPr>
      </w:pPr>
      <w:bookmarkStart w:id="4" w:name="OLE_LINK3"/>
      <w:r>
        <w:rPr>
          <w:szCs w:val="20"/>
          <w:lang w:eastAsia="ja-JP"/>
        </w:rPr>
        <w:t xml:space="preserve">In </w:t>
      </w:r>
      <w:r>
        <w:rPr>
          <w:szCs w:val="20"/>
        </w:rPr>
        <w:t>RAN #</w:t>
      </w:r>
      <w:r>
        <w:rPr>
          <w:rFonts w:hint="eastAsia"/>
          <w:szCs w:val="20"/>
        </w:rPr>
        <w:t>10</w:t>
      </w:r>
      <w:r>
        <w:rPr>
          <w:szCs w:val="20"/>
        </w:rPr>
        <w:t>3 meeting</w:t>
      </w:r>
      <w:bookmarkEnd w:id="4"/>
      <w:r>
        <w:rPr>
          <w:rFonts w:hint="eastAsia"/>
          <w:szCs w:val="20"/>
        </w:rPr>
        <w:t xml:space="preserve">, a </w:t>
      </w:r>
      <w:r>
        <w:rPr>
          <w:szCs w:val="20"/>
        </w:rPr>
        <w:t xml:space="preserve">new </w:t>
      </w:r>
      <w:r>
        <w:rPr>
          <w:rFonts w:hint="eastAsia"/>
          <w:szCs w:val="20"/>
        </w:rPr>
        <w:t xml:space="preserve">WID </w:t>
      </w:r>
      <w:r>
        <w:rPr>
          <w:szCs w:val="20"/>
        </w:rPr>
        <w:t xml:space="preserve">on </w:t>
      </w:r>
      <w:r>
        <w:t>low-power Wake-up Signal and Receiver for NR</w:t>
      </w:r>
      <w:r>
        <w:rPr>
          <w:rFonts w:hint="eastAsia"/>
        </w:rPr>
        <w:t xml:space="preserve"> </w:t>
      </w:r>
      <w:r>
        <w:rPr>
          <w:szCs w:val="20"/>
        </w:rPr>
        <w:t>was revised</w:t>
      </w:r>
      <w:r>
        <w:rPr>
          <w:rFonts w:hint="eastAsia"/>
          <w:szCs w:val="20"/>
        </w:rPr>
        <w:t xml:space="preserve"> in [1]</w:t>
      </w:r>
      <w:r>
        <w:rPr>
          <w:szCs w:val="20"/>
        </w:rPr>
        <w:t xml:space="preserve">. </w:t>
      </w:r>
    </w:p>
    <w:p>
      <w:pPr>
        <w:spacing w:before="120" w:afterLines="50" w:line="276" w:lineRule="auto"/>
        <w:rPr>
          <w:szCs w:val="20"/>
        </w:rPr>
      </w:pPr>
      <w:r>
        <w:rPr>
          <w:szCs w:val="20"/>
          <w:lang w:eastAsia="ja-JP"/>
        </w:rPr>
        <w:t xml:space="preserve">In </w:t>
      </w:r>
      <w:r>
        <w:rPr>
          <w:szCs w:val="20"/>
        </w:rPr>
        <w:t>RAN</w:t>
      </w:r>
      <w:r>
        <w:rPr>
          <w:rFonts w:hint="eastAsia"/>
          <w:szCs w:val="20"/>
        </w:rPr>
        <w:t>1</w:t>
      </w:r>
      <w:r>
        <w:rPr>
          <w:szCs w:val="20"/>
        </w:rPr>
        <w:t xml:space="preserve"> #</w:t>
      </w:r>
      <w:r>
        <w:rPr>
          <w:rFonts w:hint="eastAsia"/>
          <w:szCs w:val="20"/>
        </w:rPr>
        <w:t>116</w:t>
      </w:r>
      <w:r>
        <w:rPr>
          <w:szCs w:val="20"/>
        </w:rPr>
        <w:t xml:space="preserve"> meeting</w:t>
      </w:r>
      <w:r>
        <w:rPr>
          <w:rFonts w:hint="eastAsia"/>
          <w:szCs w:val="20"/>
        </w:rPr>
        <w:t>, the following agreements were made [2].</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b/>
                <w:bCs/>
                <w:szCs w:val="20"/>
                <w:highlight w:val="green"/>
                <w:lang w:bidi="ar"/>
              </w:rPr>
            </w:pPr>
            <w:r>
              <w:rPr>
                <w:b/>
                <w:bCs/>
                <w:szCs w:val="20"/>
                <w:highlight w:val="green"/>
                <w:lang w:bidi="ar"/>
              </w:rPr>
              <w:t>Agreement</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szCs w:val="20"/>
                <w:lang w:bidi="ar"/>
              </w:rPr>
            </w:pPr>
            <w:r>
              <w:rPr>
                <w:szCs w:val="20"/>
                <w:lang w:bidi="ar"/>
              </w:rPr>
              <w:t>Multi-beam operations are supported for LP-WUS and LP-SS for idle mode</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b/>
                <w:bCs/>
                <w:szCs w:val="20"/>
                <w:highlight w:val="green"/>
                <w:lang w:bidi="ar"/>
              </w:rPr>
            </w:pPr>
            <w:r>
              <w:rPr>
                <w:b/>
                <w:bCs/>
                <w:szCs w:val="20"/>
                <w:highlight w:val="green"/>
                <w:lang w:bidi="ar"/>
              </w:rPr>
              <w:t>Agreement</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szCs w:val="20"/>
              </w:rPr>
            </w:pPr>
            <w:r>
              <w:rPr>
                <w:szCs w:val="20"/>
              </w:rPr>
              <w:t>LP-WUS occasions (LOs) are defined for LP-WUS monitoring.</w:t>
            </w:r>
          </w:p>
          <w:p>
            <w:pPr>
              <w:pStyle w:val="86"/>
              <w:keepNext w:val="0"/>
              <w:keepLines w:val="0"/>
              <w:pageBreakBefore w:val="0"/>
              <w:numPr>
                <w:ilvl w:val="0"/>
                <w:numId w:val="7"/>
              </w:numPr>
              <w:kinsoku/>
              <w:wordWrap/>
              <w:overflowPunct/>
              <w:topLinePunct w:val="0"/>
              <w:autoSpaceDE/>
              <w:autoSpaceDN/>
              <w:bidi w:val="0"/>
              <w:adjustRightInd/>
              <w:snapToGrid w:val="0"/>
              <w:spacing w:before="120" w:beforeLines="0" w:after="120" w:line="276" w:lineRule="auto"/>
              <w:ind w:firstLine="400"/>
              <w:textAlignment w:val="auto"/>
              <w:rPr>
                <w:rFonts w:ascii="Times New Roman" w:hAnsi="Times New Roman"/>
                <w:sz w:val="20"/>
                <w:szCs w:val="20"/>
              </w:rPr>
            </w:pPr>
            <w:r>
              <w:rPr>
                <w:rFonts w:ascii="Times New Roman" w:hAnsi="Times New Roman"/>
                <w:sz w:val="20"/>
                <w:szCs w:val="20"/>
              </w:rPr>
              <w:t xml:space="preserve">Each LO has one or more LP-WUS monitoring occasions (MOs), where UE </w:t>
            </w:r>
            <w:r>
              <w:rPr>
                <w:rFonts w:ascii="Times New Roman" w:hAnsi="Times New Roman"/>
                <w:color w:val="FF0000"/>
                <w:sz w:val="20"/>
                <w:szCs w:val="20"/>
              </w:rPr>
              <w:t xml:space="preserve">can </w:t>
            </w:r>
            <w:r>
              <w:rPr>
                <w:rFonts w:ascii="Times New Roman" w:hAnsi="Times New Roman"/>
                <w:sz w:val="20"/>
                <w:szCs w:val="20"/>
              </w:rPr>
              <w:t>monitor</w:t>
            </w:r>
            <w:r>
              <w:rPr>
                <w:rFonts w:ascii="Times New Roman" w:hAnsi="Times New Roman"/>
                <w:strike/>
                <w:color w:val="FF0000"/>
                <w:sz w:val="20"/>
                <w:szCs w:val="20"/>
              </w:rPr>
              <w:t>s</w:t>
            </w:r>
            <w:r>
              <w:rPr>
                <w:rFonts w:ascii="Times New Roman" w:hAnsi="Times New Roman"/>
                <w:sz w:val="20"/>
                <w:szCs w:val="20"/>
              </w:rPr>
              <w:t xml:space="preserve"> for LP-WUS transmission in each of the LP-WUS MOs.</w:t>
            </w:r>
          </w:p>
          <w:p>
            <w:pPr>
              <w:pStyle w:val="86"/>
              <w:keepNext w:val="0"/>
              <w:keepLines w:val="0"/>
              <w:pageBreakBefore w:val="0"/>
              <w:numPr>
                <w:ilvl w:val="1"/>
                <w:numId w:val="7"/>
              </w:numPr>
              <w:kinsoku/>
              <w:wordWrap/>
              <w:overflowPunct/>
              <w:topLinePunct w:val="0"/>
              <w:autoSpaceDE/>
              <w:autoSpaceDN/>
              <w:bidi w:val="0"/>
              <w:adjustRightInd/>
              <w:snapToGrid w:val="0"/>
              <w:spacing w:before="120" w:beforeLines="0" w:after="120" w:line="276" w:lineRule="auto"/>
              <w:ind w:firstLine="400"/>
              <w:textAlignment w:val="auto"/>
              <w:rPr>
                <w:rFonts w:ascii="Times New Roman" w:hAnsi="Times New Roman"/>
                <w:sz w:val="20"/>
                <w:szCs w:val="20"/>
              </w:rPr>
            </w:pPr>
            <w:r>
              <w:rPr>
                <w:rFonts w:ascii="Times New Roman" w:hAnsi="Times New Roman"/>
                <w:sz w:val="20"/>
                <w:szCs w:val="20"/>
              </w:rPr>
              <w:t>Different LP-WUS MOs may correspond to different beams in multi-beam operation</w:t>
            </w:r>
          </w:p>
          <w:p>
            <w:pPr>
              <w:pStyle w:val="86"/>
              <w:keepNext w:val="0"/>
              <w:keepLines w:val="0"/>
              <w:pageBreakBefore w:val="0"/>
              <w:numPr>
                <w:ilvl w:val="1"/>
                <w:numId w:val="7"/>
              </w:numPr>
              <w:kinsoku/>
              <w:wordWrap/>
              <w:overflowPunct/>
              <w:topLinePunct w:val="0"/>
              <w:autoSpaceDE/>
              <w:autoSpaceDN/>
              <w:bidi w:val="0"/>
              <w:adjustRightInd/>
              <w:snapToGrid w:val="0"/>
              <w:spacing w:before="120" w:beforeLines="0" w:after="120" w:line="276" w:lineRule="auto"/>
              <w:ind w:firstLine="400"/>
              <w:textAlignment w:val="auto"/>
              <w:rPr>
                <w:rFonts w:ascii="Times New Roman" w:hAnsi="Times New Roman"/>
                <w:sz w:val="20"/>
                <w:szCs w:val="20"/>
              </w:rPr>
            </w:pPr>
            <w:r>
              <w:rPr>
                <w:rFonts w:ascii="Times New Roman" w:hAnsi="Times New Roman"/>
                <w:strike/>
                <w:color w:val="FF0000"/>
                <w:sz w:val="20"/>
                <w:szCs w:val="20"/>
              </w:rPr>
              <w:t xml:space="preserve">It is not precluded that </w:t>
            </w:r>
            <w:r>
              <w:rPr>
                <w:rFonts w:ascii="Times New Roman" w:hAnsi="Times New Roman"/>
                <w:color w:val="FF0000"/>
                <w:sz w:val="20"/>
                <w:szCs w:val="20"/>
              </w:rPr>
              <w:t xml:space="preserve">FFS whether or not </w:t>
            </w:r>
            <w:r>
              <w:rPr>
                <w:rFonts w:ascii="Times New Roman" w:hAnsi="Times New Roman"/>
                <w:sz w:val="20"/>
                <w:szCs w:val="20"/>
              </w:rPr>
              <w:t>each LO is defined as a time window that covers the corresponding LP-WUS MOs</w:t>
            </w:r>
          </w:p>
          <w:p>
            <w:pPr>
              <w:pStyle w:val="86"/>
              <w:keepNext w:val="0"/>
              <w:keepLines w:val="0"/>
              <w:pageBreakBefore w:val="0"/>
              <w:numPr>
                <w:ilvl w:val="1"/>
                <w:numId w:val="7"/>
              </w:numPr>
              <w:kinsoku/>
              <w:wordWrap/>
              <w:overflowPunct/>
              <w:topLinePunct w:val="0"/>
              <w:autoSpaceDE/>
              <w:autoSpaceDN/>
              <w:bidi w:val="0"/>
              <w:adjustRightInd/>
              <w:snapToGrid w:val="0"/>
              <w:spacing w:before="120" w:beforeLines="0" w:after="120" w:line="276" w:lineRule="auto"/>
              <w:ind w:firstLine="400"/>
              <w:textAlignment w:val="auto"/>
              <w:rPr>
                <w:rFonts w:ascii="Times New Roman" w:hAnsi="Times New Roman"/>
                <w:sz w:val="20"/>
                <w:szCs w:val="20"/>
              </w:rPr>
            </w:pPr>
            <w:r>
              <w:rPr>
                <w:rFonts w:ascii="Times New Roman" w:hAnsi="Times New Roman"/>
                <w:sz w:val="20"/>
                <w:szCs w:val="20"/>
              </w:rPr>
              <w:t>FFS details</w:t>
            </w:r>
          </w:p>
          <w:p>
            <w:pPr>
              <w:pStyle w:val="86"/>
              <w:keepNext w:val="0"/>
              <w:keepLines w:val="0"/>
              <w:pageBreakBefore w:val="0"/>
              <w:numPr>
                <w:ilvl w:val="0"/>
                <w:numId w:val="7"/>
              </w:numPr>
              <w:kinsoku/>
              <w:wordWrap/>
              <w:overflowPunct/>
              <w:topLinePunct w:val="0"/>
              <w:autoSpaceDE/>
              <w:autoSpaceDN/>
              <w:bidi w:val="0"/>
              <w:adjustRightInd/>
              <w:snapToGrid w:val="0"/>
              <w:spacing w:before="120" w:beforeLines="0" w:after="120" w:line="276" w:lineRule="auto"/>
              <w:ind w:firstLine="400"/>
              <w:textAlignment w:val="auto"/>
              <w:rPr>
                <w:rFonts w:ascii="Times New Roman" w:hAnsi="Times New Roman"/>
                <w:color w:val="FF0000"/>
                <w:sz w:val="20"/>
                <w:szCs w:val="20"/>
              </w:rPr>
            </w:pPr>
            <w:r>
              <w:rPr>
                <w:rFonts w:ascii="Times New Roman" w:hAnsi="Times New Roman"/>
                <w:color w:val="FF0000"/>
                <w:sz w:val="20"/>
                <w:szCs w:val="20"/>
              </w:rPr>
              <w:t>It is at least supported that a UE monitors LOs with a configured periodicity.</w:t>
            </w:r>
          </w:p>
          <w:p>
            <w:pPr>
              <w:pStyle w:val="86"/>
              <w:keepNext w:val="0"/>
              <w:keepLines w:val="0"/>
              <w:pageBreakBefore w:val="0"/>
              <w:numPr>
                <w:ilvl w:val="0"/>
                <w:numId w:val="7"/>
              </w:numPr>
              <w:kinsoku/>
              <w:wordWrap/>
              <w:overflowPunct/>
              <w:topLinePunct w:val="0"/>
              <w:autoSpaceDE/>
              <w:autoSpaceDN/>
              <w:bidi w:val="0"/>
              <w:adjustRightInd/>
              <w:snapToGrid w:val="0"/>
              <w:spacing w:before="120" w:beforeLines="0" w:after="120" w:line="276" w:lineRule="auto"/>
              <w:ind w:firstLine="400"/>
              <w:textAlignment w:val="auto"/>
              <w:rPr>
                <w:rFonts w:ascii="Times New Roman" w:hAnsi="Times New Roman"/>
                <w:strike/>
                <w:color w:val="FF0000"/>
                <w:sz w:val="20"/>
                <w:szCs w:val="20"/>
              </w:rPr>
            </w:pPr>
            <w:r>
              <w:rPr>
                <w:rFonts w:ascii="Times New Roman" w:hAnsi="Times New Roman"/>
                <w:strike/>
                <w:color w:val="FF0000"/>
                <w:sz w:val="20"/>
                <w:szCs w:val="20"/>
              </w:rPr>
              <w:t>Each UE has a periodicity for LO monitoring, and it is at least supported that a UE monitors one LO per period.</w:t>
            </w:r>
          </w:p>
          <w:p>
            <w:pPr>
              <w:pStyle w:val="86"/>
              <w:keepNext w:val="0"/>
              <w:keepLines w:val="0"/>
              <w:pageBreakBefore w:val="0"/>
              <w:numPr>
                <w:ilvl w:val="1"/>
                <w:numId w:val="7"/>
              </w:numPr>
              <w:kinsoku/>
              <w:wordWrap/>
              <w:overflowPunct/>
              <w:topLinePunct w:val="0"/>
              <w:autoSpaceDE/>
              <w:autoSpaceDN/>
              <w:bidi w:val="0"/>
              <w:adjustRightInd/>
              <w:snapToGrid w:val="0"/>
              <w:spacing w:before="120" w:beforeLines="0" w:after="120" w:line="276" w:lineRule="auto"/>
              <w:ind w:firstLine="400"/>
              <w:textAlignment w:val="auto"/>
              <w:rPr>
                <w:rFonts w:ascii="Times New Roman" w:hAnsi="Times New Roman" w:eastAsia="Malgun Gothic"/>
                <w:sz w:val="20"/>
                <w:szCs w:val="20"/>
                <w:lang w:eastAsia="ko-KR"/>
              </w:rPr>
            </w:pPr>
            <w:r>
              <w:rPr>
                <w:rFonts w:ascii="Times New Roman" w:hAnsi="Times New Roman"/>
                <w:strike/>
                <w:color w:val="FF0000"/>
                <w:sz w:val="20"/>
                <w:szCs w:val="20"/>
              </w:rPr>
              <w:t xml:space="preserve">FFS: A UE does not expect its LP-WUS monitoring occasions overlapping in time </w:t>
            </w:r>
          </w:p>
          <w:p>
            <w:pPr>
              <w:pStyle w:val="86"/>
              <w:keepNext w:val="0"/>
              <w:keepLines w:val="0"/>
              <w:pageBreakBefore w:val="0"/>
              <w:numPr>
                <w:ilvl w:val="1"/>
                <w:numId w:val="7"/>
              </w:numPr>
              <w:kinsoku/>
              <w:wordWrap/>
              <w:overflowPunct/>
              <w:topLinePunct w:val="0"/>
              <w:autoSpaceDE/>
              <w:autoSpaceDN/>
              <w:bidi w:val="0"/>
              <w:adjustRightInd/>
              <w:snapToGrid w:val="0"/>
              <w:spacing w:before="120" w:beforeLines="0" w:after="120" w:line="276" w:lineRule="auto"/>
              <w:ind w:firstLine="400"/>
              <w:textAlignment w:val="auto"/>
              <w:rPr>
                <w:rFonts w:ascii="Times New Roman" w:hAnsi="Times New Roman" w:eastAsia="Malgun Gothic"/>
                <w:sz w:val="20"/>
                <w:szCs w:val="20"/>
                <w:lang w:eastAsia="ko-KR"/>
              </w:rPr>
            </w:pPr>
            <w:r>
              <w:rPr>
                <w:rFonts w:ascii="Times New Roman" w:hAnsi="Times New Roman"/>
                <w:strike/>
                <w:color w:val="FF0000"/>
                <w:sz w:val="20"/>
                <w:szCs w:val="20"/>
              </w:rPr>
              <w:t>FFS: monitoring of multiple more than one LOs per period e.g. if LP-WUS common to all UEs is supported or in case of eDRX (if supported)</w:t>
            </w:r>
          </w:p>
          <w:p>
            <w:pPr>
              <w:pStyle w:val="86"/>
              <w:keepNext w:val="0"/>
              <w:keepLines w:val="0"/>
              <w:pageBreakBefore w:val="0"/>
              <w:numPr>
                <w:ilvl w:val="0"/>
                <w:numId w:val="7"/>
              </w:numPr>
              <w:kinsoku/>
              <w:wordWrap/>
              <w:overflowPunct/>
              <w:topLinePunct w:val="0"/>
              <w:autoSpaceDE/>
              <w:autoSpaceDN/>
              <w:bidi w:val="0"/>
              <w:adjustRightInd/>
              <w:snapToGrid w:val="0"/>
              <w:spacing w:before="120" w:beforeLines="0" w:after="120" w:line="276" w:lineRule="auto"/>
              <w:ind w:firstLine="400"/>
              <w:textAlignment w:val="auto"/>
              <w:rPr>
                <w:rFonts w:ascii="Times New Roman" w:hAnsi="Times New Roman"/>
                <w:sz w:val="20"/>
                <w:szCs w:val="20"/>
                <w:lang w:bidi="ar"/>
              </w:rPr>
            </w:pPr>
            <w:r>
              <w:rPr>
                <w:rFonts w:ascii="Times New Roman" w:hAnsi="Times New Roman"/>
                <w:color w:val="FF0000"/>
                <w:sz w:val="20"/>
                <w:szCs w:val="20"/>
                <w:lang w:eastAsia="ko-KR"/>
              </w:rPr>
              <w:t>FFS eDRX, if supported</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b/>
                <w:bCs/>
                <w:szCs w:val="20"/>
                <w:highlight w:val="green"/>
                <w:lang w:bidi="ar"/>
              </w:rPr>
            </w:pPr>
            <w:r>
              <w:rPr>
                <w:b/>
                <w:bCs/>
                <w:szCs w:val="20"/>
                <w:highlight w:val="green"/>
                <w:lang w:bidi="ar"/>
              </w:rPr>
              <w:t>Agreement</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szCs w:val="20"/>
                <w:lang w:bidi="ar"/>
              </w:rPr>
            </w:pPr>
            <w:r>
              <w:rPr>
                <w:szCs w:val="20"/>
              </w:rPr>
              <w:t>For the case where a UE supports PEI and PEI is configured by the gNB, after the UE receives LP-WUS indicating wake-up, it is up to UE implementation whether to monitor PEI or not.</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b/>
                <w:bCs/>
                <w:szCs w:val="20"/>
                <w:highlight w:val="green"/>
                <w:lang w:bidi="ar"/>
              </w:rPr>
            </w:pPr>
            <w:r>
              <w:rPr>
                <w:b/>
                <w:bCs/>
                <w:szCs w:val="20"/>
                <w:highlight w:val="green"/>
                <w:lang w:bidi="ar"/>
              </w:rPr>
              <w:t>Agreement</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szCs w:val="20"/>
              </w:rPr>
            </w:pPr>
            <w:r>
              <w:rPr>
                <w:szCs w:val="20"/>
              </w:rPr>
              <w:t>It is supported that the UE monitors the legacy PO after receiving LP-WUS indicating wake-up.</w:t>
            </w:r>
          </w:p>
          <w:p>
            <w:pPr>
              <w:pStyle w:val="86"/>
              <w:keepNext w:val="0"/>
              <w:keepLines w:val="0"/>
              <w:pageBreakBefore w:val="0"/>
              <w:numPr>
                <w:ilvl w:val="0"/>
                <w:numId w:val="8"/>
              </w:numPr>
              <w:kinsoku/>
              <w:wordWrap/>
              <w:overflowPunct/>
              <w:topLinePunct w:val="0"/>
              <w:autoSpaceDE/>
              <w:autoSpaceDN/>
              <w:bidi w:val="0"/>
              <w:adjustRightInd/>
              <w:snapToGrid w:val="0"/>
              <w:spacing w:before="120" w:beforeLines="0" w:after="120" w:line="276" w:lineRule="auto"/>
              <w:ind w:firstLine="400"/>
              <w:textAlignment w:val="auto"/>
              <w:rPr>
                <w:rFonts w:ascii="Times New Roman" w:hAnsi="Times New Roman"/>
                <w:sz w:val="20"/>
                <w:szCs w:val="20"/>
                <w:lang w:bidi="ar"/>
              </w:rPr>
            </w:pPr>
            <w:r>
              <w:rPr>
                <w:rFonts w:ascii="Times New Roman" w:hAnsi="Times New Roman"/>
                <w:sz w:val="20"/>
                <w:szCs w:val="20"/>
              </w:rPr>
              <w:t>FFS: support of UE monitoring dynamic PO</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b/>
                <w:bCs/>
                <w:szCs w:val="20"/>
              </w:rPr>
            </w:pPr>
            <w:r>
              <w:rPr>
                <w:b/>
                <w:bCs/>
                <w:szCs w:val="20"/>
              </w:rPr>
              <w:t>Conclusion</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szCs w:val="20"/>
              </w:rPr>
            </w:pPr>
            <w:r>
              <w:rPr>
                <w:szCs w:val="20"/>
              </w:rPr>
              <w:t>For idle/inactive mode, how to map a UE to a subgroup ID for LP-WUS is left to RAN2 to decide.</w:t>
            </w:r>
          </w:p>
        </w:tc>
      </w:tr>
    </w:tbl>
    <w:p>
      <w:pPr>
        <w:spacing w:before="120" w:afterLines="50" w:line="276" w:lineRule="auto"/>
        <w:rPr>
          <w:rFonts w:eastAsia="Times New Roman"/>
          <w:b/>
          <w:i/>
          <w:iCs/>
          <w:lang w:eastAsia="ko" w:bidi="ar"/>
        </w:rPr>
      </w:pPr>
      <w:r>
        <w:rPr>
          <w:szCs w:val="20"/>
        </w:rPr>
        <w:t xml:space="preserve">In this contribution, </w:t>
      </w:r>
      <w:bookmarkStart w:id="5" w:name="OLE_LINK22"/>
      <w:r>
        <w:rPr>
          <w:rFonts w:hint="eastAsia"/>
          <w:szCs w:val="20"/>
        </w:rPr>
        <w:t>remaining issues on</w:t>
      </w:r>
      <w:bookmarkStart w:id="6" w:name="OLE_LINK1"/>
      <w:r>
        <w:rPr>
          <w:rFonts w:hint="eastAsia"/>
          <w:szCs w:val="20"/>
        </w:rPr>
        <w:t xml:space="preserve"> LP-WUS operation in IDLE/INACTIVE mode</w:t>
      </w:r>
      <w:r>
        <w:rPr>
          <w:szCs w:val="20"/>
        </w:rPr>
        <w:t xml:space="preserve"> </w:t>
      </w:r>
      <w:bookmarkEnd w:id="6"/>
      <w:r>
        <w:rPr>
          <w:szCs w:val="20"/>
        </w:rPr>
        <w:t>are discussed</w:t>
      </w:r>
      <w:r>
        <w:rPr>
          <w:rFonts w:hint="eastAsia"/>
          <w:szCs w:val="20"/>
        </w:rPr>
        <w:t>.</w:t>
      </w:r>
      <w:bookmarkEnd w:id="5"/>
      <w:bookmarkStart w:id="7" w:name="OLE_LINK5"/>
    </w:p>
    <w:p>
      <w:pPr>
        <w:pStyle w:val="2"/>
        <w:spacing w:before="120"/>
        <w:rPr>
          <w:lang w:val="en-US"/>
        </w:rPr>
      </w:pPr>
      <w:r>
        <w:rPr>
          <w:rFonts w:hint="eastAsia"/>
          <w:lang w:val="en-US"/>
        </w:rPr>
        <w:t>Issues on LP-WUS triggering PO</w:t>
      </w:r>
    </w:p>
    <w:p>
      <w:pPr>
        <w:pStyle w:val="3"/>
        <w:spacing w:before="120"/>
        <w:rPr>
          <w:lang w:val="en-US"/>
        </w:rPr>
      </w:pPr>
      <w:bookmarkStart w:id="8" w:name="OLE_LINK20"/>
      <w:r>
        <w:rPr>
          <w:rFonts w:hint="eastAsia"/>
          <w:lang w:val="en-US"/>
        </w:rPr>
        <w:t>Activation/Deactivation</w:t>
      </w:r>
      <w:bookmarkEnd w:id="8"/>
    </w:p>
    <w:p>
      <w:pPr>
        <w:spacing w:before="120" w:beforeLines="0" w:line="276" w:lineRule="auto"/>
        <w:rPr>
          <w:rFonts w:cs="Times"/>
        </w:rPr>
      </w:pPr>
      <w:r>
        <w:rPr>
          <w:rFonts w:hint="eastAsia" w:cs="Malgun Gothic"/>
          <w:lang w:bidi="ar"/>
        </w:rPr>
        <w:t xml:space="preserve">For LP-WUS in IDLE/INACTIVE mode, regarding </w:t>
      </w:r>
      <w:r>
        <w:rPr>
          <w:rFonts w:hint="eastAsia" w:cs="Times"/>
        </w:rPr>
        <w:t>a</w:t>
      </w:r>
      <w:r>
        <w:rPr>
          <w:rFonts w:cs="Times"/>
        </w:rPr>
        <w:t>ctivation and deactivation of LP-WUS monitoring by LP-WUR for a UE</w:t>
      </w:r>
      <w:r>
        <w:rPr>
          <w:rFonts w:hint="eastAsia" w:cs="Times"/>
        </w:rPr>
        <w:t>, there are three options.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86" w:type="dxa"/>
          </w:tcPr>
          <w:p>
            <w:pPr>
              <w:keepNext w:val="0"/>
              <w:keepLines w:val="0"/>
              <w:pageBreakBefore w:val="0"/>
              <w:widowControl/>
              <w:kinsoku/>
              <w:wordWrap/>
              <w:overflowPunct/>
              <w:topLinePunct w:val="0"/>
              <w:autoSpaceDE/>
              <w:autoSpaceDN/>
              <w:bidi w:val="0"/>
              <w:adjustRightInd/>
              <w:snapToGrid w:val="0"/>
              <w:spacing w:before="120" w:beforeLines="0" w:line="276" w:lineRule="auto"/>
              <w:ind w:left="568" w:hanging="283"/>
              <w:textAlignment w:val="auto"/>
              <w:rPr>
                <w:rFonts w:eastAsia="等线"/>
                <w:lang w:val="en-GB"/>
              </w:rPr>
            </w:pPr>
            <w:r>
              <w:rPr>
                <w:rFonts w:eastAsia="等线"/>
                <w:lang w:eastAsia="en-US"/>
              </w:rPr>
              <w:t>-</w:t>
            </w:r>
            <w:r>
              <w:rPr>
                <w:rFonts w:eastAsia="等线"/>
                <w:lang w:eastAsia="en-US"/>
              </w:rPr>
              <w:tab/>
            </w:r>
            <w:r>
              <w:rPr>
                <w:rFonts w:eastAsia="等线"/>
                <w:lang w:eastAsia="en-US"/>
              </w:rPr>
              <w:t>For Idle/Inactive mode, following options for activation and deactivation of LP-WUS monitoring by LP-WUR for a UE can be considered for study</w:t>
            </w:r>
          </w:p>
          <w:p>
            <w:pPr>
              <w:keepNext w:val="0"/>
              <w:keepLines w:val="0"/>
              <w:pageBreakBefore w:val="0"/>
              <w:widowControl/>
              <w:kinsoku/>
              <w:wordWrap/>
              <w:overflowPunct/>
              <w:topLinePunct w:val="0"/>
              <w:autoSpaceDE/>
              <w:autoSpaceDN/>
              <w:bidi w:val="0"/>
              <w:adjustRightInd/>
              <w:snapToGrid w:val="0"/>
              <w:spacing w:before="120" w:beforeLines="0" w:line="276" w:lineRule="auto"/>
              <w:ind w:left="851" w:hanging="283"/>
              <w:textAlignment w:val="auto"/>
              <w:rPr>
                <w:rFonts w:eastAsia="等线"/>
                <w:lang w:val="en-GB" w:eastAsia="ko-KR"/>
              </w:rPr>
            </w:pPr>
            <w:r>
              <w:rPr>
                <w:rFonts w:eastAsia="等线"/>
                <w:lang w:val="en-GB" w:eastAsia="ko-KR"/>
              </w:rPr>
              <w:t>-</w:t>
            </w:r>
            <w:r>
              <w:rPr>
                <w:rFonts w:eastAsia="等线"/>
                <w:lang w:val="en-GB" w:eastAsia="ko-KR"/>
              </w:rPr>
              <w:tab/>
            </w:r>
            <w:r>
              <w:rPr>
                <w:rFonts w:eastAsia="等线"/>
                <w:lang w:val="en-GB" w:eastAsia="ko-KR"/>
              </w:rPr>
              <w:t xml:space="preserve">Alt 1a: </w:t>
            </w:r>
          </w:p>
          <w:p>
            <w:pPr>
              <w:keepNext w:val="0"/>
              <w:keepLines w:val="0"/>
              <w:pageBreakBefore w:val="0"/>
              <w:widowControl/>
              <w:kinsoku/>
              <w:wordWrap/>
              <w:overflowPunct/>
              <w:topLinePunct w:val="0"/>
              <w:autoSpaceDE/>
              <w:autoSpaceDN/>
              <w:bidi w:val="0"/>
              <w:adjustRightInd/>
              <w:snapToGrid w:val="0"/>
              <w:spacing w:before="120" w:beforeLines="0" w:line="276" w:lineRule="auto"/>
              <w:ind w:left="1135" w:hanging="283"/>
              <w:textAlignment w:val="auto"/>
              <w:rPr>
                <w:rFonts w:eastAsia="等线"/>
                <w:lang w:eastAsia="en-US"/>
              </w:rPr>
            </w:pPr>
            <w:r>
              <w:rPr>
                <w:rFonts w:eastAsia="等线"/>
                <w:lang w:eastAsia="ko-KR"/>
              </w:rPr>
              <w:t>-</w:t>
            </w:r>
            <w:r>
              <w:rPr>
                <w:rFonts w:eastAsia="等线"/>
                <w:lang w:eastAsia="ko-KR"/>
              </w:rPr>
              <w:tab/>
            </w:r>
            <w:r>
              <w:rPr>
                <w:rFonts w:eastAsia="等线"/>
                <w:lang w:eastAsia="ko-KR"/>
              </w:rPr>
              <w:t>gNB transmits legacy paging indication and LP-WUS</w:t>
            </w:r>
          </w:p>
          <w:p>
            <w:pPr>
              <w:keepNext w:val="0"/>
              <w:keepLines w:val="0"/>
              <w:pageBreakBefore w:val="0"/>
              <w:widowControl/>
              <w:kinsoku/>
              <w:wordWrap/>
              <w:overflowPunct/>
              <w:topLinePunct w:val="0"/>
              <w:autoSpaceDE/>
              <w:autoSpaceDN/>
              <w:bidi w:val="0"/>
              <w:adjustRightInd/>
              <w:snapToGrid w:val="0"/>
              <w:spacing w:before="120" w:beforeLines="0" w:line="276" w:lineRule="auto"/>
              <w:ind w:left="1135" w:hanging="283"/>
              <w:textAlignment w:val="auto"/>
              <w:rPr>
                <w:rFonts w:eastAsia="等线"/>
                <w:lang w:eastAsia="ko-KR"/>
              </w:rPr>
            </w:pPr>
            <w:r>
              <w:rPr>
                <w:rFonts w:eastAsia="等线"/>
                <w:lang w:eastAsia="ko-KR"/>
              </w:rPr>
              <w:t>-</w:t>
            </w:r>
            <w:r>
              <w:rPr>
                <w:rFonts w:eastAsia="等线"/>
                <w:lang w:eastAsia="ko-KR"/>
              </w:rPr>
              <w:tab/>
            </w:r>
            <w:r>
              <w:rPr>
                <w:rFonts w:eastAsia="等线"/>
                <w:lang w:eastAsia="ko-KR"/>
              </w:rPr>
              <w:t>UE activation and/or deactivation of LP-WUS WUS monitoring is up to UE implementation.</w:t>
            </w:r>
          </w:p>
          <w:p>
            <w:pPr>
              <w:keepNext w:val="0"/>
              <w:keepLines w:val="0"/>
              <w:pageBreakBefore w:val="0"/>
              <w:widowControl/>
              <w:kinsoku/>
              <w:wordWrap/>
              <w:overflowPunct/>
              <w:topLinePunct w:val="0"/>
              <w:autoSpaceDE/>
              <w:autoSpaceDN/>
              <w:bidi w:val="0"/>
              <w:adjustRightInd/>
              <w:snapToGrid w:val="0"/>
              <w:spacing w:before="120" w:beforeLines="0" w:line="276" w:lineRule="auto"/>
              <w:ind w:left="1135" w:hanging="283"/>
              <w:textAlignment w:val="auto"/>
              <w:rPr>
                <w:rFonts w:eastAsia="等线"/>
                <w:lang w:eastAsia="ko-KR"/>
              </w:rPr>
            </w:pPr>
            <w:r>
              <w:rPr>
                <w:rFonts w:eastAsia="等线"/>
                <w:lang w:eastAsia="ko-KR"/>
              </w:rPr>
              <w:t>-</w:t>
            </w:r>
            <w:r>
              <w:rPr>
                <w:rFonts w:eastAsia="等线"/>
                <w:lang w:eastAsia="ko-KR"/>
              </w:rPr>
              <w:tab/>
            </w:r>
            <w:r>
              <w:rPr>
                <w:rFonts w:eastAsia="等线"/>
                <w:lang w:eastAsia="ko-KR"/>
              </w:rPr>
              <w:t>This behavior may apply based on channel condition, e.g. when coverage is sufficient/insufficient.</w:t>
            </w:r>
          </w:p>
          <w:p>
            <w:pPr>
              <w:keepNext w:val="0"/>
              <w:keepLines w:val="0"/>
              <w:pageBreakBefore w:val="0"/>
              <w:widowControl/>
              <w:kinsoku/>
              <w:wordWrap/>
              <w:overflowPunct/>
              <w:topLinePunct w:val="0"/>
              <w:autoSpaceDE/>
              <w:autoSpaceDN/>
              <w:bidi w:val="0"/>
              <w:adjustRightInd/>
              <w:snapToGrid w:val="0"/>
              <w:spacing w:before="120" w:beforeLines="0" w:line="276" w:lineRule="auto"/>
              <w:ind w:left="851" w:hanging="283"/>
              <w:textAlignment w:val="auto"/>
              <w:rPr>
                <w:rFonts w:eastAsia="等线"/>
                <w:lang w:eastAsia="en-US"/>
              </w:rPr>
            </w:pPr>
            <w:r>
              <w:rPr>
                <w:rFonts w:eastAsia="等线"/>
                <w:lang w:eastAsia="ko-KR"/>
              </w:rPr>
              <w:t>-</w:t>
            </w:r>
            <w:r>
              <w:rPr>
                <w:rFonts w:eastAsia="等线"/>
                <w:lang w:eastAsia="ko-KR"/>
              </w:rPr>
              <w:tab/>
            </w:r>
            <w:r>
              <w:rPr>
                <w:rFonts w:eastAsia="等线"/>
                <w:lang w:eastAsia="ko-KR"/>
              </w:rPr>
              <w:t xml:space="preserve">Alt 1b: </w:t>
            </w:r>
          </w:p>
          <w:p>
            <w:pPr>
              <w:keepNext w:val="0"/>
              <w:keepLines w:val="0"/>
              <w:pageBreakBefore w:val="0"/>
              <w:widowControl/>
              <w:kinsoku/>
              <w:wordWrap/>
              <w:overflowPunct/>
              <w:topLinePunct w:val="0"/>
              <w:autoSpaceDE/>
              <w:autoSpaceDN/>
              <w:bidi w:val="0"/>
              <w:adjustRightInd/>
              <w:snapToGrid w:val="0"/>
              <w:spacing w:before="120" w:beforeLines="0" w:line="276" w:lineRule="auto"/>
              <w:ind w:left="1135" w:hanging="283"/>
              <w:textAlignment w:val="auto"/>
              <w:rPr>
                <w:rFonts w:eastAsia="等线"/>
                <w:lang w:eastAsia="en-US"/>
              </w:rPr>
            </w:pPr>
            <w:r>
              <w:rPr>
                <w:rFonts w:eastAsia="等线"/>
                <w:lang w:eastAsia="ko-KR"/>
              </w:rPr>
              <w:t>-</w:t>
            </w:r>
            <w:r>
              <w:rPr>
                <w:rFonts w:eastAsia="等线"/>
                <w:lang w:eastAsia="ko-KR"/>
              </w:rPr>
              <w:tab/>
            </w:r>
            <w:r>
              <w:rPr>
                <w:rFonts w:eastAsia="等线"/>
                <w:lang w:eastAsia="ko-KR"/>
              </w:rPr>
              <w:t>gNB transmits legacy paging indication and LP-WUS</w:t>
            </w:r>
          </w:p>
          <w:p>
            <w:pPr>
              <w:keepNext w:val="0"/>
              <w:keepLines w:val="0"/>
              <w:pageBreakBefore w:val="0"/>
              <w:widowControl/>
              <w:kinsoku/>
              <w:wordWrap/>
              <w:overflowPunct/>
              <w:topLinePunct w:val="0"/>
              <w:autoSpaceDE/>
              <w:autoSpaceDN/>
              <w:bidi w:val="0"/>
              <w:adjustRightInd/>
              <w:snapToGrid w:val="0"/>
              <w:spacing w:before="120" w:beforeLines="0" w:line="276" w:lineRule="auto"/>
              <w:ind w:left="1135" w:hanging="283"/>
              <w:textAlignment w:val="auto"/>
              <w:rPr>
                <w:rFonts w:eastAsia="等线"/>
                <w:lang w:eastAsia="en-US"/>
              </w:rPr>
            </w:pPr>
            <w:r>
              <w:rPr>
                <w:rFonts w:eastAsia="等线"/>
                <w:lang w:eastAsia="ko-KR"/>
              </w:rPr>
              <w:t>-</w:t>
            </w:r>
            <w:r>
              <w:rPr>
                <w:rFonts w:eastAsia="等线"/>
                <w:lang w:eastAsia="ko-KR"/>
              </w:rPr>
              <w:tab/>
            </w:r>
            <w:r>
              <w:rPr>
                <w:rFonts w:eastAsia="等线"/>
                <w:lang w:eastAsia="ko-KR"/>
              </w:rPr>
              <w:t>UE activation and/or deactivation of LP-WUS monitoring is based on preconfigured criteria</w:t>
            </w:r>
          </w:p>
          <w:p>
            <w:pPr>
              <w:keepNext w:val="0"/>
              <w:keepLines w:val="0"/>
              <w:pageBreakBefore w:val="0"/>
              <w:widowControl/>
              <w:kinsoku/>
              <w:wordWrap/>
              <w:overflowPunct/>
              <w:topLinePunct w:val="0"/>
              <w:autoSpaceDE/>
              <w:autoSpaceDN/>
              <w:bidi w:val="0"/>
              <w:adjustRightInd/>
              <w:snapToGrid w:val="0"/>
              <w:spacing w:before="120" w:beforeLines="0" w:line="276" w:lineRule="auto"/>
              <w:ind w:left="1135" w:hanging="283"/>
              <w:textAlignment w:val="auto"/>
              <w:rPr>
                <w:rFonts w:eastAsia="等线"/>
                <w:lang w:eastAsia="ko-KR"/>
              </w:rPr>
            </w:pPr>
            <w:r>
              <w:rPr>
                <w:rFonts w:eastAsia="等线"/>
                <w:lang w:eastAsia="ko-KR"/>
              </w:rPr>
              <w:t>-</w:t>
            </w:r>
            <w:r>
              <w:rPr>
                <w:rFonts w:eastAsia="等线"/>
                <w:lang w:eastAsia="ko-KR"/>
              </w:rPr>
              <w:tab/>
            </w:r>
            <w:r>
              <w:rPr>
                <w:rFonts w:eastAsia="等线"/>
                <w:lang w:eastAsia="ko-KR"/>
              </w:rPr>
              <w:t>This behavior may apply based on channel condition, e.g. when coverage is sufficient/insufficient.</w:t>
            </w:r>
          </w:p>
          <w:p>
            <w:pPr>
              <w:keepNext w:val="0"/>
              <w:keepLines w:val="0"/>
              <w:pageBreakBefore w:val="0"/>
              <w:widowControl/>
              <w:kinsoku/>
              <w:wordWrap/>
              <w:overflowPunct/>
              <w:topLinePunct w:val="0"/>
              <w:autoSpaceDE/>
              <w:autoSpaceDN/>
              <w:bidi w:val="0"/>
              <w:adjustRightInd/>
              <w:snapToGrid w:val="0"/>
              <w:spacing w:before="120" w:beforeLines="0" w:line="276" w:lineRule="auto"/>
              <w:ind w:left="851" w:hanging="283"/>
              <w:textAlignment w:val="auto"/>
              <w:rPr>
                <w:rFonts w:eastAsia="等线"/>
                <w:lang w:eastAsia="ko-KR"/>
              </w:rPr>
            </w:pPr>
            <w:r>
              <w:rPr>
                <w:rFonts w:eastAsia="等线"/>
                <w:lang w:eastAsia="ko-KR"/>
              </w:rPr>
              <w:t>-</w:t>
            </w:r>
            <w:r>
              <w:rPr>
                <w:rFonts w:eastAsia="等线"/>
                <w:lang w:eastAsia="ko-KR"/>
              </w:rPr>
              <w:tab/>
            </w:r>
            <w:r>
              <w:rPr>
                <w:rFonts w:eastAsia="等线"/>
                <w:lang w:eastAsia="ko-KR"/>
              </w:rPr>
              <w:t xml:space="preserve">Alt 2: </w:t>
            </w:r>
          </w:p>
          <w:p>
            <w:pPr>
              <w:keepNext w:val="0"/>
              <w:keepLines w:val="0"/>
              <w:pageBreakBefore w:val="0"/>
              <w:widowControl/>
              <w:kinsoku/>
              <w:wordWrap/>
              <w:overflowPunct/>
              <w:topLinePunct w:val="0"/>
              <w:autoSpaceDE/>
              <w:autoSpaceDN/>
              <w:bidi w:val="0"/>
              <w:adjustRightInd/>
              <w:snapToGrid w:val="0"/>
              <w:spacing w:before="120" w:beforeLines="0" w:line="276" w:lineRule="auto"/>
              <w:ind w:left="1135" w:hanging="283"/>
              <w:textAlignment w:val="auto"/>
              <w:rPr>
                <w:rFonts w:eastAsia="等线"/>
                <w:lang w:eastAsia="ko-KR"/>
              </w:rPr>
            </w:pPr>
            <w:r>
              <w:rPr>
                <w:rFonts w:eastAsia="等线"/>
                <w:lang w:eastAsia="ko-KR"/>
              </w:rPr>
              <w:t>-</w:t>
            </w:r>
            <w:r>
              <w:rPr>
                <w:rFonts w:eastAsia="等线"/>
                <w:lang w:eastAsia="ko-KR"/>
              </w:rPr>
              <w:tab/>
            </w:r>
            <w:r>
              <w:rPr>
                <w:rFonts w:eastAsia="等线"/>
                <w:lang w:eastAsia="ko-KR"/>
              </w:rPr>
              <w:t>activation and/or deactivation of LP-WUS monitoring in a cell is based on signalling.</w:t>
            </w:r>
          </w:p>
          <w:p>
            <w:pPr>
              <w:keepNext w:val="0"/>
              <w:keepLines w:val="0"/>
              <w:pageBreakBefore w:val="0"/>
              <w:widowControl/>
              <w:kinsoku/>
              <w:wordWrap/>
              <w:overflowPunct/>
              <w:topLinePunct w:val="0"/>
              <w:autoSpaceDE/>
              <w:autoSpaceDN/>
              <w:bidi w:val="0"/>
              <w:adjustRightInd/>
              <w:snapToGrid w:val="0"/>
              <w:spacing w:before="120" w:beforeLines="0" w:line="276" w:lineRule="auto"/>
              <w:ind w:left="851" w:hanging="283"/>
              <w:textAlignment w:val="auto"/>
              <w:rPr>
                <w:rFonts w:eastAsia="Times New Roman"/>
                <w:bCs/>
                <w:lang w:bidi="ar"/>
              </w:rPr>
            </w:pPr>
            <w:r>
              <w:rPr>
                <w:rFonts w:eastAsia="等线"/>
                <w:lang w:eastAsia="ko-KR"/>
              </w:rPr>
              <w:t>-</w:t>
            </w:r>
            <w:r>
              <w:rPr>
                <w:rFonts w:eastAsia="等线"/>
                <w:lang w:eastAsia="ko-KR"/>
              </w:rPr>
              <w:tab/>
            </w:r>
            <w:r>
              <w:rPr>
                <w:rFonts w:hint="eastAsia" w:eastAsia="等线"/>
              </w:rPr>
              <w:t>M</w:t>
            </w:r>
            <w:r>
              <w:rPr>
                <w:rFonts w:eastAsia="等线"/>
                <w:lang w:eastAsia="ko-KR"/>
              </w:rPr>
              <w:t>is</w:t>
            </w:r>
            <w:r>
              <w:rPr>
                <w:rFonts w:hint="eastAsia" w:eastAsia="等线"/>
              </w:rPr>
              <w:t xml:space="preserve">s </w:t>
            </w:r>
            <w:r>
              <w:rPr>
                <w:rFonts w:eastAsia="等线"/>
                <w:lang w:eastAsia="ko-KR"/>
              </w:rPr>
              <w:t xml:space="preserve">detection performance </w:t>
            </w:r>
            <w:r>
              <w:rPr>
                <w:rFonts w:hint="eastAsia" w:eastAsia="等线"/>
              </w:rPr>
              <w:t xml:space="preserve">of Paging </w:t>
            </w:r>
            <w:r>
              <w:rPr>
                <w:rFonts w:eastAsia="等线"/>
                <w:lang w:eastAsia="ko-KR"/>
              </w:rPr>
              <w:t>shall not be impacted.</w:t>
            </w:r>
          </w:p>
        </w:tc>
      </w:tr>
    </w:tbl>
    <w:p>
      <w:pPr>
        <w:spacing w:before="120" w:beforeLines="0" w:line="276" w:lineRule="auto"/>
        <w:rPr>
          <w:rFonts w:cs="Times"/>
        </w:rPr>
      </w:pPr>
      <w:r>
        <w:rPr>
          <w:rFonts w:hint="eastAsia" w:cs="Times"/>
        </w:rPr>
        <w:t>For Alt 1a and Alt 1b, the channel condition when UE monitors LP-WUS should be considered, because it can help gNB control the resource overhead for LP-WUS. For example, by setting the threshold for LP-SS measurement, the channel condition for UE receiving LP-WUS is controllable. If there is no threshold for UE monitoring LP-WUS, gNB needs to transmit LP-WUS with the assumption of worse case, for example, the UE is in the cell edge, which will occupy too m</w:t>
      </w:r>
      <w:r>
        <w:rPr>
          <w:rFonts w:cs="Times"/>
        </w:rPr>
        <w:t>any</w:t>
      </w:r>
      <w:r>
        <w:rPr>
          <w:rFonts w:hint="eastAsia" w:cs="Times"/>
        </w:rPr>
        <w:t xml:space="preserve"> resources. </w:t>
      </w:r>
    </w:p>
    <w:p>
      <w:pPr>
        <w:spacing w:before="120" w:beforeLines="0" w:line="276" w:lineRule="auto"/>
        <w:rPr>
          <w:rFonts w:eastAsia="等线"/>
        </w:rPr>
      </w:pPr>
      <w:r>
        <w:rPr>
          <w:rFonts w:hint="eastAsia" w:cs="Times"/>
        </w:rPr>
        <w:t xml:space="preserve">Additionally, </w:t>
      </w:r>
      <w:r>
        <w:rPr>
          <w:rFonts w:eastAsia="等线"/>
          <w:lang w:eastAsia="ko-KR"/>
        </w:rPr>
        <w:t>UE activation and/or deactivation of LP-WUS WUS monitoring is up to UE implementation</w:t>
      </w:r>
      <w:r>
        <w:rPr>
          <w:rFonts w:hint="eastAsia" w:eastAsia="等线"/>
        </w:rPr>
        <w:t xml:space="preserve"> or is based on preconfigured criteria can be further discussed. More specifically, if U</w:t>
      </w:r>
      <w:r>
        <w:rPr>
          <w:rFonts w:eastAsia="等线"/>
          <w:lang w:eastAsia="ko-KR"/>
        </w:rPr>
        <w:t xml:space="preserve">E activation and/or deactivation of LP-WUS WUS monitoring is </w:t>
      </w:r>
      <w:r>
        <w:rPr>
          <w:rFonts w:hint="eastAsia" w:eastAsia="等线"/>
        </w:rPr>
        <w:t xml:space="preserve">completely </w:t>
      </w:r>
      <w:r>
        <w:rPr>
          <w:rFonts w:eastAsia="等线"/>
          <w:lang w:eastAsia="ko-KR"/>
        </w:rPr>
        <w:t>up to UE implementation</w:t>
      </w:r>
      <w:r>
        <w:rPr>
          <w:rFonts w:hint="eastAsia" w:eastAsia="等线"/>
        </w:rPr>
        <w:t xml:space="preserve">, it will introduce more misalignment between UE and gNB. For example, when the gNB transmit the LP-WUS, the UE does not monitor LP-WUS, which would bring gNB overhead wasting. Therefore, it is more preferred that UE monitors LP-WUS based on preconfigured criteria, instead of UE implementation. </w:t>
      </w:r>
      <w:r>
        <w:rPr>
          <w:rFonts w:hint="eastAsia"/>
          <w:bCs/>
          <w:lang w:bidi="ar"/>
        </w:rPr>
        <w:t xml:space="preserve">In addition, </w:t>
      </w:r>
      <w:r>
        <w:rPr>
          <w:rFonts w:hint="eastAsia" w:cs="Malgun Gothic"/>
          <w:lang w:bidi="ar"/>
        </w:rPr>
        <w:t>if a UE has not received the LP-WUS for a long time, the UE needs to fallback to legacy PO monitoring behavior, in case that the system information is changed and the UE does not receive it.</w:t>
      </w:r>
    </w:p>
    <w:p>
      <w:pPr>
        <w:spacing w:before="120" w:beforeLines="0" w:line="276" w:lineRule="auto"/>
        <w:rPr>
          <w:rFonts w:eastAsia="等线"/>
          <w:b/>
          <w:bCs/>
          <w:i/>
          <w:iCs/>
        </w:rPr>
      </w:pPr>
      <w:r>
        <w:rPr>
          <w:rFonts w:hint="eastAsia" w:eastAsia="等线"/>
          <w:b/>
          <w:bCs/>
          <w:i/>
          <w:iCs/>
        </w:rPr>
        <w:t xml:space="preserve">Proposal 1: In </w:t>
      </w:r>
      <w:bookmarkStart w:id="9" w:name="OLE_LINK7"/>
      <w:r>
        <w:rPr>
          <w:rFonts w:hint="eastAsia" w:eastAsia="等线"/>
          <w:b/>
          <w:bCs/>
          <w:i/>
          <w:iCs/>
        </w:rPr>
        <w:t>IDLE/INACTIVE mode</w:t>
      </w:r>
      <w:bookmarkEnd w:id="9"/>
      <w:r>
        <w:rPr>
          <w:rFonts w:hint="eastAsia" w:eastAsia="等线"/>
          <w:b/>
          <w:bCs/>
          <w:i/>
          <w:iCs/>
        </w:rPr>
        <w:t xml:space="preserve">, </w:t>
      </w:r>
    </w:p>
    <w:p>
      <w:pPr>
        <w:numPr>
          <w:ilvl w:val="0"/>
          <w:numId w:val="9"/>
        </w:numPr>
        <w:spacing w:before="120" w:beforeLines="0" w:line="276" w:lineRule="auto"/>
        <w:rPr>
          <w:rFonts w:eastAsia="等线"/>
          <w:b/>
          <w:bCs/>
          <w:i/>
          <w:iCs/>
        </w:rPr>
      </w:pPr>
      <w:r>
        <w:rPr>
          <w:rFonts w:hint="eastAsia" w:eastAsia="等线"/>
          <w:b/>
          <w:bCs/>
          <w:i/>
          <w:iCs/>
        </w:rPr>
        <w:t xml:space="preserve">When the UE supports LP-WUS function and gNB configures LP-WUS, the UE is </w:t>
      </w:r>
      <w:bookmarkStart w:id="10" w:name="OLE_LINK6"/>
      <w:r>
        <w:rPr>
          <w:rFonts w:hint="eastAsia" w:eastAsia="等线"/>
          <w:b/>
          <w:bCs/>
          <w:i/>
          <w:iCs/>
        </w:rPr>
        <w:t xml:space="preserve">supposed </w:t>
      </w:r>
      <w:bookmarkEnd w:id="10"/>
      <w:r>
        <w:rPr>
          <w:rFonts w:hint="eastAsia" w:eastAsia="等线"/>
          <w:b/>
          <w:bCs/>
          <w:i/>
          <w:iCs/>
        </w:rPr>
        <w:t>to monitor LP-WUS if channel condition is satisfied. FFS other preconfigured criteria.</w:t>
      </w:r>
    </w:p>
    <w:p>
      <w:pPr>
        <w:numPr>
          <w:ilvl w:val="0"/>
          <w:numId w:val="9"/>
        </w:numPr>
        <w:spacing w:before="120" w:beforeLines="0" w:line="276" w:lineRule="auto"/>
        <w:rPr>
          <w:rFonts w:eastAsia="等线"/>
          <w:b/>
          <w:bCs/>
          <w:i/>
          <w:iCs/>
        </w:rPr>
      </w:pPr>
      <w:r>
        <w:rPr>
          <w:rFonts w:hint="eastAsia" w:eastAsia="等线"/>
          <w:b/>
          <w:bCs/>
          <w:i/>
          <w:iCs/>
        </w:rPr>
        <w:t xml:space="preserve">When UE monitors LP-WUS and the UE has not received the LP-WUS for a long time, it is suggested to consider fallback to legacy PO monitoring. </w:t>
      </w:r>
    </w:p>
    <w:p>
      <w:pPr>
        <w:spacing w:before="120" w:beforeLines="0" w:line="276" w:lineRule="auto"/>
        <w:rPr>
          <w:rFonts w:eastAsia="等线"/>
        </w:rPr>
      </w:pPr>
      <w:r>
        <w:rPr>
          <w:rFonts w:hint="eastAsia" w:cs="Times"/>
        </w:rPr>
        <w:t xml:space="preserve">As for </w:t>
      </w:r>
      <w:r>
        <w:rPr>
          <w:rFonts w:eastAsia="等线"/>
          <w:lang w:eastAsia="ko-KR"/>
        </w:rPr>
        <w:t>Alt 2</w:t>
      </w:r>
      <w:r>
        <w:rPr>
          <w:rFonts w:hint="eastAsia" w:eastAsia="等线"/>
        </w:rPr>
        <w:t>, it is designed to enable/disable the LP-WUS function especially when the system efficiency or system overhead is taken into account. For example, if the resources occupied by LP-WUS has an impact on the system performance and other normal UEs, the deactivation signalling can be sent from the gNB. Moreover, if no deactivation signalling is specified, the gNB may need to always transmit the LP-WUS and LP-SS even there is no UE monitoring LP-WUS. For the activation, it can be implemented by gNB configuration,</w:t>
      </w:r>
      <w:r>
        <w:rPr>
          <w:rFonts w:eastAsia="等线"/>
        </w:rPr>
        <w:t xml:space="preserve"> </w:t>
      </w:r>
      <w:r>
        <w:rPr>
          <w:rFonts w:hint="eastAsia" w:eastAsia="等线"/>
        </w:rPr>
        <w:t>e.g., LP-WUS configuration.</w:t>
      </w:r>
    </w:p>
    <w:p>
      <w:pPr>
        <w:spacing w:before="120" w:beforeLines="0" w:line="276" w:lineRule="auto"/>
        <w:rPr>
          <w:rFonts w:eastAsia="等线"/>
          <w:b/>
          <w:bCs/>
          <w:i/>
          <w:iCs/>
        </w:rPr>
      </w:pPr>
      <w:r>
        <w:rPr>
          <w:rFonts w:hint="eastAsia" w:eastAsia="等线"/>
          <w:b/>
          <w:bCs/>
          <w:i/>
          <w:iCs/>
        </w:rPr>
        <w:t>Proposal 2: In IDLE/INACTIVE mode, LP-WUS activation and deactivation via gNB is required.</w:t>
      </w:r>
    </w:p>
    <w:p>
      <w:pPr>
        <w:numPr>
          <w:ilvl w:val="0"/>
          <w:numId w:val="10"/>
        </w:numPr>
        <w:spacing w:before="120" w:beforeLines="0" w:line="276" w:lineRule="auto"/>
        <w:rPr>
          <w:rFonts w:eastAsia="等线"/>
          <w:b/>
          <w:bCs/>
          <w:i/>
          <w:iCs/>
        </w:rPr>
      </w:pPr>
      <w:r>
        <w:rPr>
          <w:rFonts w:hint="eastAsia" w:eastAsia="等线"/>
          <w:b/>
          <w:bCs/>
          <w:i/>
          <w:iCs/>
        </w:rPr>
        <w:t>gNB controllable threshold for UE</w:t>
      </w:r>
      <w:r>
        <w:rPr>
          <w:rFonts w:eastAsia="等线"/>
          <w:b/>
          <w:bCs/>
          <w:i/>
          <w:iCs/>
          <w:lang w:eastAsia="ko-KR"/>
        </w:rPr>
        <w:t xml:space="preserve"> activation and/or deactivation of LP-WUS monitoring</w:t>
      </w:r>
      <w:r>
        <w:rPr>
          <w:rFonts w:hint="eastAsia" w:eastAsia="等线"/>
          <w:b/>
          <w:bCs/>
          <w:i/>
          <w:iCs/>
        </w:rPr>
        <w:t xml:space="preserve"> is required.</w:t>
      </w:r>
    </w:p>
    <w:p>
      <w:pPr>
        <w:pStyle w:val="3"/>
        <w:spacing w:before="120"/>
        <w:rPr>
          <w:lang w:val="en-US"/>
        </w:rPr>
      </w:pPr>
      <w:bookmarkStart w:id="11" w:name="OLE_LINK4"/>
      <w:r>
        <w:rPr>
          <w:rFonts w:hint="eastAsia"/>
          <w:lang w:val="en-US"/>
        </w:rPr>
        <w:t>Payload size and contents</w:t>
      </w:r>
    </w:p>
    <w:p>
      <w:pPr>
        <w:spacing w:before="120" w:afterLines="50" w:line="276" w:lineRule="auto"/>
      </w:pPr>
      <w:r>
        <w:rPr>
          <w:rFonts w:hint="eastAsia"/>
        </w:rPr>
        <w:t>The payload size is related to the number of groups the LP-WUS can support. Assuming that there are 1000 groups in the network, the probability for wake-up one group and more groups is shown as follows:</w:t>
      </w:r>
    </w:p>
    <w:p>
      <w:pPr>
        <w:spacing w:before="120" w:afterLines="50" w:line="276" w:lineRule="auto"/>
        <w:jc w:val="center"/>
      </w:pPr>
      <w:r>
        <w:rPr>
          <w:rFonts w:hint="eastAsia"/>
        </w:rPr>
        <w:t>Table 1. probability for multi-groups wake-up</w:t>
      </w:r>
    </w:p>
    <w:tbl>
      <w:tblPr>
        <w:tblStyle w:val="31"/>
        <w:tblW w:w="85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7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9" w:type="dxa"/>
          </w:tcPr>
          <w:p>
            <w:pPr>
              <w:spacing w:before="120" w:after="0"/>
              <w:ind w:left="851" w:hanging="284"/>
              <w:rPr>
                <w:rFonts w:eastAsia="等线"/>
                <w:sz w:val="18"/>
                <w:szCs w:val="18"/>
                <w:lang w:val="en-GB" w:eastAsia="en-US"/>
              </w:rPr>
            </w:pPr>
          </w:p>
        </w:tc>
        <w:tc>
          <w:tcPr>
            <w:tcW w:w="7488" w:type="dxa"/>
          </w:tcPr>
          <w:p>
            <w:pPr>
              <w:keepNext/>
              <w:keepLines/>
              <w:spacing w:before="120" w:after="0"/>
              <w:rPr>
                <w:rFonts w:eastAsia="等线"/>
                <w:sz w:val="18"/>
                <w:szCs w:val="18"/>
                <w:lang w:val="en-GB" w:eastAsia="en-US"/>
              </w:rPr>
            </w:pPr>
            <w:r>
              <w:rPr>
                <w:rFonts w:eastAsia="等线"/>
                <w:sz w:val="18"/>
                <w:szCs w:val="18"/>
                <w:lang w:val="en-GB" w:eastAsia="en-US"/>
              </w:rPr>
              <w:t>Option 1 (baseline):</w:t>
            </w:r>
          </w:p>
          <w:p>
            <w:pPr>
              <w:spacing w:before="120" w:after="0"/>
              <w:ind w:left="568" w:hanging="284"/>
              <w:rPr>
                <w:rFonts w:eastAsia="等线"/>
                <w:sz w:val="18"/>
                <w:szCs w:val="18"/>
                <w:lang w:val="en-GB" w:eastAsia="en-US"/>
              </w:rPr>
            </w:pPr>
            <w:r>
              <w:rPr>
                <w:rFonts w:eastAsia="等线"/>
                <w:sz w:val="18"/>
                <w:szCs w:val="18"/>
                <w:lang w:val="en-GB" w:eastAsia="en-US"/>
              </w:rPr>
              <w:t>-</w:t>
            </w:r>
            <w:r>
              <w:rPr>
                <w:rFonts w:eastAsia="等线"/>
                <w:sz w:val="18"/>
                <w:szCs w:val="18"/>
                <w:lang w:val="en-GB" w:eastAsia="en-US"/>
              </w:rPr>
              <w:tab/>
            </w:r>
            <w:r>
              <w:rPr>
                <w:rFonts w:eastAsia="等线"/>
                <w:sz w:val="18"/>
                <w:szCs w:val="18"/>
                <w:lang w:val="en-GB" w:eastAsia="en-US"/>
              </w:rPr>
              <w:t>The traffic arrival is modelled as a Poisson Arrival Process where inter-arrival times are exponentially distributed, the mean arrival time is P = Y</w:t>
            </w:r>
            <w:r>
              <w:rPr>
                <w:rFonts w:eastAsia="等线"/>
                <w:sz w:val="18"/>
                <w:szCs w:val="18"/>
                <w:vertAlign w:val="subscript"/>
                <w:lang w:val="en-GB" w:eastAsia="en-US"/>
              </w:rPr>
              <w:t xml:space="preserve">REF </w:t>
            </w:r>
            <w:r>
              <w:rPr>
                <w:rFonts w:eastAsia="等线"/>
                <w:sz w:val="18"/>
                <w:szCs w:val="18"/>
                <w:lang w:val="en-GB" w:eastAsia="en-US"/>
              </w:rPr>
              <w:t>/ R</w:t>
            </w:r>
            <w:r>
              <w:rPr>
                <w:rFonts w:eastAsia="等线"/>
                <w:sz w:val="18"/>
                <w:szCs w:val="18"/>
                <w:vertAlign w:val="subscript"/>
                <w:lang w:val="en-GB" w:eastAsia="en-US"/>
              </w:rPr>
              <w:t>E, REF</w:t>
            </w:r>
            <w:r>
              <w:rPr>
                <w:rFonts w:eastAsia="等线"/>
                <w:sz w:val="18"/>
                <w:szCs w:val="18"/>
                <w:lang w:val="en-GB" w:eastAsia="en-US"/>
              </w:rPr>
              <w:t>, where</w:t>
            </w:r>
          </w:p>
          <w:p>
            <w:pPr>
              <w:spacing w:before="120" w:after="0"/>
              <w:ind w:left="851" w:hanging="284"/>
              <w:rPr>
                <w:rFonts w:eastAsia="等线"/>
                <w:sz w:val="18"/>
                <w:szCs w:val="18"/>
                <w:lang w:val="en-GB" w:eastAsia="en-US"/>
              </w:rPr>
            </w:pPr>
            <w:r>
              <w:rPr>
                <w:rFonts w:eastAsia="等线"/>
                <w:sz w:val="18"/>
                <w:szCs w:val="18"/>
                <w:lang w:val="en-GB" w:eastAsia="en-US"/>
              </w:rPr>
              <w:t>-</w:t>
            </w:r>
            <w:r>
              <w:rPr>
                <w:rFonts w:eastAsia="等线"/>
                <w:sz w:val="18"/>
                <w:szCs w:val="18"/>
                <w:lang w:val="en-GB" w:eastAsia="en-US"/>
              </w:rPr>
              <w:tab/>
            </w:r>
            <w:r>
              <w:rPr>
                <w:rFonts w:eastAsia="等线"/>
                <w:sz w:val="18"/>
                <w:szCs w:val="18"/>
                <w:lang w:val="en-GB" w:eastAsia="en-US"/>
              </w:rPr>
              <w:t>R</w:t>
            </w:r>
            <w:r>
              <w:rPr>
                <w:rFonts w:eastAsia="等线"/>
                <w:sz w:val="18"/>
                <w:szCs w:val="18"/>
                <w:vertAlign w:val="subscript"/>
                <w:lang w:val="en-GB" w:eastAsia="en-US"/>
              </w:rPr>
              <w:t>E, REF</w:t>
            </w:r>
            <w:r>
              <w:rPr>
                <w:rFonts w:eastAsia="等线"/>
                <w:sz w:val="18"/>
                <w:szCs w:val="18"/>
                <w:lang w:val="en-GB" w:eastAsia="en-US"/>
              </w:rPr>
              <w:t>= 1%, 0.1%, 0.01% or 0.001% and Y</w:t>
            </w:r>
            <w:r>
              <w:rPr>
                <w:rFonts w:eastAsia="等线"/>
                <w:sz w:val="18"/>
                <w:szCs w:val="18"/>
                <w:vertAlign w:val="subscript"/>
                <w:lang w:val="en-GB" w:eastAsia="en-US"/>
              </w:rPr>
              <w:t>REF</w:t>
            </w:r>
            <w:r>
              <w:rPr>
                <w:rFonts w:eastAsia="等线"/>
                <w:sz w:val="18"/>
                <w:szCs w:val="18"/>
                <w:lang w:val="en-GB" w:eastAsia="en-US"/>
              </w:rPr>
              <w:t xml:space="preserve"> = 1.28s</w:t>
            </w:r>
          </w:p>
          <w:p>
            <w:pPr>
              <w:spacing w:before="120" w:after="0"/>
              <w:ind w:left="851" w:hanging="284"/>
              <w:rPr>
                <w:rFonts w:eastAsia="等线"/>
                <w:sz w:val="18"/>
                <w:szCs w:val="18"/>
                <w:lang w:val="en-GB" w:eastAsia="en-US"/>
              </w:rPr>
            </w:pPr>
            <w:r>
              <w:rPr>
                <w:rFonts w:eastAsia="等线"/>
                <w:sz w:val="18"/>
                <w:szCs w:val="18"/>
                <w:lang w:val="en-GB" w:eastAsia="en-US"/>
              </w:rPr>
              <w:t>-</w:t>
            </w:r>
            <w:r>
              <w:rPr>
                <w:rFonts w:eastAsia="等线"/>
                <w:sz w:val="18"/>
                <w:szCs w:val="18"/>
                <w:lang w:val="en-GB" w:eastAsia="en-US"/>
              </w:rPr>
              <w:tab/>
            </w:r>
            <w:r>
              <w:rPr>
                <w:rFonts w:eastAsia="等线"/>
                <w:sz w:val="18"/>
                <w:szCs w:val="18"/>
                <w:lang w:val="en-GB" w:eastAsia="en-US"/>
              </w:rPr>
              <w:t xml:space="preserve">Per group paging probability </w:t>
            </w:r>
            <w:r>
              <w:rPr>
                <w:rFonts w:eastAsia="Malgun Gothic"/>
                <w:sz w:val="18"/>
                <w:szCs w:val="18"/>
                <w:lang w:val="en-GB"/>
              </w:rPr>
              <w:t>R</w:t>
            </w:r>
            <w:r>
              <w:rPr>
                <w:rFonts w:eastAsia="Malgun Gothic"/>
                <w:sz w:val="18"/>
                <w:szCs w:val="18"/>
                <w:vertAlign w:val="subscript"/>
                <w:lang w:val="en-GB"/>
              </w:rPr>
              <w:t>G</w:t>
            </w:r>
            <w:r>
              <w:rPr>
                <w:rFonts w:eastAsia="Malgun Gothic"/>
                <w:sz w:val="18"/>
                <w:szCs w:val="18"/>
                <w:lang w:val="en-GB"/>
              </w:rPr>
              <w:t xml:space="preserve"> = 1 – (1 – R</w:t>
            </w:r>
            <w:r>
              <w:rPr>
                <w:rFonts w:eastAsia="Malgun Gothic"/>
                <w:sz w:val="18"/>
                <w:szCs w:val="18"/>
                <w:vertAlign w:val="subscript"/>
                <w:lang w:val="en-GB"/>
              </w:rPr>
              <w:t>E</w:t>
            </w:r>
            <w:r>
              <w:rPr>
                <w:rFonts w:eastAsia="Malgun Gothic"/>
                <w:sz w:val="18"/>
                <w:szCs w:val="18"/>
                <w:lang w:val="en-GB"/>
              </w:rPr>
              <w:t>)</w:t>
            </w:r>
            <w:r>
              <w:rPr>
                <w:rFonts w:eastAsia="Malgun Gothic"/>
                <w:sz w:val="18"/>
                <w:szCs w:val="18"/>
                <w:vertAlign w:val="superscript"/>
                <w:lang w:val="en-GB"/>
              </w:rPr>
              <w:t>N</w:t>
            </w:r>
            <w:r>
              <w:rPr>
                <w:rFonts w:eastAsia="Malgun Gothic"/>
                <w:sz w:val="18"/>
                <w:szCs w:val="18"/>
                <w:lang w:val="en-GB"/>
              </w:rPr>
              <w:t xml:space="preserve">, where </w:t>
            </w:r>
            <w:r>
              <w:rPr>
                <w:rFonts w:eastAsia="等线"/>
                <w:sz w:val="18"/>
                <w:szCs w:val="18"/>
                <w:lang w:val="en-GB"/>
              </w:rPr>
              <w:t xml:space="preserve">N </w:t>
            </w:r>
            <w:r>
              <w:rPr>
                <w:rFonts w:eastAsia="Malgun Gothic"/>
                <w:sz w:val="18"/>
                <w:szCs w:val="18"/>
                <w:lang w:val="en-GB"/>
              </w:rPr>
              <w:t>is the number of UEs in the group</w:t>
            </w:r>
          </w:p>
          <w:p>
            <w:pPr>
              <w:spacing w:before="120" w:after="0"/>
              <w:ind w:left="1135" w:hanging="284"/>
              <w:rPr>
                <w:rFonts w:eastAsia="等线"/>
                <w:sz w:val="18"/>
                <w:szCs w:val="18"/>
                <w:lang w:val="en-GB" w:eastAsia="en-US"/>
              </w:rPr>
            </w:pPr>
            <w:r>
              <w:rPr>
                <w:rFonts w:eastAsia="等线"/>
                <w:sz w:val="18"/>
                <w:szCs w:val="18"/>
                <w:lang w:val="en-GB" w:eastAsia="en-US"/>
              </w:rPr>
              <w:t>-</w:t>
            </w:r>
            <w:r>
              <w:rPr>
                <w:rFonts w:eastAsia="等线"/>
                <w:sz w:val="18"/>
                <w:szCs w:val="18"/>
                <w:lang w:val="en-GB" w:eastAsia="en-US"/>
              </w:rPr>
              <w:tab/>
            </w:r>
            <w:r>
              <w:rPr>
                <w:rFonts w:eastAsia="等线"/>
                <w:sz w:val="18"/>
                <w:szCs w:val="18"/>
                <w:lang w:val="en-GB" w:eastAsia="en-US"/>
              </w:rPr>
              <w:t>FFS: Value of N</w:t>
            </w:r>
          </w:p>
          <w:p>
            <w:pPr>
              <w:spacing w:before="120" w:after="0"/>
              <w:ind w:left="568" w:hanging="284"/>
              <w:rPr>
                <w:rFonts w:eastAsia="等线"/>
                <w:sz w:val="18"/>
                <w:szCs w:val="18"/>
                <w:lang w:val="en-GB" w:eastAsia="en-US"/>
              </w:rPr>
            </w:pPr>
            <w:r>
              <w:rPr>
                <w:rFonts w:eastAsia="等线"/>
                <w:sz w:val="18"/>
                <w:szCs w:val="18"/>
                <w:lang w:val="en-GB" w:eastAsia="en-US"/>
              </w:rPr>
              <w:t>-</w:t>
            </w:r>
            <w:r>
              <w:rPr>
                <w:rFonts w:eastAsia="等线"/>
                <w:sz w:val="18"/>
                <w:szCs w:val="18"/>
                <w:lang w:val="en-GB" w:eastAsia="en-US"/>
              </w:rPr>
              <w:tab/>
            </w:r>
            <w:r>
              <w:rPr>
                <w:rFonts w:eastAsia="等线"/>
                <w:sz w:val="18"/>
                <w:szCs w:val="18"/>
                <w:lang w:val="en-GB" w:eastAsia="en-US"/>
              </w:rPr>
              <w:t>For LP-WUS</w:t>
            </w:r>
          </w:p>
          <w:p>
            <w:pPr>
              <w:spacing w:before="120" w:after="0"/>
              <w:ind w:left="851" w:hanging="284"/>
            </w:pPr>
            <w:r>
              <w:rPr>
                <w:rFonts w:eastAsia="等线"/>
                <w:sz w:val="18"/>
                <w:szCs w:val="18"/>
                <w:lang w:val="en-GB" w:eastAsia="en-US"/>
              </w:rPr>
              <w:t>-</w:t>
            </w:r>
            <w:r>
              <w:rPr>
                <w:rFonts w:eastAsia="等线"/>
                <w:sz w:val="18"/>
                <w:szCs w:val="18"/>
                <w:lang w:val="en-GB" w:eastAsia="en-US"/>
              </w:rPr>
              <w:tab/>
            </w:r>
            <w:r>
              <w:rPr>
                <w:rFonts w:eastAsia="等线"/>
                <w:sz w:val="18"/>
                <w:szCs w:val="18"/>
                <w:lang w:val="en-GB" w:eastAsia="en-US"/>
              </w:rPr>
              <w:t>Both per group and UE paging can be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9" w:type="dxa"/>
          </w:tcPr>
          <w:p>
            <w:pPr>
              <w:pStyle w:val="18"/>
              <w:spacing w:before="120"/>
              <w:rPr>
                <w:rFonts w:eastAsia="等线"/>
                <w:sz w:val="18"/>
                <w:szCs w:val="18"/>
                <w:lang w:val="en-GB" w:eastAsia="en-US"/>
              </w:rPr>
            </w:pPr>
          </w:p>
        </w:tc>
        <w:tc>
          <w:tcPr>
            <w:tcW w:w="7488" w:type="dxa"/>
          </w:tcPr>
          <w:p>
            <w:pPr>
              <w:pStyle w:val="18"/>
              <w:spacing w:before="120"/>
            </w:pPr>
            <w:r>
              <w:rPr>
                <w:rFonts w:eastAsia="等线"/>
                <w:sz w:val="18"/>
                <w:szCs w:val="18"/>
              </w:rPr>
              <w:t xml:space="preserve">Probability for wake-up groups in </w:t>
            </w:r>
            <w:r>
              <w:rPr>
                <w:rFonts w:eastAsia="等线"/>
                <w:sz w:val="18"/>
                <w:szCs w:val="18"/>
                <w:lang w:val="en-GB" w:eastAsia="en-US"/>
              </w:rPr>
              <w:t>Y</w:t>
            </w:r>
            <w:r>
              <w:rPr>
                <w:rFonts w:eastAsia="等线"/>
                <w:sz w:val="18"/>
                <w:szCs w:val="18"/>
                <w:vertAlign w:val="subscript"/>
                <w:lang w:val="en-GB" w:eastAsia="en-US"/>
              </w:rPr>
              <w:t>REF</w:t>
            </w:r>
            <w:r>
              <w:rPr>
                <w:rFonts w:eastAsia="等线"/>
                <w:sz w:val="18"/>
                <w:szCs w:val="18"/>
                <w:lang w:val="en-GB" w:eastAsia="en-US"/>
              </w:rPr>
              <w:t xml:space="preserve"> = 1.28s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9" w:type="dxa"/>
          </w:tcPr>
          <w:p>
            <w:pPr>
              <w:pStyle w:val="18"/>
              <w:spacing w:before="120"/>
            </w:pPr>
            <w:r>
              <w:t>R_E=0.00001</w:t>
            </w:r>
          </w:p>
        </w:tc>
        <w:tc>
          <w:tcPr>
            <w:tcW w:w="7488" w:type="dxa"/>
          </w:tcPr>
          <w:p>
            <w:pPr>
              <w:pStyle w:val="18"/>
              <w:spacing w:before="120"/>
              <w:jc w:val="center"/>
            </w:pPr>
            <w:r>
              <w:drawing>
                <wp:inline distT="0" distB="0" distL="114300" distR="114300">
                  <wp:extent cx="2715260" cy="2054860"/>
                  <wp:effectExtent l="0" t="0" r="8890" b="2540"/>
                  <wp:docPr id="3" name="图片 3"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1"/>
                          <pic:cNvPicPr>
                            <a:picLocks noChangeAspect="1"/>
                          </pic:cNvPicPr>
                        </pic:nvPicPr>
                        <pic:blipFill>
                          <a:blip r:embed="rId12"/>
                          <a:stretch>
                            <a:fillRect/>
                          </a:stretch>
                        </pic:blipFill>
                        <pic:spPr>
                          <a:xfrm>
                            <a:off x="0" y="0"/>
                            <a:ext cx="2715260" cy="2054860"/>
                          </a:xfrm>
                          <a:prstGeom prst="rect">
                            <a:avLst/>
                          </a:prstGeom>
                        </pic:spPr>
                      </pic:pic>
                    </a:graphicData>
                  </a:graphic>
                </wp:inline>
              </w:drawing>
            </w:r>
          </w:p>
          <w:p>
            <w:pPr>
              <w:pStyle w:val="18"/>
              <w:spacing w:before="120"/>
              <w:jc w:val="center"/>
            </w:pPr>
            <w:r>
              <w:t>Average:0.1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9" w:type="dxa"/>
          </w:tcPr>
          <w:p>
            <w:pPr>
              <w:pStyle w:val="18"/>
              <w:spacing w:before="120"/>
            </w:pPr>
            <w:r>
              <w:t>R_E=0.0001</w:t>
            </w:r>
          </w:p>
        </w:tc>
        <w:tc>
          <w:tcPr>
            <w:tcW w:w="7488" w:type="dxa"/>
          </w:tcPr>
          <w:p>
            <w:pPr>
              <w:pStyle w:val="18"/>
              <w:spacing w:before="120"/>
              <w:jc w:val="center"/>
            </w:pPr>
            <w:r>
              <w:drawing>
                <wp:inline distT="0" distB="0" distL="114300" distR="114300">
                  <wp:extent cx="2741295" cy="2055495"/>
                  <wp:effectExtent l="0" t="0" r="1905" b="1905"/>
                  <wp:docPr id="6" name="图片 6" descr="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1"/>
                          <pic:cNvPicPr>
                            <a:picLocks noChangeAspect="1"/>
                          </pic:cNvPicPr>
                        </pic:nvPicPr>
                        <pic:blipFill>
                          <a:blip r:embed="rId13"/>
                          <a:stretch>
                            <a:fillRect/>
                          </a:stretch>
                        </pic:blipFill>
                        <pic:spPr>
                          <a:xfrm>
                            <a:off x="0" y="0"/>
                            <a:ext cx="2741295" cy="2055495"/>
                          </a:xfrm>
                          <a:prstGeom prst="rect">
                            <a:avLst/>
                          </a:prstGeom>
                        </pic:spPr>
                      </pic:pic>
                    </a:graphicData>
                  </a:graphic>
                </wp:inline>
              </w:drawing>
            </w:r>
          </w:p>
          <w:p>
            <w:pPr>
              <w:pStyle w:val="18"/>
              <w:spacing w:before="120"/>
              <w:jc w:val="center"/>
            </w:pPr>
            <w:r>
              <w:t>Average:0.9996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9" w:type="dxa"/>
          </w:tcPr>
          <w:p>
            <w:pPr>
              <w:pStyle w:val="18"/>
              <w:spacing w:before="120"/>
            </w:pPr>
            <w:r>
              <w:t>R_E=0.001</w:t>
            </w:r>
          </w:p>
        </w:tc>
        <w:tc>
          <w:tcPr>
            <w:tcW w:w="7488" w:type="dxa"/>
          </w:tcPr>
          <w:p>
            <w:pPr>
              <w:pStyle w:val="18"/>
              <w:spacing w:before="120"/>
              <w:jc w:val="center"/>
            </w:pPr>
            <w:r>
              <w:drawing>
                <wp:inline distT="0" distB="0" distL="114300" distR="114300">
                  <wp:extent cx="2865755" cy="2148840"/>
                  <wp:effectExtent l="0" t="0" r="10795" b="3810"/>
                  <wp:docPr id="9" name="图片 9" descr="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3-1"/>
                          <pic:cNvPicPr>
                            <a:picLocks noChangeAspect="1"/>
                          </pic:cNvPicPr>
                        </pic:nvPicPr>
                        <pic:blipFill>
                          <a:blip r:embed="rId14"/>
                          <a:stretch>
                            <a:fillRect/>
                          </a:stretch>
                        </pic:blipFill>
                        <pic:spPr>
                          <a:xfrm>
                            <a:off x="0" y="0"/>
                            <a:ext cx="2865755" cy="2148840"/>
                          </a:xfrm>
                          <a:prstGeom prst="rect">
                            <a:avLst/>
                          </a:prstGeom>
                        </pic:spPr>
                      </pic:pic>
                    </a:graphicData>
                  </a:graphic>
                </wp:inline>
              </w:drawing>
            </w:r>
          </w:p>
          <w:p>
            <w:pPr>
              <w:pStyle w:val="18"/>
              <w:spacing w:before="120"/>
              <w:jc w:val="center"/>
            </w:pPr>
            <w:r>
              <w:t>Average:9.9551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9" w:type="dxa"/>
          </w:tcPr>
          <w:p>
            <w:pPr>
              <w:pStyle w:val="18"/>
              <w:spacing w:before="120"/>
            </w:pPr>
            <w:r>
              <w:t>R_E=0.01</w:t>
            </w:r>
          </w:p>
        </w:tc>
        <w:tc>
          <w:tcPr>
            <w:tcW w:w="7488" w:type="dxa"/>
          </w:tcPr>
          <w:p>
            <w:pPr>
              <w:pStyle w:val="18"/>
              <w:spacing w:before="120"/>
              <w:jc w:val="center"/>
            </w:pPr>
            <w:r>
              <w:drawing>
                <wp:inline distT="0" distB="0" distL="114300" distR="114300">
                  <wp:extent cx="2850515" cy="2137410"/>
                  <wp:effectExtent l="0" t="0" r="6985" b="15240"/>
                  <wp:docPr id="12" name="图片 12" descr="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4-1"/>
                          <pic:cNvPicPr>
                            <a:picLocks noChangeAspect="1"/>
                          </pic:cNvPicPr>
                        </pic:nvPicPr>
                        <pic:blipFill>
                          <a:blip r:embed="rId15"/>
                          <a:stretch>
                            <a:fillRect/>
                          </a:stretch>
                        </pic:blipFill>
                        <pic:spPr>
                          <a:xfrm>
                            <a:off x="0" y="0"/>
                            <a:ext cx="2850515" cy="2137410"/>
                          </a:xfrm>
                          <a:prstGeom prst="rect">
                            <a:avLst/>
                          </a:prstGeom>
                        </pic:spPr>
                      </pic:pic>
                    </a:graphicData>
                  </a:graphic>
                </wp:inline>
              </w:drawing>
            </w:r>
          </w:p>
          <w:p>
            <w:pPr>
              <w:pStyle w:val="18"/>
              <w:spacing w:before="120"/>
              <w:jc w:val="center"/>
            </w:pPr>
            <w:r>
              <w:t>Average:95.6179 groups</w:t>
            </w:r>
          </w:p>
        </w:tc>
      </w:tr>
    </w:tbl>
    <w:p>
      <w:pPr>
        <w:spacing w:before="120" w:afterLines="50" w:line="276" w:lineRule="auto"/>
      </w:pPr>
      <w:r>
        <w:rPr>
          <w:rFonts w:hint="eastAsia"/>
        </w:rPr>
        <w:t xml:space="preserve">If the number of groups increases, the probability for multi-groups wake-up would also increase. </w:t>
      </w:r>
    </w:p>
    <w:p>
      <w:pPr>
        <w:spacing w:before="120" w:afterLines="50" w:line="276" w:lineRule="auto"/>
        <w:rPr>
          <w:b/>
          <w:bCs/>
          <w:i/>
          <w:iCs/>
        </w:rPr>
      </w:pPr>
      <w:r>
        <w:rPr>
          <w:rFonts w:hint="eastAsia"/>
          <w:b/>
          <w:bCs/>
          <w:i/>
          <w:iCs/>
        </w:rPr>
        <w:t xml:space="preserve">Observation 1: </w:t>
      </w:r>
    </w:p>
    <w:p>
      <w:pPr>
        <w:numPr>
          <w:ilvl w:val="0"/>
          <w:numId w:val="11"/>
        </w:numPr>
        <w:spacing w:before="120" w:afterLines="50" w:line="276" w:lineRule="auto"/>
        <w:rPr>
          <w:b/>
          <w:bCs/>
          <w:i/>
          <w:iCs/>
        </w:rPr>
      </w:pPr>
      <w:r>
        <w:rPr>
          <w:rFonts w:hint="eastAsia"/>
          <w:b/>
          <w:bCs/>
          <w:i/>
          <w:iCs/>
        </w:rPr>
        <w:t>With the R_E increasing, the peak probability position for a number of groups wake-up increases, and the average number of wake-up groups increases.</w:t>
      </w:r>
    </w:p>
    <w:p>
      <w:pPr>
        <w:numPr>
          <w:ilvl w:val="0"/>
          <w:numId w:val="11"/>
        </w:numPr>
        <w:spacing w:before="120" w:afterLines="50" w:line="276" w:lineRule="auto"/>
        <w:rPr>
          <w:b/>
          <w:bCs/>
          <w:i/>
          <w:iCs/>
        </w:rPr>
      </w:pPr>
      <w:r>
        <w:rPr>
          <w:rFonts w:hint="eastAsia"/>
          <w:b/>
          <w:bCs/>
          <w:i/>
          <w:iCs/>
        </w:rPr>
        <w:t>With the number of groups increases, the probability for multiple groups wake-up would increase</w:t>
      </w:r>
    </w:p>
    <w:p>
      <w:pPr>
        <w:spacing w:before="120" w:afterLines="50" w:line="276" w:lineRule="auto"/>
      </w:pPr>
      <w:r>
        <w:rPr>
          <w:rFonts w:hint="eastAsia"/>
        </w:rPr>
        <w:t>More specifically, for R_E=0.00001, one group case indicated by LP-WUS could be focused. For R_E=0.0001, at least two groups wake-up case should be focused. For R_E=0.001 and 0.01, more groups ha</w:t>
      </w:r>
      <w:r>
        <w:t>ve</w:t>
      </w:r>
      <w:r>
        <w:rPr>
          <w:rFonts w:hint="eastAsia"/>
        </w:rPr>
        <w:t xml:space="preserve"> relative</w:t>
      </w:r>
      <w:r>
        <w:t>ly</w:t>
      </w:r>
      <w:r>
        <w:rPr>
          <w:rFonts w:hint="eastAsia"/>
        </w:rPr>
        <w:t xml:space="preserve"> high probability to be waken-up. </w:t>
      </w:r>
    </w:p>
    <w:p>
      <w:pPr>
        <w:spacing w:before="120" w:afterLines="50" w:line="276" w:lineRule="auto"/>
      </w:pPr>
      <w:r>
        <w:rPr>
          <w:rFonts w:hint="eastAsia"/>
        </w:rPr>
        <w:t>If more than 1000groups are considered</w:t>
      </w:r>
      <w:r>
        <w:t xml:space="preserve"> and</w:t>
      </w:r>
      <w:r>
        <w:rPr>
          <w:rFonts w:hint="eastAsia"/>
        </w:rPr>
        <w:t xml:space="preserve"> NR UE with paging rate 0.01 is considered, one LP-WUS for multiple groups wake-up should be considered, at least two groups.</w:t>
      </w:r>
    </w:p>
    <w:p>
      <w:pPr>
        <w:spacing w:before="120" w:afterLines="50" w:line="276" w:lineRule="auto"/>
      </w:pPr>
      <w:r>
        <w:rPr>
          <w:rFonts w:hint="eastAsia"/>
        </w:rPr>
        <w:t>For OOK based LP-WUS information</w:t>
      </w:r>
      <w:r>
        <w:rPr>
          <w:rFonts w:hint="eastAsia"/>
          <w:bCs/>
          <w:color w:val="000000"/>
        </w:rPr>
        <w:t>, CRC is necessary for OOK based LP-WUS information transmission.</w:t>
      </w:r>
      <w:r>
        <w:t xml:space="preserve"> The CRC can be used to </w:t>
      </w:r>
      <w:r>
        <w:rPr>
          <w:rFonts w:hint="eastAsia"/>
        </w:rPr>
        <w:t>guarantee</w:t>
      </w:r>
      <w:r>
        <w:t xml:space="preserve"> FAR</w:t>
      </w:r>
      <w:r>
        <w:rPr>
          <w:rFonts w:hint="eastAsia"/>
        </w:rPr>
        <w:t xml:space="preserve"> depending on the length of CRC bits. </w:t>
      </w:r>
      <w:r>
        <w:t xml:space="preserve">For example, if 10-bit CRC is used, the FAR is approximately equal to 0.1% and the FAR is approximately equal to 0.4% if CRC length is 8. </w:t>
      </w:r>
      <w:r>
        <w:rPr>
          <w:rFonts w:hint="eastAsia"/>
        </w:rPr>
        <w:t xml:space="preserve">Considering that at least wake-up information for at least one UE (group) is carried by LP-WUS, CRC is necessary to be added to reduce the unnecessary wake-up. </w:t>
      </w:r>
    </w:p>
    <w:p>
      <w:pPr>
        <w:spacing w:before="120" w:afterLines="50" w:line="276" w:lineRule="auto"/>
      </w:pPr>
      <w:bookmarkStart w:id="12" w:name="OLE_LINK14"/>
      <w:r>
        <w:rPr>
          <w:rFonts w:hint="eastAsia"/>
        </w:rPr>
        <w:t xml:space="preserve">For </w:t>
      </w:r>
      <w:bookmarkStart w:id="13" w:name="OLE_LINK9"/>
      <w:r>
        <w:rPr>
          <w:rFonts w:hint="eastAsia"/>
        </w:rPr>
        <w:t>OFDM sequence based LP-WUS information</w:t>
      </w:r>
      <w:bookmarkEnd w:id="12"/>
      <w:bookmarkEnd w:id="13"/>
      <w:r>
        <w:rPr>
          <w:rFonts w:hint="eastAsia"/>
        </w:rPr>
        <w:t>, contents of information is the same as OOK based LP-WUS information. I</w:t>
      </w:r>
      <w:r>
        <w:rPr>
          <w:rFonts w:hint="eastAsia" w:eastAsiaTheme="minorEastAsia"/>
          <w:kern w:val="2"/>
          <w:szCs w:val="20"/>
        </w:rPr>
        <w:t xml:space="preserve">n order to </w:t>
      </w:r>
      <w:r>
        <w:rPr>
          <w:rFonts w:eastAsiaTheme="minorEastAsia"/>
          <w:kern w:val="2"/>
          <w:szCs w:val="20"/>
        </w:rPr>
        <w:t xml:space="preserve">reduce complexity </w:t>
      </w:r>
      <w:r>
        <w:rPr>
          <w:rFonts w:hint="eastAsia" w:eastAsiaTheme="minorEastAsia"/>
          <w:kern w:val="2"/>
          <w:szCs w:val="20"/>
        </w:rPr>
        <w:t>of s</w:t>
      </w:r>
      <w:r>
        <w:rPr>
          <w:rFonts w:eastAsiaTheme="minorEastAsia"/>
          <w:kern w:val="2"/>
          <w:szCs w:val="20"/>
        </w:rPr>
        <w:t xml:space="preserve">equence </w:t>
      </w:r>
      <w:r>
        <w:rPr>
          <w:rFonts w:hint="eastAsia" w:eastAsiaTheme="minorEastAsia"/>
          <w:kern w:val="2"/>
          <w:szCs w:val="20"/>
        </w:rPr>
        <w:t>c</w:t>
      </w:r>
      <w:r>
        <w:rPr>
          <w:rFonts w:eastAsiaTheme="minorEastAsia"/>
          <w:kern w:val="2"/>
          <w:szCs w:val="20"/>
        </w:rPr>
        <w:t xml:space="preserve">orrelation and </w:t>
      </w:r>
      <w:r>
        <w:rPr>
          <w:rFonts w:hint="eastAsia" w:eastAsiaTheme="minorEastAsia"/>
          <w:kern w:val="2"/>
          <w:szCs w:val="20"/>
        </w:rPr>
        <w:t>achieve good s</w:t>
      </w:r>
      <w:r>
        <w:rPr>
          <w:rFonts w:eastAsiaTheme="minorEastAsia"/>
          <w:kern w:val="2"/>
          <w:szCs w:val="20"/>
        </w:rPr>
        <w:t xml:space="preserve">equence detection </w:t>
      </w:r>
      <w:r>
        <w:rPr>
          <w:rFonts w:hint="eastAsia" w:eastAsiaTheme="minorEastAsia"/>
          <w:kern w:val="2"/>
          <w:szCs w:val="20"/>
        </w:rPr>
        <w:t>performance</w:t>
      </w:r>
      <w:r>
        <w:rPr>
          <w:rFonts w:eastAsiaTheme="minorEastAsia"/>
          <w:kern w:val="2"/>
          <w:szCs w:val="20"/>
        </w:rPr>
        <w:t xml:space="preserve">, it is recommended that the number of </w:t>
      </w:r>
      <w:r>
        <w:rPr>
          <w:rFonts w:hint="eastAsia" w:eastAsiaTheme="minorEastAsia"/>
          <w:kern w:val="2"/>
          <w:szCs w:val="20"/>
        </w:rPr>
        <w:t>OFDM sequences</w:t>
      </w:r>
      <w:r>
        <w:rPr>
          <w:rFonts w:eastAsiaTheme="minorEastAsia"/>
          <w:kern w:val="2"/>
          <w:szCs w:val="20"/>
        </w:rPr>
        <w:t xml:space="preserve"> </w:t>
      </w:r>
      <w:r>
        <w:rPr>
          <w:rFonts w:hint="eastAsia" w:eastAsiaTheme="minorEastAsia"/>
          <w:kern w:val="2"/>
          <w:szCs w:val="20"/>
        </w:rPr>
        <w:t>overlaid over one</w:t>
      </w:r>
      <w:r>
        <w:rPr>
          <w:rFonts w:eastAsiaTheme="minorEastAsia"/>
          <w:kern w:val="2"/>
          <w:szCs w:val="20"/>
        </w:rPr>
        <w:t xml:space="preserve"> </w:t>
      </w:r>
      <w:r>
        <w:rPr>
          <w:rFonts w:hint="eastAsia" w:eastAsiaTheme="minorEastAsia"/>
          <w:kern w:val="2"/>
          <w:szCs w:val="20"/>
        </w:rPr>
        <w:t xml:space="preserve">OOK-ON </w:t>
      </w:r>
      <w:r>
        <w:rPr>
          <w:rFonts w:eastAsiaTheme="minorEastAsia"/>
          <w:kern w:val="2"/>
          <w:szCs w:val="20"/>
        </w:rPr>
        <w:t>symbol</w:t>
      </w:r>
      <w:r>
        <w:rPr>
          <w:rFonts w:hint="eastAsia" w:eastAsiaTheme="minorEastAsia"/>
          <w:kern w:val="2"/>
          <w:szCs w:val="20"/>
        </w:rPr>
        <w:t xml:space="preserve"> </w:t>
      </w:r>
      <w:r>
        <w:rPr>
          <w:rFonts w:eastAsiaTheme="minorEastAsia"/>
          <w:kern w:val="2"/>
          <w:szCs w:val="20"/>
        </w:rPr>
        <w:t>should not be too large.</w:t>
      </w:r>
      <w:r>
        <w:rPr>
          <w:rFonts w:hint="eastAsia" w:eastAsiaTheme="minorEastAsia"/>
          <w:kern w:val="2"/>
          <w:szCs w:val="20"/>
        </w:rPr>
        <w:t xml:space="preserve"> </w:t>
      </w:r>
      <w:r>
        <w:rPr>
          <w:rFonts w:eastAsiaTheme="minorEastAsia"/>
          <w:kern w:val="2"/>
          <w:szCs w:val="20"/>
        </w:rPr>
        <w:t xml:space="preserve">For example, four </w:t>
      </w:r>
      <w:r>
        <w:rPr>
          <w:rFonts w:hint="eastAsia" w:eastAsiaTheme="minorEastAsia"/>
          <w:kern w:val="2"/>
          <w:szCs w:val="20"/>
        </w:rPr>
        <w:t>OFDM sequences</w:t>
      </w:r>
      <w:r>
        <w:rPr>
          <w:rFonts w:eastAsiaTheme="minorEastAsia"/>
          <w:kern w:val="2"/>
          <w:szCs w:val="20"/>
        </w:rPr>
        <w:t xml:space="preserve"> carry</w:t>
      </w:r>
      <w:r>
        <w:rPr>
          <w:rFonts w:hint="eastAsia" w:eastAsiaTheme="minorEastAsia"/>
          <w:kern w:val="2"/>
          <w:szCs w:val="20"/>
        </w:rPr>
        <w:t>ing</w:t>
      </w:r>
      <w:r>
        <w:rPr>
          <w:rFonts w:eastAsiaTheme="minorEastAsia"/>
          <w:kern w:val="2"/>
          <w:szCs w:val="20"/>
        </w:rPr>
        <w:t xml:space="preserve"> 2 bit information</w:t>
      </w:r>
      <w:r>
        <w:rPr>
          <w:rFonts w:hint="eastAsia" w:eastAsiaTheme="minorEastAsia"/>
          <w:kern w:val="2"/>
          <w:szCs w:val="20"/>
        </w:rPr>
        <w:t xml:space="preserve"> could be considered</w:t>
      </w:r>
      <w:r>
        <w:rPr>
          <w:rFonts w:eastAsiaTheme="minorEastAsia"/>
          <w:kern w:val="2"/>
          <w:szCs w:val="20"/>
        </w:rPr>
        <w:t>.</w:t>
      </w:r>
      <w:r>
        <w:rPr>
          <w:rFonts w:hint="eastAsia" w:eastAsiaTheme="minorEastAsia"/>
          <w:kern w:val="2"/>
          <w:szCs w:val="20"/>
        </w:rPr>
        <w:t xml:space="preserve"> Thus, a few OOK-ON symbols are necessary to carry </w:t>
      </w:r>
      <w:r>
        <w:rPr>
          <w:rFonts w:hint="eastAsia"/>
        </w:rPr>
        <w:t>OFDM sequence based LP-WUS information.</w:t>
      </w:r>
      <w:r>
        <w:t xml:space="preserve"> </w:t>
      </w:r>
      <w:r>
        <w:rPr>
          <w:rFonts w:hint="eastAsia"/>
        </w:rPr>
        <w:t>In order to ensure a lower FAR, adding CRC is also can be considered.</w:t>
      </w:r>
    </w:p>
    <w:p>
      <w:pPr>
        <w:spacing w:before="120" w:afterLines="50" w:line="276" w:lineRule="auto"/>
        <w:rPr>
          <w:b/>
          <w:bCs/>
          <w:i/>
          <w:iCs/>
        </w:rPr>
      </w:pPr>
      <w:r>
        <w:rPr>
          <w:rFonts w:hint="eastAsia"/>
          <w:b/>
          <w:bCs/>
          <w:i/>
          <w:iCs/>
        </w:rPr>
        <w:t>Proposal 3: For LP-WUS in RRC_IDLE/INACTIVE mode, payload content include:</w:t>
      </w:r>
    </w:p>
    <w:p>
      <w:pPr>
        <w:numPr>
          <w:ilvl w:val="0"/>
          <w:numId w:val="12"/>
        </w:numPr>
        <w:spacing w:before="120" w:afterLines="50" w:line="276" w:lineRule="auto"/>
        <w:rPr>
          <w:b/>
          <w:bCs/>
          <w:i/>
          <w:iCs/>
        </w:rPr>
      </w:pPr>
      <w:r>
        <w:rPr>
          <w:rFonts w:hint="eastAsia"/>
          <w:b/>
          <w:bCs/>
          <w:i/>
          <w:iCs/>
        </w:rPr>
        <w:t xml:space="preserve">At least one or two UE groups indicated via LP-WUS could be considered </w:t>
      </w:r>
    </w:p>
    <w:p>
      <w:pPr>
        <w:numPr>
          <w:ilvl w:val="0"/>
          <w:numId w:val="12"/>
        </w:numPr>
        <w:spacing w:before="120" w:afterLines="50" w:line="276" w:lineRule="auto"/>
        <w:rPr>
          <w:b/>
          <w:bCs/>
          <w:i/>
          <w:iCs/>
        </w:rPr>
      </w:pPr>
      <w:r>
        <w:rPr>
          <w:rFonts w:hint="eastAsia"/>
          <w:b/>
          <w:bCs/>
          <w:i/>
          <w:iCs/>
        </w:rPr>
        <w:t>8-bit CRC could be a starting point</w:t>
      </w:r>
    </w:p>
    <w:bookmarkEnd w:id="11"/>
    <w:p>
      <w:pPr>
        <w:pStyle w:val="3"/>
        <w:spacing w:before="120"/>
        <w:rPr>
          <w:lang w:val="en-US"/>
        </w:rPr>
      </w:pPr>
      <w:r>
        <w:rPr>
          <w:rFonts w:hint="eastAsia"/>
          <w:lang w:val="en-US"/>
        </w:rPr>
        <w:t>Dynamic PO</w:t>
      </w:r>
    </w:p>
    <w:p>
      <w:pPr>
        <w:spacing w:before="120" w:beforeLines="0" w:line="276" w:lineRule="auto"/>
        <w:rPr>
          <w:rFonts w:cs="Malgun Gothic"/>
          <w:lang w:bidi="ar"/>
        </w:rPr>
      </w:pPr>
      <w:r>
        <w:rPr>
          <w:rFonts w:hint="eastAsia" w:cs="Malgun Gothic"/>
          <w:lang w:bidi="ar"/>
        </w:rPr>
        <w:t xml:space="preserve">After waked up by LP-WUS and subsequent DL </w:t>
      </w:r>
      <w:bookmarkStart w:id="14" w:name="OLE_LINK53"/>
      <w:r>
        <w:rPr>
          <w:rFonts w:hint="eastAsia"/>
          <w:szCs w:val="20"/>
        </w:rPr>
        <w:t>sync/re-sync</w:t>
      </w:r>
      <w:bookmarkEnd w:id="14"/>
      <w:r>
        <w:rPr>
          <w:rFonts w:hint="eastAsia" w:cs="Malgun Gothic"/>
          <w:lang w:bidi="ar"/>
        </w:rPr>
        <w:t xml:space="preserve">, the UE </w:t>
      </w:r>
      <w:r>
        <w:rPr>
          <w:rFonts w:eastAsia="PMingLiU" w:cs="Malgun Gothic"/>
          <w:lang w:bidi="ar"/>
        </w:rPr>
        <w:t xml:space="preserve">needs to monitor </w:t>
      </w:r>
      <w:r>
        <w:rPr>
          <w:rFonts w:hint="eastAsia" w:cs="Malgun Gothic"/>
          <w:lang w:bidi="ar"/>
        </w:rPr>
        <w:t>the corresponding</w:t>
      </w:r>
      <w:r>
        <w:rPr>
          <w:rFonts w:eastAsia="PMingLiU" w:cs="Malgun Gothic"/>
          <w:lang w:bidi="ar"/>
        </w:rPr>
        <w:t xml:space="preserve"> PO</w:t>
      </w:r>
      <w:r>
        <w:rPr>
          <w:rFonts w:hint="eastAsia" w:cs="Malgun Gothic"/>
          <w:lang w:bidi="ar"/>
        </w:rPr>
        <w:t xml:space="preserve">. Since the location of the PO is determined by legacy NR paging procedure, it is not easy to reduce the latency from LP-WUS detection to paging monitoring on the corresponding PO. </w:t>
      </w:r>
    </w:p>
    <w:p>
      <w:pPr>
        <w:spacing w:before="120" w:beforeLines="0" w:line="276" w:lineRule="auto"/>
        <w:rPr>
          <w:rFonts w:cs="Malgun Gothic"/>
          <w:lang w:bidi="ar"/>
        </w:rPr>
      </w:pPr>
      <w:r>
        <w:rPr>
          <w:rFonts w:hint="eastAsia" w:cs="Malgun Gothic"/>
          <w:lang w:bidi="ar"/>
        </w:rPr>
        <w:t xml:space="preserve">For example, </w:t>
      </w:r>
      <w:bookmarkStart w:id="15" w:name="OLE_LINK48"/>
      <w:r>
        <w:rPr>
          <w:rFonts w:hint="eastAsia" w:cs="Malgun Gothic"/>
          <w:lang w:bidi="ar"/>
        </w:rPr>
        <w:t xml:space="preserve">as shown in Figure </w:t>
      </w:r>
      <w:bookmarkEnd w:id="15"/>
      <w:r>
        <w:rPr>
          <w:rFonts w:hint="eastAsia" w:cs="Malgun Gothic"/>
          <w:lang w:bidi="ar"/>
        </w:rPr>
        <w:t>1, the latency consists of t</w:t>
      </w:r>
      <w:r>
        <w:rPr>
          <w:rFonts w:hint="eastAsia"/>
          <w:szCs w:val="20"/>
        </w:rPr>
        <w:t xml:space="preserve">hree parts, that is, ramp up time from LR to MR, time for </w:t>
      </w:r>
      <w:bookmarkStart w:id="16" w:name="OLE_LINK47"/>
      <w:r>
        <w:rPr>
          <w:rFonts w:hint="eastAsia"/>
          <w:szCs w:val="20"/>
        </w:rPr>
        <w:t>sync/re-sync</w:t>
      </w:r>
      <w:bookmarkEnd w:id="16"/>
      <w:r>
        <w:rPr>
          <w:rFonts w:hint="eastAsia"/>
          <w:szCs w:val="20"/>
        </w:rPr>
        <w:t xml:space="preserve"> and the time interval from sync/re-sync to legacy PO. </w:t>
      </w:r>
      <w:r>
        <w:rPr>
          <w:rFonts w:hint="eastAsia" w:cs="Malgun Gothic"/>
          <w:lang w:bidi="ar"/>
        </w:rPr>
        <w:t xml:space="preserve">So </w:t>
      </w:r>
      <w:r>
        <w:rPr>
          <w:rFonts w:hint="eastAsia"/>
          <w:szCs w:val="20"/>
        </w:rPr>
        <w:t>the latency T</w:t>
      </w:r>
      <w:r>
        <w:rPr>
          <w:rFonts w:hint="eastAsia"/>
          <w:szCs w:val="20"/>
          <w:vertAlign w:val="subscript"/>
        </w:rPr>
        <w:t>1</w:t>
      </w:r>
      <w:r>
        <w:rPr>
          <w:rFonts w:hint="eastAsia"/>
          <w:szCs w:val="20"/>
        </w:rPr>
        <w:t>=</w:t>
      </w:r>
      <w:bookmarkStart w:id="17" w:name="OLE_LINK51"/>
      <w:r>
        <w:rPr>
          <w:rFonts w:hint="eastAsia"/>
          <w:szCs w:val="20"/>
        </w:rPr>
        <w:t>T</w:t>
      </w:r>
      <w:r>
        <w:rPr>
          <w:rFonts w:hint="eastAsia"/>
          <w:szCs w:val="20"/>
          <w:vertAlign w:val="subscript"/>
        </w:rPr>
        <w:t>x</w:t>
      </w:r>
      <w:bookmarkEnd w:id="17"/>
      <w:r>
        <w:rPr>
          <w:rFonts w:hint="eastAsia"/>
          <w:szCs w:val="20"/>
        </w:rPr>
        <w:t>+T</w:t>
      </w:r>
      <w:r>
        <w:rPr>
          <w:rFonts w:hint="eastAsia"/>
          <w:szCs w:val="20"/>
          <w:vertAlign w:val="subscript"/>
        </w:rPr>
        <w:t>ramp up</w:t>
      </w:r>
      <w:r>
        <w:rPr>
          <w:rFonts w:hint="eastAsia"/>
          <w:szCs w:val="20"/>
        </w:rPr>
        <w:t xml:space="preserve">+T </w:t>
      </w:r>
      <w:r>
        <w:rPr>
          <w:rFonts w:hint="eastAsia"/>
          <w:szCs w:val="20"/>
          <w:vertAlign w:val="subscript"/>
        </w:rPr>
        <w:t xml:space="preserve">sync/re-sync. </w:t>
      </w:r>
      <w:r>
        <w:rPr>
          <w:rFonts w:hint="eastAsia"/>
        </w:rPr>
        <w:t xml:space="preserve">If the </w:t>
      </w:r>
      <w:r>
        <w:rPr>
          <w:rFonts w:hint="eastAsia"/>
          <w:szCs w:val="20"/>
        </w:rPr>
        <w:t xml:space="preserve">first </w:t>
      </w:r>
      <w:r>
        <w:rPr>
          <w:rFonts w:hint="eastAsia"/>
        </w:rPr>
        <w:t xml:space="preserve">PO is </w:t>
      </w:r>
      <w:bookmarkStart w:id="18" w:name="OLE_LINK50"/>
      <w:r>
        <w:rPr>
          <w:rFonts w:hint="eastAsia"/>
        </w:rPr>
        <w:t xml:space="preserve">dynamic </w:t>
      </w:r>
      <w:bookmarkEnd w:id="18"/>
      <w:r>
        <w:rPr>
          <w:rFonts w:hint="eastAsia"/>
        </w:rPr>
        <w:t>and the dynamic PO</w:t>
      </w:r>
      <w:r>
        <w:t xml:space="preserve"> </w:t>
      </w:r>
      <w:r>
        <w:rPr>
          <w:rFonts w:hint="eastAsia"/>
        </w:rPr>
        <w:t>is</w:t>
      </w:r>
      <w:r>
        <w:t xml:space="preserve"> located</w:t>
      </w:r>
      <w:r>
        <w:rPr>
          <w:rFonts w:hint="eastAsia"/>
        </w:rPr>
        <w:t xml:space="preserve"> just after main radio ramp up and sync/re-sync, </w:t>
      </w:r>
      <w:r>
        <w:rPr>
          <w:rFonts w:hint="eastAsia"/>
          <w:szCs w:val="20"/>
        </w:rPr>
        <w:t>T</w:t>
      </w:r>
      <w:r>
        <w:rPr>
          <w:rFonts w:hint="eastAsia"/>
          <w:szCs w:val="20"/>
          <w:vertAlign w:val="subscript"/>
        </w:rPr>
        <w:t>x</w:t>
      </w:r>
      <w:r>
        <w:rPr>
          <w:rFonts w:hint="eastAsia"/>
        </w:rPr>
        <w:t xml:space="preserve"> can be ignored and </w:t>
      </w:r>
      <w:r>
        <w:rPr>
          <w:rFonts w:hint="eastAsia"/>
          <w:szCs w:val="20"/>
        </w:rPr>
        <w:t>the latency T</w:t>
      </w:r>
      <w:r>
        <w:rPr>
          <w:rFonts w:hint="eastAsia"/>
          <w:szCs w:val="20"/>
          <w:vertAlign w:val="subscript"/>
        </w:rPr>
        <w:t>2</w:t>
      </w:r>
      <w:r>
        <w:rPr>
          <w:rFonts w:hint="eastAsia"/>
          <w:szCs w:val="20"/>
        </w:rPr>
        <w:t>=T</w:t>
      </w:r>
      <w:r>
        <w:rPr>
          <w:rFonts w:hint="eastAsia"/>
          <w:szCs w:val="20"/>
          <w:vertAlign w:val="subscript"/>
        </w:rPr>
        <w:t>ramp up</w:t>
      </w:r>
      <w:r>
        <w:rPr>
          <w:rFonts w:hint="eastAsia"/>
          <w:szCs w:val="20"/>
        </w:rPr>
        <w:t xml:space="preserve">+T </w:t>
      </w:r>
      <w:r>
        <w:rPr>
          <w:rFonts w:hint="eastAsia"/>
          <w:szCs w:val="20"/>
          <w:vertAlign w:val="subscript"/>
        </w:rPr>
        <w:t xml:space="preserve">sync/re-sync.  </w:t>
      </w:r>
      <w:r>
        <w:rPr>
          <w:rFonts w:hint="eastAsia" w:cs="Malgun Gothic"/>
          <w:lang w:bidi="ar"/>
        </w:rPr>
        <w:t>It can be seen that the latency with dynamic PO is much smaller than the latency with legacy PO.</w:t>
      </w:r>
    </w:p>
    <w:p>
      <w:pPr>
        <w:spacing w:before="120" w:beforeLines="0" w:line="276" w:lineRule="auto"/>
        <w:rPr>
          <w:szCs w:val="20"/>
        </w:rPr>
      </w:pPr>
      <w:r>
        <w:rPr>
          <w:rFonts w:hint="eastAsia" w:cs="Malgun Gothic"/>
          <w:lang w:bidi="ar"/>
        </w:rPr>
        <w:t xml:space="preserve">In addition, if the location of the PO is far from the last SSB used for DL </w:t>
      </w:r>
      <w:r>
        <w:rPr>
          <w:rFonts w:hint="eastAsia"/>
          <w:szCs w:val="20"/>
        </w:rPr>
        <w:t>sync/re-sync</w:t>
      </w:r>
      <w:r>
        <w:rPr>
          <w:rFonts w:hint="eastAsia" w:cs="Malgun Gothic"/>
          <w:lang w:bidi="ar"/>
        </w:rPr>
        <w:t xml:space="preserve">, the UE needs to maintain MR at </w:t>
      </w:r>
      <w:r>
        <w:rPr>
          <w:rFonts w:cs="Malgun Gothic"/>
          <w:lang w:bidi="ar"/>
        </w:rPr>
        <w:t>“</w:t>
      </w:r>
      <w:r>
        <w:rPr>
          <w:rFonts w:hint="eastAsia" w:cs="Malgun Gothic"/>
          <w:lang w:bidi="ar"/>
        </w:rPr>
        <w:t>ON</w:t>
      </w:r>
      <w:r>
        <w:rPr>
          <w:rFonts w:cs="Malgun Gothic"/>
          <w:lang w:bidi="ar"/>
        </w:rPr>
        <w:t>”</w:t>
      </w:r>
      <w:r>
        <w:rPr>
          <w:rFonts w:hint="eastAsia" w:cs="Malgun Gothic"/>
          <w:lang w:bidi="ar"/>
        </w:rPr>
        <w:t>state until the corresponding</w:t>
      </w:r>
      <w:r>
        <w:rPr>
          <w:rFonts w:eastAsia="PMingLiU" w:cs="Malgun Gothic"/>
          <w:lang w:bidi="ar"/>
        </w:rPr>
        <w:t xml:space="preserve"> </w:t>
      </w:r>
      <w:r>
        <w:rPr>
          <w:rFonts w:hint="eastAsia" w:cs="Malgun Gothic"/>
          <w:lang w:bidi="ar"/>
        </w:rPr>
        <w:t>PO occasion. For this case, the UE power consumption for waiting the corresponding</w:t>
      </w:r>
      <w:r>
        <w:rPr>
          <w:rFonts w:eastAsia="PMingLiU" w:cs="Malgun Gothic"/>
          <w:lang w:bidi="ar"/>
        </w:rPr>
        <w:t xml:space="preserve"> </w:t>
      </w:r>
      <w:r>
        <w:rPr>
          <w:rFonts w:hint="eastAsia" w:cs="Malgun Gothic"/>
          <w:lang w:bidi="ar"/>
        </w:rPr>
        <w:t>PO cannot be ignored.</w:t>
      </w:r>
    </w:p>
    <w:p>
      <w:pPr>
        <w:spacing w:before="120" w:beforeLines="0" w:line="276" w:lineRule="auto"/>
        <w:rPr>
          <w:szCs w:val="20"/>
        </w:rPr>
      </w:pPr>
      <w:r>
        <w:drawing>
          <wp:inline distT="0" distB="0" distL="114300" distR="114300">
            <wp:extent cx="5691505" cy="695325"/>
            <wp:effectExtent l="0" t="0" r="4445" b="9525"/>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6"/>
                    <a:stretch>
                      <a:fillRect/>
                    </a:stretch>
                  </pic:blipFill>
                  <pic:spPr>
                    <a:xfrm>
                      <a:off x="0" y="0"/>
                      <a:ext cx="5691505" cy="695325"/>
                    </a:xfrm>
                    <a:prstGeom prst="rect">
                      <a:avLst/>
                    </a:prstGeom>
                    <a:noFill/>
                    <a:ln>
                      <a:noFill/>
                    </a:ln>
                  </pic:spPr>
                </pic:pic>
              </a:graphicData>
            </a:graphic>
          </wp:inline>
        </w:drawing>
      </w:r>
    </w:p>
    <w:p>
      <w:pPr>
        <w:spacing w:before="120" w:beforeLines="0" w:line="276" w:lineRule="auto"/>
        <w:rPr>
          <w:szCs w:val="20"/>
        </w:rPr>
      </w:pPr>
    </w:p>
    <w:p>
      <w:pPr>
        <w:spacing w:before="120" w:beforeLines="0" w:line="276" w:lineRule="auto"/>
        <w:rPr>
          <w:szCs w:val="20"/>
        </w:rPr>
      </w:pPr>
      <w:r>
        <w:drawing>
          <wp:inline distT="0" distB="0" distL="114300" distR="114300">
            <wp:extent cx="5691505" cy="695325"/>
            <wp:effectExtent l="0" t="0" r="4445" b="9525"/>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7"/>
                    <a:stretch>
                      <a:fillRect/>
                    </a:stretch>
                  </pic:blipFill>
                  <pic:spPr>
                    <a:xfrm>
                      <a:off x="0" y="0"/>
                      <a:ext cx="5691505" cy="695325"/>
                    </a:xfrm>
                    <a:prstGeom prst="rect">
                      <a:avLst/>
                    </a:prstGeom>
                    <a:noFill/>
                    <a:ln>
                      <a:noFill/>
                    </a:ln>
                  </pic:spPr>
                </pic:pic>
              </a:graphicData>
            </a:graphic>
          </wp:inline>
        </w:drawing>
      </w:r>
    </w:p>
    <w:p>
      <w:pPr>
        <w:spacing w:before="120" w:beforeLines="0" w:line="276" w:lineRule="auto"/>
        <w:jc w:val="center"/>
        <w:rPr>
          <w:b/>
          <w:bCs/>
        </w:rPr>
      </w:pPr>
      <w:r>
        <w:rPr>
          <w:rFonts w:hint="eastAsia"/>
          <w:b/>
          <w:bCs/>
        </w:rPr>
        <w:t xml:space="preserve">Figure 1: Latency for LP-WUS based on dynamic PO and legacy PO </w:t>
      </w:r>
    </w:p>
    <w:p>
      <w:pPr>
        <w:spacing w:before="120" w:beforeLines="0" w:line="276" w:lineRule="auto"/>
      </w:pPr>
      <w:r>
        <w:rPr>
          <w:rFonts w:hint="eastAsia"/>
        </w:rPr>
        <w:t>According to the TR conclusion and WID description,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86" w:type="dxa"/>
          </w:tcPr>
          <w:p>
            <w:pPr>
              <w:overflowPunct w:val="0"/>
              <w:autoSpaceDE w:val="0"/>
              <w:autoSpaceDN w:val="0"/>
              <w:adjustRightInd w:val="0"/>
              <w:snapToGrid/>
              <w:spacing w:before="120" w:beforeLines="0" w:line="276" w:lineRule="auto"/>
              <w:textAlignment w:val="baseline"/>
              <w:rPr>
                <w:rFonts w:cs="Malgun Gothic"/>
                <w:b/>
                <w:bCs/>
                <w:i/>
                <w:iCs/>
                <w:lang w:bidi="ar"/>
              </w:rPr>
            </w:pPr>
            <w:r>
              <w:rPr>
                <w:szCs w:val="20"/>
                <w:lang w:bidi="ar"/>
              </w:rPr>
              <w:t>In RRC IDLE/INACTIVE modes, it’s observed that significant UE power saving gain (up to more than 90%) is obtained by using LP-WUS/WUR to trigger UE MR paging monitoring compared with existing I-DRX operation (with and without PEI), if sufficient relaxation to MR RRM measurement is applied. Further, compared with existing eDRX operation, significant paging latency reduction and moderate UE power saving gain is observed, if LP-WUS monitoring and the corresponding paging monitoring after MR wake-up is performed not restricted within existing PTW of eDRX.</w:t>
            </w:r>
          </w:p>
        </w:tc>
      </w:tr>
    </w:tbl>
    <w:p>
      <w:pPr>
        <w:spacing w:before="120" w:beforeLines="0" w:line="276" w:lineRule="auto"/>
      </w:pPr>
      <w:r>
        <w:rPr>
          <w:rFonts w:hint="eastAsia"/>
        </w:rPr>
        <w:t>we have the following observation:</w:t>
      </w:r>
    </w:p>
    <w:p>
      <w:pPr>
        <w:spacing w:before="120" w:beforeLines="0" w:line="276" w:lineRule="auto"/>
        <w:rPr>
          <w:rFonts w:eastAsia="Times New Roman" w:cs="Malgun Gothic"/>
          <w:b/>
          <w:bCs/>
          <w:i/>
          <w:iCs/>
          <w:lang w:bidi="ar"/>
        </w:rPr>
      </w:pPr>
      <w:r>
        <w:rPr>
          <w:rFonts w:hint="eastAsia" w:cs="Malgun Gothic"/>
          <w:b/>
          <w:bCs/>
          <w:i/>
          <w:iCs/>
          <w:lang w:bidi="ar"/>
        </w:rPr>
        <w:t xml:space="preserve">Observation 2: Compared with LP-WUS based legacy PO monitoring, LP-WUS based dynamic PO monitoring has benefits of </w:t>
      </w:r>
      <w:r>
        <w:rPr>
          <w:rFonts w:eastAsia="Times New Roman" w:cs="Malgun Gothic"/>
          <w:b/>
          <w:bCs/>
          <w:i/>
          <w:iCs/>
          <w:lang w:bidi="ar"/>
        </w:rPr>
        <w:t xml:space="preserve">latency reduction </w:t>
      </w:r>
      <w:r>
        <w:rPr>
          <w:rFonts w:hint="eastAsia" w:cs="Malgun Gothic"/>
          <w:b/>
          <w:bCs/>
          <w:i/>
          <w:iCs/>
          <w:lang w:bidi="ar"/>
        </w:rPr>
        <w:t>and UE power saving</w:t>
      </w:r>
      <w:r>
        <w:rPr>
          <w:rFonts w:eastAsia="Times New Roman" w:cs="Malgun Gothic"/>
          <w:b/>
          <w:bCs/>
          <w:i/>
          <w:iCs/>
          <w:lang w:bidi="ar"/>
        </w:rPr>
        <w:t>.</w:t>
      </w:r>
    </w:p>
    <w:p>
      <w:pPr>
        <w:spacing w:before="120" w:beforeLines="0" w:line="276" w:lineRule="auto"/>
      </w:pPr>
      <w:r>
        <w:rPr>
          <w:rFonts w:hint="eastAsia" w:cs="Malgun Gothic"/>
          <w:lang w:bidi="ar"/>
        </w:rPr>
        <w:t xml:space="preserve">However, based on dynamic PO, the gNB may need to transmit paging twice, i.e., legacy paging and dynamic paging. In another words, the gNB is required to transmit LP-WUS, dynamic paging and legacy paging when LP-WUS is enabled, which might further increase network overhead. Therefore, introducing new paging occasions is not </w:t>
      </w:r>
      <w:bookmarkStart w:id="19" w:name="OLE_LINK2"/>
      <w:r>
        <w:rPr>
          <w:rFonts w:hint="eastAsia" w:cs="Malgun Gothic"/>
          <w:lang w:bidi="ar"/>
        </w:rPr>
        <w:t>pursued</w:t>
      </w:r>
      <w:bookmarkEnd w:id="19"/>
      <w:r>
        <w:rPr>
          <w:rFonts w:hint="eastAsia" w:cs="Malgun Gothic"/>
          <w:lang w:bidi="ar"/>
        </w:rPr>
        <w:t xml:space="preserve">. Instead, if another legacy PO can be used to page a LP-WUS triggered UE, then this issue could be solved. </w:t>
      </w:r>
    </w:p>
    <w:p>
      <w:pPr>
        <w:spacing w:before="120" w:beforeLines="0" w:line="276" w:lineRule="auto"/>
        <w:jc w:val="center"/>
      </w:pPr>
      <w:r>
        <w:drawing>
          <wp:inline distT="0" distB="0" distL="114300" distR="114300">
            <wp:extent cx="5689600" cy="2106930"/>
            <wp:effectExtent l="0" t="0" r="6350" b="762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18"/>
                    <a:stretch>
                      <a:fillRect/>
                    </a:stretch>
                  </pic:blipFill>
                  <pic:spPr>
                    <a:xfrm>
                      <a:off x="0" y="0"/>
                      <a:ext cx="5689600" cy="2106930"/>
                    </a:xfrm>
                    <a:prstGeom prst="rect">
                      <a:avLst/>
                    </a:prstGeom>
                    <a:noFill/>
                    <a:ln>
                      <a:noFill/>
                    </a:ln>
                  </pic:spPr>
                </pic:pic>
              </a:graphicData>
            </a:graphic>
          </wp:inline>
        </w:drawing>
      </w:r>
    </w:p>
    <w:p>
      <w:pPr>
        <w:spacing w:before="120" w:beforeLines="0" w:line="276" w:lineRule="auto"/>
        <w:jc w:val="center"/>
        <w:rPr>
          <w:rFonts w:cs="Malgun Gothic"/>
          <w:b/>
          <w:bCs/>
          <w:lang w:bidi="ar"/>
        </w:rPr>
      </w:pPr>
      <w:r>
        <w:rPr>
          <w:rFonts w:hint="eastAsia"/>
          <w:b/>
          <w:bCs/>
        </w:rPr>
        <w:t xml:space="preserve">Figure 2: </w:t>
      </w:r>
      <w:r>
        <w:rPr>
          <w:b/>
          <w:bCs/>
        </w:rPr>
        <w:t xml:space="preserve">Using </w:t>
      </w:r>
      <w:r>
        <w:rPr>
          <w:rFonts w:hint="eastAsia"/>
          <w:b/>
          <w:bCs/>
        </w:rPr>
        <w:t xml:space="preserve">legacy PO </w:t>
      </w:r>
      <w:r>
        <w:rPr>
          <w:b/>
          <w:bCs/>
        </w:rPr>
        <w:t>as</w:t>
      </w:r>
      <w:r>
        <w:rPr>
          <w:rFonts w:hint="eastAsia"/>
          <w:b/>
          <w:bCs/>
        </w:rPr>
        <w:t xml:space="preserve"> dynamic PO </w:t>
      </w:r>
      <w:r>
        <w:rPr>
          <w:b/>
          <w:bCs/>
        </w:rPr>
        <w:t xml:space="preserve">for </w:t>
      </w:r>
      <w:r>
        <w:rPr>
          <w:rFonts w:hint="eastAsia"/>
          <w:b/>
          <w:bCs/>
        </w:rPr>
        <w:t>LP-WUS</w:t>
      </w:r>
    </w:p>
    <w:p>
      <w:pPr>
        <w:spacing w:before="120" w:beforeLines="0" w:line="276" w:lineRule="auto"/>
        <w:rPr>
          <w:b/>
          <w:bCs/>
          <w:i/>
          <w:iCs/>
        </w:rPr>
      </w:pPr>
      <w:r>
        <w:rPr>
          <w:rFonts w:eastAsia="Times New Roman"/>
          <w:b/>
          <w:i/>
          <w:lang w:bidi="ar"/>
        </w:rPr>
        <w:t xml:space="preserve">Proposal </w:t>
      </w:r>
      <w:r>
        <w:rPr>
          <w:rFonts w:hint="eastAsia"/>
          <w:b/>
          <w:i/>
          <w:lang w:bidi="ar"/>
        </w:rPr>
        <w:t>4</w:t>
      </w:r>
      <w:r>
        <w:rPr>
          <w:rFonts w:eastAsia="Times New Roman"/>
          <w:b/>
          <w:i/>
          <w:lang w:bidi="ar"/>
        </w:rPr>
        <w:t xml:space="preserve">: </w:t>
      </w:r>
      <w:r>
        <w:rPr>
          <w:rFonts w:hint="eastAsia"/>
          <w:b/>
          <w:i/>
          <w:lang w:bidi="ar"/>
        </w:rPr>
        <w:t>F</w:t>
      </w:r>
      <w:r>
        <w:rPr>
          <w:rFonts w:eastAsia="Times New Roman"/>
          <w:b/>
          <w:i/>
          <w:lang w:bidi="ar"/>
        </w:rPr>
        <w:t xml:space="preserve">or </w:t>
      </w:r>
      <w:r>
        <w:rPr>
          <w:rFonts w:hint="eastAsia"/>
          <w:b/>
          <w:i/>
          <w:lang w:bidi="ar"/>
        </w:rPr>
        <w:t>LP-WUS in IDLE</w:t>
      </w:r>
      <w:r>
        <w:rPr>
          <w:rFonts w:eastAsia="Times New Roman"/>
          <w:b/>
          <w:i/>
          <w:lang w:bidi="ar"/>
        </w:rPr>
        <w:t>/</w:t>
      </w:r>
      <w:r>
        <w:rPr>
          <w:rFonts w:hint="eastAsia"/>
          <w:b/>
          <w:i/>
          <w:lang w:bidi="ar"/>
        </w:rPr>
        <w:t>INACTIVE</w:t>
      </w:r>
      <w:r>
        <w:rPr>
          <w:rFonts w:eastAsia="Times New Roman"/>
          <w:b/>
          <w:i/>
          <w:lang w:bidi="ar"/>
        </w:rPr>
        <w:t xml:space="preserve"> mode,</w:t>
      </w:r>
      <w:r>
        <w:rPr>
          <w:rFonts w:hint="eastAsia"/>
          <w:b/>
          <w:i/>
          <w:lang w:bidi="ar"/>
        </w:rPr>
        <w:t xml:space="preserve"> </w:t>
      </w:r>
      <w:r>
        <w:rPr>
          <w:rFonts w:hint="eastAsia"/>
          <w:b/>
          <w:bCs/>
          <w:i/>
          <w:iCs/>
        </w:rPr>
        <w:t xml:space="preserve">dynamic PO can be </w:t>
      </w:r>
      <w:r>
        <w:rPr>
          <w:b/>
          <w:bCs/>
          <w:i/>
          <w:iCs/>
        </w:rPr>
        <w:t>considered</w:t>
      </w:r>
      <w:r>
        <w:rPr>
          <w:rFonts w:hint="eastAsia"/>
          <w:b/>
          <w:bCs/>
          <w:i/>
          <w:iCs/>
        </w:rPr>
        <w:t>.</w:t>
      </w:r>
    </w:p>
    <w:p>
      <w:pPr>
        <w:pStyle w:val="2"/>
        <w:spacing w:before="120"/>
        <w:rPr>
          <w:lang w:val="en-US"/>
        </w:rPr>
      </w:pPr>
      <w:r>
        <w:rPr>
          <w:rFonts w:hint="eastAsia"/>
          <w:lang w:val="en-US"/>
        </w:rPr>
        <w:t>LP-WUS monitoring schemes</w:t>
      </w:r>
    </w:p>
    <w:p>
      <w:pPr>
        <w:spacing w:before="120" w:beforeLines="0" w:line="276" w:lineRule="auto"/>
      </w:pPr>
      <w:r>
        <w:rPr>
          <w:rFonts w:hint="eastAsia"/>
        </w:rPr>
        <w:t>Generally, the LP-WUS monitoring design should be applicable with maximum flexibility. For example, at least, it is not preferred to have different design or bring new behaviors for I-DRX, eDRX.</w:t>
      </w:r>
    </w:p>
    <w:p>
      <w:pPr>
        <w:numPr>
          <w:ilvl w:val="255"/>
          <w:numId w:val="0"/>
        </w:numPr>
        <w:spacing w:before="120" w:beforeLines="0" w:line="276" w:lineRule="auto"/>
        <w:rPr>
          <w:i/>
          <w:iCs/>
        </w:rPr>
      </w:pPr>
      <w:r>
        <w:rPr>
          <w:rFonts w:hint="eastAsia"/>
          <w:b/>
          <w:bCs/>
          <w:i/>
          <w:iCs/>
        </w:rPr>
        <w:t>Proposal 5: Unified LP-WUS monitoring scheme should be designed for I-DRX and eDRX</w:t>
      </w:r>
    </w:p>
    <w:p>
      <w:pPr>
        <w:numPr>
          <w:ilvl w:val="255"/>
          <w:numId w:val="0"/>
        </w:numPr>
        <w:snapToGrid/>
        <w:spacing w:before="120" w:beforeLines="0" w:line="276" w:lineRule="auto"/>
      </w:pPr>
      <w:r>
        <w:rPr>
          <w:rFonts w:hint="eastAsia"/>
        </w:rPr>
        <w:t>For always-on monitoring, there are continuous monitoring occasions. For duty cycle monitoring, we also think only one occasion for each duration in a cycle is not enough, considering the NW scheduling flexibility and multiple beams for LP-WUS.</w:t>
      </w:r>
    </w:p>
    <w:p>
      <w:pPr>
        <w:numPr>
          <w:ilvl w:val="255"/>
          <w:numId w:val="0"/>
        </w:numPr>
        <w:spacing w:before="120" w:beforeLines="0" w:line="276" w:lineRule="auto"/>
        <w:rPr>
          <w:b/>
          <w:bCs/>
          <w:i/>
          <w:iCs/>
        </w:rPr>
      </w:pPr>
      <w:r>
        <w:rPr>
          <w:rFonts w:hint="eastAsia"/>
          <w:b/>
          <w:bCs/>
          <w:i/>
          <w:iCs/>
        </w:rPr>
        <w:t>Proposal 6: For LP-WUS monitoring, multiple occasions are required for each window in each cycle</w:t>
      </w:r>
      <w:r>
        <w:rPr>
          <w:b/>
          <w:bCs/>
          <w:i/>
          <w:iCs/>
        </w:rPr>
        <w:t>,</w:t>
      </w:r>
      <w:r>
        <w:rPr>
          <w:rFonts w:hint="eastAsia"/>
          <w:b/>
          <w:bCs/>
          <w:i/>
          <w:iCs/>
        </w:rPr>
        <w:t xml:space="preserve"> if any.</w:t>
      </w:r>
    </w:p>
    <w:p>
      <w:pPr>
        <w:pStyle w:val="3"/>
        <w:spacing w:before="120"/>
        <w:rPr>
          <w:lang w:val="en-US"/>
        </w:rPr>
      </w:pPr>
      <w:r>
        <w:rPr>
          <w:rFonts w:hint="eastAsia"/>
          <w:lang w:val="en-US"/>
        </w:rPr>
        <w:t>Interaction with I-DRX</w:t>
      </w:r>
    </w:p>
    <w:p>
      <w:pPr>
        <w:pStyle w:val="4"/>
        <w:spacing w:before="120"/>
        <w:rPr>
          <w:lang w:val="en-US"/>
        </w:rPr>
      </w:pPr>
      <w:r>
        <w:rPr>
          <w:rFonts w:hint="eastAsia"/>
          <w:lang w:val="en-US"/>
        </w:rPr>
        <w:t>Periodicity of LO</w:t>
      </w:r>
    </w:p>
    <w:p>
      <w:pPr>
        <w:spacing w:before="120" w:beforeLines="0" w:line="276" w:lineRule="auto"/>
        <w:jc w:val="center"/>
      </w:pPr>
      <w:r>
        <w:drawing>
          <wp:inline distT="0" distB="0" distL="114300" distR="114300">
            <wp:extent cx="5684520" cy="2074545"/>
            <wp:effectExtent l="0" t="0" r="11430" b="190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9"/>
                    <a:stretch>
                      <a:fillRect/>
                    </a:stretch>
                  </pic:blipFill>
                  <pic:spPr>
                    <a:xfrm>
                      <a:off x="0" y="0"/>
                      <a:ext cx="5684520" cy="2074545"/>
                    </a:xfrm>
                    <a:prstGeom prst="rect">
                      <a:avLst/>
                    </a:prstGeom>
                    <a:noFill/>
                    <a:ln>
                      <a:noFill/>
                    </a:ln>
                  </pic:spPr>
                </pic:pic>
              </a:graphicData>
            </a:graphic>
          </wp:inline>
        </w:drawing>
      </w:r>
    </w:p>
    <w:p>
      <w:pPr>
        <w:spacing w:before="120" w:beforeLines="0" w:line="276" w:lineRule="auto"/>
        <w:jc w:val="center"/>
        <w:rPr>
          <w:b/>
          <w:bCs/>
          <w:highlight w:val="yellow"/>
        </w:rPr>
      </w:pPr>
      <w:r>
        <w:rPr>
          <w:rFonts w:hint="eastAsia"/>
          <w:b/>
          <w:bCs/>
        </w:rPr>
        <w:t>Figure 3. Duty cycle LP-WUS monitoring with I-DRX</w:t>
      </w:r>
    </w:p>
    <w:p>
      <w:pPr>
        <w:spacing w:before="120" w:beforeLines="0" w:line="276" w:lineRule="auto"/>
      </w:pPr>
      <w:r>
        <w:rPr>
          <w:rFonts w:hint="eastAsia"/>
        </w:rPr>
        <w:t>For duty cycle LP-WUS in IDLE/INACTIVE mode, periodicity of LP-WUS Occasion</w:t>
      </w:r>
      <w:r>
        <w:t xml:space="preserve"> </w:t>
      </w:r>
      <w:r>
        <w:rPr>
          <w:rFonts w:hint="eastAsia"/>
        </w:rPr>
        <w:t xml:space="preserve">(LO) can be configured to the same value of DRX cycle. </w:t>
      </w:r>
      <w:bookmarkStart w:id="20" w:name="OLE_LINK10"/>
      <w:r>
        <w:rPr>
          <w:rFonts w:hint="eastAsia"/>
        </w:rPr>
        <w:t>The location of LO can be determined by an offset before the starting of DRX cycle</w:t>
      </w:r>
      <w:bookmarkEnd w:id="20"/>
      <w:r>
        <w:rPr>
          <w:rFonts w:hint="eastAsia"/>
        </w:rPr>
        <w:t xml:space="preserve"> as shown in Figure 3. The value of offset should take ramp up time of UE from LR to MR into consideration. </w:t>
      </w:r>
    </w:p>
    <w:p>
      <w:pPr>
        <w:spacing w:before="120" w:beforeLines="0" w:line="276" w:lineRule="auto"/>
      </w:pPr>
      <w:bookmarkStart w:id="21" w:name="OLE_LINK11"/>
      <w:r>
        <w:rPr>
          <w:rFonts w:hint="eastAsia"/>
        </w:rPr>
        <w:t xml:space="preserve">The number of LOs before DRX cycle may be larger than 1 for more monitoring occasions. </w:t>
      </w:r>
      <w:bookmarkEnd w:id="21"/>
      <w:r>
        <w:rPr>
          <w:rFonts w:hint="eastAsia"/>
        </w:rPr>
        <w:t xml:space="preserve">In this case, the periodicity for LP-WUS could be smaller than I-DRX, which is shown in </w:t>
      </w:r>
      <w:r>
        <w:t>F</w:t>
      </w:r>
      <w:r>
        <w:rPr>
          <w:rFonts w:hint="eastAsia"/>
        </w:rPr>
        <w:t>igure 3</w:t>
      </w:r>
      <w:r>
        <w:t>.</w:t>
      </w:r>
      <w:r>
        <w:rPr>
          <w:rFonts w:hint="eastAsia"/>
        </w:rPr>
        <w:t>.With this LP-WUS configuration, the UE with a large minimum time gap is more likely to monitor LP-WUS at the earlier occasion, and UE with a small minimum time gap could monitor the earlier LP-WUS occasion and the later occasion.</w:t>
      </w:r>
    </w:p>
    <w:p>
      <w:pPr>
        <w:spacing w:before="120" w:beforeLines="0" w:line="276" w:lineRule="auto"/>
      </w:pPr>
      <w:r>
        <w:rPr>
          <w:rFonts w:hint="eastAsia"/>
        </w:rPr>
        <w:t xml:space="preserve">Additionally, if eDRX is considered, the LP-WUS could be allocated before PTW instead of I-DRX, in this case, the periodicity also could be larger than I-DRX.If one LO maps to multiple POs, the LO periodicity also should be larger. Therefore, only support the LO periodicity same as PO is too early. </w:t>
      </w:r>
    </w:p>
    <w:p>
      <w:pPr>
        <w:spacing w:before="120" w:beforeLines="0" w:line="276" w:lineRule="auto"/>
        <w:rPr>
          <w:b/>
          <w:bCs/>
          <w:i/>
          <w:iCs/>
        </w:rPr>
      </w:pPr>
      <w:r>
        <w:rPr>
          <w:rFonts w:hint="eastAsia"/>
          <w:b/>
          <w:bCs/>
          <w:i/>
          <w:iCs/>
        </w:rPr>
        <w:t>Proposal 7: For duty cycle LP-WUS in IDLE/INACTIVE mode, the periodicity could be the same with I-DRX cycle.</w:t>
      </w:r>
    </w:p>
    <w:p>
      <w:pPr>
        <w:numPr>
          <w:ilvl w:val="0"/>
          <w:numId w:val="12"/>
        </w:numPr>
        <w:spacing w:before="120" w:beforeLines="0" w:line="276" w:lineRule="auto"/>
        <w:rPr>
          <w:b/>
          <w:bCs/>
          <w:i/>
          <w:iCs/>
        </w:rPr>
      </w:pPr>
      <w:r>
        <w:rPr>
          <w:rFonts w:hint="eastAsia"/>
          <w:b/>
          <w:bCs/>
          <w:i/>
          <w:iCs/>
        </w:rPr>
        <w:t>The location of LO can be determined by an offset before the starting of PO</w:t>
      </w:r>
    </w:p>
    <w:p>
      <w:pPr>
        <w:numPr>
          <w:ilvl w:val="0"/>
          <w:numId w:val="12"/>
        </w:numPr>
        <w:spacing w:before="120" w:beforeLines="0" w:line="276" w:lineRule="auto"/>
        <w:rPr>
          <w:b/>
          <w:bCs/>
          <w:i/>
          <w:iCs/>
        </w:rPr>
      </w:pPr>
      <w:r>
        <w:rPr>
          <w:rFonts w:hint="eastAsia"/>
          <w:b/>
          <w:bCs/>
          <w:i/>
          <w:iCs/>
        </w:rPr>
        <w:t>The LP-WUS periodicity could be smaller or larger than I-DRX.</w:t>
      </w:r>
    </w:p>
    <w:p>
      <w:pPr>
        <w:pStyle w:val="4"/>
        <w:spacing w:before="120"/>
        <w:rPr>
          <w:lang w:val="en-US"/>
        </w:rPr>
      </w:pPr>
      <w:r>
        <w:rPr>
          <w:rFonts w:hint="eastAsia"/>
          <w:lang w:val="en-US"/>
        </w:rPr>
        <w:t>Relationship between LP-WUS and PO</w:t>
      </w:r>
    </w:p>
    <w:p>
      <w:pPr>
        <w:spacing w:before="120" w:beforeLines="0" w:line="276" w:lineRule="auto"/>
        <w:jc w:val="center"/>
      </w:pPr>
      <w:r>
        <w:drawing>
          <wp:inline distT="0" distB="0" distL="114300" distR="114300">
            <wp:extent cx="4465320" cy="1064895"/>
            <wp:effectExtent l="0" t="0" r="11430" b="190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20"/>
                    <a:stretch>
                      <a:fillRect/>
                    </a:stretch>
                  </pic:blipFill>
                  <pic:spPr>
                    <a:xfrm>
                      <a:off x="0" y="0"/>
                      <a:ext cx="4465320" cy="1064895"/>
                    </a:xfrm>
                    <a:prstGeom prst="rect">
                      <a:avLst/>
                    </a:prstGeom>
                    <a:noFill/>
                    <a:ln>
                      <a:noFill/>
                    </a:ln>
                  </pic:spPr>
                </pic:pic>
              </a:graphicData>
            </a:graphic>
          </wp:inline>
        </w:drawing>
      </w:r>
    </w:p>
    <w:p>
      <w:pPr>
        <w:spacing w:before="120" w:beforeLines="0" w:line="276" w:lineRule="auto"/>
        <w:jc w:val="center"/>
        <w:rPr>
          <w:b/>
          <w:bCs/>
        </w:rPr>
      </w:pPr>
      <w:r>
        <w:rPr>
          <w:rFonts w:hint="eastAsia"/>
          <w:b/>
          <w:bCs/>
        </w:rPr>
        <w:t>Figure 4: Relationship between LP-WUS and PO</w:t>
      </w:r>
    </w:p>
    <w:p>
      <w:pPr>
        <w:spacing w:before="120" w:beforeLines="0" w:line="276" w:lineRule="auto"/>
      </w:pPr>
      <w:bookmarkStart w:id="22" w:name="OLE_LINK27"/>
      <w:r>
        <w:rPr>
          <w:rFonts w:hint="eastAsia"/>
        </w:rPr>
        <w:t>In general, a LP-WUS occasion</w:t>
      </w:r>
      <w:r>
        <w:t xml:space="preserve"> </w:t>
      </w:r>
      <w:r>
        <w:rPr>
          <w:rFonts w:hint="eastAsia"/>
        </w:rPr>
        <w:t xml:space="preserve">(LO) can be </w:t>
      </w:r>
      <w:r>
        <w:t xml:space="preserve">mapped </w:t>
      </w:r>
      <w:r>
        <w:rPr>
          <w:rFonts w:hint="eastAsia"/>
        </w:rPr>
        <w:t xml:space="preserve">to </w:t>
      </w:r>
      <w:bookmarkStart w:id="23" w:name="OLE_LINK18"/>
      <w:r>
        <w:rPr>
          <w:rFonts w:hint="eastAsia"/>
        </w:rPr>
        <w:t>one or multiple POs</w:t>
      </w:r>
      <w:bookmarkEnd w:id="23"/>
      <w:r>
        <w:rPr>
          <w:rFonts w:hint="eastAsia"/>
        </w:rPr>
        <w:t xml:space="preserve"> or </w:t>
      </w:r>
      <w:bookmarkStart w:id="24" w:name="OLE_LINK26"/>
      <w:r>
        <w:rPr>
          <w:rFonts w:hint="eastAsia"/>
        </w:rPr>
        <w:t>all POs within an I- DRX cycle</w:t>
      </w:r>
      <w:bookmarkEnd w:id="22"/>
      <w:r>
        <w:rPr>
          <w:rFonts w:hint="eastAsia"/>
        </w:rPr>
        <w:t>.</w:t>
      </w:r>
      <w:bookmarkEnd w:id="24"/>
      <w:r>
        <w:rPr>
          <w:rFonts w:hint="eastAsia"/>
        </w:rPr>
        <w:t xml:space="preserve"> </w:t>
      </w:r>
    </w:p>
    <w:p>
      <w:pPr>
        <w:spacing w:before="120" w:beforeLines="0" w:line="276" w:lineRule="auto"/>
      </w:pPr>
      <w:bookmarkStart w:id="25" w:name="OLE_LINK24"/>
      <w:r>
        <w:rPr>
          <w:rFonts w:hint="eastAsia"/>
        </w:rPr>
        <w:t xml:space="preserve">When a LO is mapped to one or multiple POs, </w:t>
      </w:r>
      <w:bookmarkStart w:id="26" w:name="OLE_LINK17"/>
      <w:r>
        <w:rPr>
          <w:rFonts w:hint="eastAsia"/>
        </w:rPr>
        <w:t>the PO location can carry part of UE-ID information, which could help offload the overhead from LP-WUS. If the LO is not mapped to the POs, RAN2 would be required to defined a similar mapping relationship as paging occasion, e.g., how group ID is mapped to LP-WUS occasion. Currently, we can consider to support mapping to PO firstly and further discuss whether No mapping to PO could be supported.</w:t>
      </w:r>
    </w:p>
    <w:p>
      <w:pPr>
        <w:spacing w:before="120" w:beforeLines="0" w:line="276" w:lineRule="auto"/>
        <w:rPr>
          <w:b/>
          <w:bCs/>
          <w:i/>
          <w:iCs/>
        </w:rPr>
      </w:pPr>
      <w:r>
        <w:rPr>
          <w:rFonts w:hint="eastAsia"/>
        </w:rPr>
        <w:t xml:space="preserve">Compared with mapping to one PO, the benefits of mapping to multiple PO are to help gNB to save resources for LOs when needed. For example, for eDRX case, there are several I-DRX cycles or POs in the PTW, whether LP-WUS could be mapped to all the POs in the PTW could be further discussed. </w:t>
      </w:r>
      <w:bookmarkEnd w:id="25"/>
      <w:bookmarkEnd w:id="26"/>
      <w:r>
        <w:br w:type="textWrapping"/>
      </w:r>
      <w:r>
        <w:rPr>
          <w:b/>
          <w:bCs/>
          <w:i/>
          <w:iCs/>
        </w:rPr>
        <w:t xml:space="preserve">Proposal </w:t>
      </w:r>
      <w:r>
        <w:rPr>
          <w:rFonts w:hint="eastAsia"/>
          <w:b/>
          <w:bCs/>
          <w:i/>
          <w:iCs/>
        </w:rPr>
        <w:t>8</w:t>
      </w:r>
      <w:r>
        <w:rPr>
          <w:b/>
          <w:bCs/>
          <w:i/>
          <w:iCs/>
        </w:rPr>
        <w:t xml:space="preserve">: For LP-WUS in IDLE/INACTIVE mode, </w:t>
      </w:r>
      <w:r>
        <w:rPr>
          <w:rFonts w:hint="eastAsia"/>
          <w:b/>
          <w:bCs/>
          <w:i/>
          <w:iCs/>
        </w:rPr>
        <w:t>a LP-WUS occasion</w:t>
      </w:r>
      <w:r>
        <w:rPr>
          <w:b/>
          <w:bCs/>
          <w:i/>
          <w:iCs/>
        </w:rPr>
        <w:t xml:space="preserve"> </w:t>
      </w:r>
      <w:r>
        <w:rPr>
          <w:rFonts w:hint="eastAsia"/>
          <w:b/>
          <w:bCs/>
          <w:i/>
          <w:iCs/>
        </w:rPr>
        <w:t>(LO) can be mapped at least one PO.</w:t>
      </w:r>
    </w:p>
    <w:p>
      <w:pPr>
        <w:numPr>
          <w:ilvl w:val="0"/>
          <w:numId w:val="13"/>
        </w:numPr>
        <w:spacing w:before="120" w:beforeLines="0" w:line="276" w:lineRule="auto"/>
        <w:rPr>
          <w:b/>
          <w:bCs/>
          <w:i/>
          <w:iCs/>
        </w:rPr>
      </w:pPr>
      <w:r>
        <w:rPr>
          <w:rFonts w:hint="eastAsia"/>
          <w:b/>
          <w:bCs/>
          <w:i/>
          <w:iCs/>
        </w:rPr>
        <w:t>FFS mapped to multiple POs.</w:t>
      </w:r>
    </w:p>
    <w:p>
      <w:pPr>
        <w:pStyle w:val="3"/>
        <w:spacing w:before="120"/>
        <w:rPr>
          <w:lang w:val="en-US"/>
        </w:rPr>
      </w:pPr>
      <w:r>
        <w:rPr>
          <w:rFonts w:hint="eastAsia"/>
          <w:lang w:val="en-US"/>
        </w:rPr>
        <w:t>Interaction with eDRX</w:t>
      </w:r>
    </w:p>
    <w:p>
      <w:pPr>
        <w:spacing w:before="120"/>
      </w:pPr>
      <w:r>
        <w:rPr>
          <w:rFonts w:hint="eastAsia"/>
        </w:rPr>
        <w:t xml:space="preserve">According to the TR, IoT use cases and wearable cases are the target use cases. For these IoT uses cases, the eDRX is an important feature for UE power saving.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86" w:type="dxa"/>
          </w:tcPr>
          <w:p>
            <w:pPr>
              <w:snapToGrid/>
              <w:spacing w:before="0" w:beforeLines="0" w:after="180" w:line="240" w:lineRule="auto"/>
              <w:jc w:val="left"/>
              <w:rPr>
                <w:rFonts w:eastAsia="等线"/>
                <w:lang w:val="en-GB"/>
              </w:rPr>
            </w:pPr>
            <w:r>
              <w:rPr>
                <w:rFonts w:eastAsia="等线"/>
                <w:lang w:val="en-GB"/>
              </w:rPr>
              <w:t>The following characteristics for target use cases are considered in the study item:</w:t>
            </w:r>
          </w:p>
          <w:p>
            <w:pPr>
              <w:spacing w:before="120" w:after="180"/>
              <w:ind w:left="568"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IoT cases including e.g., industrial wireless sensors, controllers, actuators and etc, including the following characteristics,</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hint="eastAsia" w:eastAsia="等线"/>
                <w:lang w:val="en-GB" w:eastAsia="en-US"/>
              </w:rPr>
              <w:t>prim</w:t>
            </w:r>
            <w:r>
              <w:rPr>
                <w:rFonts w:eastAsia="等线"/>
                <w:lang w:val="en-GB" w:eastAsia="en-US"/>
              </w:rPr>
              <w:t>ary for small form devices</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power-sensitive</w:t>
            </w:r>
          </w:p>
          <w:p>
            <w:pPr>
              <w:spacing w:before="120" w:after="180"/>
              <w:ind w:left="851" w:hanging="284"/>
              <w:rPr>
                <w:rFonts w:eastAsia="等线"/>
                <w:lang w:val="en-GB" w:eastAsia="en-US"/>
              </w:rPr>
            </w:pPr>
            <w:r>
              <w:rPr>
                <w:rFonts w:eastAsia="Malgun Gothic"/>
                <w:lang w:val="en-GB"/>
              </w:rPr>
              <w:t>-</w:t>
            </w:r>
            <w:r>
              <w:rPr>
                <w:rFonts w:eastAsia="Malgun Gothic"/>
                <w:lang w:val="en-GB"/>
              </w:rPr>
              <w:tab/>
            </w:r>
            <w:r>
              <w:rPr>
                <w:rFonts w:eastAsia="Malgun Gothic"/>
                <w:lang w:val="en-GB"/>
              </w:rPr>
              <w:t>static, nomadic or limited mobility</w:t>
            </w:r>
          </w:p>
          <w:p>
            <w:pPr>
              <w:spacing w:before="120" w:after="180"/>
              <w:ind w:left="568"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 xml:space="preserve">Wearable cases including e.g., smart watches, rings, eHealth related devices, and medical monitoring devices etc., </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hint="eastAsia" w:eastAsia="等线"/>
                <w:lang w:val="en-GB" w:eastAsia="en-US"/>
              </w:rPr>
              <w:t>prim</w:t>
            </w:r>
            <w:r>
              <w:rPr>
                <w:rFonts w:eastAsia="等线"/>
                <w:lang w:val="en-GB" w:eastAsia="en-US"/>
              </w:rPr>
              <w:t>ary for small form devices,</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power-sensitive</w:t>
            </w:r>
          </w:p>
          <w:p>
            <w:pPr>
              <w:spacing w:before="120" w:after="180"/>
              <w:ind w:left="851" w:hanging="284"/>
              <w:rPr>
                <w:rFonts w:eastAsia="等线"/>
                <w:lang w:val="en-GB" w:eastAsia="en-US"/>
              </w:rPr>
            </w:pPr>
            <w:r>
              <w:rPr>
                <w:rFonts w:eastAsia="Malgun Gothic"/>
                <w:lang w:val="en-GB"/>
              </w:rPr>
              <w:t>-</w:t>
            </w:r>
            <w:r>
              <w:rPr>
                <w:rFonts w:eastAsia="Malgun Gothic"/>
                <w:lang w:val="en-GB"/>
              </w:rPr>
              <w:tab/>
            </w:r>
            <w:r>
              <w:rPr>
                <w:rFonts w:eastAsia="Malgun Gothic"/>
                <w:lang w:val="en-GB"/>
              </w:rPr>
              <w:t>low/medium speed</w:t>
            </w:r>
            <w:r>
              <w:rPr>
                <w:rFonts w:hint="eastAsia" w:eastAsia="Malgun Gothic"/>
                <w:lang w:val="en-GB"/>
              </w:rPr>
              <w:t>,</w:t>
            </w:r>
            <w:r>
              <w:rPr>
                <w:rFonts w:eastAsia="Malgun Gothic"/>
                <w:lang w:val="en-GB"/>
              </w:rPr>
              <w:t xml:space="preserve"> FFS</w:t>
            </w:r>
            <w:r>
              <w:rPr>
                <w:rFonts w:hint="eastAsia" w:eastAsia="Malgun Gothic"/>
                <w:lang w:val="en-GB"/>
              </w:rPr>
              <w:t>:</w:t>
            </w:r>
            <w:r>
              <w:rPr>
                <w:rFonts w:eastAsia="Malgun Gothic"/>
                <w:lang w:val="en-GB"/>
              </w:rPr>
              <w:t xml:space="preserve"> high speed</w:t>
            </w:r>
          </w:p>
          <w:p>
            <w:pPr>
              <w:spacing w:before="120" w:after="180"/>
              <w:ind w:left="568"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eMBB cases including e.g., XR/smart glasses, smart phones and etc.,</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devices form is various and not restricted</w:t>
            </w:r>
          </w:p>
          <w:p>
            <w:pPr>
              <w:spacing w:before="120" w:after="180"/>
              <w:ind w:left="851" w:hanging="284"/>
              <w:rPr>
                <w:rFonts w:eastAsia="等线"/>
                <w:lang w:val="en-GB" w:eastAsia="en-US"/>
              </w:rPr>
            </w:pPr>
            <w:r>
              <w:rPr>
                <w:rFonts w:eastAsia="等线"/>
                <w:lang w:val="en-GB" w:eastAsia="en-US"/>
              </w:rPr>
              <w:t>-</w:t>
            </w:r>
            <w:r>
              <w:rPr>
                <w:rFonts w:eastAsia="等线"/>
                <w:lang w:val="en-GB" w:eastAsia="en-US"/>
              </w:rPr>
              <w:tab/>
            </w:r>
            <w:r>
              <w:rPr>
                <w:rFonts w:eastAsia="等线"/>
                <w:lang w:val="en-GB" w:eastAsia="en-US"/>
              </w:rPr>
              <w:t>power-sensitive</w:t>
            </w:r>
          </w:p>
          <w:p>
            <w:pPr>
              <w:spacing w:before="120" w:after="180"/>
              <w:ind w:left="851" w:hanging="284"/>
              <w:rPr>
                <w:sz w:val="24"/>
                <w:szCs w:val="24"/>
              </w:rPr>
            </w:pPr>
            <w:r>
              <w:rPr>
                <w:rFonts w:eastAsia="Malgun Gothic"/>
                <w:lang w:val="en-GB"/>
              </w:rPr>
              <w:t>-</w:t>
            </w:r>
            <w:r>
              <w:rPr>
                <w:rFonts w:eastAsia="Malgun Gothic"/>
                <w:lang w:val="en-GB"/>
              </w:rPr>
              <w:tab/>
            </w:r>
            <w:r>
              <w:rPr>
                <w:rFonts w:eastAsia="Malgun Gothic"/>
                <w:lang w:val="en-GB"/>
              </w:rPr>
              <w:t>low/medium speed</w:t>
            </w:r>
            <w:r>
              <w:rPr>
                <w:rFonts w:hint="eastAsia" w:eastAsia="Malgun Gothic"/>
                <w:lang w:val="en-GB"/>
              </w:rPr>
              <w:t>,</w:t>
            </w:r>
            <w:r>
              <w:rPr>
                <w:rFonts w:eastAsia="Malgun Gothic"/>
                <w:lang w:val="en-GB"/>
              </w:rPr>
              <w:t xml:space="preserve"> FFS</w:t>
            </w:r>
            <w:r>
              <w:rPr>
                <w:rFonts w:hint="eastAsia" w:eastAsia="Malgun Gothic"/>
                <w:lang w:val="en-GB"/>
              </w:rPr>
              <w:t>:</w:t>
            </w:r>
            <w:r>
              <w:rPr>
                <w:rFonts w:eastAsia="Malgun Gothic"/>
                <w:lang w:val="en-GB"/>
              </w:rPr>
              <w:t xml:space="preserve">  high speed</w:t>
            </w:r>
          </w:p>
        </w:tc>
      </w:tr>
    </w:tbl>
    <w:p>
      <w:pPr>
        <w:spacing w:before="120"/>
      </w:pPr>
      <w:r>
        <w:rPr>
          <w:rFonts w:hint="eastAsia"/>
        </w:rPr>
        <w:t>Without RRM measurement relaxing for LP-WUS, the PSG by LP-WUS has no advantage over the eDRX. Therefore, considering the premature WUR deployment and the WUR coverage, we think the eDRX feature is still important to be supported especially for IoT devices.</w:t>
      </w:r>
    </w:p>
    <w:p>
      <w:pPr>
        <w:spacing w:before="120"/>
        <w:rPr>
          <w:rFonts w:eastAsia="等线"/>
        </w:rPr>
      </w:pPr>
      <w:r>
        <w:rPr>
          <w:rFonts w:hint="eastAsia"/>
        </w:rPr>
        <w:t xml:space="preserve">During the SI stage, there two schemes for eDRX case. 1) LP-WUS monitoring within PTW and legacy PO determination. 2) </w:t>
      </w:r>
      <w:r>
        <w:rPr>
          <w:rFonts w:eastAsia="等线"/>
          <w:lang w:val="en-GB" w:eastAsia="en-US"/>
        </w:rPr>
        <w:t>LP-WUS monitoring is not restricted in PTW and dynamic PO determination</w:t>
      </w:r>
      <w:r>
        <w:rPr>
          <w:rFonts w:hint="eastAsia" w:eastAsia="等线"/>
        </w:rPr>
        <w:t>. Based on the RRM measurement relaxing, LP-WUS still can bring some power saving gain compared with eDRX.</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86" w:type="dxa"/>
          </w:tcPr>
          <w:p>
            <w:pPr>
              <w:snapToGrid/>
              <w:spacing w:before="0" w:beforeLines="0" w:after="180" w:line="240" w:lineRule="auto"/>
              <w:jc w:val="left"/>
              <w:rPr>
                <w:rFonts w:eastAsia="等线"/>
                <w:szCs w:val="20"/>
                <w:lang w:val="en-GB"/>
              </w:rPr>
            </w:pPr>
            <w:r>
              <w:rPr>
                <w:rFonts w:hint="eastAsia" w:eastAsia="等线"/>
                <w:szCs w:val="20"/>
                <w:lang w:val="en-GB"/>
              </w:rPr>
              <w:t>O</w:t>
            </w:r>
            <w:r>
              <w:rPr>
                <w:rFonts w:eastAsia="等线"/>
                <w:szCs w:val="20"/>
                <w:lang w:val="en-GB"/>
              </w:rPr>
              <w:t xml:space="preserve">bservations: </w:t>
            </w:r>
          </w:p>
          <w:p>
            <w:pPr>
              <w:spacing w:before="120" w:after="180"/>
              <w:ind w:left="568" w:hanging="284"/>
              <w:rPr>
                <w:rFonts w:eastAsia="等线"/>
                <w:lang w:val="en-GB"/>
              </w:rPr>
            </w:pPr>
            <w:r>
              <w:rPr>
                <w:rFonts w:eastAsia="等线"/>
                <w:lang w:val="en-GB" w:eastAsia="en-US"/>
              </w:rPr>
              <w:t>1)</w:t>
            </w:r>
            <w:r>
              <w:rPr>
                <w:rFonts w:eastAsia="等线"/>
                <w:lang w:val="en-GB" w:eastAsia="en-US"/>
              </w:rPr>
              <w:tab/>
            </w:r>
            <w:r>
              <w:rPr>
                <w:rFonts w:eastAsia="等线"/>
                <w:lang w:val="en-GB" w:eastAsia="en-US"/>
              </w:rPr>
              <w:t>LP-WUS monitoring within PTW and legacy PO determination</w:t>
            </w:r>
          </w:p>
          <w:p>
            <w:pPr>
              <w:spacing w:before="120" w:after="180"/>
              <w:ind w:left="851" w:hanging="284"/>
              <w:rPr>
                <w:rFonts w:eastAsia="等线"/>
                <w:lang w:val="en-GB"/>
              </w:rPr>
            </w:pPr>
            <w:r>
              <w:rPr>
                <w:rFonts w:eastAsia="等线"/>
                <w:lang w:val="it-IT"/>
              </w:rPr>
              <w:t>-</w:t>
            </w:r>
            <w:r>
              <w:rPr>
                <w:rFonts w:eastAsia="等线"/>
                <w:lang w:val="it-IT"/>
              </w:rPr>
              <w:tab/>
            </w:r>
            <w:r>
              <w:rPr>
                <w:rFonts w:eastAsia="等线"/>
                <w:lang w:val="it-IT"/>
              </w:rPr>
              <w:t>Effective per UE paging arrival rate</w:t>
            </w:r>
            <w:r>
              <w:rPr>
                <w:rFonts w:eastAsia="等线"/>
                <w:lang w:val="en-GB"/>
              </w:rPr>
              <w:t xml:space="preserve"> &lt;=1% </w:t>
            </w:r>
          </w:p>
          <w:p>
            <w:pPr>
              <w:spacing w:before="120" w:after="180"/>
              <w:ind w:left="1135" w:hanging="284"/>
              <w:rPr>
                <w:rFonts w:eastAsia="等线"/>
                <w:lang w:val="en-GB"/>
              </w:rPr>
            </w:pPr>
            <w:r>
              <w:rPr>
                <w:rFonts w:eastAsia="等线"/>
                <w:lang w:val="en-GB"/>
              </w:rPr>
              <w:t>-</w:t>
            </w:r>
            <w:r>
              <w:rPr>
                <w:rFonts w:eastAsia="等线"/>
                <w:lang w:val="en-GB"/>
              </w:rPr>
              <w:tab/>
            </w:r>
            <w:r>
              <w:rPr>
                <w:rFonts w:eastAsia="等线"/>
                <w:lang w:val="en-GB"/>
              </w:rPr>
              <w:t xml:space="preserve">Results in [8A-3], [8A-4], [8A-8], [8A-12], [8A-16] show that compared with </w:t>
            </w:r>
            <w:r>
              <w:rPr>
                <w:rFonts w:eastAsia="等线"/>
                <w:lang w:val="en-GB" w:eastAsia="en-US"/>
              </w:rPr>
              <w:t>eDRX</w:t>
            </w:r>
            <w:r>
              <w:rPr>
                <w:rFonts w:eastAsia="等线"/>
                <w:color w:val="000000"/>
                <w:lang w:val="en-GB"/>
              </w:rPr>
              <w:t xml:space="preserve">, </w:t>
            </w:r>
            <w:r>
              <w:rPr>
                <w:rFonts w:hint="eastAsia" w:eastAsia="等线"/>
                <w:color w:val="000000"/>
                <w:lang w:val="en-GB"/>
              </w:rPr>
              <w:t>LP-WUS</w:t>
            </w:r>
            <w:r>
              <w:rPr>
                <w:rFonts w:eastAsia="等线"/>
                <w:color w:val="000000"/>
                <w:lang w:val="en-GB"/>
              </w:rPr>
              <w:t xml:space="preserve"> provide m</w:t>
            </w:r>
            <w:r>
              <w:rPr>
                <w:rFonts w:eastAsia="等线"/>
                <w:lang w:val="en-GB"/>
              </w:rPr>
              <w:t xml:space="preserve">ean power saving gain </w:t>
            </w:r>
            <w:r>
              <w:rPr>
                <w:rFonts w:eastAsia="等线"/>
                <w:highlight w:val="green"/>
                <w:lang w:val="en-GB"/>
              </w:rPr>
              <w:t>(average: 67.5%, range: 28%~92%)</w:t>
            </w:r>
          </w:p>
          <w:p>
            <w:pPr>
              <w:spacing w:before="120" w:after="180"/>
              <w:ind w:left="1135" w:hanging="284"/>
              <w:rPr>
                <w:rFonts w:eastAsia="等线"/>
                <w:lang w:val="en-GB"/>
              </w:rPr>
            </w:pPr>
            <w:r>
              <w:rPr>
                <w:rFonts w:eastAsia="等线"/>
                <w:lang w:val="en-GB"/>
              </w:rPr>
              <w:t>-</w:t>
            </w:r>
            <w:r>
              <w:rPr>
                <w:rFonts w:eastAsia="等线"/>
                <w:lang w:val="en-GB"/>
              </w:rPr>
              <w:tab/>
            </w:r>
            <w:r>
              <w:rPr>
                <w:rFonts w:eastAsia="等线"/>
                <w:lang w:val="en-GB"/>
              </w:rPr>
              <w:t>Results in [8A-4], [8A-8] show that compare</w:t>
            </w:r>
            <w:r>
              <w:rPr>
                <w:rFonts w:eastAsia="等线"/>
                <w:lang w:val="en-GB" w:eastAsia="en-US"/>
              </w:rPr>
              <w:t xml:space="preserve">d with eDRX mean paging latency (16.697~25.92) second, LP-WUS will result in mean paging latency (19.863~31.24) second, which increases mean </w:t>
            </w:r>
            <w:r>
              <w:rPr>
                <w:rFonts w:eastAsia="等线"/>
                <w:lang w:val="en-GB"/>
              </w:rPr>
              <w:t>paging latency</w:t>
            </w:r>
            <w:r>
              <w:rPr>
                <w:rFonts w:eastAsia="等线"/>
                <w:highlight w:val="green"/>
                <w:lang w:val="en-GB"/>
              </w:rPr>
              <w:t xml:space="preserve"> (19%~21%)</w:t>
            </w:r>
          </w:p>
          <w:p>
            <w:pPr>
              <w:spacing w:before="120" w:after="180"/>
              <w:ind w:left="1135" w:hanging="284"/>
              <w:rPr>
                <w:rFonts w:eastAsia="等线"/>
                <w:lang w:val="en-GB"/>
              </w:rPr>
            </w:pPr>
            <w:r>
              <w:rPr>
                <w:rFonts w:eastAsia="等线"/>
                <w:lang w:val="en-GB"/>
              </w:rPr>
              <w:t>-</w:t>
            </w:r>
            <w:r>
              <w:rPr>
                <w:rFonts w:eastAsia="等线"/>
                <w:lang w:val="en-GB"/>
              </w:rPr>
              <w:tab/>
            </w:r>
            <w:r>
              <w:rPr>
                <w:rFonts w:eastAsia="等线"/>
                <w:lang w:val="en-GB"/>
              </w:rPr>
              <w:t xml:space="preserve">Results in [8A-3], [8A-16] show that compared with </w:t>
            </w:r>
            <w:r>
              <w:rPr>
                <w:rFonts w:eastAsia="等线"/>
                <w:lang w:val="en-GB" w:eastAsia="en-US"/>
              </w:rPr>
              <w:t>eDRX</w:t>
            </w:r>
            <w:r>
              <w:rPr>
                <w:rFonts w:eastAsia="等线"/>
                <w:lang w:val="en-GB"/>
              </w:rPr>
              <w:t>, LP-WUS will result in mean paging latency</w:t>
            </w:r>
            <w:r>
              <w:rPr>
                <w:rFonts w:eastAsia="等线"/>
                <w:highlight w:val="green"/>
                <w:lang w:val="en-GB"/>
              </w:rPr>
              <w:t xml:space="preserve"> (42.679</w:t>
            </w:r>
            <w:r>
              <w:rPr>
                <w:rFonts w:eastAsia="等线"/>
                <w:highlight w:val="green"/>
                <w:lang w:val="en-GB" w:eastAsia="en-US"/>
              </w:rPr>
              <w:t xml:space="preserve">~161.73) second </w:t>
            </w:r>
            <w:r>
              <w:rPr>
                <w:rFonts w:eastAsia="等线"/>
                <w:highlight w:val="green"/>
                <w:lang w:val="en-GB"/>
              </w:rPr>
              <w:t>without baseline eDRX latency.</w:t>
            </w:r>
          </w:p>
          <w:p>
            <w:pPr>
              <w:spacing w:before="120" w:after="180"/>
              <w:ind w:left="851" w:hanging="284"/>
              <w:rPr>
                <w:rFonts w:eastAsia="等线"/>
                <w:lang w:val="it-IT"/>
              </w:rPr>
            </w:pPr>
            <w:r>
              <w:rPr>
                <w:rFonts w:eastAsia="等线"/>
                <w:lang w:val="it-IT"/>
              </w:rPr>
              <w:t>-</w:t>
            </w:r>
            <w:r>
              <w:rPr>
                <w:rFonts w:eastAsia="等线"/>
                <w:lang w:val="it-IT"/>
              </w:rPr>
              <w:tab/>
            </w:r>
            <w:r>
              <w:rPr>
                <w:rFonts w:eastAsia="等线"/>
                <w:lang w:val="it-IT"/>
              </w:rPr>
              <w:t>1%&lt;Effective per UE paging arrival rate &lt;=8%</w:t>
            </w:r>
          </w:p>
          <w:p>
            <w:pPr>
              <w:spacing w:before="120" w:after="180"/>
              <w:ind w:left="1135" w:hanging="284"/>
              <w:rPr>
                <w:rFonts w:eastAsia="等线"/>
                <w:lang w:val="en-GB"/>
              </w:rPr>
            </w:pPr>
            <w:r>
              <w:rPr>
                <w:rFonts w:eastAsia="等线"/>
                <w:lang w:val="it-IT"/>
              </w:rPr>
              <w:t>-</w:t>
            </w:r>
            <w:r>
              <w:rPr>
                <w:rFonts w:eastAsia="等线"/>
                <w:lang w:val="it-IT"/>
              </w:rPr>
              <w:tab/>
            </w:r>
            <w:r>
              <w:rPr>
                <w:rFonts w:eastAsia="等线"/>
                <w:lang w:val="it-IT"/>
              </w:rPr>
              <w:t xml:space="preserve">Results in </w:t>
            </w:r>
            <w:r>
              <w:rPr>
                <w:rFonts w:eastAsia="等线"/>
                <w:lang w:val="en-GB"/>
              </w:rPr>
              <w:t>[8A-8] show that compared with</w:t>
            </w:r>
            <w:r>
              <w:rPr>
                <w:rFonts w:eastAsia="等线"/>
                <w:lang w:val="en-GB" w:eastAsia="en-US"/>
              </w:rPr>
              <w:t xml:space="preserve"> eDRX</w:t>
            </w:r>
            <w:r>
              <w:rPr>
                <w:rFonts w:eastAsia="等线"/>
                <w:lang w:val="en-GB"/>
              </w:rPr>
              <w:t>, LP-WUS provides mean power saving gain (75%).</w:t>
            </w:r>
          </w:p>
          <w:p>
            <w:pPr>
              <w:spacing w:before="120" w:after="180"/>
              <w:ind w:left="1135" w:hanging="284"/>
              <w:rPr>
                <w:rFonts w:eastAsia="等线"/>
                <w:lang w:val="en-GB" w:eastAsia="en-US"/>
              </w:rPr>
            </w:pPr>
            <w:r>
              <w:rPr>
                <w:rFonts w:eastAsia="等线"/>
                <w:lang w:val="it-IT"/>
              </w:rPr>
              <w:t>-</w:t>
            </w:r>
            <w:r>
              <w:rPr>
                <w:rFonts w:eastAsia="等线"/>
                <w:lang w:val="it-IT"/>
              </w:rPr>
              <w:tab/>
            </w:r>
            <w:r>
              <w:rPr>
                <w:rFonts w:eastAsia="等线"/>
                <w:lang w:val="it-IT"/>
              </w:rPr>
              <w:t xml:space="preserve">Results in </w:t>
            </w:r>
            <w:r>
              <w:rPr>
                <w:rFonts w:eastAsia="等线"/>
                <w:lang w:val="en-GB"/>
              </w:rPr>
              <w:t>[8A-8] show that compared with eDRX mean paging</w:t>
            </w:r>
            <w:r>
              <w:rPr>
                <w:rFonts w:eastAsia="等线"/>
                <w:lang w:val="en-GB" w:eastAsia="en-US"/>
              </w:rPr>
              <w:t xml:space="preserve"> latency</w:t>
            </w:r>
            <w:r>
              <w:rPr>
                <w:rFonts w:eastAsia="等线"/>
                <w:lang w:val="en-GB"/>
              </w:rPr>
              <w:t xml:space="preserve"> (16.927) second, LP-WUS will result in mean paging latency (16.953) second, which </w:t>
            </w:r>
            <w:r>
              <w:rPr>
                <w:rFonts w:hint="eastAsia" w:eastAsia="等线"/>
                <w:lang w:val="en-GB" w:eastAsia="en-US"/>
              </w:rPr>
              <w:t>increase</w:t>
            </w:r>
            <w:r>
              <w:rPr>
                <w:rFonts w:eastAsia="等线"/>
                <w:lang w:val="en-GB" w:eastAsia="en-US"/>
              </w:rPr>
              <w:t>s</w:t>
            </w:r>
            <w:r>
              <w:rPr>
                <w:rFonts w:eastAsia="等线"/>
                <w:lang w:val="en-GB"/>
              </w:rPr>
              <w:t xml:space="preserve"> mean paging latency (0.2%) </w:t>
            </w:r>
          </w:p>
          <w:p>
            <w:pPr>
              <w:spacing w:before="120" w:after="180"/>
              <w:ind w:left="568" w:hanging="284"/>
              <w:rPr>
                <w:rFonts w:eastAsia="等线"/>
                <w:lang w:val="en-GB"/>
              </w:rPr>
            </w:pPr>
            <w:r>
              <w:rPr>
                <w:rFonts w:eastAsia="等线"/>
                <w:lang w:val="en-GB" w:eastAsia="en-US"/>
              </w:rPr>
              <w:t>2)</w:t>
            </w:r>
            <w:r>
              <w:rPr>
                <w:rFonts w:eastAsia="等线"/>
                <w:lang w:val="en-GB" w:eastAsia="en-US"/>
              </w:rPr>
              <w:tab/>
            </w:r>
            <w:r>
              <w:rPr>
                <w:rFonts w:eastAsia="等线"/>
                <w:lang w:val="en-GB" w:eastAsia="en-US"/>
              </w:rPr>
              <w:t>LP-WUS monitoring is not restricted in PTW and dynamic PO determination</w:t>
            </w:r>
          </w:p>
          <w:p>
            <w:pPr>
              <w:spacing w:before="120" w:after="180"/>
              <w:ind w:left="851" w:hanging="284"/>
              <w:rPr>
                <w:rFonts w:eastAsia="等线"/>
                <w:lang w:val="en-GB"/>
              </w:rPr>
            </w:pPr>
            <w:r>
              <w:rPr>
                <w:rFonts w:eastAsia="等线"/>
                <w:lang w:val="it-IT"/>
              </w:rPr>
              <w:t>-</w:t>
            </w:r>
            <w:r>
              <w:rPr>
                <w:rFonts w:eastAsia="等线"/>
                <w:lang w:val="it-IT"/>
              </w:rPr>
              <w:tab/>
            </w:r>
            <w:r>
              <w:rPr>
                <w:rFonts w:eastAsia="等线"/>
                <w:lang w:val="it-IT"/>
              </w:rPr>
              <w:t>Effective per UE paging arrival rate</w:t>
            </w:r>
            <w:r>
              <w:rPr>
                <w:rFonts w:eastAsia="等线"/>
                <w:lang w:val="en-GB"/>
              </w:rPr>
              <w:t xml:space="preserve"> &lt;=1%</w:t>
            </w:r>
          </w:p>
          <w:p>
            <w:pPr>
              <w:spacing w:before="120" w:after="180"/>
              <w:ind w:left="1135" w:hanging="284"/>
              <w:rPr>
                <w:rFonts w:eastAsia="等线"/>
                <w:lang w:val="en-GB"/>
              </w:rPr>
            </w:pPr>
            <w:r>
              <w:rPr>
                <w:rFonts w:eastAsia="等线"/>
                <w:lang w:val="it-IT"/>
              </w:rPr>
              <w:t>-</w:t>
            </w:r>
            <w:r>
              <w:rPr>
                <w:rFonts w:eastAsia="等线"/>
                <w:lang w:val="it-IT"/>
              </w:rPr>
              <w:tab/>
            </w:r>
            <w:r>
              <w:rPr>
                <w:rFonts w:eastAsia="等线"/>
                <w:lang w:val="it-IT"/>
              </w:rPr>
              <w:t xml:space="preserve">Results in </w:t>
            </w:r>
            <w:r>
              <w:rPr>
                <w:rFonts w:eastAsia="等线"/>
                <w:lang w:val="en-GB"/>
              </w:rPr>
              <w:t xml:space="preserve">[8A-7], [8A-8], [8A-11] </w:t>
            </w:r>
            <w:r>
              <w:rPr>
                <w:rFonts w:eastAsia="等线"/>
                <w:highlight w:val="green"/>
                <w:lang w:val="en-GB"/>
              </w:rPr>
              <w:t xml:space="preserve">show that compared with </w:t>
            </w:r>
            <w:r>
              <w:rPr>
                <w:rFonts w:eastAsia="等线"/>
                <w:highlight w:val="green"/>
                <w:lang w:val="en-GB" w:eastAsia="en-US"/>
              </w:rPr>
              <w:t>eDRX</w:t>
            </w:r>
            <w:r>
              <w:rPr>
                <w:rFonts w:eastAsia="等线"/>
                <w:highlight w:val="green"/>
                <w:lang w:val="en-GB"/>
              </w:rPr>
              <w:t xml:space="preserve">, </w:t>
            </w:r>
            <w:r>
              <w:rPr>
                <w:rFonts w:hint="eastAsia" w:eastAsia="等线"/>
                <w:highlight w:val="green"/>
                <w:lang w:val="en-GB"/>
              </w:rPr>
              <w:t>LP-WUS</w:t>
            </w:r>
            <w:r>
              <w:rPr>
                <w:rFonts w:eastAsia="等线"/>
                <w:highlight w:val="green"/>
                <w:lang w:val="en-GB"/>
              </w:rPr>
              <w:t xml:space="preserve"> provides mean power saving gain (average: 22%, range: </w:t>
            </w:r>
            <w:r>
              <w:rPr>
                <w:rFonts w:eastAsia="等线"/>
                <w:highlight w:val="green"/>
                <w:lang w:val="en-GB" w:eastAsia="en-US"/>
              </w:rPr>
              <w:t>9%~58%</w:t>
            </w:r>
            <w:r>
              <w:rPr>
                <w:rFonts w:eastAsia="等线"/>
                <w:highlight w:val="green"/>
                <w:lang w:val="en-GB"/>
              </w:rPr>
              <w:t>)</w:t>
            </w:r>
            <w:r>
              <w:rPr>
                <w:rFonts w:eastAsia="等线"/>
                <w:lang w:val="en-GB"/>
              </w:rPr>
              <w:t xml:space="preserve">  </w:t>
            </w:r>
          </w:p>
          <w:p>
            <w:pPr>
              <w:spacing w:before="120" w:after="180"/>
              <w:ind w:left="1135" w:hanging="284"/>
              <w:rPr>
                <w:rFonts w:eastAsia="等线"/>
                <w:lang w:val="en-GB"/>
              </w:rPr>
            </w:pPr>
            <w:r>
              <w:rPr>
                <w:rFonts w:eastAsia="等线"/>
                <w:lang w:val="it-IT"/>
              </w:rPr>
              <w:t>-</w:t>
            </w:r>
            <w:r>
              <w:rPr>
                <w:rFonts w:eastAsia="等线"/>
                <w:lang w:val="it-IT"/>
              </w:rPr>
              <w:tab/>
            </w:r>
            <w:r>
              <w:rPr>
                <w:rFonts w:eastAsia="等线"/>
                <w:lang w:val="it-IT"/>
              </w:rPr>
              <w:t xml:space="preserve">Results in </w:t>
            </w:r>
            <w:r>
              <w:rPr>
                <w:rFonts w:eastAsia="等线"/>
                <w:lang w:val="en-GB"/>
              </w:rPr>
              <w:t xml:space="preserve">[8A-7], [8A-8], [8A-11] show that compared with </w:t>
            </w:r>
            <w:r>
              <w:rPr>
                <w:rFonts w:eastAsia="等线"/>
                <w:lang w:val="en-GB" w:eastAsia="en-US"/>
              </w:rPr>
              <w:t xml:space="preserve">eDRX </w:t>
            </w:r>
            <w:r>
              <w:rPr>
                <w:rFonts w:eastAsia="等线"/>
                <w:lang w:val="en-GB"/>
              </w:rPr>
              <w:t xml:space="preserve">mean paging </w:t>
            </w:r>
            <w:r>
              <w:rPr>
                <w:rFonts w:eastAsia="等线"/>
                <w:lang w:val="en-GB" w:eastAsia="en-US"/>
              </w:rPr>
              <w:t>latency (16.927~28.192) second, LP-WUS will result in mean paging latency (0.566~1.</w:t>
            </w:r>
            <w:r>
              <w:rPr>
                <w:rFonts w:eastAsia="等线"/>
                <w:lang w:val="en-GB"/>
              </w:rPr>
              <w:t>035</w:t>
            </w:r>
            <w:r>
              <w:rPr>
                <w:rFonts w:eastAsia="等线"/>
                <w:lang w:val="en-GB" w:eastAsia="en-US"/>
              </w:rPr>
              <w:t>) second</w:t>
            </w:r>
            <w:r>
              <w:rPr>
                <w:rFonts w:eastAsia="等线"/>
                <w:lang w:val="en-GB"/>
              </w:rPr>
              <w:t xml:space="preserve">, which decreases mean paging latency (96%~98%) </w:t>
            </w:r>
            <w:r>
              <w:rPr>
                <w:rFonts w:eastAsia="等线"/>
                <w:lang w:val="en-GB" w:eastAsia="en-US"/>
              </w:rPr>
              <w:t>if LP-WUS monitoring and the corresponding paging monitoring after MR wake-up is performed not restricted within existing PTW of eDRX</w:t>
            </w:r>
            <w:r>
              <w:rPr>
                <w:rFonts w:eastAsia="等线"/>
                <w:sz w:val="21"/>
                <w:szCs w:val="21"/>
                <w:lang w:val="en-GB" w:eastAsia="en-US"/>
              </w:rPr>
              <w:t>.</w:t>
            </w:r>
          </w:p>
          <w:p>
            <w:pPr>
              <w:spacing w:before="120" w:after="180"/>
              <w:ind w:left="851" w:hanging="284"/>
              <w:rPr>
                <w:rFonts w:eastAsia="等线"/>
                <w:lang w:val="it-IT"/>
              </w:rPr>
            </w:pPr>
            <w:r>
              <w:rPr>
                <w:rFonts w:eastAsia="等线"/>
                <w:lang w:val="it-IT"/>
              </w:rPr>
              <w:t>-</w:t>
            </w:r>
            <w:r>
              <w:rPr>
                <w:rFonts w:eastAsia="等线"/>
                <w:lang w:val="it-IT"/>
              </w:rPr>
              <w:tab/>
            </w:r>
            <w:r>
              <w:rPr>
                <w:rFonts w:eastAsia="等线"/>
                <w:lang w:val="it-IT"/>
              </w:rPr>
              <w:t>1%&lt;Effective per UE paging arrival rate &lt;=8%</w:t>
            </w:r>
          </w:p>
          <w:p>
            <w:pPr>
              <w:spacing w:before="120" w:after="180"/>
              <w:ind w:left="1135" w:hanging="284"/>
              <w:rPr>
                <w:rFonts w:eastAsia="等线"/>
                <w:lang w:val="en-GB"/>
              </w:rPr>
            </w:pPr>
            <w:r>
              <w:rPr>
                <w:rFonts w:eastAsia="等线"/>
                <w:lang w:val="it-IT"/>
              </w:rPr>
              <w:t>-</w:t>
            </w:r>
            <w:r>
              <w:rPr>
                <w:rFonts w:eastAsia="等线"/>
                <w:lang w:val="it-IT"/>
              </w:rPr>
              <w:tab/>
            </w:r>
            <w:r>
              <w:rPr>
                <w:rFonts w:eastAsia="等线"/>
                <w:lang w:val="it-IT"/>
              </w:rPr>
              <w:t xml:space="preserve">Results in </w:t>
            </w:r>
            <w:r>
              <w:rPr>
                <w:rFonts w:eastAsia="等线"/>
                <w:lang w:val="en-GB"/>
              </w:rPr>
              <w:t>[8A-8] show that compared with eDRX, LP-WUS provides mean power saving gain (</w:t>
            </w:r>
            <w:r>
              <w:rPr>
                <w:rFonts w:hint="eastAsia" w:ascii="等线" w:hAnsi="等线" w:eastAsia="等线"/>
                <w:lang w:val="en-GB"/>
              </w:rPr>
              <w:t>-</w:t>
            </w:r>
            <w:r>
              <w:rPr>
                <w:rFonts w:eastAsia="等线"/>
                <w:highlight w:val="green"/>
                <w:lang w:val="en-GB"/>
              </w:rPr>
              <w:t>15%).</w:t>
            </w:r>
          </w:p>
          <w:p>
            <w:pPr>
              <w:spacing w:before="120" w:after="180"/>
              <w:ind w:left="1135" w:hanging="284"/>
            </w:pPr>
            <w:r>
              <w:rPr>
                <w:rFonts w:eastAsia="等线"/>
                <w:lang w:val="it-IT"/>
              </w:rPr>
              <w:t>-</w:t>
            </w:r>
            <w:r>
              <w:rPr>
                <w:rFonts w:eastAsia="等线"/>
                <w:lang w:val="it-IT"/>
              </w:rPr>
              <w:tab/>
            </w:r>
            <w:r>
              <w:rPr>
                <w:rFonts w:eastAsia="等线"/>
                <w:lang w:val="it-IT"/>
              </w:rPr>
              <w:t xml:space="preserve">Results in </w:t>
            </w:r>
            <w:r>
              <w:rPr>
                <w:rFonts w:eastAsia="等线"/>
                <w:lang w:val="en-GB"/>
              </w:rPr>
              <w:t>[8A-8] s</w:t>
            </w:r>
            <w:r>
              <w:rPr>
                <w:rFonts w:eastAsia="等线"/>
                <w:highlight w:val="green"/>
                <w:lang w:val="en-GB"/>
              </w:rPr>
              <w:t xml:space="preserve">how that compared with </w:t>
            </w:r>
            <w:r>
              <w:rPr>
                <w:rFonts w:eastAsia="等线"/>
                <w:highlight w:val="green"/>
                <w:lang w:val="en-GB" w:eastAsia="en-US"/>
              </w:rPr>
              <w:t xml:space="preserve">eDRX </w:t>
            </w:r>
            <w:r>
              <w:rPr>
                <w:rFonts w:eastAsia="等线"/>
                <w:highlight w:val="green"/>
                <w:lang w:val="en-GB"/>
              </w:rPr>
              <w:t xml:space="preserve">mean paging </w:t>
            </w:r>
            <w:r>
              <w:rPr>
                <w:rFonts w:eastAsia="等线"/>
                <w:highlight w:val="green"/>
                <w:lang w:val="en-GB" w:eastAsia="en-US"/>
              </w:rPr>
              <w:t xml:space="preserve">latency (16.927) second, LP-WUS will result in mean paging latency (0.566) second, which decreases mean </w:t>
            </w:r>
            <w:r>
              <w:rPr>
                <w:rFonts w:eastAsia="等线"/>
                <w:highlight w:val="green"/>
                <w:lang w:val="en-GB"/>
              </w:rPr>
              <w:t>paging latency (97%).</w:t>
            </w:r>
          </w:p>
        </w:tc>
      </w:tr>
    </w:tbl>
    <w:p>
      <w:pPr>
        <w:spacing w:before="120"/>
        <w:rPr>
          <w:b/>
          <w:bCs/>
          <w:i/>
          <w:iCs/>
        </w:rPr>
      </w:pPr>
      <w:r>
        <w:rPr>
          <w:rFonts w:hint="eastAsia"/>
          <w:b/>
          <w:bCs/>
          <w:i/>
          <w:iCs/>
        </w:rPr>
        <w:t>Proposal 9: eDRX is an important feature to be supported especially for IoT device.</w:t>
      </w:r>
    </w:p>
    <w:p>
      <w:pPr>
        <w:numPr>
          <w:ilvl w:val="0"/>
          <w:numId w:val="14"/>
        </w:numPr>
        <w:spacing w:before="120"/>
        <w:rPr>
          <w:b/>
          <w:bCs/>
          <w:i/>
          <w:iCs/>
        </w:rPr>
      </w:pPr>
      <w:r>
        <w:rPr>
          <w:rFonts w:hint="eastAsia"/>
          <w:b/>
          <w:bCs/>
          <w:i/>
          <w:iCs/>
        </w:rPr>
        <w:t>Combined with LP-WUS, more PSG can be achieved.</w:t>
      </w:r>
    </w:p>
    <w:p>
      <w:pPr>
        <w:spacing w:before="120" w:beforeLines="0" w:line="276" w:lineRule="auto"/>
      </w:pPr>
      <w:r>
        <w:rPr>
          <w:rFonts w:hint="eastAsia"/>
        </w:rPr>
        <w:t>For eDRX, there would be multiple DRXs in a PTW. If the LP-WUS is located before each DRX, then the LP-WUS monitoring would be frequent as shown in Figure 5.</w:t>
      </w:r>
    </w:p>
    <w:p>
      <w:pPr>
        <w:spacing w:before="120" w:beforeLines="0" w:line="276" w:lineRule="auto"/>
      </w:pPr>
      <w:r>
        <w:drawing>
          <wp:inline distT="0" distB="0" distL="114300" distR="114300">
            <wp:extent cx="5692775" cy="1955800"/>
            <wp:effectExtent l="0" t="0" r="3175"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21"/>
                    <a:stretch>
                      <a:fillRect/>
                    </a:stretch>
                  </pic:blipFill>
                  <pic:spPr>
                    <a:xfrm>
                      <a:off x="0" y="0"/>
                      <a:ext cx="5692775" cy="1955800"/>
                    </a:xfrm>
                    <a:prstGeom prst="rect">
                      <a:avLst/>
                    </a:prstGeom>
                    <a:noFill/>
                    <a:ln>
                      <a:noFill/>
                    </a:ln>
                  </pic:spPr>
                </pic:pic>
              </a:graphicData>
            </a:graphic>
          </wp:inline>
        </w:drawing>
      </w:r>
    </w:p>
    <w:p>
      <w:pPr>
        <w:spacing w:before="120" w:beforeLines="0" w:line="276" w:lineRule="auto"/>
        <w:jc w:val="center"/>
        <w:rPr>
          <w:b/>
          <w:bCs/>
        </w:rPr>
      </w:pPr>
      <w:r>
        <w:rPr>
          <w:rFonts w:hint="eastAsia"/>
          <w:b/>
          <w:bCs/>
        </w:rPr>
        <w:t>Figure 5: Duty cycle LP-WUS monitoring periodicity aligned with I-DRX</w:t>
      </w:r>
    </w:p>
    <w:p>
      <w:pPr>
        <w:spacing w:before="120" w:beforeLines="0" w:line="276" w:lineRule="auto"/>
      </w:pPr>
      <w:r>
        <w:rPr>
          <w:rFonts w:hint="eastAsia"/>
        </w:rPr>
        <w:t xml:space="preserve">In this case, the LP-WUS could help some power, but no latency. Moreover, there are LOs between two PTW wasted. If LO periodicity is similar as PTW, then some LOs monitoring could be saved, as shown in the following.  </w:t>
      </w:r>
    </w:p>
    <w:p>
      <w:pPr>
        <w:spacing w:before="120" w:beforeLines="0" w:line="276" w:lineRule="auto"/>
        <w:jc w:val="center"/>
      </w:pPr>
      <w:r>
        <w:drawing>
          <wp:inline distT="0" distB="0" distL="114300" distR="114300">
            <wp:extent cx="5209540" cy="1731645"/>
            <wp:effectExtent l="0" t="0" r="10160" b="1905"/>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22"/>
                    <a:stretch>
                      <a:fillRect/>
                    </a:stretch>
                  </pic:blipFill>
                  <pic:spPr>
                    <a:xfrm>
                      <a:off x="0" y="0"/>
                      <a:ext cx="5209540" cy="1731645"/>
                    </a:xfrm>
                    <a:prstGeom prst="rect">
                      <a:avLst/>
                    </a:prstGeom>
                  </pic:spPr>
                </pic:pic>
              </a:graphicData>
            </a:graphic>
          </wp:inline>
        </w:drawing>
      </w:r>
    </w:p>
    <w:p>
      <w:pPr>
        <w:spacing w:before="120" w:beforeLines="0" w:line="276" w:lineRule="auto"/>
        <w:jc w:val="center"/>
        <w:rPr>
          <w:b/>
          <w:bCs/>
        </w:rPr>
      </w:pPr>
      <w:r>
        <w:rPr>
          <w:rFonts w:hint="eastAsia"/>
          <w:b/>
          <w:bCs/>
        </w:rPr>
        <w:t xml:space="preserve">Figure </w:t>
      </w:r>
      <w:r>
        <w:rPr>
          <w:b/>
          <w:bCs/>
        </w:rPr>
        <w:t>6</w:t>
      </w:r>
      <w:r>
        <w:rPr>
          <w:rFonts w:hint="eastAsia"/>
          <w:b/>
          <w:bCs/>
        </w:rPr>
        <w:t>: Duty cycle LP-WUS monitoring periodicity aligned with PTW</w:t>
      </w:r>
    </w:p>
    <w:p>
      <w:pPr>
        <w:spacing w:before="120" w:beforeLines="0" w:line="276" w:lineRule="auto"/>
      </w:pPr>
      <w:r>
        <w:rPr>
          <w:rFonts w:hint="eastAsia"/>
        </w:rPr>
        <w:t>If both power saving gain and latency reduction are pursued, the PTW window or paging monitoring should be adapted according to the LP-WUS monitoring, similar as C-DRX.</w:t>
      </w:r>
    </w:p>
    <w:p>
      <w:pPr>
        <w:spacing w:before="120" w:beforeLines="0" w:line="276" w:lineRule="auto"/>
        <w:rPr>
          <w:b/>
          <w:bCs/>
          <w:i/>
          <w:iCs/>
        </w:rPr>
      </w:pPr>
      <w:bookmarkStart w:id="27" w:name="OLE_LINK16"/>
      <w:r>
        <w:rPr>
          <w:rFonts w:hint="eastAsia"/>
          <w:b/>
          <w:bCs/>
          <w:i/>
          <w:iCs/>
        </w:rPr>
        <w:t xml:space="preserve">Proposal 10: For duty cycle LP-WUS in IDLE/INACTIVE mode, the periodicity can be </w:t>
      </w:r>
    </w:p>
    <w:p>
      <w:pPr>
        <w:numPr>
          <w:ilvl w:val="0"/>
          <w:numId w:val="15"/>
        </w:numPr>
        <w:spacing w:before="120" w:beforeLines="0" w:line="276" w:lineRule="auto"/>
        <w:rPr>
          <w:b/>
          <w:bCs/>
          <w:i/>
          <w:iCs/>
        </w:rPr>
      </w:pPr>
      <w:r>
        <w:rPr>
          <w:rFonts w:hint="eastAsia"/>
          <w:b/>
          <w:bCs/>
          <w:i/>
          <w:iCs/>
        </w:rPr>
        <w:t xml:space="preserve">Aligned with I-DRX cycle and LP-WUS monitoring occasions </w:t>
      </w:r>
      <w:r>
        <w:rPr>
          <w:b/>
          <w:bCs/>
          <w:i/>
          <w:iCs/>
        </w:rPr>
        <w:t>before each DRX in PTW</w:t>
      </w:r>
      <w:r>
        <w:rPr>
          <w:rFonts w:hint="eastAsia"/>
          <w:b/>
          <w:bCs/>
          <w:i/>
          <w:iCs/>
        </w:rPr>
        <w:t xml:space="preserve"> can be considered.</w:t>
      </w:r>
    </w:p>
    <w:p>
      <w:pPr>
        <w:numPr>
          <w:ilvl w:val="0"/>
          <w:numId w:val="15"/>
        </w:numPr>
        <w:spacing w:before="120" w:beforeLines="0" w:line="276" w:lineRule="auto"/>
        <w:rPr>
          <w:b/>
          <w:bCs/>
          <w:i/>
          <w:iCs/>
        </w:rPr>
      </w:pPr>
      <w:r>
        <w:rPr>
          <w:rFonts w:hint="eastAsia"/>
          <w:b/>
          <w:bCs/>
          <w:i/>
          <w:iCs/>
        </w:rPr>
        <w:t>Aligned with eDRX cycle and LP-WUS monitoring occasions in a window can be considered.</w:t>
      </w:r>
      <w:bookmarkEnd w:id="7"/>
    </w:p>
    <w:p>
      <w:pPr>
        <w:numPr>
          <w:ilvl w:val="0"/>
          <w:numId w:val="15"/>
        </w:numPr>
        <w:spacing w:before="120" w:beforeLines="0" w:line="276" w:lineRule="auto"/>
        <w:rPr>
          <w:b/>
          <w:bCs/>
          <w:i/>
          <w:iCs/>
        </w:rPr>
      </w:pPr>
      <w:r>
        <w:rPr>
          <w:rFonts w:hint="eastAsia"/>
          <w:b/>
          <w:bCs/>
          <w:i/>
          <w:iCs/>
        </w:rPr>
        <w:t>Dynamic PO or adaptive PTW could be considered for latency reduction</w:t>
      </w:r>
    </w:p>
    <w:p>
      <w:pPr>
        <w:pStyle w:val="3"/>
        <w:spacing w:before="120"/>
        <w:rPr>
          <w:lang w:val="en-US"/>
        </w:rPr>
      </w:pPr>
      <w:r>
        <w:rPr>
          <w:rFonts w:hint="eastAsia"/>
          <w:lang w:val="en-US"/>
        </w:rPr>
        <w:t>TDD support</w:t>
      </w:r>
    </w:p>
    <w:p>
      <w:pPr>
        <w:spacing w:before="120" w:beforeLines="0" w:line="276" w:lineRule="auto"/>
      </w:pPr>
      <w:r>
        <w:rPr>
          <w:rFonts w:hint="eastAsia"/>
        </w:rPr>
        <w:t>TDD bands are commercially deployed widely. Therefore, LP-WUS should be designed to be compatible with TDD DL-UL configuration. An illustration is shown as follows.</w:t>
      </w:r>
    </w:p>
    <w:p>
      <w:pPr>
        <w:spacing w:before="120" w:beforeLines="0" w:line="276" w:lineRule="auto"/>
        <w:jc w:val="center"/>
      </w:pPr>
      <w:r>
        <w:drawing>
          <wp:inline distT="0" distB="0" distL="114300" distR="114300">
            <wp:extent cx="5222875" cy="2884805"/>
            <wp:effectExtent l="0" t="0" r="15875" b="10795"/>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pic:cNvPicPr>
                      <a:picLocks noChangeAspect="1"/>
                    </pic:cNvPicPr>
                  </pic:nvPicPr>
                  <pic:blipFill>
                    <a:blip r:embed="rId23"/>
                    <a:stretch>
                      <a:fillRect/>
                    </a:stretch>
                  </pic:blipFill>
                  <pic:spPr>
                    <a:xfrm>
                      <a:off x="0" y="0"/>
                      <a:ext cx="5222875" cy="2884805"/>
                    </a:xfrm>
                    <a:prstGeom prst="rect">
                      <a:avLst/>
                    </a:prstGeom>
                  </pic:spPr>
                </pic:pic>
              </a:graphicData>
            </a:graphic>
          </wp:inline>
        </w:drawing>
      </w:r>
    </w:p>
    <w:p>
      <w:pPr>
        <w:spacing w:before="120" w:beforeLines="0" w:line="276" w:lineRule="auto"/>
        <w:jc w:val="center"/>
        <w:rPr>
          <w:b/>
          <w:bCs/>
        </w:rPr>
      </w:pPr>
      <w:r>
        <w:rPr>
          <w:rFonts w:hint="eastAsia"/>
          <w:b/>
          <w:bCs/>
        </w:rPr>
        <w:t xml:space="preserve">Figure </w:t>
      </w:r>
      <w:r>
        <w:rPr>
          <w:b/>
          <w:bCs/>
        </w:rPr>
        <w:t>7</w:t>
      </w:r>
      <w:r>
        <w:rPr>
          <w:rFonts w:hint="eastAsia"/>
          <w:b/>
          <w:bCs/>
        </w:rPr>
        <w:t>. LP-WUS in TDD</w:t>
      </w:r>
    </w:p>
    <w:p>
      <w:pPr>
        <w:spacing w:before="120" w:beforeLines="0" w:line="276" w:lineRule="auto"/>
      </w:pPr>
      <w:r>
        <w:rPr>
          <w:rFonts w:hint="eastAsia"/>
        </w:rPr>
        <w:t>However, whether/</w:t>
      </w:r>
      <w:r>
        <w:t>h</w:t>
      </w:r>
      <w:r>
        <w:rPr>
          <w:rFonts w:hint="eastAsia"/>
        </w:rPr>
        <w:t xml:space="preserve">ow to avoid LP-WUS allocated in UL slots or symbols, whether the LP-SS/LP-WUS with multiple beams </w:t>
      </w:r>
      <w:r>
        <w:t>can</w:t>
      </w:r>
      <w:r>
        <w:rPr>
          <w:rFonts w:hint="eastAsia"/>
        </w:rPr>
        <w:t xml:space="preserve"> be allocated across different frames, are some issues for further discussion.</w:t>
      </w:r>
    </w:p>
    <w:p>
      <w:pPr>
        <w:spacing w:before="120" w:beforeLines="0" w:line="276" w:lineRule="auto"/>
        <w:rPr>
          <w:b/>
          <w:bCs/>
          <w:i/>
          <w:iCs/>
        </w:rPr>
      </w:pPr>
      <w:r>
        <w:rPr>
          <w:rFonts w:hint="eastAsia"/>
          <w:b/>
          <w:bCs/>
          <w:i/>
          <w:iCs/>
        </w:rPr>
        <w:t>Proposal 11: Support LP-WUS in TDD</w:t>
      </w:r>
    </w:p>
    <w:p>
      <w:pPr>
        <w:numPr>
          <w:ilvl w:val="0"/>
          <w:numId w:val="16"/>
        </w:numPr>
        <w:spacing w:before="120" w:beforeLines="0" w:after="240" w:line="276" w:lineRule="auto"/>
        <w:rPr>
          <w:b/>
          <w:bCs/>
          <w:i/>
          <w:iCs/>
        </w:rPr>
      </w:pPr>
      <w:r>
        <w:rPr>
          <w:rFonts w:hint="eastAsia"/>
          <w:b/>
          <w:bCs/>
          <w:i/>
          <w:iCs/>
        </w:rPr>
        <w:t>FFS the potential impacts</w:t>
      </w:r>
    </w:p>
    <w:bookmarkEnd w:id="27"/>
    <w:p>
      <w:pPr>
        <w:pStyle w:val="2"/>
        <w:spacing w:before="120"/>
        <w:rPr>
          <w:lang w:val="en-US"/>
        </w:rPr>
      </w:pPr>
      <w:bookmarkStart w:id="28" w:name="OLE_LINK19"/>
      <w:r>
        <w:rPr>
          <w:rFonts w:hint="eastAsia"/>
          <w:lang w:val="en-US"/>
        </w:rPr>
        <w:t>Conclu</w:t>
      </w:r>
      <w:bookmarkEnd w:id="1"/>
      <w:bookmarkEnd w:id="2"/>
      <w:bookmarkStart w:id="29" w:name="OLE_LINK15"/>
      <w:r>
        <w:rPr>
          <w:rFonts w:hint="eastAsia"/>
          <w:lang w:val="en-US"/>
        </w:rPr>
        <w:t>sions</w:t>
      </w:r>
      <w:r>
        <w:rPr>
          <w:lang w:val="en-US"/>
        </w:rPr>
        <w:t xml:space="preserve"> </w:t>
      </w:r>
    </w:p>
    <w:bookmarkEnd w:id="28"/>
    <w:p>
      <w:pPr>
        <w:tabs>
          <w:tab w:val="left" w:pos="0"/>
        </w:tabs>
        <w:spacing w:before="120" w:beforeLines="0" w:line="276" w:lineRule="auto"/>
        <w:rPr>
          <w:lang w:eastAsia="ja-JP"/>
        </w:rPr>
      </w:pPr>
      <w:r>
        <w:rPr>
          <w:lang w:eastAsia="ja-JP"/>
        </w:rPr>
        <w:t>In thi</w:t>
      </w:r>
      <w:bookmarkEnd w:id="29"/>
      <w:r>
        <w:rPr>
          <w:lang w:eastAsia="ja-JP"/>
        </w:rPr>
        <w:t xml:space="preserve">s contribution, </w:t>
      </w:r>
      <w:r>
        <w:rPr>
          <w:rFonts w:hint="eastAsia"/>
        </w:rPr>
        <w:t xml:space="preserve">we have discussed </w:t>
      </w:r>
      <w:r>
        <w:t>issues on</w:t>
      </w:r>
      <w:r>
        <w:rPr>
          <w:rFonts w:hint="eastAsia"/>
          <w:szCs w:val="20"/>
        </w:rPr>
        <w:t xml:space="preserve"> LP-WUS operation in IDLE/INACTIVE modes</w:t>
      </w:r>
      <w:r>
        <w:t>.</w:t>
      </w:r>
      <w:r>
        <w:rPr>
          <w:rFonts w:hint="eastAsia"/>
        </w:rPr>
        <w:t xml:space="preserve"> </w:t>
      </w:r>
      <w:r>
        <w:rPr>
          <w:lang w:eastAsia="ja-JP"/>
        </w:rPr>
        <w:t>We make the following observation</w:t>
      </w:r>
      <w:r>
        <w:rPr>
          <w:rFonts w:hint="eastAsia"/>
        </w:rPr>
        <w:t>s</w:t>
      </w:r>
      <w:r>
        <w:rPr>
          <w:lang w:eastAsia="ja-JP"/>
        </w:rPr>
        <w:t xml:space="preserve"> and proposals:</w:t>
      </w:r>
    </w:p>
    <w:p>
      <w:pPr>
        <w:spacing w:before="120" w:afterLines="50" w:line="276" w:lineRule="auto"/>
        <w:rPr>
          <w:b/>
          <w:bCs/>
          <w:i/>
          <w:iCs/>
        </w:rPr>
      </w:pPr>
      <w:r>
        <w:rPr>
          <w:rFonts w:hint="eastAsia"/>
          <w:b/>
          <w:bCs/>
          <w:i/>
          <w:iCs/>
        </w:rPr>
        <w:t xml:space="preserve">Observation 1: </w:t>
      </w:r>
    </w:p>
    <w:p>
      <w:pPr>
        <w:numPr>
          <w:ilvl w:val="0"/>
          <w:numId w:val="11"/>
        </w:numPr>
        <w:spacing w:before="120" w:afterLines="50" w:line="276" w:lineRule="auto"/>
        <w:rPr>
          <w:b/>
          <w:bCs/>
          <w:i/>
          <w:iCs/>
        </w:rPr>
      </w:pPr>
      <w:r>
        <w:rPr>
          <w:rFonts w:hint="eastAsia"/>
          <w:b/>
          <w:bCs/>
          <w:i/>
          <w:iCs/>
        </w:rPr>
        <w:t>With the R_E increasing, the peak probability position for a number of groups wake-up increases, and the average number of wake-up groups increases.</w:t>
      </w:r>
    </w:p>
    <w:p>
      <w:pPr>
        <w:numPr>
          <w:ilvl w:val="0"/>
          <w:numId w:val="11"/>
        </w:numPr>
        <w:spacing w:before="120" w:afterLines="50" w:line="276" w:lineRule="auto"/>
        <w:rPr>
          <w:b/>
          <w:bCs/>
          <w:i/>
          <w:iCs/>
        </w:rPr>
      </w:pPr>
      <w:r>
        <w:rPr>
          <w:rFonts w:hint="eastAsia"/>
          <w:b/>
          <w:bCs/>
          <w:i/>
          <w:iCs/>
        </w:rPr>
        <w:t>With the number of groups increases, the probability for multiple groups wake-up would increase</w:t>
      </w:r>
    </w:p>
    <w:p>
      <w:pPr>
        <w:spacing w:before="120" w:beforeLines="0" w:line="276" w:lineRule="auto"/>
        <w:rPr>
          <w:rFonts w:eastAsia="Times New Roman" w:cs="Malgun Gothic"/>
          <w:b/>
          <w:bCs/>
          <w:i/>
          <w:iCs/>
          <w:lang w:bidi="ar"/>
        </w:rPr>
      </w:pPr>
      <w:r>
        <w:rPr>
          <w:rFonts w:hint="eastAsia" w:cs="Malgun Gothic"/>
          <w:b/>
          <w:bCs/>
          <w:i/>
          <w:iCs/>
          <w:lang w:bidi="ar"/>
        </w:rPr>
        <w:t xml:space="preserve">Observation 2: Compared with LP-WUS based legacy PO monitoring, LP-WUS based dynamic PO monitoring has benefits of </w:t>
      </w:r>
      <w:r>
        <w:rPr>
          <w:rFonts w:eastAsia="Times New Roman" w:cs="Malgun Gothic"/>
          <w:b/>
          <w:bCs/>
          <w:i/>
          <w:iCs/>
          <w:lang w:bidi="ar"/>
        </w:rPr>
        <w:t xml:space="preserve">latency reduction </w:t>
      </w:r>
      <w:r>
        <w:rPr>
          <w:rFonts w:hint="eastAsia" w:cs="Malgun Gothic"/>
          <w:b/>
          <w:bCs/>
          <w:i/>
          <w:iCs/>
          <w:lang w:bidi="ar"/>
        </w:rPr>
        <w:t>and UE power saving</w:t>
      </w:r>
      <w:r>
        <w:rPr>
          <w:rFonts w:eastAsia="Times New Roman" w:cs="Malgun Gothic"/>
          <w:b/>
          <w:bCs/>
          <w:i/>
          <w:iCs/>
          <w:lang w:bidi="ar"/>
        </w:rPr>
        <w:t>.</w:t>
      </w:r>
      <w:bookmarkStart w:id="32" w:name="_GoBack"/>
      <w:bookmarkEnd w:id="32"/>
    </w:p>
    <w:p>
      <w:pPr>
        <w:tabs>
          <w:tab w:val="left" w:pos="0"/>
        </w:tabs>
        <w:spacing w:before="120" w:beforeLines="0" w:line="276" w:lineRule="auto"/>
        <w:rPr>
          <w:lang w:eastAsia="ja-JP"/>
        </w:rPr>
      </w:pPr>
    </w:p>
    <w:p>
      <w:pPr>
        <w:spacing w:before="120" w:beforeLines="0" w:line="276" w:lineRule="auto"/>
        <w:rPr>
          <w:rFonts w:eastAsia="等线"/>
          <w:b/>
          <w:bCs/>
          <w:i/>
          <w:iCs/>
        </w:rPr>
      </w:pPr>
      <w:r>
        <w:rPr>
          <w:rFonts w:hint="eastAsia" w:eastAsia="等线"/>
          <w:b/>
          <w:bCs/>
          <w:i/>
          <w:iCs/>
        </w:rPr>
        <w:t xml:space="preserve">Proposal 1: In IDLE/INACTIVE mode, </w:t>
      </w:r>
    </w:p>
    <w:p>
      <w:pPr>
        <w:numPr>
          <w:ilvl w:val="0"/>
          <w:numId w:val="9"/>
        </w:numPr>
        <w:spacing w:before="120" w:beforeLines="0" w:line="276" w:lineRule="auto"/>
        <w:rPr>
          <w:rFonts w:eastAsia="等线"/>
          <w:b/>
          <w:bCs/>
          <w:i/>
          <w:iCs/>
        </w:rPr>
      </w:pPr>
      <w:r>
        <w:rPr>
          <w:rFonts w:hint="eastAsia" w:eastAsia="等线"/>
          <w:b/>
          <w:bCs/>
          <w:i/>
          <w:iCs/>
        </w:rPr>
        <w:t>When the UE supports LP-WUS function and gNB configures LP-WUS, the UE is supposed to monitor LP-WUS if channel condition is satisfied. FFS other preconfigured criteria.</w:t>
      </w:r>
    </w:p>
    <w:p>
      <w:pPr>
        <w:numPr>
          <w:ilvl w:val="0"/>
          <w:numId w:val="9"/>
        </w:numPr>
        <w:spacing w:before="120" w:beforeLines="0" w:line="276" w:lineRule="auto"/>
        <w:rPr>
          <w:rFonts w:eastAsia="等线"/>
          <w:b/>
          <w:bCs/>
          <w:i/>
          <w:iCs/>
        </w:rPr>
      </w:pPr>
      <w:r>
        <w:rPr>
          <w:rFonts w:hint="eastAsia" w:eastAsia="等线"/>
          <w:b/>
          <w:bCs/>
          <w:i/>
          <w:iCs/>
        </w:rPr>
        <w:t xml:space="preserve">When UE monitors LP-WUS and the UE has not received the LP-WUS for a long time, it is suggested to consider fallback to legacy PO monitoring. </w:t>
      </w:r>
    </w:p>
    <w:p>
      <w:pPr>
        <w:spacing w:before="120" w:beforeLines="0" w:line="276" w:lineRule="auto"/>
        <w:rPr>
          <w:rFonts w:eastAsia="等线"/>
          <w:b/>
          <w:bCs/>
          <w:i/>
          <w:iCs/>
        </w:rPr>
      </w:pPr>
      <w:r>
        <w:rPr>
          <w:rFonts w:hint="eastAsia" w:eastAsia="等线"/>
          <w:b/>
          <w:bCs/>
          <w:i/>
          <w:iCs/>
        </w:rPr>
        <w:t>Proposal 2: In IDLE/INACTIVE mode, LP-WUS activation and deactivation via gNB is required.</w:t>
      </w:r>
    </w:p>
    <w:p>
      <w:pPr>
        <w:numPr>
          <w:ilvl w:val="0"/>
          <w:numId w:val="10"/>
        </w:numPr>
        <w:spacing w:before="120" w:beforeLines="0" w:line="276" w:lineRule="auto"/>
        <w:rPr>
          <w:rFonts w:eastAsia="等线"/>
          <w:b/>
          <w:bCs/>
          <w:i/>
          <w:iCs/>
        </w:rPr>
      </w:pPr>
      <w:r>
        <w:rPr>
          <w:rFonts w:hint="eastAsia" w:eastAsia="等线"/>
          <w:b/>
          <w:bCs/>
          <w:i/>
          <w:iCs/>
        </w:rPr>
        <w:t>gNB controllable threshold for UE</w:t>
      </w:r>
      <w:r>
        <w:rPr>
          <w:rFonts w:eastAsia="等线"/>
          <w:b/>
          <w:bCs/>
          <w:i/>
          <w:iCs/>
          <w:lang w:eastAsia="ko-KR"/>
        </w:rPr>
        <w:t xml:space="preserve"> activation and/or deactivation of LP-WUS monitoring</w:t>
      </w:r>
      <w:r>
        <w:rPr>
          <w:rFonts w:hint="eastAsia" w:eastAsia="等线"/>
          <w:b/>
          <w:bCs/>
          <w:i/>
          <w:iCs/>
        </w:rPr>
        <w:t xml:space="preserve"> is required.</w:t>
      </w:r>
    </w:p>
    <w:p>
      <w:pPr>
        <w:spacing w:before="120" w:afterLines="50" w:line="276" w:lineRule="auto"/>
        <w:rPr>
          <w:b/>
          <w:bCs/>
          <w:i/>
          <w:iCs/>
        </w:rPr>
      </w:pPr>
      <w:r>
        <w:rPr>
          <w:rFonts w:hint="eastAsia"/>
          <w:b/>
          <w:bCs/>
          <w:i/>
          <w:iCs/>
        </w:rPr>
        <w:t>Proposal 3: For LP-WUS in RRC_IDLE/INACTIVE mode, payload content includes:</w:t>
      </w:r>
    </w:p>
    <w:p>
      <w:pPr>
        <w:numPr>
          <w:ilvl w:val="0"/>
          <w:numId w:val="12"/>
        </w:numPr>
        <w:spacing w:before="120" w:afterLines="50" w:line="276" w:lineRule="auto"/>
        <w:rPr>
          <w:b/>
          <w:bCs/>
          <w:i/>
          <w:iCs/>
        </w:rPr>
      </w:pPr>
      <w:r>
        <w:rPr>
          <w:rFonts w:hint="eastAsia"/>
          <w:b/>
          <w:bCs/>
          <w:i/>
          <w:iCs/>
        </w:rPr>
        <w:t xml:space="preserve">At least one or two UE groups indicated via LP-WUS could be considered </w:t>
      </w:r>
    </w:p>
    <w:p>
      <w:pPr>
        <w:numPr>
          <w:ilvl w:val="0"/>
          <w:numId w:val="12"/>
        </w:numPr>
        <w:spacing w:before="120" w:afterLines="50" w:line="276" w:lineRule="auto"/>
        <w:rPr>
          <w:b/>
          <w:bCs/>
          <w:i/>
          <w:iCs/>
        </w:rPr>
      </w:pPr>
      <w:r>
        <w:rPr>
          <w:rFonts w:hint="eastAsia"/>
          <w:b/>
          <w:bCs/>
          <w:i/>
          <w:iCs/>
        </w:rPr>
        <w:t>8-bit CRC could be a starting point</w:t>
      </w:r>
    </w:p>
    <w:p>
      <w:pPr>
        <w:spacing w:before="120" w:beforeLines="0" w:line="276" w:lineRule="auto"/>
        <w:rPr>
          <w:b/>
          <w:bCs/>
          <w:i/>
          <w:iCs/>
        </w:rPr>
      </w:pPr>
      <w:r>
        <w:rPr>
          <w:rFonts w:eastAsia="Times New Roman"/>
          <w:b/>
          <w:i/>
          <w:lang w:bidi="ar"/>
        </w:rPr>
        <w:t xml:space="preserve">Proposal </w:t>
      </w:r>
      <w:r>
        <w:rPr>
          <w:rFonts w:hint="eastAsia"/>
          <w:b/>
          <w:i/>
          <w:lang w:bidi="ar"/>
        </w:rPr>
        <w:t>4</w:t>
      </w:r>
      <w:r>
        <w:rPr>
          <w:rFonts w:eastAsia="Times New Roman"/>
          <w:b/>
          <w:i/>
          <w:lang w:bidi="ar"/>
        </w:rPr>
        <w:t xml:space="preserve">: </w:t>
      </w:r>
      <w:r>
        <w:rPr>
          <w:rFonts w:hint="eastAsia"/>
          <w:b/>
          <w:i/>
          <w:lang w:bidi="ar"/>
        </w:rPr>
        <w:t>F</w:t>
      </w:r>
      <w:r>
        <w:rPr>
          <w:rFonts w:eastAsia="Times New Roman"/>
          <w:b/>
          <w:i/>
          <w:lang w:bidi="ar"/>
        </w:rPr>
        <w:t xml:space="preserve">or </w:t>
      </w:r>
      <w:r>
        <w:rPr>
          <w:rFonts w:hint="eastAsia"/>
          <w:b/>
          <w:i/>
          <w:lang w:bidi="ar"/>
        </w:rPr>
        <w:t>LP-WUS in IDLE</w:t>
      </w:r>
      <w:r>
        <w:rPr>
          <w:rFonts w:eastAsia="Times New Roman"/>
          <w:b/>
          <w:i/>
          <w:lang w:bidi="ar"/>
        </w:rPr>
        <w:t>/</w:t>
      </w:r>
      <w:r>
        <w:rPr>
          <w:rFonts w:hint="eastAsia"/>
          <w:b/>
          <w:i/>
          <w:lang w:bidi="ar"/>
        </w:rPr>
        <w:t>INACTIVE</w:t>
      </w:r>
      <w:r>
        <w:rPr>
          <w:rFonts w:eastAsia="Times New Roman"/>
          <w:b/>
          <w:i/>
          <w:lang w:bidi="ar"/>
        </w:rPr>
        <w:t xml:space="preserve"> mode,</w:t>
      </w:r>
      <w:r>
        <w:rPr>
          <w:rFonts w:hint="eastAsia"/>
          <w:b/>
          <w:i/>
          <w:lang w:bidi="ar"/>
        </w:rPr>
        <w:t xml:space="preserve"> </w:t>
      </w:r>
      <w:r>
        <w:rPr>
          <w:rFonts w:hint="eastAsia"/>
          <w:b/>
          <w:bCs/>
          <w:i/>
          <w:iCs/>
        </w:rPr>
        <w:t xml:space="preserve">dynamic PO can be </w:t>
      </w:r>
      <w:r>
        <w:rPr>
          <w:b/>
          <w:bCs/>
          <w:i/>
          <w:iCs/>
        </w:rPr>
        <w:t>considered</w:t>
      </w:r>
      <w:r>
        <w:rPr>
          <w:rFonts w:hint="eastAsia"/>
          <w:b/>
          <w:bCs/>
          <w:i/>
          <w:iCs/>
        </w:rPr>
        <w:t>.</w:t>
      </w:r>
    </w:p>
    <w:p>
      <w:pPr>
        <w:numPr>
          <w:ilvl w:val="255"/>
          <w:numId w:val="0"/>
        </w:numPr>
        <w:spacing w:before="120" w:beforeLines="0" w:line="276" w:lineRule="auto"/>
        <w:rPr>
          <w:i/>
          <w:iCs/>
        </w:rPr>
      </w:pPr>
      <w:r>
        <w:rPr>
          <w:rFonts w:hint="eastAsia"/>
          <w:b/>
          <w:bCs/>
          <w:i/>
          <w:iCs/>
        </w:rPr>
        <w:t>Proposal 5: Unified LP-WUS monitoring scheme should be designed for I-DRX and eDRX</w:t>
      </w:r>
    </w:p>
    <w:p>
      <w:pPr>
        <w:numPr>
          <w:ilvl w:val="255"/>
          <w:numId w:val="0"/>
        </w:numPr>
        <w:spacing w:before="120" w:beforeLines="0" w:line="276" w:lineRule="auto"/>
        <w:rPr>
          <w:b/>
          <w:bCs/>
          <w:i/>
          <w:iCs/>
        </w:rPr>
      </w:pPr>
      <w:r>
        <w:rPr>
          <w:rFonts w:hint="eastAsia"/>
          <w:b/>
          <w:bCs/>
          <w:i/>
          <w:iCs/>
        </w:rPr>
        <w:t>Proposal 6: For LP-WUS monitoring, multiple occasions are required for each window in each cycle if any.</w:t>
      </w:r>
    </w:p>
    <w:p>
      <w:pPr>
        <w:spacing w:before="120" w:beforeLines="0" w:line="276" w:lineRule="auto"/>
        <w:rPr>
          <w:b/>
          <w:bCs/>
          <w:i/>
          <w:iCs/>
        </w:rPr>
      </w:pPr>
      <w:r>
        <w:rPr>
          <w:rFonts w:hint="eastAsia"/>
          <w:b/>
          <w:bCs/>
          <w:i/>
          <w:iCs/>
        </w:rPr>
        <w:t>Proposal 7: For duty cycle LP-WUS in IDLE/INACTIVE mode, the periodicity could be the same with I-DRX cycle.</w:t>
      </w:r>
    </w:p>
    <w:p>
      <w:pPr>
        <w:numPr>
          <w:ilvl w:val="0"/>
          <w:numId w:val="12"/>
        </w:numPr>
        <w:spacing w:before="120" w:beforeLines="0" w:line="276" w:lineRule="auto"/>
        <w:rPr>
          <w:b/>
          <w:bCs/>
          <w:i/>
          <w:iCs/>
        </w:rPr>
      </w:pPr>
      <w:r>
        <w:rPr>
          <w:rFonts w:hint="eastAsia"/>
          <w:b/>
          <w:bCs/>
          <w:i/>
          <w:iCs/>
        </w:rPr>
        <w:t>The location of LO can be determined by an offset before the starting of PO</w:t>
      </w:r>
    </w:p>
    <w:p>
      <w:pPr>
        <w:numPr>
          <w:ilvl w:val="0"/>
          <w:numId w:val="12"/>
        </w:numPr>
        <w:spacing w:before="120" w:beforeLines="0" w:line="276" w:lineRule="auto"/>
        <w:rPr>
          <w:b/>
          <w:bCs/>
          <w:i/>
          <w:iCs/>
        </w:rPr>
      </w:pPr>
      <w:r>
        <w:rPr>
          <w:rFonts w:hint="eastAsia"/>
          <w:b/>
          <w:bCs/>
          <w:i/>
          <w:iCs/>
        </w:rPr>
        <w:t>The LP-WUS periodicity could be smaller or larger than I-DRX.</w:t>
      </w:r>
    </w:p>
    <w:p>
      <w:pPr>
        <w:spacing w:before="120" w:beforeLines="0" w:line="276" w:lineRule="auto"/>
        <w:rPr>
          <w:b/>
          <w:bCs/>
          <w:i/>
          <w:iCs/>
        </w:rPr>
      </w:pPr>
      <w:r>
        <w:rPr>
          <w:b/>
          <w:bCs/>
          <w:i/>
          <w:iCs/>
        </w:rPr>
        <w:t xml:space="preserve">Proposal </w:t>
      </w:r>
      <w:r>
        <w:rPr>
          <w:rFonts w:hint="eastAsia"/>
          <w:b/>
          <w:bCs/>
          <w:i/>
          <w:iCs/>
        </w:rPr>
        <w:t>8</w:t>
      </w:r>
      <w:r>
        <w:rPr>
          <w:b/>
          <w:bCs/>
          <w:i/>
          <w:iCs/>
        </w:rPr>
        <w:t xml:space="preserve">: For LP-WUS in IDLE/INACTIVE mode, </w:t>
      </w:r>
      <w:r>
        <w:rPr>
          <w:rFonts w:hint="eastAsia"/>
          <w:b/>
          <w:bCs/>
          <w:i/>
          <w:iCs/>
        </w:rPr>
        <w:t>a LP-WUS occasion</w:t>
      </w:r>
      <w:r>
        <w:rPr>
          <w:b/>
          <w:bCs/>
          <w:i/>
          <w:iCs/>
        </w:rPr>
        <w:t xml:space="preserve"> </w:t>
      </w:r>
      <w:r>
        <w:rPr>
          <w:rFonts w:hint="eastAsia"/>
          <w:b/>
          <w:bCs/>
          <w:i/>
          <w:iCs/>
        </w:rPr>
        <w:t>(LO) can be mapped at least one PO.</w:t>
      </w:r>
    </w:p>
    <w:p>
      <w:pPr>
        <w:numPr>
          <w:ilvl w:val="0"/>
          <w:numId w:val="13"/>
        </w:numPr>
        <w:spacing w:before="120" w:beforeLines="0" w:line="276" w:lineRule="auto"/>
        <w:rPr>
          <w:b/>
          <w:bCs/>
          <w:i/>
          <w:iCs/>
        </w:rPr>
      </w:pPr>
      <w:r>
        <w:rPr>
          <w:rFonts w:hint="eastAsia"/>
          <w:b/>
          <w:bCs/>
          <w:i/>
          <w:iCs/>
        </w:rPr>
        <w:t>FFS mapped to multiple POs.</w:t>
      </w:r>
    </w:p>
    <w:p>
      <w:pPr>
        <w:spacing w:before="120"/>
        <w:rPr>
          <w:b/>
          <w:bCs/>
          <w:i/>
          <w:iCs/>
        </w:rPr>
      </w:pPr>
      <w:r>
        <w:rPr>
          <w:rFonts w:hint="eastAsia"/>
          <w:b/>
          <w:bCs/>
          <w:i/>
          <w:iCs/>
        </w:rPr>
        <w:t>Proposal 9: eDRX is an important feature to be supported especially for IoT device.</w:t>
      </w:r>
    </w:p>
    <w:p>
      <w:pPr>
        <w:numPr>
          <w:ilvl w:val="0"/>
          <w:numId w:val="14"/>
        </w:numPr>
        <w:spacing w:before="120"/>
        <w:rPr>
          <w:b/>
          <w:bCs/>
          <w:i/>
          <w:iCs/>
        </w:rPr>
      </w:pPr>
      <w:r>
        <w:rPr>
          <w:rFonts w:hint="eastAsia"/>
          <w:b/>
          <w:bCs/>
          <w:i/>
          <w:iCs/>
        </w:rPr>
        <w:t>Combined with LP-WUS, more PSG can be achieved.</w:t>
      </w:r>
    </w:p>
    <w:p>
      <w:pPr>
        <w:spacing w:before="120" w:beforeLines="0" w:line="276" w:lineRule="auto"/>
        <w:rPr>
          <w:b/>
          <w:bCs/>
          <w:i/>
          <w:iCs/>
        </w:rPr>
      </w:pPr>
      <w:r>
        <w:rPr>
          <w:rFonts w:hint="eastAsia"/>
          <w:b/>
          <w:bCs/>
          <w:i/>
          <w:iCs/>
        </w:rPr>
        <w:t xml:space="preserve">Proposal 10: For duty cycle LP-WUS in IDLE/INACTIVE mode, the periodicity can be </w:t>
      </w:r>
    </w:p>
    <w:p>
      <w:pPr>
        <w:numPr>
          <w:ilvl w:val="0"/>
          <w:numId w:val="15"/>
        </w:numPr>
        <w:spacing w:before="120" w:beforeLines="0" w:line="276" w:lineRule="auto"/>
        <w:rPr>
          <w:b/>
          <w:bCs/>
          <w:i/>
          <w:iCs/>
        </w:rPr>
      </w:pPr>
      <w:r>
        <w:rPr>
          <w:rFonts w:hint="eastAsia"/>
          <w:b/>
          <w:bCs/>
          <w:i/>
          <w:iCs/>
        </w:rPr>
        <w:t xml:space="preserve">Aligned with I-DRX cycle and LP-WUS monitoring occasions </w:t>
      </w:r>
      <w:r>
        <w:rPr>
          <w:b/>
          <w:bCs/>
          <w:i/>
          <w:iCs/>
        </w:rPr>
        <w:t>before each DRX in PTW</w:t>
      </w:r>
      <w:r>
        <w:rPr>
          <w:rFonts w:hint="eastAsia"/>
          <w:b/>
          <w:bCs/>
          <w:i/>
          <w:iCs/>
        </w:rPr>
        <w:t xml:space="preserve"> can be considered.</w:t>
      </w:r>
    </w:p>
    <w:p>
      <w:pPr>
        <w:numPr>
          <w:ilvl w:val="0"/>
          <w:numId w:val="15"/>
        </w:numPr>
        <w:spacing w:before="120" w:beforeLines="0" w:line="276" w:lineRule="auto"/>
        <w:rPr>
          <w:b/>
          <w:bCs/>
          <w:i/>
          <w:iCs/>
        </w:rPr>
      </w:pPr>
      <w:r>
        <w:rPr>
          <w:rFonts w:hint="eastAsia"/>
          <w:b/>
          <w:bCs/>
          <w:i/>
          <w:iCs/>
        </w:rPr>
        <w:t>Aligned with eDRX cycle and LP-WUS monitoring occasions in a window can be considered.</w:t>
      </w:r>
    </w:p>
    <w:p>
      <w:pPr>
        <w:numPr>
          <w:ilvl w:val="0"/>
          <w:numId w:val="15"/>
        </w:numPr>
        <w:spacing w:before="120" w:beforeLines="0" w:line="276" w:lineRule="auto"/>
        <w:rPr>
          <w:b/>
          <w:bCs/>
          <w:i/>
          <w:iCs/>
        </w:rPr>
      </w:pPr>
      <w:r>
        <w:rPr>
          <w:rFonts w:hint="eastAsia"/>
          <w:b/>
          <w:bCs/>
          <w:i/>
          <w:iCs/>
        </w:rPr>
        <w:t>Dynamic PO or adaptive PTW could be considered for latency reduction</w:t>
      </w:r>
    </w:p>
    <w:p>
      <w:pPr>
        <w:spacing w:before="120" w:beforeLines="0" w:line="276" w:lineRule="auto"/>
        <w:rPr>
          <w:b/>
          <w:bCs/>
          <w:i/>
          <w:iCs/>
        </w:rPr>
      </w:pPr>
      <w:r>
        <w:rPr>
          <w:rFonts w:hint="eastAsia"/>
          <w:b/>
          <w:bCs/>
          <w:i/>
          <w:iCs/>
        </w:rPr>
        <w:t>Proposal 11: Support LP-WUS in TDD</w:t>
      </w:r>
    </w:p>
    <w:p>
      <w:pPr>
        <w:numPr>
          <w:ilvl w:val="0"/>
          <w:numId w:val="16"/>
        </w:numPr>
        <w:spacing w:before="120" w:beforeLines="0" w:after="240" w:line="276" w:lineRule="auto"/>
        <w:rPr>
          <w:b/>
          <w:bCs/>
          <w:i/>
          <w:iCs/>
        </w:rPr>
      </w:pPr>
      <w:r>
        <w:rPr>
          <w:rFonts w:hint="eastAsia"/>
          <w:b/>
          <w:bCs/>
          <w:i/>
          <w:iCs/>
        </w:rPr>
        <w:t>FFS the potential impacts</w:t>
      </w:r>
    </w:p>
    <w:p>
      <w:pPr>
        <w:pStyle w:val="2"/>
        <w:spacing w:before="120"/>
        <w:rPr>
          <w:lang w:val="en-US"/>
        </w:rPr>
      </w:pPr>
      <w:r>
        <w:rPr>
          <w:lang w:val="en-US"/>
        </w:rPr>
        <w:t>Refer</w:t>
      </w:r>
      <w:bookmarkStart w:id="30" w:name="OLE_LINK25"/>
      <w:r>
        <w:rPr>
          <w:lang w:val="en-US"/>
        </w:rPr>
        <w:t>e</w:t>
      </w:r>
      <w:bookmarkEnd w:id="30"/>
      <w:r>
        <w:rPr>
          <w:lang w:val="en-US"/>
        </w:rPr>
        <w:t>nces</w:t>
      </w:r>
    </w:p>
    <w:p>
      <w:pPr>
        <w:pStyle w:val="133"/>
        <w:spacing w:before="120"/>
        <w:rPr>
          <w:lang w:eastAsia="zh-CN"/>
        </w:rPr>
      </w:pPr>
      <w:bookmarkStart w:id="31" w:name="OLE_LINK23"/>
      <w:r>
        <w:rPr>
          <w:lang w:eastAsia="zh-CN"/>
        </w:rPr>
        <w:t>RP-240801, “Revised WID: Low-power wake-up signal and receiver for NR (LP-WUS/WUR)”</w:t>
      </w:r>
      <w:r>
        <w:rPr>
          <w:rFonts w:hint="eastAsia"/>
          <w:lang w:eastAsia="zh-CN"/>
        </w:rPr>
        <w:t>,</w:t>
      </w:r>
      <w:r>
        <w:rPr>
          <w:lang w:eastAsia="zh-CN"/>
        </w:rPr>
        <w:t xml:space="preserve"> RAN#</w:t>
      </w:r>
      <w:r>
        <w:rPr>
          <w:rFonts w:hint="eastAsia"/>
          <w:lang w:eastAsia="zh-CN"/>
        </w:rPr>
        <w:t>10</w:t>
      </w:r>
      <w:r>
        <w:rPr>
          <w:lang w:eastAsia="zh-CN"/>
        </w:rPr>
        <w:t>3</w:t>
      </w:r>
    </w:p>
    <w:bookmarkEnd w:id="31"/>
    <w:p>
      <w:pPr>
        <w:pStyle w:val="133"/>
        <w:spacing w:before="120" w:after="120"/>
        <w:ind w:left="363" w:hanging="363"/>
        <w:rPr>
          <w:szCs w:val="21"/>
        </w:rPr>
      </w:pPr>
      <w:r>
        <w:rPr>
          <w:rFonts w:hint="eastAsia"/>
          <w:szCs w:val="21"/>
          <w:lang w:eastAsia="zh-CN"/>
        </w:rPr>
        <w:t>Draft Report of 3GPP TSG RAN WG1 #116 v0.3.0.</w:t>
      </w:r>
    </w:p>
    <w:p>
      <w:pPr>
        <w:pStyle w:val="133"/>
        <w:numPr>
          <w:ilvl w:val="0"/>
          <w:numId w:val="0"/>
        </w:numPr>
        <w:spacing w:before="120"/>
        <w:rPr>
          <w:lang w:eastAsia="zh-CN"/>
        </w:rPr>
      </w:pPr>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122EF9"/>
    <w:multiLevelType w:val="singleLevel"/>
    <w:tmpl w:val="8A122EF9"/>
    <w:lvl w:ilvl="0" w:tentative="0">
      <w:start w:val="1"/>
      <w:numFmt w:val="bullet"/>
      <w:lvlText w:val="-"/>
      <w:lvlJc w:val="left"/>
      <w:pPr>
        <w:ind w:left="420" w:hanging="420"/>
      </w:pPr>
      <w:rPr>
        <w:rFonts w:hint="default" w:ascii="Times New Roman" w:hAnsi="Times New Roman" w:cs="Times New Roman"/>
      </w:rPr>
    </w:lvl>
  </w:abstractNum>
  <w:abstractNum w:abstractNumId="1">
    <w:nsid w:val="9DDAB2EC"/>
    <w:multiLevelType w:val="singleLevel"/>
    <w:tmpl w:val="9DDAB2EC"/>
    <w:lvl w:ilvl="0" w:tentative="0">
      <w:start w:val="1"/>
      <w:numFmt w:val="bullet"/>
      <w:lvlText w:val=""/>
      <w:lvlJc w:val="left"/>
      <w:pPr>
        <w:ind w:left="420" w:hanging="420"/>
      </w:pPr>
      <w:rPr>
        <w:rFonts w:hint="default" w:ascii="Symbol" w:hAnsi="Symbol" w:cs="Symbol"/>
      </w:rPr>
    </w:lvl>
  </w:abstractNum>
  <w:abstractNum w:abstractNumId="2">
    <w:nsid w:val="C1717395"/>
    <w:multiLevelType w:val="singleLevel"/>
    <w:tmpl w:val="C1717395"/>
    <w:lvl w:ilvl="0" w:tentative="0">
      <w:start w:val="1"/>
      <w:numFmt w:val="bullet"/>
      <w:lvlText w:val=""/>
      <w:lvlJc w:val="left"/>
      <w:pPr>
        <w:ind w:left="420" w:hanging="420"/>
      </w:pPr>
      <w:rPr>
        <w:rFonts w:hint="default" w:ascii="Symbol" w:hAnsi="Symbol" w:cs="Symbol"/>
      </w:rPr>
    </w:lvl>
  </w:abstractNum>
  <w:abstractNum w:abstractNumId="3">
    <w:nsid w:val="C914FC5F"/>
    <w:multiLevelType w:val="singleLevel"/>
    <w:tmpl w:val="C914FC5F"/>
    <w:lvl w:ilvl="0" w:tentative="0">
      <w:start w:val="1"/>
      <w:numFmt w:val="bullet"/>
      <w:lvlText w:val=""/>
      <w:lvlJc w:val="left"/>
      <w:pPr>
        <w:ind w:left="420" w:hanging="420"/>
      </w:pPr>
      <w:rPr>
        <w:rFonts w:hint="default" w:ascii="Symbol" w:hAnsi="Symbol" w:cs="Symbol"/>
      </w:rPr>
    </w:lvl>
  </w:abstractNum>
  <w:abstractNum w:abstractNumId="4">
    <w:nsid w:val="E5FDF5A0"/>
    <w:multiLevelType w:val="singleLevel"/>
    <w:tmpl w:val="E5FDF5A0"/>
    <w:lvl w:ilvl="0" w:tentative="0">
      <w:start w:val="1"/>
      <w:numFmt w:val="bullet"/>
      <w:lvlText w:val=""/>
      <w:lvlJc w:val="left"/>
      <w:pPr>
        <w:ind w:left="420" w:hanging="420"/>
      </w:pPr>
      <w:rPr>
        <w:rFonts w:hint="default" w:ascii="Symbol" w:hAnsi="Symbol" w:cs="Symbol"/>
      </w:rPr>
    </w:lvl>
  </w:abstractNum>
  <w:abstractNum w:abstractNumId="5">
    <w:nsid w:val="EC52AACF"/>
    <w:multiLevelType w:val="singleLevel"/>
    <w:tmpl w:val="EC52AACF"/>
    <w:lvl w:ilvl="0" w:tentative="0">
      <w:start w:val="1"/>
      <w:numFmt w:val="bullet"/>
      <w:lvlText w:val=""/>
      <w:lvlJc w:val="left"/>
      <w:pPr>
        <w:ind w:left="420" w:hanging="420"/>
      </w:pPr>
      <w:rPr>
        <w:rFonts w:hint="default" w:ascii="Symbol" w:hAnsi="Symbol" w:cs="Symbol"/>
      </w:rPr>
    </w:lvl>
  </w:abstractNum>
  <w:abstractNum w:abstractNumId="6">
    <w:nsid w:val="28707A8F"/>
    <w:multiLevelType w:val="multilevel"/>
    <w:tmpl w:val="28707A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AA0D67E"/>
    <w:multiLevelType w:val="multilevel"/>
    <w:tmpl w:val="2AA0D67E"/>
    <w:lvl w:ilvl="0" w:tentative="0">
      <w:start w:val="1"/>
      <w:numFmt w:val="bullet"/>
      <w:pStyle w:val="16"/>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2EA777DF"/>
    <w:multiLevelType w:val="singleLevel"/>
    <w:tmpl w:val="2EA777DF"/>
    <w:lvl w:ilvl="0" w:tentative="0">
      <w:start w:val="1"/>
      <w:numFmt w:val="bullet"/>
      <w:lvlText w:val=""/>
      <w:lvlJc w:val="left"/>
      <w:pPr>
        <w:ind w:left="420" w:hanging="420"/>
      </w:pPr>
      <w:rPr>
        <w:rFonts w:hint="default" w:ascii="Symbol" w:hAnsi="Symbol" w:cs="Symbol"/>
      </w:rPr>
    </w:lvl>
  </w:abstractNum>
  <w:abstractNum w:abstractNumId="9">
    <w:nsid w:val="30501E44"/>
    <w:multiLevelType w:val="multilevel"/>
    <w:tmpl w:val="30501E44"/>
    <w:lvl w:ilvl="0" w:tentative="0">
      <w:start w:val="1"/>
      <w:numFmt w:val="decimal"/>
      <w:pStyle w:val="14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11">
    <w:nsid w:val="4134875C"/>
    <w:multiLevelType w:val="singleLevel"/>
    <w:tmpl w:val="4134875C"/>
    <w:lvl w:ilvl="0" w:tentative="0">
      <w:start w:val="1"/>
      <w:numFmt w:val="bullet"/>
      <w:lvlText w:val=""/>
      <w:lvlJc w:val="left"/>
      <w:pPr>
        <w:ind w:left="420" w:hanging="420"/>
      </w:pPr>
      <w:rPr>
        <w:rFonts w:hint="default" w:ascii="Symbol" w:hAnsi="Symbol" w:cs="Symbol"/>
      </w:rPr>
    </w:lvl>
  </w:abstractNum>
  <w:abstractNum w:abstractNumId="12">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71E504D"/>
    <w:multiLevelType w:val="multilevel"/>
    <w:tmpl w:val="571E50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222DBC6"/>
    <w:multiLevelType w:val="multilevel"/>
    <w:tmpl w:val="6222DBC6"/>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ascii="Arial" w:hAnsi="Arial" w:eastAsia="宋体" w:cs="宋体"/>
        <w:bCs/>
        <w:sz w:val="24"/>
      </w:rPr>
    </w:lvl>
    <w:lvl w:ilvl="2" w:tentative="0">
      <w:start w:val="1"/>
      <w:numFmt w:val="decimal"/>
      <w:pStyle w:val="4"/>
      <w:lvlText w:val="%1.%2.%3."/>
      <w:lvlJc w:val="left"/>
      <w:pPr>
        <w:ind w:left="720" w:hanging="720"/>
      </w:pPr>
      <w:rPr>
        <w:rFonts w:hint="default" w:ascii="Arial" w:hAnsi="Arial" w:eastAsia="宋体" w:cs="宋体"/>
        <w:sz w:val="21"/>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576"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5">
    <w:nsid w:val="70146DC0"/>
    <w:multiLevelType w:val="multilevel"/>
    <w:tmpl w:val="70146DC0"/>
    <w:lvl w:ilvl="0" w:tentative="0">
      <w:start w:val="1"/>
      <w:numFmt w:val="bullet"/>
      <w:pStyle w:val="13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4"/>
  </w:num>
  <w:num w:numId="2">
    <w:abstractNumId w:val="7"/>
  </w:num>
  <w:num w:numId="3">
    <w:abstractNumId w:val="12"/>
  </w:num>
  <w:num w:numId="4">
    <w:abstractNumId w:val="10"/>
  </w:num>
  <w:num w:numId="5">
    <w:abstractNumId w:val="15"/>
  </w:num>
  <w:num w:numId="6">
    <w:abstractNumId w:val="9"/>
  </w:num>
  <w:num w:numId="7">
    <w:abstractNumId w:val="6"/>
  </w:num>
  <w:num w:numId="8">
    <w:abstractNumId w:val="13"/>
  </w:num>
  <w:num w:numId="9">
    <w:abstractNumId w:val="11"/>
  </w:num>
  <w:num w:numId="10">
    <w:abstractNumId w:val="3"/>
  </w:num>
  <w:num w:numId="11">
    <w:abstractNumId w:val="1"/>
  </w:num>
  <w:num w:numId="12">
    <w:abstractNumId w:val="0"/>
  </w:num>
  <w:num w:numId="13">
    <w:abstractNumId w:val="2"/>
  </w:num>
  <w:num w:numId="14">
    <w:abstractNumId w:val="5"/>
  </w:num>
  <w:num w:numId="15">
    <w:abstractNumId w:val="8"/>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243"/>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1F"/>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5EA"/>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4F2C"/>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86D"/>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343"/>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10"/>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2B2"/>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4FB3"/>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DDC"/>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10B"/>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A5064"/>
    <w:rsid w:val="013D172C"/>
    <w:rsid w:val="0144135B"/>
    <w:rsid w:val="01467895"/>
    <w:rsid w:val="014A7A71"/>
    <w:rsid w:val="014F79AA"/>
    <w:rsid w:val="015249FD"/>
    <w:rsid w:val="015264A0"/>
    <w:rsid w:val="01604DC0"/>
    <w:rsid w:val="016C53E8"/>
    <w:rsid w:val="016F1A2E"/>
    <w:rsid w:val="01707D67"/>
    <w:rsid w:val="0179796A"/>
    <w:rsid w:val="017D2B3B"/>
    <w:rsid w:val="018D5C04"/>
    <w:rsid w:val="019B5B19"/>
    <w:rsid w:val="019D2B5F"/>
    <w:rsid w:val="019F2143"/>
    <w:rsid w:val="01AA45E9"/>
    <w:rsid w:val="01B04005"/>
    <w:rsid w:val="01B81AF2"/>
    <w:rsid w:val="01B8347F"/>
    <w:rsid w:val="01BA32CC"/>
    <w:rsid w:val="01BC425F"/>
    <w:rsid w:val="01CD3F24"/>
    <w:rsid w:val="01D77ED7"/>
    <w:rsid w:val="01E61A06"/>
    <w:rsid w:val="01E92270"/>
    <w:rsid w:val="01F1660E"/>
    <w:rsid w:val="020C2DCB"/>
    <w:rsid w:val="021501BD"/>
    <w:rsid w:val="0216677E"/>
    <w:rsid w:val="021C4991"/>
    <w:rsid w:val="02206671"/>
    <w:rsid w:val="02207D73"/>
    <w:rsid w:val="0222608E"/>
    <w:rsid w:val="02265D55"/>
    <w:rsid w:val="02266E5D"/>
    <w:rsid w:val="0227664A"/>
    <w:rsid w:val="023245FA"/>
    <w:rsid w:val="02365154"/>
    <w:rsid w:val="02373DC2"/>
    <w:rsid w:val="024020B7"/>
    <w:rsid w:val="024954F8"/>
    <w:rsid w:val="02517A58"/>
    <w:rsid w:val="025622C9"/>
    <w:rsid w:val="02571143"/>
    <w:rsid w:val="025779F1"/>
    <w:rsid w:val="026022C9"/>
    <w:rsid w:val="02607F96"/>
    <w:rsid w:val="02644657"/>
    <w:rsid w:val="026B0F71"/>
    <w:rsid w:val="026B397E"/>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41336"/>
    <w:rsid w:val="02CB566D"/>
    <w:rsid w:val="02CD3FE0"/>
    <w:rsid w:val="02D15DD7"/>
    <w:rsid w:val="02D34FF1"/>
    <w:rsid w:val="02D50C5C"/>
    <w:rsid w:val="02DA7333"/>
    <w:rsid w:val="02DF32E1"/>
    <w:rsid w:val="02E60FAD"/>
    <w:rsid w:val="02F11E59"/>
    <w:rsid w:val="02F24C80"/>
    <w:rsid w:val="02F400B3"/>
    <w:rsid w:val="02F43FD5"/>
    <w:rsid w:val="02F520A6"/>
    <w:rsid w:val="02FE7720"/>
    <w:rsid w:val="02FF24ED"/>
    <w:rsid w:val="03034770"/>
    <w:rsid w:val="030622C5"/>
    <w:rsid w:val="0309724D"/>
    <w:rsid w:val="030F13EA"/>
    <w:rsid w:val="03124B47"/>
    <w:rsid w:val="03144CE8"/>
    <w:rsid w:val="03166FA7"/>
    <w:rsid w:val="0318052D"/>
    <w:rsid w:val="031A5A41"/>
    <w:rsid w:val="032018C8"/>
    <w:rsid w:val="0324444A"/>
    <w:rsid w:val="033F24AC"/>
    <w:rsid w:val="034B245A"/>
    <w:rsid w:val="0352534A"/>
    <w:rsid w:val="03527A17"/>
    <w:rsid w:val="035335FA"/>
    <w:rsid w:val="0356450F"/>
    <w:rsid w:val="03565327"/>
    <w:rsid w:val="03593D16"/>
    <w:rsid w:val="035A6F75"/>
    <w:rsid w:val="035A7C1B"/>
    <w:rsid w:val="035F290B"/>
    <w:rsid w:val="035F3252"/>
    <w:rsid w:val="036A3BD0"/>
    <w:rsid w:val="037B5058"/>
    <w:rsid w:val="03807DAB"/>
    <w:rsid w:val="03873A54"/>
    <w:rsid w:val="03892ABA"/>
    <w:rsid w:val="038A6707"/>
    <w:rsid w:val="03952D20"/>
    <w:rsid w:val="03965F9F"/>
    <w:rsid w:val="039C7DEF"/>
    <w:rsid w:val="03A147F7"/>
    <w:rsid w:val="03A244B5"/>
    <w:rsid w:val="03AB7D12"/>
    <w:rsid w:val="03AF6161"/>
    <w:rsid w:val="03B33D91"/>
    <w:rsid w:val="03B76643"/>
    <w:rsid w:val="03BC7AC0"/>
    <w:rsid w:val="03DA35F3"/>
    <w:rsid w:val="03DC09B2"/>
    <w:rsid w:val="03E43410"/>
    <w:rsid w:val="03F558F1"/>
    <w:rsid w:val="03FE0879"/>
    <w:rsid w:val="04004D99"/>
    <w:rsid w:val="04027497"/>
    <w:rsid w:val="04047236"/>
    <w:rsid w:val="040B5E04"/>
    <w:rsid w:val="040E50DA"/>
    <w:rsid w:val="041212F7"/>
    <w:rsid w:val="04176A57"/>
    <w:rsid w:val="0420621C"/>
    <w:rsid w:val="043174B0"/>
    <w:rsid w:val="043E4011"/>
    <w:rsid w:val="04414BAE"/>
    <w:rsid w:val="044E4AA1"/>
    <w:rsid w:val="04664EE1"/>
    <w:rsid w:val="04706CD7"/>
    <w:rsid w:val="04756487"/>
    <w:rsid w:val="047E4672"/>
    <w:rsid w:val="04801064"/>
    <w:rsid w:val="04830488"/>
    <w:rsid w:val="04842FF2"/>
    <w:rsid w:val="048E06FC"/>
    <w:rsid w:val="049534BA"/>
    <w:rsid w:val="049766A6"/>
    <w:rsid w:val="04A11ADB"/>
    <w:rsid w:val="04A31E3A"/>
    <w:rsid w:val="04A34073"/>
    <w:rsid w:val="04A66C6A"/>
    <w:rsid w:val="04A93804"/>
    <w:rsid w:val="04AB0590"/>
    <w:rsid w:val="04AC3F1E"/>
    <w:rsid w:val="04B42AAF"/>
    <w:rsid w:val="04B51667"/>
    <w:rsid w:val="04CB127E"/>
    <w:rsid w:val="04DE7C00"/>
    <w:rsid w:val="04DF69BC"/>
    <w:rsid w:val="04E226B3"/>
    <w:rsid w:val="04E7515D"/>
    <w:rsid w:val="04E93366"/>
    <w:rsid w:val="04EF68C9"/>
    <w:rsid w:val="04F43D09"/>
    <w:rsid w:val="04F564FF"/>
    <w:rsid w:val="04F713E5"/>
    <w:rsid w:val="04F7195B"/>
    <w:rsid w:val="04FC7151"/>
    <w:rsid w:val="050350F8"/>
    <w:rsid w:val="05161870"/>
    <w:rsid w:val="05170BBC"/>
    <w:rsid w:val="05184428"/>
    <w:rsid w:val="051A5574"/>
    <w:rsid w:val="05230410"/>
    <w:rsid w:val="052445C5"/>
    <w:rsid w:val="05315285"/>
    <w:rsid w:val="053C4F29"/>
    <w:rsid w:val="05412018"/>
    <w:rsid w:val="054B5430"/>
    <w:rsid w:val="05574EC8"/>
    <w:rsid w:val="055E0D42"/>
    <w:rsid w:val="055E53F1"/>
    <w:rsid w:val="055E5CFF"/>
    <w:rsid w:val="05614226"/>
    <w:rsid w:val="05663426"/>
    <w:rsid w:val="05743112"/>
    <w:rsid w:val="05792786"/>
    <w:rsid w:val="057A3E53"/>
    <w:rsid w:val="057D0F08"/>
    <w:rsid w:val="05801B11"/>
    <w:rsid w:val="0587265C"/>
    <w:rsid w:val="058F1989"/>
    <w:rsid w:val="05920980"/>
    <w:rsid w:val="05986C25"/>
    <w:rsid w:val="05A11C07"/>
    <w:rsid w:val="05A1376A"/>
    <w:rsid w:val="05A14873"/>
    <w:rsid w:val="05A572A8"/>
    <w:rsid w:val="05A6076A"/>
    <w:rsid w:val="05A67A7B"/>
    <w:rsid w:val="05AA3DD4"/>
    <w:rsid w:val="05AF4D49"/>
    <w:rsid w:val="05B01635"/>
    <w:rsid w:val="05B75055"/>
    <w:rsid w:val="05BA5EF0"/>
    <w:rsid w:val="05BC5506"/>
    <w:rsid w:val="05D2520B"/>
    <w:rsid w:val="05D85B25"/>
    <w:rsid w:val="05E625E2"/>
    <w:rsid w:val="05EF29B1"/>
    <w:rsid w:val="05F01E2F"/>
    <w:rsid w:val="05F447F5"/>
    <w:rsid w:val="05F53335"/>
    <w:rsid w:val="05FF451B"/>
    <w:rsid w:val="060361C4"/>
    <w:rsid w:val="06072B25"/>
    <w:rsid w:val="06073107"/>
    <w:rsid w:val="060C1575"/>
    <w:rsid w:val="06222386"/>
    <w:rsid w:val="062D3B55"/>
    <w:rsid w:val="062E76F9"/>
    <w:rsid w:val="06301A1D"/>
    <w:rsid w:val="0635512F"/>
    <w:rsid w:val="063F0605"/>
    <w:rsid w:val="06441644"/>
    <w:rsid w:val="06484875"/>
    <w:rsid w:val="06510ADC"/>
    <w:rsid w:val="065633BC"/>
    <w:rsid w:val="065936D5"/>
    <w:rsid w:val="065A7630"/>
    <w:rsid w:val="066314F5"/>
    <w:rsid w:val="0663157F"/>
    <w:rsid w:val="066427D5"/>
    <w:rsid w:val="067A3049"/>
    <w:rsid w:val="06826A46"/>
    <w:rsid w:val="06847D7D"/>
    <w:rsid w:val="068B4232"/>
    <w:rsid w:val="06914453"/>
    <w:rsid w:val="06925CEE"/>
    <w:rsid w:val="0696637A"/>
    <w:rsid w:val="06A871BD"/>
    <w:rsid w:val="06B33312"/>
    <w:rsid w:val="06B84F2B"/>
    <w:rsid w:val="06C349D5"/>
    <w:rsid w:val="06C47F0F"/>
    <w:rsid w:val="06C64DC2"/>
    <w:rsid w:val="06C824F0"/>
    <w:rsid w:val="06C95F58"/>
    <w:rsid w:val="06D50ECC"/>
    <w:rsid w:val="06D541A8"/>
    <w:rsid w:val="06D63647"/>
    <w:rsid w:val="06D85059"/>
    <w:rsid w:val="06D97305"/>
    <w:rsid w:val="06E44298"/>
    <w:rsid w:val="06E45B8E"/>
    <w:rsid w:val="06E62399"/>
    <w:rsid w:val="06EA47C2"/>
    <w:rsid w:val="06EB3DBC"/>
    <w:rsid w:val="07043657"/>
    <w:rsid w:val="070C2762"/>
    <w:rsid w:val="07197EC4"/>
    <w:rsid w:val="072437B4"/>
    <w:rsid w:val="072E22EE"/>
    <w:rsid w:val="072F7EE0"/>
    <w:rsid w:val="073606DB"/>
    <w:rsid w:val="073966E8"/>
    <w:rsid w:val="07396B8A"/>
    <w:rsid w:val="07443056"/>
    <w:rsid w:val="07445372"/>
    <w:rsid w:val="0746505C"/>
    <w:rsid w:val="074E10D5"/>
    <w:rsid w:val="075D38EB"/>
    <w:rsid w:val="076977E4"/>
    <w:rsid w:val="076C58B9"/>
    <w:rsid w:val="07711E12"/>
    <w:rsid w:val="07760BF1"/>
    <w:rsid w:val="07765848"/>
    <w:rsid w:val="077D0637"/>
    <w:rsid w:val="07842814"/>
    <w:rsid w:val="07860886"/>
    <w:rsid w:val="078A2DBA"/>
    <w:rsid w:val="078C505F"/>
    <w:rsid w:val="078D0F6F"/>
    <w:rsid w:val="079F4BBC"/>
    <w:rsid w:val="07AE279F"/>
    <w:rsid w:val="07B04FBA"/>
    <w:rsid w:val="07B22D71"/>
    <w:rsid w:val="07B35316"/>
    <w:rsid w:val="07B50461"/>
    <w:rsid w:val="07B6661D"/>
    <w:rsid w:val="07B9334A"/>
    <w:rsid w:val="07BA1371"/>
    <w:rsid w:val="07BE30FF"/>
    <w:rsid w:val="07C46B94"/>
    <w:rsid w:val="07CF283A"/>
    <w:rsid w:val="07D236A3"/>
    <w:rsid w:val="07D31E6A"/>
    <w:rsid w:val="07D83F95"/>
    <w:rsid w:val="07E421DD"/>
    <w:rsid w:val="07E45CD3"/>
    <w:rsid w:val="07F22CA1"/>
    <w:rsid w:val="07F326C5"/>
    <w:rsid w:val="07F85A7A"/>
    <w:rsid w:val="07FE365F"/>
    <w:rsid w:val="07FF7CEA"/>
    <w:rsid w:val="08002E51"/>
    <w:rsid w:val="08015370"/>
    <w:rsid w:val="080336F5"/>
    <w:rsid w:val="080462BF"/>
    <w:rsid w:val="08054515"/>
    <w:rsid w:val="080912E8"/>
    <w:rsid w:val="080D7636"/>
    <w:rsid w:val="080E260A"/>
    <w:rsid w:val="080F069F"/>
    <w:rsid w:val="08144360"/>
    <w:rsid w:val="081649D6"/>
    <w:rsid w:val="081E260E"/>
    <w:rsid w:val="08312CAD"/>
    <w:rsid w:val="08364F60"/>
    <w:rsid w:val="083A107C"/>
    <w:rsid w:val="083B6FD7"/>
    <w:rsid w:val="083D5C17"/>
    <w:rsid w:val="08456A02"/>
    <w:rsid w:val="08496D27"/>
    <w:rsid w:val="08550511"/>
    <w:rsid w:val="085554B6"/>
    <w:rsid w:val="08555F4F"/>
    <w:rsid w:val="085A327F"/>
    <w:rsid w:val="085A7F73"/>
    <w:rsid w:val="085C4043"/>
    <w:rsid w:val="0863266D"/>
    <w:rsid w:val="08657BB7"/>
    <w:rsid w:val="086730AF"/>
    <w:rsid w:val="086E242C"/>
    <w:rsid w:val="0873143F"/>
    <w:rsid w:val="087D41CA"/>
    <w:rsid w:val="088469C4"/>
    <w:rsid w:val="0891400A"/>
    <w:rsid w:val="08925983"/>
    <w:rsid w:val="089674C7"/>
    <w:rsid w:val="089F1422"/>
    <w:rsid w:val="08A860E6"/>
    <w:rsid w:val="08AB0479"/>
    <w:rsid w:val="08B37166"/>
    <w:rsid w:val="08B77A81"/>
    <w:rsid w:val="08B82642"/>
    <w:rsid w:val="08C0320F"/>
    <w:rsid w:val="08C2072B"/>
    <w:rsid w:val="08CB62DF"/>
    <w:rsid w:val="08CD0222"/>
    <w:rsid w:val="08D079F7"/>
    <w:rsid w:val="08D91C5D"/>
    <w:rsid w:val="08E80EB1"/>
    <w:rsid w:val="08E968D8"/>
    <w:rsid w:val="08ED243B"/>
    <w:rsid w:val="08EF26B2"/>
    <w:rsid w:val="08F808F8"/>
    <w:rsid w:val="090304DE"/>
    <w:rsid w:val="090341C1"/>
    <w:rsid w:val="0904269C"/>
    <w:rsid w:val="091254BA"/>
    <w:rsid w:val="091619D6"/>
    <w:rsid w:val="091B7BE0"/>
    <w:rsid w:val="09203AED"/>
    <w:rsid w:val="09352021"/>
    <w:rsid w:val="09395883"/>
    <w:rsid w:val="093C12D3"/>
    <w:rsid w:val="093C303C"/>
    <w:rsid w:val="093C6509"/>
    <w:rsid w:val="09417C10"/>
    <w:rsid w:val="09477F2D"/>
    <w:rsid w:val="094C56ED"/>
    <w:rsid w:val="094E297A"/>
    <w:rsid w:val="095A5849"/>
    <w:rsid w:val="097731C0"/>
    <w:rsid w:val="097D0261"/>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B29F2"/>
    <w:rsid w:val="09FE046E"/>
    <w:rsid w:val="0A0C0C06"/>
    <w:rsid w:val="0A0D1879"/>
    <w:rsid w:val="0A1A09D5"/>
    <w:rsid w:val="0A1F3A9B"/>
    <w:rsid w:val="0A213D44"/>
    <w:rsid w:val="0A2278D3"/>
    <w:rsid w:val="0A256377"/>
    <w:rsid w:val="0A256C53"/>
    <w:rsid w:val="0A34296C"/>
    <w:rsid w:val="0A370408"/>
    <w:rsid w:val="0A3E1048"/>
    <w:rsid w:val="0A431615"/>
    <w:rsid w:val="0A4613B1"/>
    <w:rsid w:val="0A5B43BC"/>
    <w:rsid w:val="0A5F71CD"/>
    <w:rsid w:val="0A660DD4"/>
    <w:rsid w:val="0A664FFC"/>
    <w:rsid w:val="0A83691D"/>
    <w:rsid w:val="0A8F2CE3"/>
    <w:rsid w:val="0A9A1A8B"/>
    <w:rsid w:val="0AA87B2B"/>
    <w:rsid w:val="0AAB24F7"/>
    <w:rsid w:val="0AAB60D8"/>
    <w:rsid w:val="0AAC6652"/>
    <w:rsid w:val="0AB515C6"/>
    <w:rsid w:val="0AB73257"/>
    <w:rsid w:val="0AB878BC"/>
    <w:rsid w:val="0AD35C59"/>
    <w:rsid w:val="0AD36BE6"/>
    <w:rsid w:val="0AD43CEC"/>
    <w:rsid w:val="0AD64E17"/>
    <w:rsid w:val="0AD8082A"/>
    <w:rsid w:val="0ADC0F4B"/>
    <w:rsid w:val="0ADC17BB"/>
    <w:rsid w:val="0AE54077"/>
    <w:rsid w:val="0AE70AE7"/>
    <w:rsid w:val="0AEE4BFC"/>
    <w:rsid w:val="0AF0716A"/>
    <w:rsid w:val="0B03601B"/>
    <w:rsid w:val="0B0D567B"/>
    <w:rsid w:val="0B1308EF"/>
    <w:rsid w:val="0B292D30"/>
    <w:rsid w:val="0B2F3694"/>
    <w:rsid w:val="0B304FB1"/>
    <w:rsid w:val="0B3C4010"/>
    <w:rsid w:val="0B3F22DA"/>
    <w:rsid w:val="0B47672B"/>
    <w:rsid w:val="0B484A0F"/>
    <w:rsid w:val="0B4A58D1"/>
    <w:rsid w:val="0B50319E"/>
    <w:rsid w:val="0B553C0D"/>
    <w:rsid w:val="0B591453"/>
    <w:rsid w:val="0B5F33CA"/>
    <w:rsid w:val="0B615B13"/>
    <w:rsid w:val="0B717EE5"/>
    <w:rsid w:val="0B7356F2"/>
    <w:rsid w:val="0B7E5229"/>
    <w:rsid w:val="0B7F2FA8"/>
    <w:rsid w:val="0B860844"/>
    <w:rsid w:val="0B863002"/>
    <w:rsid w:val="0B8D6AD8"/>
    <w:rsid w:val="0B937EFF"/>
    <w:rsid w:val="0B9C4929"/>
    <w:rsid w:val="0B9E69B8"/>
    <w:rsid w:val="0BA166AE"/>
    <w:rsid w:val="0BA411F0"/>
    <w:rsid w:val="0BA87F9D"/>
    <w:rsid w:val="0BAC22AF"/>
    <w:rsid w:val="0BB23F15"/>
    <w:rsid w:val="0BB727AF"/>
    <w:rsid w:val="0BB84C77"/>
    <w:rsid w:val="0BBC484C"/>
    <w:rsid w:val="0BC90E22"/>
    <w:rsid w:val="0BC9496C"/>
    <w:rsid w:val="0BCA38D8"/>
    <w:rsid w:val="0BCF0317"/>
    <w:rsid w:val="0BCF40E1"/>
    <w:rsid w:val="0BD3377D"/>
    <w:rsid w:val="0BD75512"/>
    <w:rsid w:val="0BDD7F90"/>
    <w:rsid w:val="0BF3046B"/>
    <w:rsid w:val="0BFF0D11"/>
    <w:rsid w:val="0C0A09D9"/>
    <w:rsid w:val="0C0A27E8"/>
    <w:rsid w:val="0C1B23F1"/>
    <w:rsid w:val="0C1C0679"/>
    <w:rsid w:val="0C1E7B04"/>
    <w:rsid w:val="0C2607FA"/>
    <w:rsid w:val="0C2D49F6"/>
    <w:rsid w:val="0C2E3322"/>
    <w:rsid w:val="0C2F4935"/>
    <w:rsid w:val="0C384F0C"/>
    <w:rsid w:val="0C3F7CD1"/>
    <w:rsid w:val="0C484AC7"/>
    <w:rsid w:val="0C4867F4"/>
    <w:rsid w:val="0C4B6F82"/>
    <w:rsid w:val="0C5613A8"/>
    <w:rsid w:val="0C60611E"/>
    <w:rsid w:val="0C6F5A31"/>
    <w:rsid w:val="0C7565D7"/>
    <w:rsid w:val="0C7B7987"/>
    <w:rsid w:val="0C7E6C90"/>
    <w:rsid w:val="0C816FA3"/>
    <w:rsid w:val="0C8702A6"/>
    <w:rsid w:val="0C8B6344"/>
    <w:rsid w:val="0C922493"/>
    <w:rsid w:val="0C923341"/>
    <w:rsid w:val="0C9D6BDF"/>
    <w:rsid w:val="0CA83EB4"/>
    <w:rsid w:val="0CB61F18"/>
    <w:rsid w:val="0CB708F8"/>
    <w:rsid w:val="0CBB22BB"/>
    <w:rsid w:val="0CC50305"/>
    <w:rsid w:val="0CC60211"/>
    <w:rsid w:val="0CC837F8"/>
    <w:rsid w:val="0CCB6408"/>
    <w:rsid w:val="0CCC07CB"/>
    <w:rsid w:val="0CD17287"/>
    <w:rsid w:val="0CDF07BC"/>
    <w:rsid w:val="0CDF6E27"/>
    <w:rsid w:val="0CE32A7B"/>
    <w:rsid w:val="0CE95F8D"/>
    <w:rsid w:val="0CF43242"/>
    <w:rsid w:val="0CF43BFB"/>
    <w:rsid w:val="0CF85CDC"/>
    <w:rsid w:val="0CFB1D7E"/>
    <w:rsid w:val="0D020B05"/>
    <w:rsid w:val="0D0740D8"/>
    <w:rsid w:val="0D1C42F8"/>
    <w:rsid w:val="0D1E4F72"/>
    <w:rsid w:val="0D2E53D6"/>
    <w:rsid w:val="0D2F6CD3"/>
    <w:rsid w:val="0D2F722D"/>
    <w:rsid w:val="0D362085"/>
    <w:rsid w:val="0D3D5B51"/>
    <w:rsid w:val="0D4238F0"/>
    <w:rsid w:val="0D484C76"/>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E29BF"/>
    <w:rsid w:val="0DA03F9C"/>
    <w:rsid w:val="0DA526DC"/>
    <w:rsid w:val="0DA62204"/>
    <w:rsid w:val="0DA6313B"/>
    <w:rsid w:val="0DA87648"/>
    <w:rsid w:val="0DA9121D"/>
    <w:rsid w:val="0DB616FE"/>
    <w:rsid w:val="0DB9389B"/>
    <w:rsid w:val="0DBD6735"/>
    <w:rsid w:val="0DBE4F1A"/>
    <w:rsid w:val="0DBF42D1"/>
    <w:rsid w:val="0DC31756"/>
    <w:rsid w:val="0DD52FD6"/>
    <w:rsid w:val="0DDC54EB"/>
    <w:rsid w:val="0DE54E2C"/>
    <w:rsid w:val="0DEB3281"/>
    <w:rsid w:val="0DF75661"/>
    <w:rsid w:val="0DFA5F57"/>
    <w:rsid w:val="0E007907"/>
    <w:rsid w:val="0E034917"/>
    <w:rsid w:val="0E0447AC"/>
    <w:rsid w:val="0E0A57DB"/>
    <w:rsid w:val="0E0C5E7B"/>
    <w:rsid w:val="0E1D3F18"/>
    <w:rsid w:val="0E214219"/>
    <w:rsid w:val="0E3020F4"/>
    <w:rsid w:val="0E372947"/>
    <w:rsid w:val="0E3A22CB"/>
    <w:rsid w:val="0E3D61CC"/>
    <w:rsid w:val="0E425AF0"/>
    <w:rsid w:val="0E487C99"/>
    <w:rsid w:val="0E4F1EA9"/>
    <w:rsid w:val="0E63143D"/>
    <w:rsid w:val="0E654BED"/>
    <w:rsid w:val="0E7218B8"/>
    <w:rsid w:val="0E7259F4"/>
    <w:rsid w:val="0E735BA0"/>
    <w:rsid w:val="0E790AF4"/>
    <w:rsid w:val="0E830BEC"/>
    <w:rsid w:val="0E832048"/>
    <w:rsid w:val="0E87643A"/>
    <w:rsid w:val="0E905D06"/>
    <w:rsid w:val="0E96169C"/>
    <w:rsid w:val="0EA3211D"/>
    <w:rsid w:val="0EA57ECD"/>
    <w:rsid w:val="0EA647D6"/>
    <w:rsid w:val="0EAC5F31"/>
    <w:rsid w:val="0EAE32CA"/>
    <w:rsid w:val="0EBA1AD0"/>
    <w:rsid w:val="0ECD7269"/>
    <w:rsid w:val="0ECE4574"/>
    <w:rsid w:val="0ED40419"/>
    <w:rsid w:val="0EE73BE2"/>
    <w:rsid w:val="0EEA25EC"/>
    <w:rsid w:val="0EF1716E"/>
    <w:rsid w:val="0EF2435C"/>
    <w:rsid w:val="0EF4372E"/>
    <w:rsid w:val="0EF76A6F"/>
    <w:rsid w:val="0EFC3D86"/>
    <w:rsid w:val="0EFE1449"/>
    <w:rsid w:val="0F030AC8"/>
    <w:rsid w:val="0F05251B"/>
    <w:rsid w:val="0F084531"/>
    <w:rsid w:val="0F1824F2"/>
    <w:rsid w:val="0F29096F"/>
    <w:rsid w:val="0F2A0C7E"/>
    <w:rsid w:val="0F3022D4"/>
    <w:rsid w:val="0F305B73"/>
    <w:rsid w:val="0F414017"/>
    <w:rsid w:val="0F440986"/>
    <w:rsid w:val="0F492403"/>
    <w:rsid w:val="0F4B2C4C"/>
    <w:rsid w:val="0F4F1996"/>
    <w:rsid w:val="0F533C79"/>
    <w:rsid w:val="0F534A37"/>
    <w:rsid w:val="0F5568FA"/>
    <w:rsid w:val="0F5876DF"/>
    <w:rsid w:val="0F587F40"/>
    <w:rsid w:val="0F5F4256"/>
    <w:rsid w:val="0F6A28D6"/>
    <w:rsid w:val="0F6B6C2D"/>
    <w:rsid w:val="0F842CEB"/>
    <w:rsid w:val="0F8D5715"/>
    <w:rsid w:val="0F9A5E68"/>
    <w:rsid w:val="0F9E5674"/>
    <w:rsid w:val="0FA4540E"/>
    <w:rsid w:val="0FA61643"/>
    <w:rsid w:val="0FA73FBA"/>
    <w:rsid w:val="0FA93488"/>
    <w:rsid w:val="0FB538B0"/>
    <w:rsid w:val="0FC072A5"/>
    <w:rsid w:val="0FC73AC7"/>
    <w:rsid w:val="0FCA3603"/>
    <w:rsid w:val="0FD16220"/>
    <w:rsid w:val="0FD16D1E"/>
    <w:rsid w:val="0FD9779A"/>
    <w:rsid w:val="0FDC017C"/>
    <w:rsid w:val="0FDC600C"/>
    <w:rsid w:val="0FEB6044"/>
    <w:rsid w:val="0FF55093"/>
    <w:rsid w:val="100202A7"/>
    <w:rsid w:val="100329F1"/>
    <w:rsid w:val="10041577"/>
    <w:rsid w:val="10042212"/>
    <w:rsid w:val="10055B3C"/>
    <w:rsid w:val="1007318A"/>
    <w:rsid w:val="100841AB"/>
    <w:rsid w:val="100941FD"/>
    <w:rsid w:val="100E6202"/>
    <w:rsid w:val="10161F22"/>
    <w:rsid w:val="101B771C"/>
    <w:rsid w:val="102171E2"/>
    <w:rsid w:val="102D3950"/>
    <w:rsid w:val="103023B5"/>
    <w:rsid w:val="10362111"/>
    <w:rsid w:val="103D6C5C"/>
    <w:rsid w:val="103E1E10"/>
    <w:rsid w:val="10411FB1"/>
    <w:rsid w:val="10496CCE"/>
    <w:rsid w:val="104B50EC"/>
    <w:rsid w:val="104F09AB"/>
    <w:rsid w:val="10612000"/>
    <w:rsid w:val="10666875"/>
    <w:rsid w:val="10666E09"/>
    <w:rsid w:val="10673557"/>
    <w:rsid w:val="106B4E90"/>
    <w:rsid w:val="10736865"/>
    <w:rsid w:val="10742538"/>
    <w:rsid w:val="107816E8"/>
    <w:rsid w:val="107D50B8"/>
    <w:rsid w:val="107E075F"/>
    <w:rsid w:val="108016CB"/>
    <w:rsid w:val="108529DC"/>
    <w:rsid w:val="109A07DA"/>
    <w:rsid w:val="10A1301E"/>
    <w:rsid w:val="10A1582F"/>
    <w:rsid w:val="10A23EB3"/>
    <w:rsid w:val="10A734BA"/>
    <w:rsid w:val="10AA4ADC"/>
    <w:rsid w:val="10AD361E"/>
    <w:rsid w:val="10B30DAF"/>
    <w:rsid w:val="10B30E4A"/>
    <w:rsid w:val="10B860D2"/>
    <w:rsid w:val="10B93863"/>
    <w:rsid w:val="10BC78B7"/>
    <w:rsid w:val="10BD5956"/>
    <w:rsid w:val="10C05732"/>
    <w:rsid w:val="10CC555A"/>
    <w:rsid w:val="10CF26FE"/>
    <w:rsid w:val="10D13D78"/>
    <w:rsid w:val="10D83495"/>
    <w:rsid w:val="10D92410"/>
    <w:rsid w:val="10E25EFD"/>
    <w:rsid w:val="10E601B6"/>
    <w:rsid w:val="10E84F60"/>
    <w:rsid w:val="10E94A81"/>
    <w:rsid w:val="10F3405F"/>
    <w:rsid w:val="10F701B9"/>
    <w:rsid w:val="111E372C"/>
    <w:rsid w:val="112350B8"/>
    <w:rsid w:val="11257CFB"/>
    <w:rsid w:val="112B29A6"/>
    <w:rsid w:val="1133496D"/>
    <w:rsid w:val="113A23FE"/>
    <w:rsid w:val="113F5B3B"/>
    <w:rsid w:val="11450F30"/>
    <w:rsid w:val="1149029A"/>
    <w:rsid w:val="115D012B"/>
    <w:rsid w:val="116A0C6C"/>
    <w:rsid w:val="116C16E6"/>
    <w:rsid w:val="116E0009"/>
    <w:rsid w:val="11736BEA"/>
    <w:rsid w:val="11872BEF"/>
    <w:rsid w:val="118905F0"/>
    <w:rsid w:val="118A1119"/>
    <w:rsid w:val="11910A79"/>
    <w:rsid w:val="11936AA2"/>
    <w:rsid w:val="119C1A45"/>
    <w:rsid w:val="11A52A41"/>
    <w:rsid w:val="11B62C43"/>
    <w:rsid w:val="11B849F1"/>
    <w:rsid w:val="11BB57F0"/>
    <w:rsid w:val="11C0779D"/>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82912"/>
    <w:rsid w:val="122B739A"/>
    <w:rsid w:val="12307316"/>
    <w:rsid w:val="123C0E5F"/>
    <w:rsid w:val="12430446"/>
    <w:rsid w:val="12442232"/>
    <w:rsid w:val="12450619"/>
    <w:rsid w:val="124C6206"/>
    <w:rsid w:val="124D2192"/>
    <w:rsid w:val="124F34BD"/>
    <w:rsid w:val="125D56D7"/>
    <w:rsid w:val="125E75D4"/>
    <w:rsid w:val="12623B20"/>
    <w:rsid w:val="126252E2"/>
    <w:rsid w:val="126A59FE"/>
    <w:rsid w:val="126B471D"/>
    <w:rsid w:val="126D3D3C"/>
    <w:rsid w:val="126E5F20"/>
    <w:rsid w:val="127200FB"/>
    <w:rsid w:val="12735F26"/>
    <w:rsid w:val="1289061C"/>
    <w:rsid w:val="128944E1"/>
    <w:rsid w:val="128B54AD"/>
    <w:rsid w:val="12A2166D"/>
    <w:rsid w:val="12B02EE1"/>
    <w:rsid w:val="12B10B2F"/>
    <w:rsid w:val="12B560E2"/>
    <w:rsid w:val="12C9719C"/>
    <w:rsid w:val="12CF15C3"/>
    <w:rsid w:val="12D17323"/>
    <w:rsid w:val="12DA7FC3"/>
    <w:rsid w:val="12E20408"/>
    <w:rsid w:val="12EB0579"/>
    <w:rsid w:val="12EB7968"/>
    <w:rsid w:val="12F07D1F"/>
    <w:rsid w:val="12F3505A"/>
    <w:rsid w:val="12F9759B"/>
    <w:rsid w:val="12FA6B3F"/>
    <w:rsid w:val="12FF3379"/>
    <w:rsid w:val="130B479A"/>
    <w:rsid w:val="130D1138"/>
    <w:rsid w:val="130D31CD"/>
    <w:rsid w:val="13121F8D"/>
    <w:rsid w:val="1312735C"/>
    <w:rsid w:val="13127DB7"/>
    <w:rsid w:val="13164834"/>
    <w:rsid w:val="13170BC9"/>
    <w:rsid w:val="13194141"/>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22929"/>
    <w:rsid w:val="135A4701"/>
    <w:rsid w:val="136815B8"/>
    <w:rsid w:val="137106A9"/>
    <w:rsid w:val="13724D72"/>
    <w:rsid w:val="139325D2"/>
    <w:rsid w:val="13957328"/>
    <w:rsid w:val="139C585C"/>
    <w:rsid w:val="13A31680"/>
    <w:rsid w:val="13A37644"/>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A3606"/>
    <w:rsid w:val="13DC5FA1"/>
    <w:rsid w:val="13DD2063"/>
    <w:rsid w:val="13DE787C"/>
    <w:rsid w:val="13E04354"/>
    <w:rsid w:val="13E538AC"/>
    <w:rsid w:val="13E578CE"/>
    <w:rsid w:val="13F111E6"/>
    <w:rsid w:val="13F2777B"/>
    <w:rsid w:val="13FA7919"/>
    <w:rsid w:val="13FF2FC3"/>
    <w:rsid w:val="14066169"/>
    <w:rsid w:val="14086ADC"/>
    <w:rsid w:val="140E1169"/>
    <w:rsid w:val="14132F83"/>
    <w:rsid w:val="141540F7"/>
    <w:rsid w:val="141C47AD"/>
    <w:rsid w:val="141E6F9C"/>
    <w:rsid w:val="141F3379"/>
    <w:rsid w:val="14256499"/>
    <w:rsid w:val="142606B7"/>
    <w:rsid w:val="14270CE5"/>
    <w:rsid w:val="142B7C45"/>
    <w:rsid w:val="142C6293"/>
    <w:rsid w:val="142E0864"/>
    <w:rsid w:val="14307C06"/>
    <w:rsid w:val="14394124"/>
    <w:rsid w:val="143A3FD8"/>
    <w:rsid w:val="143F06AC"/>
    <w:rsid w:val="143F198D"/>
    <w:rsid w:val="1446722D"/>
    <w:rsid w:val="14475F7B"/>
    <w:rsid w:val="1448778F"/>
    <w:rsid w:val="144B305C"/>
    <w:rsid w:val="144E223D"/>
    <w:rsid w:val="14557965"/>
    <w:rsid w:val="14560A87"/>
    <w:rsid w:val="145B672D"/>
    <w:rsid w:val="146C5DC3"/>
    <w:rsid w:val="147E5940"/>
    <w:rsid w:val="147F6EAF"/>
    <w:rsid w:val="147F7E60"/>
    <w:rsid w:val="14895FD7"/>
    <w:rsid w:val="148D5B33"/>
    <w:rsid w:val="148D6AFA"/>
    <w:rsid w:val="149173D4"/>
    <w:rsid w:val="149414DE"/>
    <w:rsid w:val="14967024"/>
    <w:rsid w:val="14981701"/>
    <w:rsid w:val="149D5A8D"/>
    <w:rsid w:val="149F6938"/>
    <w:rsid w:val="14A01FF6"/>
    <w:rsid w:val="14A20472"/>
    <w:rsid w:val="14A40A32"/>
    <w:rsid w:val="14B37A0C"/>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36255"/>
    <w:rsid w:val="1519698C"/>
    <w:rsid w:val="1519770F"/>
    <w:rsid w:val="151A4DCE"/>
    <w:rsid w:val="151D2EDA"/>
    <w:rsid w:val="152475EF"/>
    <w:rsid w:val="152C6456"/>
    <w:rsid w:val="152C7D6F"/>
    <w:rsid w:val="15327296"/>
    <w:rsid w:val="153E70B1"/>
    <w:rsid w:val="15434E2C"/>
    <w:rsid w:val="15524FA7"/>
    <w:rsid w:val="15532760"/>
    <w:rsid w:val="155B2748"/>
    <w:rsid w:val="15614B7E"/>
    <w:rsid w:val="1565291E"/>
    <w:rsid w:val="15683B2E"/>
    <w:rsid w:val="156D781B"/>
    <w:rsid w:val="15702BBB"/>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C3F9C"/>
    <w:rsid w:val="15AF6692"/>
    <w:rsid w:val="15B14DFF"/>
    <w:rsid w:val="15B164E8"/>
    <w:rsid w:val="15B62848"/>
    <w:rsid w:val="15BD2774"/>
    <w:rsid w:val="15CA50D8"/>
    <w:rsid w:val="15CB70AE"/>
    <w:rsid w:val="15CE3040"/>
    <w:rsid w:val="15D572A3"/>
    <w:rsid w:val="15D75AD0"/>
    <w:rsid w:val="15D90292"/>
    <w:rsid w:val="15DD3466"/>
    <w:rsid w:val="15DE4F45"/>
    <w:rsid w:val="15E8344F"/>
    <w:rsid w:val="15EE4ED6"/>
    <w:rsid w:val="15EE77CF"/>
    <w:rsid w:val="15F03B25"/>
    <w:rsid w:val="16030670"/>
    <w:rsid w:val="160D1773"/>
    <w:rsid w:val="162033FA"/>
    <w:rsid w:val="16233D48"/>
    <w:rsid w:val="16412A74"/>
    <w:rsid w:val="16415466"/>
    <w:rsid w:val="16423C1A"/>
    <w:rsid w:val="16583794"/>
    <w:rsid w:val="165A5E90"/>
    <w:rsid w:val="165B5705"/>
    <w:rsid w:val="166069D0"/>
    <w:rsid w:val="16640371"/>
    <w:rsid w:val="16665605"/>
    <w:rsid w:val="166754B4"/>
    <w:rsid w:val="166B3BEF"/>
    <w:rsid w:val="16752080"/>
    <w:rsid w:val="1678039A"/>
    <w:rsid w:val="167C3E2A"/>
    <w:rsid w:val="168154F8"/>
    <w:rsid w:val="16871048"/>
    <w:rsid w:val="168D22C4"/>
    <w:rsid w:val="168F70D3"/>
    <w:rsid w:val="1691523A"/>
    <w:rsid w:val="16981AF5"/>
    <w:rsid w:val="169907AD"/>
    <w:rsid w:val="16A41FC2"/>
    <w:rsid w:val="16A50176"/>
    <w:rsid w:val="16AC051E"/>
    <w:rsid w:val="16B30761"/>
    <w:rsid w:val="16B57ABA"/>
    <w:rsid w:val="16B766B8"/>
    <w:rsid w:val="16BC1E0A"/>
    <w:rsid w:val="16C03589"/>
    <w:rsid w:val="16C57940"/>
    <w:rsid w:val="16C9790B"/>
    <w:rsid w:val="16CB0642"/>
    <w:rsid w:val="16D23EF5"/>
    <w:rsid w:val="16DF50D5"/>
    <w:rsid w:val="16E67996"/>
    <w:rsid w:val="16ED3305"/>
    <w:rsid w:val="16EF553C"/>
    <w:rsid w:val="16F65D2C"/>
    <w:rsid w:val="16FB4F5A"/>
    <w:rsid w:val="16FC35EC"/>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837B6"/>
    <w:rsid w:val="177D0859"/>
    <w:rsid w:val="178064E8"/>
    <w:rsid w:val="178202C9"/>
    <w:rsid w:val="178513E5"/>
    <w:rsid w:val="17853C6A"/>
    <w:rsid w:val="17896473"/>
    <w:rsid w:val="178B22F7"/>
    <w:rsid w:val="1790766F"/>
    <w:rsid w:val="179D3102"/>
    <w:rsid w:val="17A37A6E"/>
    <w:rsid w:val="17A60277"/>
    <w:rsid w:val="17B07959"/>
    <w:rsid w:val="17B304A8"/>
    <w:rsid w:val="17B35A37"/>
    <w:rsid w:val="17BA3DF4"/>
    <w:rsid w:val="17C16DEF"/>
    <w:rsid w:val="17D5010B"/>
    <w:rsid w:val="17E060B6"/>
    <w:rsid w:val="17E21F4E"/>
    <w:rsid w:val="17E562A4"/>
    <w:rsid w:val="17EA3230"/>
    <w:rsid w:val="17EB7496"/>
    <w:rsid w:val="17F52E5D"/>
    <w:rsid w:val="17F5647B"/>
    <w:rsid w:val="17FA1255"/>
    <w:rsid w:val="17FF3BD2"/>
    <w:rsid w:val="18020AA1"/>
    <w:rsid w:val="180508AC"/>
    <w:rsid w:val="18087D14"/>
    <w:rsid w:val="180A0F6B"/>
    <w:rsid w:val="18104CC4"/>
    <w:rsid w:val="18136CFA"/>
    <w:rsid w:val="181F3664"/>
    <w:rsid w:val="182B1090"/>
    <w:rsid w:val="18345DD0"/>
    <w:rsid w:val="184043FA"/>
    <w:rsid w:val="184F75A9"/>
    <w:rsid w:val="18512C49"/>
    <w:rsid w:val="185A308D"/>
    <w:rsid w:val="186053E8"/>
    <w:rsid w:val="18647C6E"/>
    <w:rsid w:val="186503AC"/>
    <w:rsid w:val="18664068"/>
    <w:rsid w:val="186851F6"/>
    <w:rsid w:val="186E3500"/>
    <w:rsid w:val="186F3D2C"/>
    <w:rsid w:val="186F4289"/>
    <w:rsid w:val="187A461B"/>
    <w:rsid w:val="187C114A"/>
    <w:rsid w:val="187E2380"/>
    <w:rsid w:val="18821AB9"/>
    <w:rsid w:val="18822361"/>
    <w:rsid w:val="18834D66"/>
    <w:rsid w:val="1884739C"/>
    <w:rsid w:val="18881A32"/>
    <w:rsid w:val="1898411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E510F"/>
    <w:rsid w:val="18F25180"/>
    <w:rsid w:val="18F731F3"/>
    <w:rsid w:val="19003E45"/>
    <w:rsid w:val="190715D8"/>
    <w:rsid w:val="190A3672"/>
    <w:rsid w:val="190C3BCF"/>
    <w:rsid w:val="192067A6"/>
    <w:rsid w:val="193711A2"/>
    <w:rsid w:val="19412878"/>
    <w:rsid w:val="1941417E"/>
    <w:rsid w:val="19453458"/>
    <w:rsid w:val="19463133"/>
    <w:rsid w:val="19480D5C"/>
    <w:rsid w:val="19531B6C"/>
    <w:rsid w:val="195416F1"/>
    <w:rsid w:val="19560740"/>
    <w:rsid w:val="19607BF9"/>
    <w:rsid w:val="19651414"/>
    <w:rsid w:val="196D612A"/>
    <w:rsid w:val="196F6C34"/>
    <w:rsid w:val="1976524E"/>
    <w:rsid w:val="197A46A5"/>
    <w:rsid w:val="197D2441"/>
    <w:rsid w:val="19860C87"/>
    <w:rsid w:val="1987766D"/>
    <w:rsid w:val="198A670E"/>
    <w:rsid w:val="19982F2E"/>
    <w:rsid w:val="199F2DAA"/>
    <w:rsid w:val="199F434E"/>
    <w:rsid w:val="19A663F7"/>
    <w:rsid w:val="19AC5395"/>
    <w:rsid w:val="19AE57FE"/>
    <w:rsid w:val="19B17D5A"/>
    <w:rsid w:val="19B21E63"/>
    <w:rsid w:val="19B523C0"/>
    <w:rsid w:val="19B61942"/>
    <w:rsid w:val="19B87C4A"/>
    <w:rsid w:val="19C6554A"/>
    <w:rsid w:val="19CD6FAE"/>
    <w:rsid w:val="19DD687E"/>
    <w:rsid w:val="19E6269F"/>
    <w:rsid w:val="19E94945"/>
    <w:rsid w:val="19EB2AE6"/>
    <w:rsid w:val="19ED44D4"/>
    <w:rsid w:val="19F157A7"/>
    <w:rsid w:val="19F244BD"/>
    <w:rsid w:val="19F83B3A"/>
    <w:rsid w:val="19FF0648"/>
    <w:rsid w:val="1A075C99"/>
    <w:rsid w:val="1A1709AC"/>
    <w:rsid w:val="1A1A2106"/>
    <w:rsid w:val="1A1F7B81"/>
    <w:rsid w:val="1A267927"/>
    <w:rsid w:val="1A2B1BD0"/>
    <w:rsid w:val="1A2B4C89"/>
    <w:rsid w:val="1A307FD4"/>
    <w:rsid w:val="1A3B74CB"/>
    <w:rsid w:val="1A3C3662"/>
    <w:rsid w:val="1A4332DC"/>
    <w:rsid w:val="1A474D07"/>
    <w:rsid w:val="1A525F21"/>
    <w:rsid w:val="1A551C74"/>
    <w:rsid w:val="1A5902CD"/>
    <w:rsid w:val="1A5E697D"/>
    <w:rsid w:val="1A605348"/>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5055"/>
    <w:rsid w:val="1ADF03A3"/>
    <w:rsid w:val="1AE23D75"/>
    <w:rsid w:val="1AE35A53"/>
    <w:rsid w:val="1AE5467F"/>
    <w:rsid w:val="1B080AA1"/>
    <w:rsid w:val="1B0B74D8"/>
    <w:rsid w:val="1B0D5630"/>
    <w:rsid w:val="1B0F24A7"/>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566EF8"/>
    <w:rsid w:val="1B5D1EA7"/>
    <w:rsid w:val="1B5E0F3F"/>
    <w:rsid w:val="1B5E7672"/>
    <w:rsid w:val="1B6A08D0"/>
    <w:rsid w:val="1B784727"/>
    <w:rsid w:val="1B7976C3"/>
    <w:rsid w:val="1B7A475B"/>
    <w:rsid w:val="1B7A4C29"/>
    <w:rsid w:val="1B8221E6"/>
    <w:rsid w:val="1B8D24E6"/>
    <w:rsid w:val="1B9273DB"/>
    <w:rsid w:val="1B936AF6"/>
    <w:rsid w:val="1B9F0D78"/>
    <w:rsid w:val="1BA4576F"/>
    <w:rsid w:val="1BA859FB"/>
    <w:rsid w:val="1BAB11B4"/>
    <w:rsid w:val="1BAE647A"/>
    <w:rsid w:val="1BBF1274"/>
    <w:rsid w:val="1BBF676D"/>
    <w:rsid w:val="1BC26F09"/>
    <w:rsid w:val="1BC45008"/>
    <w:rsid w:val="1BC624D9"/>
    <w:rsid w:val="1BCE4112"/>
    <w:rsid w:val="1BD80673"/>
    <w:rsid w:val="1BE32A8A"/>
    <w:rsid w:val="1BE355B0"/>
    <w:rsid w:val="1BE76342"/>
    <w:rsid w:val="1BF36301"/>
    <w:rsid w:val="1BF46A61"/>
    <w:rsid w:val="1BF830D1"/>
    <w:rsid w:val="1BFA1814"/>
    <w:rsid w:val="1BFE562F"/>
    <w:rsid w:val="1C00639F"/>
    <w:rsid w:val="1C1672DC"/>
    <w:rsid w:val="1C245DA4"/>
    <w:rsid w:val="1C282794"/>
    <w:rsid w:val="1C2C4C0F"/>
    <w:rsid w:val="1C2C5DF4"/>
    <w:rsid w:val="1C2F4A60"/>
    <w:rsid w:val="1C390FC4"/>
    <w:rsid w:val="1C3C5060"/>
    <w:rsid w:val="1C503B94"/>
    <w:rsid w:val="1C52658A"/>
    <w:rsid w:val="1C5A6626"/>
    <w:rsid w:val="1C611B80"/>
    <w:rsid w:val="1C626DDD"/>
    <w:rsid w:val="1C64628B"/>
    <w:rsid w:val="1C721DBC"/>
    <w:rsid w:val="1C73150F"/>
    <w:rsid w:val="1C742675"/>
    <w:rsid w:val="1C762B41"/>
    <w:rsid w:val="1C7A7445"/>
    <w:rsid w:val="1C805D15"/>
    <w:rsid w:val="1C8609D9"/>
    <w:rsid w:val="1C8862C8"/>
    <w:rsid w:val="1C8A2D76"/>
    <w:rsid w:val="1C8E1FED"/>
    <w:rsid w:val="1C921E0B"/>
    <w:rsid w:val="1CA11EBE"/>
    <w:rsid w:val="1CA3733E"/>
    <w:rsid w:val="1CA53299"/>
    <w:rsid w:val="1CA71DBD"/>
    <w:rsid w:val="1CAC359F"/>
    <w:rsid w:val="1CAC4687"/>
    <w:rsid w:val="1CAD0D0E"/>
    <w:rsid w:val="1CBB214E"/>
    <w:rsid w:val="1CBC31BA"/>
    <w:rsid w:val="1CBF1295"/>
    <w:rsid w:val="1CC06203"/>
    <w:rsid w:val="1CCE319B"/>
    <w:rsid w:val="1CD26CDD"/>
    <w:rsid w:val="1CDC2785"/>
    <w:rsid w:val="1CE3753F"/>
    <w:rsid w:val="1CE42B5D"/>
    <w:rsid w:val="1CEE67C3"/>
    <w:rsid w:val="1CFA4CEC"/>
    <w:rsid w:val="1CFD303B"/>
    <w:rsid w:val="1D093430"/>
    <w:rsid w:val="1D0D2A38"/>
    <w:rsid w:val="1D0F7034"/>
    <w:rsid w:val="1D1F0CB2"/>
    <w:rsid w:val="1D375354"/>
    <w:rsid w:val="1D3A4B1D"/>
    <w:rsid w:val="1D3B732D"/>
    <w:rsid w:val="1D3D3599"/>
    <w:rsid w:val="1D4239FA"/>
    <w:rsid w:val="1D442E93"/>
    <w:rsid w:val="1D480956"/>
    <w:rsid w:val="1D4A5A89"/>
    <w:rsid w:val="1D4E0C88"/>
    <w:rsid w:val="1D4E41B6"/>
    <w:rsid w:val="1D575C2C"/>
    <w:rsid w:val="1D5B4B48"/>
    <w:rsid w:val="1D651BFF"/>
    <w:rsid w:val="1D6823CD"/>
    <w:rsid w:val="1D70683B"/>
    <w:rsid w:val="1D7307BC"/>
    <w:rsid w:val="1D797217"/>
    <w:rsid w:val="1D7D5852"/>
    <w:rsid w:val="1D7F4CA9"/>
    <w:rsid w:val="1D832DE7"/>
    <w:rsid w:val="1D842139"/>
    <w:rsid w:val="1D98109D"/>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FD34F7"/>
    <w:rsid w:val="1DFE3D2C"/>
    <w:rsid w:val="1DFF7AE1"/>
    <w:rsid w:val="1E041BF6"/>
    <w:rsid w:val="1E0A7758"/>
    <w:rsid w:val="1E0F7E3B"/>
    <w:rsid w:val="1E1063E1"/>
    <w:rsid w:val="1E1D5F1A"/>
    <w:rsid w:val="1E22765E"/>
    <w:rsid w:val="1E24641B"/>
    <w:rsid w:val="1E24676D"/>
    <w:rsid w:val="1E287013"/>
    <w:rsid w:val="1E290EF4"/>
    <w:rsid w:val="1E38721D"/>
    <w:rsid w:val="1E3B5C85"/>
    <w:rsid w:val="1E401DA6"/>
    <w:rsid w:val="1E407A0C"/>
    <w:rsid w:val="1E423523"/>
    <w:rsid w:val="1E486353"/>
    <w:rsid w:val="1E4E700A"/>
    <w:rsid w:val="1E5406D0"/>
    <w:rsid w:val="1E563899"/>
    <w:rsid w:val="1E5B509F"/>
    <w:rsid w:val="1E5E1DA8"/>
    <w:rsid w:val="1E632D14"/>
    <w:rsid w:val="1E681360"/>
    <w:rsid w:val="1E721B5B"/>
    <w:rsid w:val="1E727898"/>
    <w:rsid w:val="1E745F49"/>
    <w:rsid w:val="1E770628"/>
    <w:rsid w:val="1E7876AB"/>
    <w:rsid w:val="1E8E0193"/>
    <w:rsid w:val="1E922DBA"/>
    <w:rsid w:val="1E974C83"/>
    <w:rsid w:val="1E977DD0"/>
    <w:rsid w:val="1E9A5BC5"/>
    <w:rsid w:val="1E9E3A42"/>
    <w:rsid w:val="1EA85F60"/>
    <w:rsid w:val="1EA935DA"/>
    <w:rsid w:val="1EAC7F90"/>
    <w:rsid w:val="1EAF4BD6"/>
    <w:rsid w:val="1EBE5CB7"/>
    <w:rsid w:val="1EC167E4"/>
    <w:rsid w:val="1EC219B7"/>
    <w:rsid w:val="1EC64612"/>
    <w:rsid w:val="1ED11588"/>
    <w:rsid w:val="1ED12BC9"/>
    <w:rsid w:val="1ED63161"/>
    <w:rsid w:val="1EDF3E98"/>
    <w:rsid w:val="1EE05B39"/>
    <w:rsid w:val="1EE1372F"/>
    <w:rsid w:val="1EE30D7B"/>
    <w:rsid w:val="1EEE370A"/>
    <w:rsid w:val="1EFD0709"/>
    <w:rsid w:val="1EFE623D"/>
    <w:rsid w:val="1EFF61EC"/>
    <w:rsid w:val="1F021D32"/>
    <w:rsid w:val="1F1C22DF"/>
    <w:rsid w:val="1F20022E"/>
    <w:rsid w:val="1F2C6456"/>
    <w:rsid w:val="1F323469"/>
    <w:rsid w:val="1F3A3B7C"/>
    <w:rsid w:val="1F3F2D3F"/>
    <w:rsid w:val="1F455C99"/>
    <w:rsid w:val="1F4E539B"/>
    <w:rsid w:val="1F4F44E9"/>
    <w:rsid w:val="1F4F4677"/>
    <w:rsid w:val="1F5F2826"/>
    <w:rsid w:val="1F643B5C"/>
    <w:rsid w:val="1F680638"/>
    <w:rsid w:val="1F687E82"/>
    <w:rsid w:val="1F7F4A2C"/>
    <w:rsid w:val="1F7F4BAD"/>
    <w:rsid w:val="1F7F4E28"/>
    <w:rsid w:val="1F85033F"/>
    <w:rsid w:val="1F86724C"/>
    <w:rsid w:val="1F8903E1"/>
    <w:rsid w:val="1F8E77DD"/>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DF5CFE"/>
    <w:rsid w:val="1FE8311C"/>
    <w:rsid w:val="1FEE0E99"/>
    <w:rsid w:val="1FF8164F"/>
    <w:rsid w:val="1FFF1ECC"/>
    <w:rsid w:val="20022282"/>
    <w:rsid w:val="20034004"/>
    <w:rsid w:val="200377E2"/>
    <w:rsid w:val="20052498"/>
    <w:rsid w:val="20092180"/>
    <w:rsid w:val="200A5BE1"/>
    <w:rsid w:val="200D3A6E"/>
    <w:rsid w:val="200D5153"/>
    <w:rsid w:val="200E31D5"/>
    <w:rsid w:val="20165DE1"/>
    <w:rsid w:val="201840AB"/>
    <w:rsid w:val="20246F90"/>
    <w:rsid w:val="202B568B"/>
    <w:rsid w:val="20340A52"/>
    <w:rsid w:val="203505EF"/>
    <w:rsid w:val="2035526E"/>
    <w:rsid w:val="20397DB1"/>
    <w:rsid w:val="203A428A"/>
    <w:rsid w:val="203D6470"/>
    <w:rsid w:val="204464C7"/>
    <w:rsid w:val="20471F92"/>
    <w:rsid w:val="204A5224"/>
    <w:rsid w:val="204F43C2"/>
    <w:rsid w:val="205C3927"/>
    <w:rsid w:val="20601F3B"/>
    <w:rsid w:val="206C2785"/>
    <w:rsid w:val="206F4751"/>
    <w:rsid w:val="206F784D"/>
    <w:rsid w:val="207765EC"/>
    <w:rsid w:val="20794761"/>
    <w:rsid w:val="207C04F9"/>
    <w:rsid w:val="208C6B8C"/>
    <w:rsid w:val="209232CB"/>
    <w:rsid w:val="209D53BA"/>
    <w:rsid w:val="20AA0D8A"/>
    <w:rsid w:val="20AD5F39"/>
    <w:rsid w:val="20B36B9F"/>
    <w:rsid w:val="20B86A91"/>
    <w:rsid w:val="20B9046B"/>
    <w:rsid w:val="20C928CA"/>
    <w:rsid w:val="20CC4CBE"/>
    <w:rsid w:val="20DA53A0"/>
    <w:rsid w:val="20E02450"/>
    <w:rsid w:val="20E33181"/>
    <w:rsid w:val="20E74C64"/>
    <w:rsid w:val="20EE1AA7"/>
    <w:rsid w:val="20F72783"/>
    <w:rsid w:val="21023A7C"/>
    <w:rsid w:val="21024A04"/>
    <w:rsid w:val="21053D47"/>
    <w:rsid w:val="21092803"/>
    <w:rsid w:val="21092A15"/>
    <w:rsid w:val="210F7863"/>
    <w:rsid w:val="2113589E"/>
    <w:rsid w:val="21196B8A"/>
    <w:rsid w:val="21220939"/>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6225B0"/>
    <w:rsid w:val="21634E83"/>
    <w:rsid w:val="21644482"/>
    <w:rsid w:val="21647276"/>
    <w:rsid w:val="216C69AF"/>
    <w:rsid w:val="217069D9"/>
    <w:rsid w:val="2177648E"/>
    <w:rsid w:val="2181394F"/>
    <w:rsid w:val="21855FB9"/>
    <w:rsid w:val="218B225B"/>
    <w:rsid w:val="2191567D"/>
    <w:rsid w:val="21972DD3"/>
    <w:rsid w:val="219C0657"/>
    <w:rsid w:val="21AB1AA1"/>
    <w:rsid w:val="21AC0A94"/>
    <w:rsid w:val="21B043CF"/>
    <w:rsid w:val="21B369BA"/>
    <w:rsid w:val="21C53489"/>
    <w:rsid w:val="21C85E83"/>
    <w:rsid w:val="21C91BD7"/>
    <w:rsid w:val="21D14048"/>
    <w:rsid w:val="21D70EFE"/>
    <w:rsid w:val="21E004F1"/>
    <w:rsid w:val="21E573A1"/>
    <w:rsid w:val="21E71039"/>
    <w:rsid w:val="21EC79F9"/>
    <w:rsid w:val="21ED77C9"/>
    <w:rsid w:val="21F35396"/>
    <w:rsid w:val="21F51CE2"/>
    <w:rsid w:val="21F617B1"/>
    <w:rsid w:val="21F97F32"/>
    <w:rsid w:val="220103C8"/>
    <w:rsid w:val="220D2A2A"/>
    <w:rsid w:val="22131393"/>
    <w:rsid w:val="22153B4E"/>
    <w:rsid w:val="221611EE"/>
    <w:rsid w:val="221643BD"/>
    <w:rsid w:val="22185284"/>
    <w:rsid w:val="222973BF"/>
    <w:rsid w:val="222A6D42"/>
    <w:rsid w:val="222E4177"/>
    <w:rsid w:val="223162EF"/>
    <w:rsid w:val="223D7D74"/>
    <w:rsid w:val="22413B6B"/>
    <w:rsid w:val="224949B2"/>
    <w:rsid w:val="224C4E87"/>
    <w:rsid w:val="224E369D"/>
    <w:rsid w:val="2254713C"/>
    <w:rsid w:val="2256719F"/>
    <w:rsid w:val="22576B6F"/>
    <w:rsid w:val="22601645"/>
    <w:rsid w:val="22620429"/>
    <w:rsid w:val="226D6B02"/>
    <w:rsid w:val="227A4B3E"/>
    <w:rsid w:val="22811832"/>
    <w:rsid w:val="22834822"/>
    <w:rsid w:val="228529E9"/>
    <w:rsid w:val="228831F1"/>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C54AA"/>
    <w:rsid w:val="22E46845"/>
    <w:rsid w:val="22E92B5C"/>
    <w:rsid w:val="22ED1934"/>
    <w:rsid w:val="22F67032"/>
    <w:rsid w:val="230212B8"/>
    <w:rsid w:val="23030702"/>
    <w:rsid w:val="23062764"/>
    <w:rsid w:val="23080E38"/>
    <w:rsid w:val="230843F0"/>
    <w:rsid w:val="230F3229"/>
    <w:rsid w:val="23112352"/>
    <w:rsid w:val="23177E0F"/>
    <w:rsid w:val="231F390F"/>
    <w:rsid w:val="2320730F"/>
    <w:rsid w:val="232331F6"/>
    <w:rsid w:val="232338CB"/>
    <w:rsid w:val="23235F04"/>
    <w:rsid w:val="233B5102"/>
    <w:rsid w:val="23435D33"/>
    <w:rsid w:val="23514F5B"/>
    <w:rsid w:val="23526895"/>
    <w:rsid w:val="23527442"/>
    <w:rsid w:val="235765CA"/>
    <w:rsid w:val="23607755"/>
    <w:rsid w:val="23656AAE"/>
    <w:rsid w:val="2368083A"/>
    <w:rsid w:val="236F1030"/>
    <w:rsid w:val="23727A7C"/>
    <w:rsid w:val="23775A27"/>
    <w:rsid w:val="237A368A"/>
    <w:rsid w:val="237C3D59"/>
    <w:rsid w:val="237F62B4"/>
    <w:rsid w:val="23804F0B"/>
    <w:rsid w:val="23806372"/>
    <w:rsid w:val="238509D2"/>
    <w:rsid w:val="23897BC7"/>
    <w:rsid w:val="238B7862"/>
    <w:rsid w:val="238D33AE"/>
    <w:rsid w:val="23993780"/>
    <w:rsid w:val="239F1BEB"/>
    <w:rsid w:val="23A40C6C"/>
    <w:rsid w:val="23A67449"/>
    <w:rsid w:val="23A95222"/>
    <w:rsid w:val="23AF2511"/>
    <w:rsid w:val="23B60F2C"/>
    <w:rsid w:val="23BB021A"/>
    <w:rsid w:val="23BD1ACB"/>
    <w:rsid w:val="23C60923"/>
    <w:rsid w:val="23D95F77"/>
    <w:rsid w:val="23DE0038"/>
    <w:rsid w:val="23F81A94"/>
    <w:rsid w:val="23FC4588"/>
    <w:rsid w:val="240B3DA0"/>
    <w:rsid w:val="240D13EE"/>
    <w:rsid w:val="241008C8"/>
    <w:rsid w:val="241534A7"/>
    <w:rsid w:val="241D1FFB"/>
    <w:rsid w:val="24266691"/>
    <w:rsid w:val="242B4AD8"/>
    <w:rsid w:val="242B73A3"/>
    <w:rsid w:val="2430145D"/>
    <w:rsid w:val="243C04DF"/>
    <w:rsid w:val="243F3BC5"/>
    <w:rsid w:val="244A5C16"/>
    <w:rsid w:val="244E0D35"/>
    <w:rsid w:val="24502A0D"/>
    <w:rsid w:val="2451179F"/>
    <w:rsid w:val="24520F93"/>
    <w:rsid w:val="24547F02"/>
    <w:rsid w:val="245B6907"/>
    <w:rsid w:val="2468033B"/>
    <w:rsid w:val="24784B85"/>
    <w:rsid w:val="2484174E"/>
    <w:rsid w:val="24893323"/>
    <w:rsid w:val="248D372F"/>
    <w:rsid w:val="249147BC"/>
    <w:rsid w:val="24931D1A"/>
    <w:rsid w:val="24967E1D"/>
    <w:rsid w:val="24981015"/>
    <w:rsid w:val="24987E3F"/>
    <w:rsid w:val="24A0064D"/>
    <w:rsid w:val="24A37E3F"/>
    <w:rsid w:val="24A44C2B"/>
    <w:rsid w:val="24A710D1"/>
    <w:rsid w:val="24A75F10"/>
    <w:rsid w:val="24A9794E"/>
    <w:rsid w:val="24AE3282"/>
    <w:rsid w:val="24B47EEE"/>
    <w:rsid w:val="24B571BF"/>
    <w:rsid w:val="24B608A6"/>
    <w:rsid w:val="24BD33B3"/>
    <w:rsid w:val="24C076C6"/>
    <w:rsid w:val="24C805DB"/>
    <w:rsid w:val="24CB58F2"/>
    <w:rsid w:val="24CF2F3D"/>
    <w:rsid w:val="24CF6349"/>
    <w:rsid w:val="24DA1699"/>
    <w:rsid w:val="24DA3502"/>
    <w:rsid w:val="24DC1CDC"/>
    <w:rsid w:val="24EA1D3C"/>
    <w:rsid w:val="24F50072"/>
    <w:rsid w:val="24F5476D"/>
    <w:rsid w:val="24F552FD"/>
    <w:rsid w:val="24FB73DF"/>
    <w:rsid w:val="24FE12C5"/>
    <w:rsid w:val="251430EA"/>
    <w:rsid w:val="2516548F"/>
    <w:rsid w:val="25187901"/>
    <w:rsid w:val="251E7323"/>
    <w:rsid w:val="25322FA9"/>
    <w:rsid w:val="2535601D"/>
    <w:rsid w:val="253C5757"/>
    <w:rsid w:val="254602F5"/>
    <w:rsid w:val="254A78A8"/>
    <w:rsid w:val="254D7DE7"/>
    <w:rsid w:val="25587F10"/>
    <w:rsid w:val="255A2902"/>
    <w:rsid w:val="255D2987"/>
    <w:rsid w:val="255E68ED"/>
    <w:rsid w:val="25693D83"/>
    <w:rsid w:val="256B1E5E"/>
    <w:rsid w:val="256C43CF"/>
    <w:rsid w:val="2572075C"/>
    <w:rsid w:val="25743B93"/>
    <w:rsid w:val="25770905"/>
    <w:rsid w:val="257730B5"/>
    <w:rsid w:val="257B6B56"/>
    <w:rsid w:val="257D76B8"/>
    <w:rsid w:val="25835E6E"/>
    <w:rsid w:val="25847B8B"/>
    <w:rsid w:val="25852F63"/>
    <w:rsid w:val="258A3679"/>
    <w:rsid w:val="258B1C1A"/>
    <w:rsid w:val="25965194"/>
    <w:rsid w:val="2599385B"/>
    <w:rsid w:val="259A51D8"/>
    <w:rsid w:val="259B705F"/>
    <w:rsid w:val="25AB26F1"/>
    <w:rsid w:val="25AD148E"/>
    <w:rsid w:val="25AE5CBD"/>
    <w:rsid w:val="25B26B13"/>
    <w:rsid w:val="25B35717"/>
    <w:rsid w:val="25B6624E"/>
    <w:rsid w:val="25BE7F58"/>
    <w:rsid w:val="25C050FD"/>
    <w:rsid w:val="25C37F7D"/>
    <w:rsid w:val="25C613D9"/>
    <w:rsid w:val="25C66FF7"/>
    <w:rsid w:val="25CB6537"/>
    <w:rsid w:val="25D04004"/>
    <w:rsid w:val="25D232A3"/>
    <w:rsid w:val="25D232CE"/>
    <w:rsid w:val="25D62F50"/>
    <w:rsid w:val="25DC79D9"/>
    <w:rsid w:val="25DD502E"/>
    <w:rsid w:val="25DE7B28"/>
    <w:rsid w:val="25E17C21"/>
    <w:rsid w:val="25E424FD"/>
    <w:rsid w:val="25EC197C"/>
    <w:rsid w:val="25EE3ED6"/>
    <w:rsid w:val="25F02801"/>
    <w:rsid w:val="25F46164"/>
    <w:rsid w:val="25FA76F8"/>
    <w:rsid w:val="25FF05F7"/>
    <w:rsid w:val="26012331"/>
    <w:rsid w:val="260651DF"/>
    <w:rsid w:val="26116D9A"/>
    <w:rsid w:val="261414B8"/>
    <w:rsid w:val="261C3368"/>
    <w:rsid w:val="261E59B9"/>
    <w:rsid w:val="261E5DAA"/>
    <w:rsid w:val="26367DDD"/>
    <w:rsid w:val="263725F3"/>
    <w:rsid w:val="26384145"/>
    <w:rsid w:val="26395362"/>
    <w:rsid w:val="264C6402"/>
    <w:rsid w:val="265E54BD"/>
    <w:rsid w:val="26655DC4"/>
    <w:rsid w:val="266759B4"/>
    <w:rsid w:val="266D67CA"/>
    <w:rsid w:val="26716B7E"/>
    <w:rsid w:val="2678123C"/>
    <w:rsid w:val="2678314A"/>
    <w:rsid w:val="2679522B"/>
    <w:rsid w:val="267F6970"/>
    <w:rsid w:val="26814BD1"/>
    <w:rsid w:val="26815F61"/>
    <w:rsid w:val="2688233B"/>
    <w:rsid w:val="268B3AC2"/>
    <w:rsid w:val="26962104"/>
    <w:rsid w:val="269A7829"/>
    <w:rsid w:val="269F051F"/>
    <w:rsid w:val="26B062CC"/>
    <w:rsid w:val="26B57A60"/>
    <w:rsid w:val="26BA755B"/>
    <w:rsid w:val="26BA7DD8"/>
    <w:rsid w:val="26BE5867"/>
    <w:rsid w:val="26C40749"/>
    <w:rsid w:val="26D37CFD"/>
    <w:rsid w:val="26D51F37"/>
    <w:rsid w:val="26D55359"/>
    <w:rsid w:val="26D66B4B"/>
    <w:rsid w:val="26D77B1E"/>
    <w:rsid w:val="26D90E94"/>
    <w:rsid w:val="26DC4F1F"/>
    <w:rsid w:val="26E908F9"/>
    <w:rsid w:val="26ED7F27"/>
    <w:rsid w:val="26EF7AC9"/>
    <w:rsid w:val="26F015F2"/>
    <w:rsid w:val="26F518C9"/>
    <w:rsid w:val="26F77589"/>
    <w:rsid w:val="26FE2F73"/>
    <w:rsid w:val="270D4902"/>
    <w:rsid w:val="27193552"/>
    <w:rsid w:val="27194AC1"/>
    <w:rsid w:val="271C7BAE"/>
    <w:rsid w:val="271F3D41"/>
    <w:rsid w:val="272D07E0"/>
    <w:rsid w:val="272D789C"/>
    <w:rsid w:val="272E5BDD"/>
    <w:rsid w:val="27365FF2"/>
    <w:rsid w:val="2738028B"/>
    <w:rsid w:val="274459EE"/>
    <w:rsid w:val="274500AF"/>
    <w:rsid w:val="274531AA"/>
    <w:rsid w:val="27473068"/>
    <w:rsid w:val="274B4F89"/>
    <w:rsid w:val="274F433C"/>
    <w:rsid w:val="27510987"/>
    <w:rsid w:val="27531369"/>
    <w:rsid w:val="275721E3"/>
    <w:rsid w:val="275E798A"/>
    <w:rsid w:val="27654C33"/>
    <w:rsid w:val="27655E15"/>
    <w:rsid w:val="27657C77"/>
    <w:rsid w:val="277005F0"/>
    <w:rsid w:val="27702AAA"/>
    <w:rsid w:val="27716C57"/>
    <w:rsid w:val="27787EC9"/>
    <w:rsid w:val="277A2228"/>
    <w:rsid w:val="277C41CD"/>
    <w:rsid w:val="277F5E97"/>
    <w:rsid w:val="27877B31"/>
    <w:rsid w:val="278D3DF3"/>
    <w:rsid w:val="27966399"/>
    <w:rsid w:val="27A722FB"/>
    <w:rsid w:val="27AE498E"/>
    <w:rsid w:val="27AF0149"/>
    <w:rsid w:val="27C70146"/>
    <w:rsid w:val="27DC482F"/>
    <w:rsid w:val="27DE7EEA"/>
    <w:rsid w:val="27E3007B"/>
    <w:rsid w:val="27E56907"/>
    <w:rsid w:val="27F37B9F"/>
    <w:rsid w:val="27F400A6"/>
    <w:rsid w:val="27F917EF"/>
    <w:rsid w:val="27FA52C2"/>
    <w:rsid w:val="27FF3B59"/>
    <w:rsid w:val="28031F9E"/>
    <w:rsid w:val="28047910"/>
    <w:rsid w:val="28063F00"/>
    <w:rsid w:val="28114684"/>
    <w:rsid w:val="28151073"/>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15AAA"/>
    <w:rsid w:val="285463E1"/>
    <w:rsid w:val="2856066C"/>
    <w:rsid w:val="285C3156"/>
    <w:rsid w:val="28630A4F"/>
    <w:rsid w:val="286E1A46"/>
    <w:rsid w:val="28786F66"/>
    <w:rsid w:val="287D3E92"/>
    <w:rsid w:val="288775DB"/>
    <w:rsid w:val="289A413A"/>
    <w:rsid w:val="28A26206"/>
    <w:rsid w:val="28A877E9"/>
    <w:rsid w:val="28AB79A3"/>
    <w:rsid w:val="28BB4238"/>
    <w:rsid w:val="28BB455C"/>
    <w:rsid w:val="28C47CAF"/>
    <w:rsid w:val="28D01731"/>
    <w:rsid w:val="28D60F5D"/>
    <w:rsid w:val="28D90442"/>
    <w:rsid w:val="28D92FC8"/>
    <w:rsid w:val="28D93C5D"/>
    <w:rsid w:val="28DB0218"/>
    <w:rsid w:val="28DF6B18"/>
    <w:rsid w:val="28E309D7"/>
    <w:rsid w:val="28E923FD"/>
    <w:rsid w:val="28EA37AB"/>
    <w:rsid w:val="28EA39A4"/>
    <w:rsid w:val="28F6001D"/>
    <w:rsid w:val="28F67160"/>
    <w:rsid w:val="28F95B87"/>
    <w:rsid w:val="28FD4174"/>
    <w:rsid w:val="2900651C"/>
    <w:rsid w:val="2908660F"/>
    <w:rsid w:val="29086F3D"/>
    <w:rsid w:val="290A7C49"/>
    <w:rsid w:val="290B3FB4"/>
    <w:rsid w:val="291025A6"/>
    <w:rsid w:val="29181460"/>
    <w:rsid w:val="292147ED"/>
    <w:rsid w:val="29265026"/>
    <w:rsid w:val="292A5054"/>
    <w:rsid w:val="293171B7"/>
    <w:rsid w:val="29367CF8"/>
    <w:rsid w:val="293B71E4"/>
    <w:rsid w:val="294562C8"/>
    <w:rsid w:val="29466767"/>
    <w:rsid w:val="294A7CF4"/>
    <w:rsid w:val="2956167A"/>
    <w:rsid w:val="29571B39"/>
    <w:rsid w:val="29637C0B"/>
    <w:rsid w:val="29643B67"/>
    <w:rsid w:val="296514A9"/>
    <w:rsid w:val="2965373C"/>
    <w:rsid w:val="29670E2C"/>
    <w:rsid w:val="29741478"/>
    <w:rsid w:val="29745595"/>
    <w:rsid w:val="29747AFA"/>
    <w:rsid w:val="297F382E"/>
    <w:rsid w:val="29822F50"/>
    <w:rsid w:val="298A7E62"/>
    <w:rsid w:val="299145D8"/>
    <w:rsid w:val="299777F1"/>
    <w:rsid w:val="299D435B"/>
    <w:rsid w:val="29A01182"/>
    <w:rsid w:val="29A222F4"/>
    <w:rsid w:val="29A240AD"/>
    <w:rsid w:val="29A77E3F"/>
    <w:rsid w:val="29B129C2"/>
    <w:rsid w:val="29B67FFD"/>
    <w:rsid w:val="29C32223"/>
    <w:rsid w:val="29C357E2"/>
    <w:rsid w:val="29C5567B"/>
    <w:rsid w:val="29C63395"/>
    <w:rsid w:val="29C846A2"/>
    <w:rsid w:val="29C9026B"/>
    <w:rsid w:val="29C9052E"/>
    <w:rsid w:val="29CD675A"/>
    <w:rsid w:val="29D3777A"/>
    <w:rsid w:val="29D932EB"/>
    <w:rsid w:val="29E0682D"/>
    <w:rsid w:val="29E56C2B"/>
    <w:rsid w:val="29EF08D5"/>
    <w:rsid w:val="29EF1A13"/>
    <w:rsid w:val="29F421D2"/>
    <w:rsid w:val="29FB5D7B"/>
    <w:rsid w:val="2A004A98"/>
    <w:rsid w:val="2A072E6D"/>
    <w:rsid w:val="2A0C27D2"/>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A70DA"/>
    <w:rsid w:val="2A4F6EEE"/>
    <w:rsid w:val="2A537BA7"/>
    <w:rsid w:val="2A5E7A5B"/>
    <w:rsid w:val="2A610F9C"/>
    <w:rsid w:val="2A686983"/>
    <w:rsid w:val="2A6B7605"/>
    <w:rsid w:val="2A7142DB"/>
    <w:rsid w:val="2A7701DC"/>
    <w:rsid w:val="2A7721EB"/>
    <w:rsid w:val="2A7E463F"/>
    <w:rsid w:val="2A8135C1"/>
    <w:rsid w:val="2A822CFC"/>
    <w:rsid w:val="2A874DCE"/>
    <w:rsid w:val="2A932749"/>
    <w:rsid w:val="2A95301D"/>
    <w:rsid w:val="2A9A00B8"/>
    <w:rsid w:val="2A9F368E"/>
    <w:rsid w:val="2AA501D6"/>
    <w:rsid w:val="2AA75203"/>
    <w:rsid w:val="2AAB4D8B"/>
    <w:rsid w:val="2AAB70B8"/>
    <w:rsid w:val="2ACF29D0"/>
    <w:rsid w:val="2AD23946"/>
    <w:rsid w:val="2AD757C5"/>
    <w:rsid w:val="2AD8268C"/>
    <w:rsid w:val="2ADC7704"/>
    <w:rsid w:val="2AE24958"/>
    <w:rsid w:val="2AE3144E"/>
    <w:rsid w:val="2AEA5FD6"/>
    <w:rsid w:val="2AEB3566"/>
    <w:rsid w:val="2AED024D"/>
    <w:rsid w:val="2AF64858"/>
    <w:rsid w:val="2B006B0F"/>
    <w:rsid w:val="2B0C73F8"/>
    <w:rsid w:val="2B0D431B"/>
    <w:rsid w:val="2B2542FC"/>
    <w:rsid w:val="2B2A6042"/>
    <w:rsid w:val="2B323A17"/>
    <w:rsid w:val="2B3D434D"/>
    <w:rsid w:val="2B3E0DCF"/>
    <w:rsid w:val="2B3F6E91"/>
    <w:rsid w:val="2B4170BC"/>
    <w:rsid w:val="2B492A69"/>
    <w:rsid w:val="2B4B1A6B"/>
    <w:rsid w:val="2B4F3B95"/>
    <w:rsid w:val="2B531E90"/>
    <w:rsid w:val="2B5D1DEE"/>
    <w:rsid w:val="2B5F7838"/>
    <w:rsid w:val="2B60285C"/>
    <w:rsid w:val="2B6E756A"/>
    <w:rsid w:val="2B730F16"/>
    <w:rsid w:val="2B793AB6"/>
    <w:rsid w:val="2B894A0E"/>
    <w:rsid w:val="2B992D8F"/>
    <w:rsid w:val="2B9947F0"/>
    <w:rsid w:val="2BA17E61"/>
    <w:rsid w:val="2BA85F23"/>
    <w:rsid w:val="2BAC09B1"/>
    <w:rsid w:val="2BB03502"/>
    <w:rsid w:val="2BB1005C"/>
    <w:rsid w:val="2BB61A32"/>
    <w:rsid w:val="2BBF7B31"/>
    <w:rsid w:val="2BC20859"/>
    <w:rsid w:val="2BCA3EEE"/>
    <w:rsid w:val="2BCC7D24"/>
    <w:rsid w:val="2BCD1EE6"/>
    <w:rsid w:val="2BCF30F0"/>
    <w:rsid w:val="2BD41206"/>
    <w:rsid w:val="2BD44296"/>
    <w:rsid w:val="2BD57773"/>
    <w:rsid w:val="2BD60BD1"/>
    <w:rsid w:val="2BD64759"/>
    <w:rsid w:val="2BDB258A"/>
    <w:rsid w:val="2BFF2267"/>
    <w:rsid w:val="2C0261A6"/>
    <w:rsid w:val="2C092A93"/>
    <w:rsid w:val="2C0C64E4"/>
    <w:rsid w:val="2C125DFC"/>
    <w:rsid w:val="2C1D44CC"/>
    <w:rsid w:val="2C204AC2"/>
    <w:rsid w:val="2C216417"/>
    <w:rsid w:val="2C296497"/>
    <w:rsid w:val="2C32741A"/>
    <w:rsid w:val="2C3A79D3"/>
    <w:rsid w:val="2C3F269E"/>
    <w:rsid w:val="2C407C6C"/>
    <w:rsid w:val="2C4170CD"/>
    <w:rsid w:val="2C424ECF"/>
    <w:rsid w:val="2C53091D"/>
    <w:rsid w:val="2C600F77"/>
    <w:rsid w:val="2C6A4649"/>
    <w:rsid w:val="2C7077B6"/>
    <w:rsid w:val="2C7358D9"/>
    <w:rsid w:val="2C8A4E2C"/>
    <w:rsid w:val="2C9368EA"/>
    <w:rsid w:val="2C9622DD"/>
    <w:rsid w:val="2C971D86"/>
    <w:rsid w:val="2C9833B9"/>
    <w:rsid w:val="2C9C090E"/>
    <w:rsid w:val="2C9D585F"/>
    <w:rsid w:val="2CA10581"/>
    <w:rsid w:val="2CA13BB5"/>
    <w:rsid w:val="2CA20A1F"/>
    <w:rsid w:val="2CA74B9E"/>
    <w:rsid w:val="2CA8128D"/>
    <w:rsid w:val="2CB73B1A"/>
    <w:rsid w:val="2CB902A3"/>
    <w:rsid w:val="2CBA43E0"/>
    <w:rsid w:val="2CBC3E6E"/>
    <w:rsid w:val="2CC035BE"/>
    <w:rsid w:val="2CC176C2"/>
    <w:rsid w:val="2CC5768B"/>
    <w:rsid w:val="2CC86C6D"/>
    <w:rsid w:val="2CD27B37"/>
    <w:rsid w:val="2CE0188C"/>
    <w:rsid w:val="2CE05C1D"/>
    <w:rsid w:val="2CE35774"/>
    <w:rsid w:val="2CE81AAE"/>
    <w:rsid w:val="2CE93C83"/>
    <w:rsid w:val="2CEC632B"/>
    <w:rsid w:val="2D02233E"/>
    <w:rsid w:val="2D18778F"/>
    <w:rsid w:val="2D1C0E34"/>
    <w:rsid w:val="2D1D4506"/>
    <w:rsid w:val="2D2176DC"/>
    <w:rsid w:val="2D2642DD"/>
    <w:rsid w:val="2D30371F"/>
    <w:rsid w:val="2D3D34CD"/>
    <w:rsid w:val="2D436EEB"/>
    <w:rsid w:val="2D457CF5"/>
    <w:rsid w:val="2D4F3F2D"/>
    <w:rsid w:val="2D582E2A"/>
    <w:rsid w:val="2D611C47"/>
    <w:rsid w:val="2D6A33D8"/>
    <w:rsid w:val="2D6D4F8A"/>
    <w:rsid w:val="2D6E2A3E"/>
    <w:rsid w:val="2D6E2C94"/>
    <w:rsid w:val="2D6F258E"/>
    <w:rsid w:val="2D704CAB"/>
    <w:rsid w:val="2D7517F5"/>
    <w:rsid w:val="2D7A621F"/>
    <w:rsid w:val="2D7B3681"/>
    <w:rsid w:val="2D7E16E3"/>
    <w:rsid w:val="2D8251A3"/>
    <w:rsid w:val="2D846603"/>
    <w:rsid w:val="2D8D2FD2"/>
    <w:rsid w:val="2D8D7DD2"/>
    <w:rsid w:val="2D8D7DE4"/>
    <w:rsid w:val="2D942475"/>
    <w:rsid w:val="2D95522D"/>
    <w:rsid w:val="2D9810CE"/>
    <w:rsid w:val="2D9924F3"/>
    <w:rsid w:val="2D9A3742"/>
    <w:rsid w:val="2DA8032A"/>
    <w:rsid w:val="2DA92C79"/>
    <w:rsid w:val="2DAD740E"/>
    <w:rsid w:val="2DB35253"/>
    <w:rsid w:val="2DB53D1A"/>
    <w:rsid w:val="2DC17FE9"/>
    <w:rsid w:val="2DC26073"/>
    <w:rsid w:val="2DCE2D65"/>
    <w:rsid w:val="2DD16D76"/>
    <w:rsid w:val="2DD4344A"/>
    <w:rsid w:val="2DD50223"/>
    <w:rsid w:val="2DD546F0"/>
    <w:rsid w:val="2DD81171"/>
    <w:rsid w:val="2DEA5A9B"/>
    <w:rsid w:val="2DEE74E7"/>
    <w:rsid w:val="2DF25093"/>
    <w:rsid w:val="2DF37DF3"/>
    <w:rsid w:val="2DF64B18"/>
    <w:rsid w:val="2DF8413F"/>
    <w:rsid w:val="2DFD70FB"/>
    <w:rsid w:val="2E0357BE"/>
    <w:rsid w:val="2E0A7E07"/>
    <w:rsid w:val="2E0D45F0"/>
    <w:rsid w:val="2E0D4ED4"/>
    <w:rsid w:val="2E1A5414"/>
    <w:rsid w:val="2E1F5563"/>
    <w:rsid w:val="2E230D99"/>
    <w:rsid w:val="2E241682"/>
    <w:rsid w:val="2E335778"/>
    <w:rsid w:val="2E437FFD"/>
    <w:rsid w:val="2E487BF9"/>
    <w:rsid w:val="2E4B1639"/>
    <w:rsid w:val="2E4B5CA0"/>
    <w:rsid w:val="2E530B66"/>
    <w:rsid w:val="2E5F26A0"/>
    <w:rsid w:val="2E67618B"/>
    <w:rsid w:val="2E724FD1"/>
    <w:rsid w:val="2E751DF2"/>
    <w:rsid w:val="2E797224"/>
    <w:rsid w:val="2E7A43DB"/>
    <w:rsid w:val="2E7D1AA2"/>
    <w:rsid w:val="2E8C1561"/>
    <w:rsid w:val="2E8C5299"/>
    <w:rsid w:val="2E9825EB"/>
    <w:rsid w:val="2E990B2D"/>
    <w:rsid w:val="2E9B02FB"/>
    <w:rsid w:val="2E9F44BB"/>
    <w:rsid w:val="2EA04261"/>
    <w:rsid w:val="2EA21A2E"/>
    <w:rsid w:val="2EA35DD1"/>
    <w:rsid w:val="2EAB04C6"/>
    <w:rsid w:val="2EB43613"/>
    <w:rsid w:val="2EB4754A"/>
    <w:rsid w:val="2EB7097F"/>
    <w:rsid w:val="2EB77C87"/>
    <w:rsid w:val="2EB961D0"/>
    <w:rsid w:val="2EC060FC"/>
    <w:rsid w:val="2EC55E8F"/>
    <w:rsid w:val="2EC63F27"/>
    <w:rsid w:val="2ED57B02"/>
    <w:rsid w:val="2EDC7563"/>
    <w:rsid w:val="2EE66E52"/>
    <w:rsid w:val="2EF575DD"/>
    <w:rsid w:val="2EF74FCB"/>
    <w:rsid w:val="2EF97527"/>
    <w:rsid w:val="2EFC1FBF"/>
    <w:rsid w:val="2F082F05"/>
    <w:rsid w:val="2F0A6092"/>
    <w:rsid w:val="2F137A15"/>
    <w:rsid w:val="2F173ECE"/>
    <w:rsid w:val="2F183E45"/>
    <w:rsid w:val="2F207DBF"/>
    <w:rsid w:val="2F290A1A"/>
    <w:rsid w:val="2F2B0248"/>
    <w:rsid w:val="2F2C15FD"/>
    <w:rsid w:val="2F2C461C"/>
    <w:rsid w:val="2F2C62D1"/>
    <w:rsid w:val="2F353C90"/>
    <w:rsid w:val="2F3E1E86"/>
    <w:rsid w:val="2F3E766D"/>
    <w:rsid w:val="2F3F6A7C"/>
    <w:rsid w:val="2F583576"/>
    <w:rsid w:val="2F5963E3"/>
    <w:rsid w:val="2F623CD7"/>
    <w:rsid w:val="2F633092"/>
    <w:rsid w:val="2F697663"/>
    <w:rsid w:val="2F6E3F63"/>
    <w:rsid w:val="2F6F6C79"/>
    <w:rsid w:val="2F71356F"/>
    <w:rsid w:val="2F734281"/>
    <w:rsid w:val="2F822199"/>
    <w:rsid w:val="2F8438F7"/>
    <w:rsid w:val="2F916547"/>
    <w:rsid w:val="2F9C71E6"/>
    <w:rsid w:val="2FAE4FF9"/>
    <w:rsid w:val="2FB045B4"/>
    <w:rsid w:val="2FB162B8"/>
    <w:rsid w:val="2FB553E2"/>
    <w:rsid w:val="2FBB564B"/>
    <w:rsid w:val="2FBD122E"/>
    <w:rsid w:val="2FBE0595"/>
    <w:rsid w:val="2FC16DB7"/>
    <w:rsid w:val="2FC274CC"/>
    <w:rsid w:val="2FC96004"/>
    <w:rsid w:val="2FD16DD9"/>
    <w:rsid w:val="2FD538B8"/>
    <w:rsid w:val="2FEA3302"/>
    <w:rsid w:val="2FF33761"/>
    <w:rsid w:val="2FF73E67"/>
    <w:rsid w:val="2FFD0FFD"/>
    <w:rsid w:val="300368B8"/>
    <w:rsid w:val="30056651"/>
    <w:rsid w:val="301D542F"/>
    <w:rsid w:val="30281822"/>
    <w:rsid w:val="30287F8A"/>
    <w:rsid w:val="302B577D"/>
    <w:rsid w:val="30310CF7"/>
    <w:rsid w:val="30461D3C"/>
    <w:rsid w:val="304A4AE3"/>
    <w:rsid w:val="304D2498"/>
    <w:rsid w:val="304E3DAF"/>
    <w:rsid w:val="30563D07"/>
    <w:rsid w:val="30603661"/>
    <w:rsid w:val="306359A3"/>
    <w:rsid w:val="306A7D3C"/>
    <w:rsid w:val="307103A9"/>
    <w:rsid w:val="30731E41"/>
    <w:rsid w:val="307447F6"/>
    <w:rsid w:val="307944E0"/>
    <w:rsid w:val="307B04ED"/>
    <w:rsid w:val="307F4253"/>
    <w:rsid w:val="30824AE4"/>
    <w:rsid w:val="3087418B"/>
    <w:rsid w:val="308E65CB"/>
    <w:rsid w:val="30917A9B"/>
    <w:rsid w:val="30930955"/>
    <w:rsid w:val="30937738"/>
    <w:rsid w:val="3095170F"/>
    <w:rsid w:val="309940BA"/>
    <w:rsid w:val="30A2534D"/>
    <w:rsid w:val="30A37A25"/>
    <w:rsid w:val="30AF69AB"/>
    <w:rsid w:val="30B64C25"/>
    <w:rsid w:val="30BA62B6"/>
    <w:rsid w:val="30C02B8C"/>
    <w:rsid w:val="30C41A6E"/>
    <w:rsid w:val="30C6739F"/>
    <w:rsid w:val="30D84F5C"/>
    <w:rsid w:val="30DC4BD6"/>
    <w:rsid w:val="30DE7E00"/>
    <w:rsid w:val="30DF1FC9"/>
    <w:rsid w:val="30E509B6"/>
    <w:rsid w:val="30E87E58"/>
    <w:rsid w:val="30EB3994"/>
    <w:rsid w:val="30F04BD6"/>
    <w:rsid w:val="30F2771A"/>
    <w:rsid w:val="30F66F6F"/>
    <w:rsid w:val="310103AC"/>
    <w:rsid w:val="31025E7B"/>
    <w:rsid w:val="31026767"/>
    <w:rsid w:val="31035DBC"/>
    <w:rsid w:val="310A66A3"/>
    <w:rsid w:val="310F3CB6"/>
    <w:rsid w:val="3111657C"/>
    <w:rsid w:val="312475D3"/>
    <w:rsid w:val="31253BA5"/>
    <w:rsid w:val="3126210B"/>
    <w:rsid w:val="312961E7"/>
    <w:rsid w:val="312A5EFE"/>
    <w:rsid w:val="312A638B"/>
    <w:rsid w:val="312D0651"/>
    <w:rsid w:val="31335697"/>
    <w:rsid w:val="31396B34"/>
    <w:rsid w:val="31400824"/>
    <w:rsid w:val="31465EC3"/>
    <w:rsid w:val="3147499A"/>
    <w:rsid w:val="3147548C"/>
    <w:rsid w:val="314F5C05"/>
    <w:rsid w:val="315D73BA"/>
    <w:rsid w:val="316337A4"/>
    <w:rsid w:val="31650B15"/>
    <w:rsid w:val="31692F62"/>
    <w:rsid w:val="316C7E94"/>
    <w:rsid w:val="316E46A1"/>
    <w:rsid w:val="31713A25"/>
    <w:rsid w:val="317B638F"/>
    <w:rsid w:val="31844348"/>
    <w:rsid w:val="31873D5E"/>
    <w:rsid w:val="31881AA2"/>
    <w:rsid w:val="318821E9"/>
    <w:rsid w:val="31885F90"/>
    <w:rsid w:val="318B4D8B"/>
    <w:rsid w:val="31A41393"/>
    <w:rsid w:val="31A57F81"/>
    <w:rsid w:val="31A86B8F"/>
    <w:rsid w:val="31AA671D"/>
    <w:rsid w:val="31AC4198"/>
    <w:rsid w:val="31B41B4E"/>
    <w:rsid w:val="31B55448"/>
    <w:rsid w:val="31C0094C"/>
    <w:rsid w:val="31C649A9"/>
    <w:rsid w:val="31CA235E"/>
    <w:rsid w:val="31CB7FC7"/>
    <w:rsid w:val="31CE18A9"/>
    <w:rsid w:val="31CF4261"/>
    <w:rsid w:val="31D360D7"/>
    <w:rsid w:val="31D84D84"/>
    <w:rsid w:val="31DE539E"/>
    <w:rsid w:val="31E048FE"/>
    <w:rsid w:val="31E85086"/>
    <w:rsid w:val="31E915E6"/>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E7A37"/>
    <w:rsid w:val="32605735"/>
    <w:rsid w:val="326C7AFA"/>
    <w:rsid w:val="32700291"/>
    <w:rsid w:val="32756594"/>
    <w:rsid w:val="32784CA3"/>
    <w:rsid w:val="327B0A94"/>
    <w:rsid w:val="3285484B"/>
    <w:rsid w:val="328B56E0"/>
    <w:rsid w:val="328C6A65"/>
    <w:rsid w:val="329041F9"/>
    <w:rsid w:val="32922FD7"/>
    <w:rsid w:val="32933F70"/>
    <w:rsid w:val="32970DAF"/>
    <w:rsid w:val="32B27B7D"/>
    <w:rsid w:val="32B37D53"/>
    <w:rsid w:val="32B47213"/>
    <w:rsid w:val="32B67D8C"/>
    <w:rsid w:val="32BD342B"/>
    <w:rsid w:val="32BF0BF9"/>
    <w:rsid w:val="32BF5DF2"/>
    <w:rsid w:val="32C157F1"/>
    <w:rsid w:val="32C44AF7"/>
    <w:rsid w:val="32DD2FD6"/>
    <w:rsid w:val="32DE7DAA"/>
    <w:rsid w:val="32E17D3A"/>
    <w:rsid w:val="32E73FA1"/>
    <w:rsid w:val="32E95112"/>
    <w:rsid w:val="32EA17B6"/>
    <w:rsid w:val="32EF2C1C"/>
    <w:rsid w:val="32F64BF5"/>
    <w:rsid w:val="32FC080A"/>
    <w:rsid w:val="32FC69EA"/>
    <w:rsid w:val="32FD60F2"/>
    <w:rsid w:val="32FF0E26"/>
    <w:rsid w:val="32FF2305"/>
    <w:rsid w:val="330207A3"/>
    <w:rsid w:val="3304081A"/>
    <w:rsid w:val="330667A7"/>
    <w:rsid w:val="33133099"/>
    <w:rsid w:val="33154F80"/>
    <w:rsid w:val="331F2B1D"/>
    <w:rsid w:val="331F4060"/>
    <w:rsid w:val="33245B54"/>
    <w:rsid w:val="3337245F"/>
    <w:rsid w:val="3339678C"/>
    <w:rsid w:val="33406AEE"/>
    <w:rsid w:val="33410C9D"/>
    <w:rsid w:val="334235D9"/>
    <w:rsid w:val="33523EA7"/>
    <w:rsid w:val="3355651B"/>
    <w:rsid w:val="335B244B"/>
    <w:rsid w:val="336265C9"/>
    <w:rsid w:val="336A752D"/>
    <w:rsid w:val="33705109"/>
    <w:rsid w:val="33712302"/>
    <w:rsid w:val="337202B8"/>
    <w:rsid w:val="33726127"/>
    <w:rsid w:val="33771B49"/>
    <w:rsid w:val="33825C49"/>
    <w:rsid w:val="33851BF3"/>
    <w:rsid w:val="338B2C77"/>
    <w:rsid w:val="33904F3C"/>
    <w:rsid w:val="33947856"/>
    <w:rsid w:val="339859F4"/>
    <w:rsid w:val="33991775"/>
    <w:rsid w:val="339E6AA5"/>
    <w:rsid w:val="33A1408D"/>
    <w:rsid w:val="33A7394A"/>
    <w:rsid w:val="33BA6DAB"/>
    <w:rsid w:val="33BB3797"/>
    <w:rsid w:val="33BF0C11"/>
    <w:rsid w:val="33C52ABC"/>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70BEE"/>
    <w:rsid w:val="343D7FBE"/>
    <w:rsid w:val="3440706E"/>
    <w:rsid w:val="34487ABB"/>
    <w:rsid w:val="344B0713"/>
    <w:rsid w:val="345B3B88"/>
    <w:rsid w:val="346526F9"/>
    <w:rsid w:val="346575D4"/>
    <w:rsid w:val="34661314"/>
    <w:rsid w:val="34666401"/>
    <w:rsid w:val="34703684"/>
    <w:rsid w:val="34765AFD"/>
    <w:rsid w:val="347A215A"/>
    <w:rsid w:val="347A63C7"/>
    <w:rsid w:val="347E2016"/>
    <w:rsid w:val="348C3914"/>
    <w:rsid w:val="348E62EB"/>
    <w:rsid w:val="349044E5"/>
    <w:rsid w:val="34920BD2"/>
    <w:rsid w:val="349833B9"/>
    <w:rsid w:val="349843E6"/>
    <w:rsid w:val="349B65DA"/>
    <w:rsid w:val="349C11FB"/>
    <w:rsid w:val="34A05180"/>
    <w:rsid w:val="34A50560"/>
    <w:rsid w:val="34A72315"/>
    <w:rsid w:val="34A76222"/>
    <w:rsid w:val="34AF3A4C"/>
    <w:rsid w:val="34B4045E"/>
    <w:rsid w:val="34B477A2"/>
    <w:rsid w:val="34C33186"/>
    <w:rsid w:val="34C5664E"/>
    <w:rsid w:val="34C66DE1"/>
    <w:rsid w:val="34CA51D8"/>
    <w:rsid w:val="34D82996"/>
    <w:rsid w:val="34E157DF"/>
    <w:rsid w:val="34E319B5"/>
    <w:rsid w:val="34EB52CF"/>
    <w:rsid w:val="34F72982"/>
    <w:rsid w:val="35052E5A"/>
    <w:rsid w:val="350539CE"/>
    <w:rsid w:val="350937A0"/>
    <w:rsid w:val="35152C10"/>
    <w:rsid w:val="35174818"/>
    <w:rsid w:val="35182215"/>
    <w:rsid w:val="351B60C1"/>
    <w:rsid w:val="35292322"/>
    <w:rsid w:val="352E6DCD"/>
    <w:rsid w:val="35311FD5"/>
    <w:rsid w:val="3533584E"/>
    <w:rsid w:val="353540CD"/>
    <w:rsid w:val="353E1DE5"/>
    <w:rsid w:val="353F3676"/>
    <w:rsid w:val="35425BE4"/>
    <w:rsid w:val="3543437C"/>
    <w:rsid w:val="35457908"/>
    <w:rsid w:val="35471BA1"/>
    <w:rsid w:val="354D2AAA"/>
    <w:rsid w:val="354D4E93"/>
    <w:rsid w:val="3559235C"/>
    <w:rsid w:val="355B2AD6"/>
    <w:rsid w:val="355E0D20"/>
    <w:rsid w:val="35621298"/>
    <w:rsid w:val="356532E7"/>
    <w:rsid w:val="356D3B80"/>
    <w:rsid w:val="357D28A5"/>
    <w:rsid w:val="357E5620"/>
    <w:rsid w:val="35813D37"/>
    <w:rsid w:val="35817907"/>
    <w:rsid w:val="35825908"/>
    <w:rsid w:val="358F6D54"/>
    <w:rsid w:val="3592738C"/>
    <w:rsid w:val="3598725E"/>
    <w:rsid w:val="359979C1"/>
    <w:rsid w:val="359F691B"/>
    <w:rsid w:val="35A85B74"/>
    <w:rsid w:val="35B46047"/>
    <w:rsid w:val="35BA3206"/>
    <w:rsid w:val="35C737A2"/>
    <w:rsid w:val="35CD118E"/>
    <w:rsid w:val="35D72B1B"/>
    <w:rsid w:val="35E1422A"/>
    <w:rsid w:val="35E82CCA"/>
    <w:rsid w:val="35E94278"/>
    <w:rsid w:val="35EB2475"/>
    <w:rsid w:val="35ED15D8"/>
    <w:rsid w:val="35F253D6"/>
    <w:rsid w:val="360C27FC"/>
    <w:rsid w:val="36222A1B"/>
    <w:rsid w:val="362418C3"/>
    <w:rsid w:val="363028AC"/>
    <w:rsid w:val="363600F7"/>
    <w:rsid w:val="36396621"/>
    <w:rsid w:val="363B4CE0"/>
    <w:rsid w:val="3641568A"/>
    <w:rsid w:val="36443F40"/>
    <w:rsid w:val="36484DD5"/>
    <w:rsid w:val="36490095"/>
    <w:rsid w:val="365612FF"/>
    <w:rsid w:val="366A2478"/>
    <w:rsid w:val="366D0132"/>
    <w:rsid w:val="366E0859"/>
    <w:rsid w:val="36704397"/>
    <w:rsid w:val="36721BC6"/>
    <w:rsid w:val="367857DF"/>
    <w:rsid w:val="367D3756"/>
    <w:rsid w:val="368A3831"/>
    <w:rsid w:val="36933DCE"/>
    <w:rsid w:val="36A72B98"/>
    <w:rsid w:val="36A871B1"/>
    <w:rsid w:val="36A93FF3"/>
    <w:rsid w:val="36B42485"/>
    <w:rsid w:val="36B54261"/>
    <w:rsid w:val="36B67FC4"/>
    <w:rsid w:val="36B7786D"/>
    <w:rsid w:val="36B93C0A"/>
    <w:rsid w:val="36B93E5D"/>
    <w:rsid w:val="36CD037D"/>
    <w:rsid w:val="36CE012C"/>
    <w:rsid w:val="36DB1057"/>
    <w:rsid w:val="36DB6FD7"/>
    <w:rsid w:val="36DE2EAD"/>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6820"/>
    <w:rsid w:val="372442DC"/>
    <w:rsid w:val="372E465A"/>
    <w:rsid w:val="37382537"/>
    <w:rsid w:val="37413CBB"/>
    <w:rsid w:val="37430055"/>
    <w:rsid w:val="3750765A"/>
    <w:rsid w:val="375246AE"/>
    <w:rsid w:val="37623834"/>
    <w:rsid w:val="37674BAF"/>
    <w:rsid w:val="376D31BE"/>
    <w:rsid w:val="37731700"/>
    <w:rsid w:val="37796A29"/>
    <w:rsid w:val="377A2FD1"/>
    <w:rsid w:val="378722CF"/>
    <w:rsid w:val="37946F1E"/>
    <w:rsid w:val="37972405"/>
    <w:rsid w:val="37A63FC9"/>
    <w:rsid w:val="37A7404F"/>
    <w:rsid w:val="37AA0AA6"/>
    <w:rsid w:val="37AB63D8"/>
    <w:rsid w:val="37BB71C5"/>
    <w:rsid w:val="37C969DF"/>
    <w:rsid w:val="37CE6D63"/>
    <w:rsid w:val="37D00E5F"/>
    <w:rsid w:val="37D83379"/>
    <w:rsid w:val="37F1004D"/>
    <w:rsid w:val="37F610A9"/>
    <w:rsid w:val="37FC0618"/>
    <w:rsid w:val="37FC6A45"/>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C4402"/>
    <w:rsid w:val="385D4EFC"/>
    <w:rsid w:val="3864117E"/>
    <w:rsid w:val="387068FD"/>
    <w:rsid w:val="38770CD9"/>
    <w:rsid w:val="387B06B1"/>
    <w:rsid w:val="388915E4"/>
    <w:rsid w:val="38917D99"/>
    <w:rsid w:val="3892358D"/>
    <w:rsid w:val="38937A98"/>
    <w:rsid w:val="38946D9D"/>
    <w:rsid w:val="38957469"/>
    <w:rsid w:val="389746B2"/>
    <w:rsid w:val="389F4126"/>
    <w:rsid w:val="38A86593"/>
    <w:rsid w:val="38AE477B"/>
    <w:rsid w:val="38B54764"/>
    <w:rsid w:val="38BE344B"/>
    <w:rsid w:val="38CB4881"/>
    <w:rsid w:val="38EA37CF"/>
    <w:rsid w:val="38F16824"/>
    <w:rsid w:val="38F3347A"/>
    <w:rsid w:val="38FA5F28"/>
    <w:rsid w:val="390E1FDB"/>
    <w:rsid w:val="391856C6"/>
    <w:rsid w:val="391E0BE4"/>
    <w:rsid w:val="3923166A"/>
    <w:rsid w:val="39261AF9"/>
    <w:rsid w:val="392745E2"/>
    <w:rsid w:val="392C4DA2"/>
    <w:rsid w:val="392D1312"/>
    <w:rsid w:val="3933346A"/>
    <w:rsid w:val="39372FDA"/>
    <w:rsid w:val="393F316E"/>
    <w:rsid w:val="39450D00"/>
    <w:rsid w:val="39545758"/>
    <w:rsid w:val="39575F7A"/>
    <w:rsid w:val="395C2867"/>
    <w:rsid w:val="395F5EE2"/>
    <w:rsid w:val="39680555"/>
    <w:rsid w:val="396D32D7"/>
    <w:rsid w:val="396E15FA"/>
    <w:rsid w:val="39717A15"/>
    <w:rsid w:val="39741792"/>
    <w:rsid w:val="39775926"/>
    <w:rsid w:val="397A5E35"/>
    <w:rsid w:val="397D1396"/>
    <w:rsid w:val="3981746A"/>
    <w:rsid w:val="39850838"/>
    <w:rsid w:val="39917E76"/>
    <w:rsid w:val="39977CA8"/>
    <w:rsid w:val="39A32391"/>
    <w:rsid w:val="39A85BAD"/>
    <w:rsid w:val="39A95B31"/>
    <w:rsid w:val="39B53EA1"/>
    <w:rsid w:val="39BB4796"/>
    <w:rsid w:val="39C00F05"/>
    <w:rsid w:val="39C25395"/>
    <w:rsid w:val="39CF60D1"/>
    <w:rsid w:val="39D47D57"/>
    <w:rsid w:val="39D82208"/>
    <w:rsid w:val="39DF61A1"/>
    <w:rsid w:val="39E46B44"/>
    <w:rsid w:val="39F1730F"/>
    <w:rsid w:val="39F40C6A"/>
    <w:rsid w:val="39F67238"/>
    <w:rsid w:val="39FC3142"/>
    <w:rsid w:val="39FE0D49"/>
    <w:rsid w:val="39FF5F00"/>
    <w:rsid w:val="39FF78E9"/>
    <w:rsid w:val="3A0049E4"/>
    <w:rsid w:val="3A0143B6"/>
    <w:rsid w:val="3A0A2032"/>
    <w:rsid w:val="3A0E17C4"/>
    <w:rsid w:val="3A13646F"/>
    <w:rsid w:val="3A1A06CD"/>
    <w:rsid w:val="3A1F4E17"/>
    <w:rsid w:val="3A23096C"/>
    <w:rsid w:val="3A250311"/>
    <w:rsid w:val="3A276787"/>
    <w:rsid w:val="3A2914BC"/>
    <w:rsid w:val="3A293886"/>
    <w:rsid w:val="3A2D4D06"/>
    <w:rsid w:val="3A3342CA"/>
    <w:rsid w:val="3A376046"/>
    <w:rsid w:val="3A3A7E56"/>
    <w:rsid w:val="3A4D662F"/>
    <w:rsid w:val="3A5122A5"/>
    <w:rsid w:val="3A5B1E6D"/>
    <w:rsid w:val="3A5C2C1D"/>
    <w:rsid w:val="3A5D625B"/>
    <w:rsid w:val="3A680049"/>
    <w:rsid w:val="3A6E5BD9"/>
    <w:rsid w:val="3A6F3E73"/>
    <w:rsid w:val="3A6F596E"/>
    <w:rsid w:val="3A793C26"/>
    <w:rsid w:val="3A7D3E27"/>
    <w:rsid w:val="3A8268AE"/>
    <w:rsid w:val="3A8337E1"/>
    <w:rsid w:val="3A917CA0"/>
    <w:rsid w:val="3A97324F"/>
    <w:rsid w:val="3A9A0367"/>
    <w:rsid w:val="3A9C27B1"/>
    <w:rsid w:val="3AA05A9B"/>
    <w:rsid w:val="3AA62EC7"/>
    <w:rsid w:val="3AAA71F2"/>
    <w:rsid w:val="3AAD4DCC"/>
    <w:rsid w:val="3AB705DC"/>
    <w:rsid w:val="3AB7641D"/>
    <w:rsid w:val="3ABA1C58"/>
    <w:rsid w:val="3AC65EDE"/>
    <w:rsid w:val="3ACD36DF"/>
    <w:rsid w:val="3AD42257"/>
    <w:rsid w:val="3AD54094"/>
    <w:rsid w:val="3AD63AE5"/>
    <w:rsid w:val="3AD748F8"/>
    <w:rsid w:val="3AD86CB5"/>
    <w:rsid w:val="3ADC0A6D"/>
    <w:rsid w:val="3ADE2A58"/>
    <w:rsid w:val="3ADF247F"/>
    <w:rsid w:val="3AE10B62"/>
    <w:rsid w:val="3AE67AAF"/>
    <w:rsid w:val="3AE85039"/>
    <w:rsid w:val="3AE929DC"/>
    <w:rsid w:val="3AEF1382"/>
    <w:rsid w:val="3AF23EB4"/>
    <w:rsid w:val="3AF80CD5"/>
    <w:rsid w:val="3B0551A7"/>
    <w:rsid w:val="3B097412"/>
    <w:rsid w:val="3B0B6E12"/>
    <w:rsid w:val="3B180BC8"/>
    <w:rsid w:val="3B1F2E92"/>
    <w:rsid w:val="3B1F5346"/>
    <w:rsid w:val="3B213E5A"/>
    <w:rsid w:val="3B350FB0"/>
    <w:rsid w:val="3B3918CD"/>
    <w:rsid w:val="3B39669F"/>
    <w:rsid w:val="3B3A2D8A"/>
    <w:rsid w:val="3B3B4DE6"/>
    <w:rsid w:val="3B3D5762"/>
    <w:rsid w:val="3B450639"/>
    <w:rsid w:val="3B4B36D4"/>
    <w:rsid w:val="3B4D4ECE"/>
    <w:rsid w:val="3B530269"/>
    <w:rsid w:val="3B537180"/>
    <w:rsid w:val="3B5E1708"/>
    <w:rsid w:val="3B613725"/>
    <w:rsid w:val="3B6254E6"/>
    <w:rsid w:val="3B6271AB"/>
    <w:rsid w:val="3B6F5D77"/>
    <w:rsid w:val="3B761121"/>
    <w:rsid w:val="3B795E9B"/>
    <w:rsid w:val="3B7B0727"/>
    <w:rsid w:val="3B8203A0"/>
    <w:rsid w:val="3B8D222A"/>
    <w:rsid w:val="3B9059E7"/>
    <w:rsid w:val="3B916AEB"/>
    <w:rsid w:val="3B9733D4"/>
    <w:rsid w:val="3B973B3F"/>
    <w:rsid w:val="3B98100A"/>
    <w:rsid w:val="3B9C3902"/>
    <w:rsid w:val="3BA35366"/>
    <w:rsid w:val="3BA45C50"/>
    <w:rsid w:val="3BA71C6A"/>
    <w:rsid w:val="3BB26209"/>
    <w:rsid w:val="3BB4317C"/>
    <w:rsid w:val="3BB6466A"/>
    <w:rsid w:val="3BBB1B7D"/>
    <w:rsid w:val="3BC0191E"/>
    <w:rsid w:val="3BC43318"/>
    <w:rsid w:val="3BC7762E"/>
    <w:rsid w:val="3BCA0329"/>
    <w:rsid w:val="3BCE400B"/>
    <w:rsid w:val="3BD16C5A"/>
    <w:rsid w:val="3BD54856"/>
    <w:rsid w:val="3BD666CE"/>
    <w:rsid w:val="3BDF353E"/>
    <w:rsid w:val="3BE416B1"/>
    <w:rsid w:val="3BEE695B"/>
    <w:rsid w:val="3BF6192B"/>
    <w:rsid w:val="3BF90E04"/>
    <w:rsid w:val="3BFC24B1"/>
    <w:rsid w:val="3C026B7E"/>
    <w:rsid w:val="3C032369"/>
    <w:rsid w:val="3C037D67"/>
    <w:rsid w:val="3C0B37FF"/>
    <w:rsid w:val="3C263A71"/>
    <w:rsid w:val="3C3D1818"/>
    <w:rsid w:val="3C462744"/>
    <w:rsid w:val="3C5061C7"/>
    <w:rsid w:val="3C5364F3"/>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B0FC1"/>
    <w:rsid w:val="3CAA67F9"/>
    <w:rsid w:val="3CB42C70"/>
    <w:rsid w:val="3CB44305"/>
    <w:rsid w:val="3CBF5CB5"/>
    <w:rsid w:val="3CC12AC6"/>
    <w:rsid w:val="3CD27DA4"/>
    <w:rsid w:val="3CD8086F"/>
    <w:rsid w:val="3CD84477"/>
    <w:rsid w:val="3CD85019"/>
    <w:rsid w:val="3CDC4BE9"/>
    <w:rsid w:val="3CE33AA5"/>
    <w:rsid w:val="3D03070D"/>
    <w:rsid w:val="3D095557"/>
    <w:rsid w:val="3D096EE5"/>
    <w:rsid w:val="3D0B622A"/>
    <w:rsid w:val="3D2252CB"/>
    <w:rsid w:val="3D2A0D70"/>
    <w:rsid w:val="3D2A6C6D"/>
    <w:rsid w:val="3D2F62CF"/>
    <w:rsid w:val="3D311E8F"/>
    <w:rsid w:val="3D37032A"/>
    <w:rsid w:val="3D384903"/>
    <w:rsid w:val="3D5244C5"/>
    <w:rsid w:val="3D5576F8"/>
    <w:rsid w:val="3D5603A4"/>
    <w:rsid w:val="3D5D7043"/>
    <w:rsid w:val="3D615DFA"/>
    <w:rsid w:val="3D660298"/>
    <w:rsid w:val="3D6A5AFE"/>
    <w:rsid w:val="3D702A9B"/>
    <w:rsid w:val="3D72668D"/>
    <w:rsid w:val="3D794F06"/>
    <w:rsid w:val="3D7B7F3C"/>
    <w:rsid w:val="3D7F6F56"/>
    <w:rsid w:val="3D821D2B"/>
    <w:rsid w:val="3D8335D4"/>
    <w:rsid w:val="3D836E21"/>
    <w:rsid w:val="3D8A0DC9"/>
    <w:rsid w:val="3D9439DA"/>
    <w:rsid w:val="3DA21882"/>
    <w:rsid w:val="3DA5148E"/>
    <w:rsid w:val="3DA72EE8"/>
    <w:rsid w:val="3DB13037"/>
    <w:rsid w:val="3DC502AB"/>
    <w:rsid w:val="3DCB4DF5"/>
    <w:rsid w:val="3DCC6909"/>
    <w:rsid w:val="3DD057F5"/>
    <w:rsid w:val="3DD23404"/>
    <w:rsid w:val="3DD74E98"/>
    <w:rsid w:val="3DDB46D3"/>
    <w:rsid w:val="3DE247D8"/>
    <w:rsid w:val="3DE93DC5"/>
    <w:rsid w:val="3DE947AE"/>
    <w:rsid w:val="3DEA371D"/>
    <w:rsid w:val="3DEA395B"/>
    <w:rsid w:val="3DEB10E3"/>
    <w:rsid w:val="3DEB33B2"/>
    <w:rsid w:val="3DED3D5D"/>
    <w:rsid w:val="3DEF74C3"/>
    <w:rsid w:val="3DF107B4"/>
    <w:rsid w:val="3DF15503"/>
    <w:rsid w:val="3DF82B27"/>
    <w:rsid w:val="3E0131B1"/>
    <w:rsid w:val="3E075B14"/>
    <w:rsid w:val="3E0C09AF"/>
    <w:rsid w:val="3E230026"/>
    <w:rsid w:val="3E275A52"/>
    <w:rsid w:val="3E2C0333"/>
    <w:rsid w:val="3E302DD3"/>
    <w:rsid w:val="3E3A425C"/>
    <w:rsid w:val="3E3F7AEF"/>
    <w:rsid w:val="3E495E72"/>
    <w:rsid w:val="3E4A589B"/>
    <w:rsid w:val="3E4D564A"/>
    <w:rsid w:val="3E5211EF"/>
    <w:rsid w:val="3E5A402D"/>
    <w:rsid w:val="3E642967"/>
    <w:rsid w:val="3E64612D"/>
    <w:rsid w:val="3E6713DE"/>
    <w:rsid w:val="3E6A4946"/>
    <w:rsid w:val="3E6B0E94"/>
    <w:rsid w:val="3E6D7B84"/>
    <w:rsid w:val="3E6E592C"/>
    <w:rsid w:val="3E7E1EF3"/>
    <w:rsid w:val="3E8015D5"/>
    <w:rsid w:val="3E8C49FF"/>
    <w:rsid w:val="3E95018E"/>
    <w:rsid w:val="3E964160"/>
    <w:rsid w:val="3E964D9B"/>
    <w:rsid w:val="3EA46FF9"/>
    <w:rsid w:val="3EA645CC"/>
    <w:rsid w:val="3EAC39D4"/>
    <w:rsid w:val="3EB307C4"/>
    <w:rsid w:val="3EB770F1"/>
    <w:rsid w:val="3EBB576E"/>
    <w:rsid w:val="3EBF5A51"/>
    <w:rsid w:val="3EC10D3E"/>
    <w:rsid w:val="3EC22DA5"/>
    <w:rsid w:val="3EC35E0E"/>
    <w:rsid w:val="3EC87D64"/>
    <w:rsid w:val="3ECB352A"/>
    <w:rsid w:val="3ECD5D94"/>
    <w:rsid w:val="3ECE445A"/>
    <w:rsid w:val="3ED026C1"/>
    <w:rsid w:val="3ED218A0"/>
    <w:rsid w:val="3ED65D9E"/>
    <w:rsid w:val="3EDF3F5A"/>
    <w:rsid w:val="3EE10C7E"/>
    <w:rsid w:val="3EEB75B0"/>
    <w:rsid w:val="3EEE6BAA"/>
    <w:rsid w:val="3EF44652"/>
    <w:rsid w:val="3EF613C0"/>
    <w:rsid w:val="3EF64A99"/>
    <w:rsid w:val="3EF95268"/>
    <w:rsid w:val="3EFE4A54"/>
    <w:rsid w:val="3F013815"/>
    <w:rsid w:val="3F046A6F"/>
    <w:rsid w:val="3F083199"/>
    <w:rsid w:val="3F0A46E9"/>
    <w:rsid w:val="3F156F7A"/>
    <w:rsid w:val="3F245BC3"/>
    <w:rsid w:val="3F254663"/>
    <w:rsid w:val="3F25471A"/>
    <w:rsid w:val="3F26340F"/>
    <w:rsid w:val="3F26771B"/>
    <w:rsid w:val="3F2E17FC"/>
    <w:rsid w:val="3F315CA5"/>
    <w:rsid w:val="3F34194D"/>
    <w:rsid w:val="3F362635"/>
    <w:rsid w:val="3F4349C6"/>
    <w:rsid w:val="3F496200"/>
    <w:rsid w:val="3F4F19AF"/>
    <w:rsid w:val="3F5A65B9"/>
    <w:rsid w:val="3F5B3ABC"/>
    <w:rsid w:val="3F654EE4"/>
    <w:rsid w:val="3F655CF0"/>
    <w:rsid w:val="3F672747"/>
    <w:rsid w:val="3F6D06DB"/>
    <w:rsid w:val="3F6E3744"/>
    <w:rsid w:val="3F7137D4"/>
    <w:rsid w:val="3F773C6D"/>
    <w:rsid w:val="3F7861D1"/>
    <w:rsid w:val="3F8725BC"/>
    <w:rsid w:val="3F8C0DC1"/>
    <w:rsid w:val="3F9169C1"/>
    <w:rsid w:val="3FA17552"/>
    <w:rsid w:val="3FA77042"/>
    <w:rsid w:val="3FAA09B4"/>
    <w:rsid w:val="3FAA1F65"/>
    <w:rsid w:val="3FBC0878"/>
    <w:rsid w:val="3FBD530E"/>
    <w:rsid w:val="3FCD091D"/>
    <w:rsid w:val="3FD22CEB"/>
    <w:rsid w:val="3FD267B2"/>
    <w:rsid w:val="3FE3743A"/>
    <w:rsid w:val="3FE6358E"/>
    <w:rsid w:val="3FEA4351"/>
    <w:rsid w:val="3FEB25EC"/>
    <w:rsid w:val="3FF354EE"/>
    <w:rsid w:val="3FF46963"/>
    <w:rsid w:val="3FF54B8B"/>
    <w:rsid w:val="3FF74C54"/>
    <w:rsid w:val="3FFB5098"/>
    <w:rsid w:val="3FFB659B"/>
    <w:rsid w:val="3FFC201A"/>
    <w:rsid w:val="3FFC728C"/>
    <w:rsid w:val="3FFF36E0"/>
    <w:rsid w:val="4009185D"/>
    <w:rsid w:val="400A1B69"/>
    <w:rsid w:val="401550FC"/>
    <w:rsid w:val="401B387A"/>
    <w:rsid w:val="401D7677"/>
    <w:rsid w:val="402C4147"/>
    <w:rsid w:val="402E64F6"/>
    <w:rsid w:val="40425E53"/>
    <w:rsid w:val="404B7F98"/>
    <w:rsid w:val="404F0D71"/>
    <w:rsid w:val="405C60C7"/>
    <w:rsid w:val="40711817"/>
    <w:rsid w:val="40852331"/>
    <w:rsid w:val="40857C15"/>
    <w:rsid w:val="408858A3"/>
    <w:rsid w:val="408D3F35"/>
    <w:rsid w:val="408E5F96"/>
    <w:rsid w:val="40947236"/>
    <w:rsid w:val="40951880"/>
    <w:rsid w:val="40953B71"/>
    <w:rsid w:val="409B1C4D"/>
    <w:rsid w:val="409C5FA4"/>
    <w:rsid w:val="409E5E65"/>
    <w:rsid w:val="40A77203"/>
    <w:rsid w:val="40AB162F"/>
    <w:rsid w:val="40B536F2"/>
    <w:rsid w:val="40BA653B"/>
    <w:rsid w:val="40BA680B"/>
    <w:rsid w:val="40C54AFC"/>
    <w:rsid w:val="40C71613"/>
    <w:rsid w:val="40CC28AB"/>
    <w:rsid w:val="40CD323A"/>
    <w:rsid w:val="40D3441B"/>
    <w:rsid w:val="40D92041"/>
    <w:rsid w:val="40DC4586"/>
    <w:rsid w:val="40DC542A"/>
    <w:rsid w:val="40E3185A"/>
    <w:rsid w:val="40E37809"/>
    <w:rsid w:val="40E61D20"/>
    <w:rsid w:val="40E84BC5"/>
    <w:rsid w:val="40F62B04"/>
    <w:rsid w:val="40F80976"/>
    <w:rsid w:val="40FC7F91"/>
    <w:rsid w:val="4101056F"/>
    <w:rsid w:val="410325A4"/>
    <w:rsid w:val="411B2ABE"/>
    <w:rsid w:val="41352229"/>
    <w:rsid w:val="41361C7D"/>
    <w:rsid w:val="41386614"/>
    <w:rsid w:val="413A4789"/>
    <w:rsid w:val="414175C0"/>
    <w:rsid w:val="414204A1"/>
    <w:rsid w:val="414469FF"/>
    <w:rsid w:val="414A49B9"/>
    <w:rsid w:val="41523E4B"/>
    <w:rsid w:val="415343B9"/>
    <w:rsid w:val="415772B6"/>
    <w:rsid w:val="415D0B56"/>
    <w:rsid w:val="41634377"/>
    <w:rsid w:val="416522D0"/>
    <w:rsid w:val="416C0D96"/>
    <w:rsid w:val="416C43B7"/>
    <w:rsid w:val="416F667A"/>
    <w:rsid w:val="417466EB"/>
    <w:rsid w:val="41866782"/>
    <w:rsid w:val="418B2F4D"/>
    <w:rsid w:val="41904CE4"/>
    <w:rsid w:val="419725C2"/>
    <w:rsid w:val="41A07137"/>
    <w:rsid w:val="41A252EF"/>
    <w:rsid w:val="41AA4FC0"/>
    <w:rsid w:val="41AF0AB6"/>
    <w:rsid w:val="41B07DEE"/>
    <w:rsid w:val="41BA4502"/>
    <w:rsid w:val="41BB3BE6"/>
    <w:rsid w:val="41BF0FC2"/>
    <w:rsid w:val="41BF7187"/>
    <w:rsid w:val="41C7328E"/>
    <w:rsid w:val="41CA065A"/>
    <w:rsid w:val="41D24499"/>
    <w:rsid w:val="41D6650B"/>
    <w:rsid w:val="41D92C37"/>
    <w:rsid w:val="41DA2D7D"/>
    <w:rsid w:val="41E008B2"/>
    <w:rsid w:val="41E11EC6"/>
    <w:rsid w:val="41E2108F"/>
    <w:rsid w:val="41E44267"/>
    <w:rsid w:val="41E621F2"/>
    <w:rsid w:val="41F2544D"/>
    <w:rsid w:val="41F33723"/>
    <w:rsid w:val="41F41496"/>
    <w:rsid w:val="41F8201F"/>
    <w:rsid w:val="42052BE7"/>
    <w:rsid w:val="42152FB1"/>
    <w:rsid w:val="421D27C6"/>
    <w:rsid w:val="422004A7"/>
    <w:rsid w:val="422E0991"/>
    <w:rsid w:val="422E5BA7"/>
    <w:rsid w:val="42325E07"/>
    <w:rsid w:val="42342D08"/>
    <w:rsid w:val="42352FBC"/>
    <w:rsid w:val="423C7488"/>
    <w:rsid w:val="424250AF"/>
    <w:rsid w:val="42444686"/>
    <w:rsid w:val="42466082"/>
    <w:rsid w:val="425062B5"/>
    <w:rsid w:val="42566684"/>
    <w:rsid w:val="42591C79"/>
    <w:rsid w:val="425B190B"/>
    <w:rsid w:val="425E13F0"/>
    <w:rsid w:val="426219DF"/>
    <w:rsid w:val="42656BF3"/>
    <w:rsid w:val="426F5A74"/>
    <w:rsid w:val="42762F7B"/>
    <w:rsid w:val="42765C76"/>
    <w:rsid w:val="42791D17"/>
    <w:rsid w:val="427D3490"/>
    <w:rsid w:val="427F65BC"/>
    <w:rsid w:val="4282140A"/>
    <w:rsid w:val="42882501"/>
    <w:rsid w:val="428A78C4"/>
    <w:rsid w:val="42945691"/>
    <w:rsid w:val="429747E5"/>
    <w:rsid w:val="42B20ABC"/>
    <w:rsid w:val="42B41269"/>
    <w:rsid w:val="42B6376D"/>
    <w:rsid w:val="42B97E60"/>
    <w:rsid w:val="42CA4EED"/>
    <w:rsid w:val="42D75C1D"/>
    <w:rsid w:val="42DB482E"/>
    <w:rsid w:val="42E15822"/>
    <w:rsid w:val="42E87B67"/>
    <w:rsid w:val="42E976BE"/>
    <w:rsid w:val="42ED5647"/>
    <w:rsid w:val="42F33E3F"/>
    <w:rsid w:val="42F35E95"/>
    <w:rsid w:val="42FE143D"/>
    <w:rsid w:val="4301510D"/>
    <w:rsid w:val="430A6648"/>
    <w:rsid w:val="430B3725"/>
    <w:rsid w:val="430C0A67"/>
    <w:rsid w:val="431B678F"/>
    <w:rsid w:val="432D5E88"/>
    <w:rsid w:val="433568FA"/>
    <w:rsid w:val="43366D86"/>
    <w:rsid w:val="4338209D"/>
    <w:rsid w:val="433A297D"/>
    <w:rsid w:val="43507D2E"/>
    <w:rsid w:val="43534626"/>
    <w:rsid w:val="43565457"/>
    <w:rsid w:val="435B33E6"/>
    <w:rsid w:val="435E37AC"/>
    <w:rsid w:val="43624625"/>
    <w:rsid w:val="436E145B"/>
    <w:rsid w:val="436F37C7"/>
    <w:rsid w:val="43720F65"/>
    <w:rsid w:val="43756AD3"/>
    <w:rsid w:val="437B4688"/>
    <w:rsid w:val="437C54AC"/>
    <w:rsid w:val="43816A69"/>
    <w:rsid w:val="43852480"/>
    <w:rsid w:val="43871508"/>
    <w:rsid w:val="438A4336"/>
    <w:rsid w:val="43935E73"/>
    <w:rsid w:val="43A17D02"/>
    <w:rsid w:val="43AF3D36"/>
    <w:rsid w:val="43B13719"/>
    <w:rsid w:val="43BB5A16"/>
    <w:rsid w:val="43BD1EA5"/>
    <w:rsid w:val="43CD2F77"/>
    <w:rsid w:val="43D14D45"/>
    <w:rsid w:val="43D61947"/>
    <w:rsid w:val="43D97CE3"/>
    <w:rsid w:val="43E56252"/>
    <w:rsid w:val="43EA6859"/>
    <w:rsid w:val="43EC7A55"/>
    <w:rsid w:val="43F25507"/>
    <w:rsid w:val="43F97649"/>
    <w:rsid w:val="43FE7D50"/>
    <w:rsid w:val="44030D6D"/>
    <w:rsid w:val="4408216C"/>
    <w:rsid w:val="44116F52"/>
    <w:rsid w:val="441642DA"/>
    <w:rsid w:val="441E1781"/>
    <w:rsid w:val="4422384F"/>
    <w:rsid w:val="442F2730"/>
    <w:rsid w:val="443311D1"/>
    <w:rsid w:val="443E2A93"/>
    <w:rsid w:val="443F521B"/>
    <w:rsid w:val="44427484"/>
    <w:rsid w:val="44444B14"/>
    <w:rsid w:val="444B2A8C"/>
    <w:rsid w:val="44516146"/>
    <w:rsid w:val="445B4590"/>
    <w:rsid w:val="446C0EA9"/>
    <w:rsid w:val="446E1BDA"/>
    <w:rsid w:val="44754893"/>
    <w:rsid w:val="4476089A"/>
    <w:rsid w:val="447847FC"/>
    <w:rsid w:val="4478566C"/>
    <w:rsid w:val="447D5911"/>
    <w:rsid w:val="44852E6D"/>
    <w:rsid w:val="44860BB6"/>
    <w:rsid w:val="448816B6"/>
    <w:rsid w:val="44912CC3"/>
    <w:rsid w:val="449319E5"/>
    <w:rsid w:val="449454D0"/>
    <w:rsid w:val="449E2FB2"/>
    <w:rsid w:val="44A34A8B"/>
    <w:rsid w:val="44A57709"/>
    <w:rsid w:val="44A9477B"/>
    <w:rsid w:val="44AC37EA"/>
    <w:rsid w:val="44B05C61"/>
    <w:rsid w:val="44B05DCD"/>
    <w:rsid w:val="44B40039"/>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2504F3"/>
    <w:rsid w:val="45272719"/>
    <w:rsid w:val="452A7854"/>
    <w:rsid w:val="452D2540"/>
    <w:rsid w:val="453D2DD1"/>
    <w:rsid w:val="454367E9"/>
    <w:rsid w:val="455F3602"/>
    <w:rsid w:val="45793B89"/>
    <w:rsid w:val="457F5DFA"/>
    <w:rsid w:val="45823EF1"/>
    <w:rsid w:val="45833A04"/>
    <w:rsid w:val="45840CA9"/>
    <w:rsid w:val="45892961"/>
    <w:rsid w:val="458B6A0A"/>
    <w:rsid w:val="459B0BF5"/>
    <w:rsid w:val="459C3601"/>
    <w:rsid w:val="45A078D0"/>
    <w:rsid w:val="45A11DC8"/>
    <w:rsid w:val="45A15B59"/>
    <w:rsid w:val="45B77EAD"/>
    <w:rsid w:val="45BC03D9"/>
    <w:rsid w:val="45BD2B00"/>
    <w:rsid w:val="45C9418D"/>
    <w:rsid w:val="45D34CA8"/>
    <w:rsid w:val="45D61F5C"/>
    <w:rsid w:val="45D749C8"/>
    <w:rsid w:val="45EA376E"/>
    <w:rsid w:val="45EB4B7D"/>
    <w:rsid w:val="45ED130D"/>
    <w:rsid w:val="45ED1F21"/>
    <w:rsid w:val="45EF30E3"/>
    <w:rsid w:val="45F6196B"/>
    <w:rsid w:val="45F8123A"/>
    <w:rsid w:val="45FE6AF6"/>
    <w:rsid w:val="460B6235"/>
    <w:rsid w:val="46170F64"/>
    <w:rsid w:val="462538C3"/>
    <w:rsid w:val="46283EBC"/>
    <w:rsid w:val="462C2C0B"/>
    <w:rsid w:val="462F1795"/>
    <w:rsid w:val="46325FE0"/>
    <w:rsid w:val="463D5F4E"/>
    <w:rsid w:val="46494538"/>
    <w:rsid w:val="4649542D"/>
    <w:rsid w:val="466276A2"/>
    <w:rsid w:val="466600B0"/>
    <w:rsid w:val="466E7893"/>
    <w:rsid w:val="467936D2"/>
    <w:rsid w:val="46820676"/>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C73D6E"/>
    <w:rsid w:val="46CC63FF"/>
    <w:rsid w:val="46D86ACE"/>
    <w:rsid w:val="46DC01A4"/>
    <w:rsid w:val="46E14B0F"/>
    <w:rsid w:val="46E232D8"/>
    <w:rsid w:val="46E67222"/>
    <w:rsid w:val="46E870B4"/>
    <w:rsid w:val="46F62721"/>
    <w:rsid w:val="46F66036"/>
    <w:rsid w:val="46FA20C5"/>
    <w:rsid w:val="470579A9"/>
    <w:rsid w:val="470F7037"/>
    <w:rsid w:val="471401E1"/>
    <w:rsid w:val="472130DC"/>
    <w:rsid w:val="472B7711"/>
    <w:rsid w:val="473707E0"/>
    <w:rsid w:val="47385B1F"/>
    <w:rsid w:val="47402977"/>
    <w:rsid w:val="47434715"/>
    <w:rsid w:val="474A3ED0"/>
    <w:rsid w:val="474E2B60"/>
    <w:rsid w:val="474F2EB0"/>
    <w:rsid w:val="475C29E1"/>
    <w:rsid w:val="4762363F"/>
    <w:rsid w:val="47633155"/>
    <w:rsid w:val="47747010"/>
    <w:rsid w:val="47784A11"/>
    <w:rsid w:val="478033DA"/>
    <w:rsid w:val="47831305"/>
    <w:rsid w:val="47843193"/>
    <w:rsid w:val="478753F1"/>
    <w:rsid w:val="478C047B"/>
    <w:rsid w:val="478D3050"/>
    <w:rsid w:val="478D7135"/>
    <w:rsid w:val="47964B9F"/>
    <w:rsid w:val="4797152B"/>
    <w:rsid w:val="479846DE"/>
    <w:rsid w:val="479B074E"/>
    <w:rsid w:val="47A04900"/>
    <w:rsid w:val="47A42B17"/>
    <w:rsid w:val="47A67150"/>
    <w:rsid w:val="47A863DE"/>
    <w:rsid w:val="47B21E44"/>
    <w:rsid w:val="47B8046A"/>
    <w:rsid w:val="47B81186"/>
    <w:rsid w:val="47B935C6"/>
    <w:rsid w:val="47C05015"/>
    <w:rsid w:val="47C12DC5"/>
    <w:rsid w:val="47C30919"/>
    <w:rsid w:val="47C43AF6"/>
    <w:rsid w:val="47C51170"/>
    <w:rsid w:val="47C9638D"/>
    <w:rsid w:val="47D03A31"/>
    <w:rsid w:val="47D33ABC"/>
    <w:rsid w:val="47D40016"/>
    <w:rsid w:val="47D75B03"/>
    <w:rsid w:val="47DE1933"/>
    <w:rsid w:val="47E411B2"/>
    <w:rsid w:val="47E60FD0"/>
    <w:rsid w:val="47F275A4"/>
    <w:rsid w:val="47F50230"/>
    <w:rsid w:val="48022AD0"/>
    <w:rsid w:val="480B18DA"/>
    <w:rsid w:val="480E3DFB"/>
    <w:rsid w:val="48137D1F"/>
    <w:rsid w:val="48163C42"/>
    <w:rsid w:val="48190EAB"/>
    <w:rsid w:val="481D0D6A"/>
    <w:rsid w:val="482156FA"/>
    <w:rsid w:val="48295E9F"/>
    <w:rsid w:val="483364B6"/>
    <w:rsid w:val="483F6AAC"/>
    <w:rsid w:val="48403765"/>
    <w:rsid w:val="48482D5A"/>
    <w:rsid w:val="484B710C"/>
    <w:rsid w:val="484C306D"/>
    <w:rsid w:val="485119A2"/>
    <w:rsid w:val="485573E8"/>
    <w:rsid w:val="48612454"/>
    <w:rsid w:val="4867618C"/>
    <w:rsid w:val="486E2355"/>
    <w:rsid w:val="48707991"/>
    <w:rsid w:val="48724E89"/>
    <w:rsid w:val="48733ADD"/>
    <w:rsid w:val="4885764A"/>
    <w:rsid w:val="4887326C"/>
    <w:rsid w:val="48896DE5"/>
    <w:rsid w:val="488F396A"/>
    <w:rsid w:val="48971031"/>
    <w:rsid w:val="48A46E9E"/>
    <w:rsid w:val="48A60DAF"/>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68F3"/>
    <w:rsid w:val="49184823"/>
    <w:rsid w:val="49196DB6"/>
    <w:rsid w:val="491B4227"/>
    <w:rsid w:val="492B43A8"/>
    <w:rsid w:val="4933190E"/>
    <w:rsid w:val="49333F4C"/>
    <w:rsid w:val="493647EE"/>
    <w:rsid w:val="49472D4F"/>
    <w:rsid w:val="494F1C22"/>
    <w:rsid w:val="496160B0"/>
    <w:rsid w:val="496376E9"/>
    <w:rsid w:val="49692BCE"/>
    <w:rsid w:val="496973E5"/>
    <w:rsid w:val="49732564"/>
    <w:rsid w:val="49774BE0"/>
    <w:rsid w:val="497A7473"/>
    <w:rsid w:val="498A5F70"/>
    <w:rsid w:val="498B11C9"/>
    <w:rsid w:val="498C530E"/>
    <w:rsid w:val="498D64CB"/>
    <w:rsid w:val="4997050C"/>
    <w:rsid w:val="4998052F"/>
    <w:rsid w:val="49984053"/>
    <w:rsid w:val="49A54196"/>
    <w:rsid w:val="49AA0A84"/>
    <w:rsid w:val="49B31A95"/>
    <w:rsid w:val="49B94286"/>
    <w:rsid w:val="49B94D08"/>
    <w:rsid w:val="49BB7510"/>
    <w:rsid w:val="49BE530D"/>
    <w:rsid w:val="49BF6D27"/>
    <w:rsid w:val="49C31230"/>
    <w:rsid w:val="49C664C2"/>
    <w:rsid w:val="49C8600F"/>
    <w:rsid w:val="49CC653A"/>
    <w:rsid w:val="49D07892"/>
    <w:rsid w:val="49D10AD4"/>
    <w:rsid w:val="49D41B5D"/>
    <w:rsid w:val="49E65D4E"/>
    <w:rsid w:val="49E665C2"/>
    <w:rsid w:val="49EE5020"/>
    <w:rsid w:val="49F547D5"/>
    <w:rsid w:val="49FE714A"/>
    <w:rsid w:val="4A071BAB"/>
    <w:rsid w:val="4A0D6EFE"/>
    <w:rsid w:val="4A110397"/>
    <w:rsid w:val="4A173A13"/>
    <w:rsid w:val="4A1A3009"/>
    <w:rsid w:val="4A1D18F5"/>
    <w:rsid w:val="4A204E1C"/>
    <w:rsid w:val="4A3F3237"/>
    <w:rsid w:val="4A446E7B"/>
    <w:rsid w:val="4A465CB3"/>
    <w:rsid w:val="4A476768"/>
    <w:rsid w:val="4A4A4BCA"/>
    <w:rsid w:val="4A4C4F79"/>
    <w:rsid w:val="4A4C5D2F"/>
    <w:rsid w:val="4A4E7AF4"/>
    <w:rsid w:val="4A510E8C"/>
    <w:rsid w:val="4A5179C8"/>
    <w:rsid w:val="4A5E4FAA"/>
    <w:rsid w:val="4A634323"/>
    <w:rsid w:val="4A65478C"/>
    <w:rsid w:val="4A6803EB"/>
    <w:rsid w:val="4A6E01B7"/>
    <w:rsid w:val="4A6E3943"/>
    <w:rsid w:val="4A710A01"/>
    <w:rsid w:val="4A745F30"/>
    <w:rsid w:val="4A79663A"/>
    <w:rsid w:val="4A7A4F89"/>
    <w:rsid w:val="4A7D18D6"/>
    <w:rsid w:val="4A7F3085"/>
    <w:rsid w:val="4A920796"/>
    <w:rsid w:val="4A962D51"/>
    <w:rsid w:val="4A9A5F44"/>
    <w:rsid w:val="4AAA5A49"/>
    <w:rsid w:val="4AB22FB2"/>
    <w:rsid w:val="4AB463EE"/>
    <w:rsid w:val="4AC23582"/>
    <w:rsid w:val="4ACB2E69"/>
    <w:rsid w:val="4ACD28E1"/>
    <w:rsid w:val="4ACD5A72"/>
    <w:rsid w:val="4ADB0CC7"/>
    <w:rsid w:val="4ADF411D"/>
    <w:rsid w:val="4AE045CD"/>
    <w:rsid w:val="4AE14B87"/>
    <w:rsid w:val="4AE24FD3"/>
    <w:rsid w:val="4AE340AE"/>
    <w:rsid w:val="4AE84F4C"/>
    <w:rsid w:val="4AF176BB"/>
    <w:rsid w:val="4AF34DD4"/>
    <w:rsid w:val="4AF539FB"/>
    <w:rsid w:val="4B083231"/>
    <w:rsid w:val="4B0A15F3"/>
    <w:rsid w:val="4B0B495E"/>
    <w:rsid w:val="4B0D6E25"/>
    <w:rsid w:val="4B1F57D7"/>
    <w:rsid w:val="4B2403BD"/>
    <w:rsid w:val="4B24683E"/>
    <w:rsid w:val="4B2468A5"/>
    <w:rsid w:val="4B336958"/>
    <w:rsid w:val="4B4B7DA6"/>
    <w:rsid w:val="4B4F238E"/>
    <w:rsid w:val="4B4F460D"/>
    <w:rsid w:val="4B555AD0"/>
    <w:rsid w:val="4B6C45EE"/>
    <w:rsid w:val="4B8268F5"/>
    <w:rsid w:val="4B927B01"/>
    <w:rsid w:val="4B9E3D3D"/>
    <w:rsid w:val="4BA855FA"/>
    <w:rsid w:val="4BAA0BAE"/>
    <w:rsid w:val="4BAC1607"/>
    <w:rsid w:val="4BAC6FD1"/>
    <w:rsid w:val="4BBD413B"/>
    <w:rsid w:val="4BC42199"/>
    <w:rsid w:val="4BC44C17"/>
    <w:rsid w:val="4BC6613B"/>
    <w:rsid w:val="4BC767B8"/>
    <w:rsid w:val="4BCA2CA2"/>
    <w:rsid w:val="4BCD06DF"/>
    <w:rsid w:val="4BCE09B8"/>
    <w:rsid w:val="4BDA198F"/>
    <w:rsid w:val="4BDD7C6C"/>
    <w:rsid w:val="4BDF5520"/>
    <w:rsid w:val="4BE733D4"/>
    <w:rsid w:val="4BE73C86"/>
    <w:rsid w:val="4BEA4ECE"/>
    <w:rsid w:val="4BEB3B5C"/>
    <w:rsid w:val="4BEF1426"/>
    <w:rsid w:val="4BF36C34"/>
    <w:rsid w:val="4BF63A08"/>
    <w:rsid w:val="4BFD14AE"/>
    <w:rsid w:val="4C027E26"/>
    <w:rsid w:val="4C0D35C2"/>
    <w:rsid w:val="4C1C0EB9"/>
    <w:rsid w:val="4C2D4C46"/>
    <w:rsid w:val="4C2E1078"/>
    <w:rsid w:val="4C3065B7"/>
    <w:rsid w:val="4C3E3676"/>
    <w:rsid w:val="4C465A0C"/>
    <w:rsid w:val="4C4A63AC"/>
    <w:rsid w:val="4C547EF9"/>
    <w:rsid w:val="4C575CA7"/>
    <w:rsid w:val="4C5823A9"/>
    <w:rsid w:val="4C653979"/>
    <w:rsid w:val="4C6C1388"/>
    <w:rsid w:val="4C6D42AA"/>
    <w:rsid w:val="4C6F4676"/>
    <w:rsid w:val="4C714C25"/>
    <w:rsid w:val="4C754179"/>
    <w:rsid w:val="4C77467C"/>
    <w:rsid w:val="4C7D6450"/>
    <w:rsid w:val="4C7F0120"/>
    <w:rsid w:val="4C842074"/>
    <w:rsid w:val="4C8679A1"/>
    <w:rsid w:val="4C8B5472"/>
    <w:rsid w:val="4C8F3BC4"/>
    <w:rsid w:val="4C965048"/>
    <w:rsid w:val="4C9750F1"/>
    <w:rsid w:val="4C97643A"/>
    <w:rsid w:val="4CA00569"/>
    <w:rsid w:val="4CA34769"/>
    <w:rsid w:val="4CA61A04"/>
    <w:rsid w:val="4CA660CC"/>
    <w:rsid w:val="4CA83EDD"/>
    <w:rsid w:val="4CA9755A"/>
    <w:rsid w:val="4CC01C7A"/>
    <w:rsid w:val="4CC34270"/>
    <w:rsid w:val="4CC53D80"/>
    <w:rsid w:val="4CC91048"/>
    <w:rsid w:val="4CCA4E9B"/>
    <w:rsid w:val="4CD259FD"/>
    <w:rsid w:val="4CD74E9E"/>
    <w:rsid w:val="4CDC74F7"/>
    <w:rsid w:val="4CDF71E7"/>
    <w:rsid w:val="4CE55FF9"/>
    <w:rsid w:val="4CE72816"/>
    <w:rsid w:val="4CFD1B63"/>
    <w:rsid w:val="4D002FD0"/>
    <w:rsid w:val="4D054EB0"/>
    <w:rsid w:val="4D0827C3"/>
    <w:rsid w:val="4D0E1614"/>
    <w:rsid w:val="4D1563CC"/>
    <w:rsid w:val="4D1941A9"/>
    <w:rsid w:val="4D1E709E"/>
    <w:rsid w:val="4D2420BE"/>
    <w:rsid w:val="4D2B7532"/>
    <w:rsid w:val="4D2C7D8B"/>
    <w:rsid w:val="4D2E4306"/>
    <w:rsid w:val="4D33678A"/>
    <w:rsid w:val="4D376ADC"/>
    <w:rsid w:val="4D3F42D5"/>
    <w:rsid w:val="4D430E26"/>
    <w:rsid w:val="4D461841"/>
    <w:rsid w:val="4D467503"/>
    <w:rsid w:val="4D58010A"/>
    <w:rsid w:val="4D582E1B"/>
    <w:rsid w:val="4D585447"/>
    <w:rsid w:val="4D586287"/>
    <w:rsid w:val="4D5B67DE"/>
    <w:rsid w:val="4D5D519B"/>
    <w:rsid w:val="4D610021"/>
    <w:rsid w:val="4D691FB6"/>
    <w:rsid w:val="4D78560B"/>
    <w:rsid w:val="4D7A6D8D"/>
    <w:rsid w:val="4D7F1370"/>
    <w:rsid w:val="4D8974B7"/>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B6768A"/>
    <w:rsid w:val="4DC21284"/>
    <w:rsid w:val="4DC3392B"/>
    <w:rsid w:val="4DC44612"/>
    <w:rsid w:val="4DC60745"/>
    <w:rsid w:val="4DE80F7C"/>
    <w:rsid w:val="4DF26622"/>
    <w:rsid w:val="4DF44854"/>
    <w:rsid w:val="4DF520E6"/>
    <w:rsid w:val="4DF84039"/>
    <w:rsid w:val="4DFE7615"/>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73F78"/>
    <w:rsid w:val="4E5C4EFE"/>
    <w:rsid w:val="4E68027B"/>
    <w:rsid w:val="4E697BE1"/>
    <w:rsid w:val="4E715BD5"/>
    <w:rsid w:val="4E7D63B1"/>
    <w:rsid w:val="4E832E00"/>
    <w:rsid w:val="4E8526C9"/>
    <w:rsid w:val="4E884147"/>
    <w:rsid w:val="4E8D712C"/>
    <w:rsid w:val="4E8F205B"/>
    <w:rsid w:val="4E921227"/>
    <w:rsid w:val="4E95039E"/>
    <w:rsid w:val="4E96544B"/>
    <w:rsid w:val="4E97019D"/>
    <w:rsid w:val="4E9D33AB"/>
    <w:rsid w:val="4EB3382B"/>
    <w:rsid w:val="4EB53C6A"/>
    <w:rsid w:val="4EB901CB"/>
    <w:rsid w:val="4EC05DF2"/>
    <w:rsid w:val="4EC31C04"/>
    <w:rsid w:val="4ED677AD"/>
    <w:rsid w:val="4EDF2738"/>
    <w:rsid w:val="4EDF28B4"/>
    <w:rsid w:val="4EE726FF"/>
    <w:rsid w:val="4EEF3824"/>
    <w:rsid w:val="4EF27E9F"/>
    <w:rsid w:val="4EF41B0D"/>
    <w:rsid w:val="4EF74CDE"/>
    <w:rsid w:val="4F00582B"/>
    <w:rsid w:val="4F02556A"/>
    <w:rsid w:val="4F0662E5"/>
    <w:rsid w:val="4F0838C5"/>
    <w:rsid w:val="4F0B5144"/>
    <w:rsid w:val="4F1A5354"/>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F3435"/>
    <w:rsid w:val="4F6D6534"/>
    <w:rsid w:val="4F737055"/>
    <w:rsid w:val="4F7C48DE"/>
    <w:rsid w:val="4F7D1B1E"/>
    <w:rsid w:val="4F8B1CDF"/>
    <w:rsid w:val="4F8B601D"/>
    <w:rsid w:val="4F920188"/>
    <w:rsid w:val="4F9E24CF"/>
    <w:rsid w:val="4FA02333"/>
    <w:rsid w:val="4FA6179D"/>
    <w:rsid w:val="4FAB178A"/>
    <w:rsid w:val="4FAB679C"/>
    <w:rsid w:val="4FAE10CE"/>
    <w:rsid w:val="4FAE73F3"/>
    <w:rsid w:val="4FB13B08"/>
    <w:rsid w:val="4FB3504D"/>
    <w:rsid w:val="4FB803D2"/>
    <w:rsid w:val="4FBA6DAB"/>
    <w:rsid w:val="4FBD0E86"/>
    <w:rsid w:val="4FBF66B6"/>
    <w:rsid w:val="4FC3161C"/>
    <w:rsid w:val="4FC37444"/>
    <w:rsid w:val="4FCC2035"/>
    <w:rsid w:val="4FD164EE"/>
    <w:rsid w:val="4FDA7B19"/>
    <w:rsid w:val="4FF11A07"/>
    <w:rsid w:val="4FF326D4"/>
    <w:rsid w:val="4FF679FF"/>
    <w:rsid w:val="4FFD113B"/>
    <w:rsid w:val="4FFD3406"/>
    <w:rsid w:val="4FFE6DA8"/>
    <w:rsid w:val="50032818"/>
    <w:rsid w:val="50217157"/>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C2FFC"/>
    <w:rsid w:val="508360EE"/>
    <w:rsid w:val="50873600"/>
    <w:rsid w:val="508C12DE"/>
    <w:rsid w:val="508C13E4"/>
    <w:rsid w:val="50956B3A"/>
    <w:rsid w:val="50982BAB"/>
    <w:rsid w:val="509A284A"/>
    <w:rsid w:val="509B6C1C"/>
    <w:rsid w:val="509C7B6A"/>
    <w:rsid w:val="50A0260C"/>
    <w:rsid w:val="50B46044"/>
    <w:rsid w:val="50BA1420"/>
    <w:rsid w:val="50BE2004"/>
    <w:rsid w:val="50C20999"/>
    <w:rsid w:val="50C93409"/>
    <w:rsid w:val="50CA5AF3"/>
    <w:rsid w:val="50CE4051"/>
    <w:rsid w:val="50CF4ABC"/>
    <w:rsid w:val="50D06893"/>
    <w:rsid w:val="50D4209C"/>
    <w:rsid w:val="50D461CC"/>
    <w:rsid w:val="50DC53F9"/>
    <w:rsid w:val="50DD1599"/>
    <w:rsid w:val="50E10AFB"/>
    <w:rsid w:val="50EA7D5B"/>
    <w:rsid w:val="50F313A6"/>
    <w:rsid w:val="50FC46E9"/>
    <w:rsid w:val="50FE7899"/>
    <w:rsid w:val="510035E0"/>
    <w:rsid w:val="510209B8"/>
    <w:rsid w:val="511658D5"/>
    <w:rsid w:val="51173C74"/>
    <w:rsid w:val="511774EE"/>
    <w:rsid w:val="511E3186"/>
    <w:rsid w:val="512E0800"/>
    <w:rsid w:val="51304C97"/>
    <w:rsid w:val="51313C50"/>
    <w:rsid w:val="5133069B"/>
    <w:rsid w:val="51332E45"/>
    <w:rsid w:val="51343D63"/>
    <w:rsid w:val="51360844"/>
    <w:rsid w:val="5140185C"/>
    <w:rsid w:val="51404505"/>
    <w:rsid w:val="51434AE0"/>
    <w:rsid w:val="514A3712"/>
    <w:rsid w:val="51501EEB"/>
    <w:rsid w:val="5155369C"/>
    <w:rsid w:val="51641DED"/>
    <w:rsid w:val="5176203A"/>
    <w:rsid w:val="517C2FDD"/>
    <w:rsid w:val="5185165D"/>
    <w:rsid w:val="5185348E"/>
    <w:rsid w:val="518A4EC5"/>
    <w:rsid w:val="518A674C"/>
    <w:rsid w:val="518F0F8A"/>
    <w:rsid w:val="51971156"/>
    <w:rsid w:val="519D292D"/>
    <w:rsid w:val="519D51AE"/>
    <w:rsid w:val="51A65946"/>
    <w:rsid w:val="51BF617C"/>
    <w:rsid w:val="51C34BD4"/>
    <w:rsid w:val="51CA7A46"/>
    <w:rsid w:val="51D50523"/>
    <w:rsid w:val="51E512E6"/>
    <w:rsid w:val="51E76762"/>
    <w:rsid w:val="51EA01EC"/>
    <w:rsid w:val="51EA587E"/>
    <w:rsid w:val="51FD7B74"/>
    <w:rsid w:val="51FF0847"/>
    <w:rsid w:val="520B49D5"/>
    <w:rsid w:val="520C64D8"/>
    <w:rsid w:val="521129AE"/>
    <w:rsid w:val="5213481F"/>
    <w:rsid w:val="52237C81"/>
    <w:rsid w:val="523529B3"/>
    <w:rsid w:val="523C654F"/>
    <w:rsid w:val="52423CE9"/>
    <w:rsid w:val="524314B9"/>
    <w:rsid w:val="524B2AA2"/>
    <w:rsid w:val="52567C09"/>
    <w:rsid w:val="525B5F0D"/>
    <w:rsid w:val="525E640B"/>
    <w:rsid w:val="52612062"/>
    <w:rsid w:val="52663A23"/>
    <w:rsid w:val="52696596"/>
    <w:rsid w:val="526A3B8F"/>
    <w:rsid w:val="527A1CEA"/>
    <w:rsid w:val="527D1BB3"/>
    <w:rsid w:val="5282089F"/>
    <w:rsid w:val="52860CA9"/>
    <w:rsid w:val="528A6007"/>
    <w:rsid w:val="52A14A4F"/>
    <w:rsid w:val="52A57026"/>
    <w:rsid w:val="52A76DF2"/>
    <w:rsid w:val="52AF43C1"/>
    <w:rsid w:val="52BF3121"/>
    <w:rsid w:val="52CA2190"/>
    <w:rsid w:val="52CC15C2"/>
    <w:rsid w:val="52D97531"/>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1C29B2"/>
    <w:rsid w:val="53221021"/>
    <w:rsid w:val="53251526"/>
    <w:rsid w:val="53277781"/>
    <w:rsid w:val="53353859"/>
    <w:rsid w:val="53435917"/>
    <w:rsid w:val="534B0208"/>
    <w:rsid w:val="535348E2"/>
    <w:rsid w:val="53545152"/>
    <w:rsid w:val="535559DD"/>
    <w:rsid w:val="535E74A6"/>
    <w:rsid w:val="5364241B"/>
    <w:rsid w:val="53654CEE"/>
    <w:rsid w:val="53686CD6"/>
    <w:rsid w:val="536870C4"/>
    <w:rsid w:val="536A4FD0"/>
    <w:rsid w:val="536C084B"/>
    <w:rsid w:val="536D1A68"/>
    <w:rsid w:val="53741A07"/>
    <w:rsid w:val="537812D0"/>
    <w:rsid w:val="53793A79"/>
    <w:rsid w:val="537E683E"/>
    <w:rsid w:val="53804341"/>
    <w:rsid w:val="538E7793"/>
    <w:rsid w:val="53911A2D"/>
    <w:rsid w:val="53935288"/>
    <w:rsid w:val="5394164C"/>
    <w:rsid w:val="53961243"/>
    <w:rsid w:val="53AA7B8C"/>
    <w:rsid w:val="53AF4D3D"/>
    <w:rsid w:val="53AF6F3A"/>
    <w:rsid w:val="53BA1358"/>
    <w:rsid w:val="53C521B9"/>
    <w:rsid w:val="53D048D2"/>
    <w:rsid w:val="53D06F25"/>
    <w:rsid w:val="53D57539"/>
    <w:rsid w:val="53DD62B8"/>
    <w:rsid w:val="53E86C55"/>
    <w:rsid w:val="53E92BA4"/>
    <w:rsid w:val="53EA1F6D"/>
    <w:rsid w:val="53EF3852"/>
    <w:rsid w:val="53F72730"/>
    <w:rsid w:val="53FB282E"/>
    <w:rsid w:val="53FE4ADB"/>
    <w:rsid w:val="540079A1"/>
    <w:rsid w:val="54065E59"/>
    <w:rsid w:val="5409346F"/>
    <w:rsid w:val="540B580C"/>
    <w:rsid w:val="540B6034"/>
    <w:rsid w:val="540E1B27"/>
    <w:rsid w:val="543009A9"/>
    <w:rsid w:val="5434498A"/>
    <w:rsid w:val="54373B5F"/>
    <w:rsid w:val="543C31E7"/>
    <w:rsid w:val="543F5762"/>
    <w:rsid w:val="54412A6F"/>
    <w:rsid w:val="544920CA"/>
    <w:rsid w:val="54495BDD"/>
    <w:rsid w:val="544A2B60"/>
    <w:rsid w:val="54582FCE"/>
    <w:rsid w:val="545954D3"/>
    <w:rsid w:val="545B560E"/>
    <w:rsid w:val="545C2674"/>
    <w:rsid w:val="545E6FB0"/>
    <w:rsid w:val="54633A5A"/>
    <w:rsid w:val="54672FCE"/>
    <w:rsid w:val="54676BBD"/>
    <w:rsid w:val="54677BB4"/>
    <w:rsid w:val="546B58D0"/>
    <w:rsid w:val="546E11C6"/>
    <w:rsid w:val="54700CAD"/>
    <w:rsid w:val="5472296E"/>
    <w:rsid w:val="547F1162"/>
    <w:rsid w:val="548048B0"/>
    <w:rsid w:val="5482226C"/>
    <w:rsid w:val="54844521"/>
    <w:rsid w:val="548E48F3"/>
    <w:rsid w:val="5490701E"/>
    <w:rsid w:val="549279C6"/>
    <w:rsid w:val="5497104E"/>
    <w:rsid w:val="54981E44"/>
    <w:rsid w:val="549E3281"/>
    <w:rsid w:val="549F1695"/>
    <w:rsid w:val="549F20A2"/>
    <w:rsid w:val="54A45930"/>
    <w:rsid w:val="54B663D9"/>
    <w:rsid w:val="54B96C1A"/>
    <w:rsid w:val="54BA38A4"/>
    <w:rsid w:val="54BD496E"/>
    <w:rsid w:val="54BE5FAC"/>
    <w:rsid w:val="54C27784"/>
    <w:rsid w:val="54C40BD7"/>
    <w:rsid w:val="54C63B3F"/>
    <w:rsid w:val="54D811B0"/>
    <w:rsid w:val="54E97235"/>
    <w:rsid w:val="54EB0323"/>
    <w:rsid w:val="54EC2121"/>
    <w:rsid w:val="54FD5AB9"/>
    <w:rsid w:val="54FF72CE"/>
    <w:rsid w:val="5516717A"/>
    <w:rsid w:val="552758B2"/>
    <w:rsid w:val="55281604"/>
    <w:rsid w:val="55363699"/>
    <w:rsid w:val="55375CAA"/>
    <w:rsid w:val="553868A9"/>
    <w:rsid w:val="55393790"/>
    <w:rsid w:val="554D06B8"/>
    <w:rsid w:val="554F3F74"/>
    <w:rsid w:val="55513FF5"/>
    <w:rsid w:val="555E5403"/>
    <w:rsid w:val="55605AF6"/>
    <w:rsid w:val="55647990"/>
    <w:rsid w:val="5566209B"/>
    <w:rsid w:val="556831A3"/>
    <w:rsid w:val="556874AA"/>
    <w:rsid w:val="556950FB"/>
    <w:rsid w:val="5574008F"/>
    <w:rsid w:val="55745B39"/>
    <w:rsid w:val="557A5C7E"/>
    <w:rsid w:val="557E7623"/>
    <w:rsid w:val="55802ED2"/>
    <w:rsid w:val="558259BE"/>
    <w:rsid w:val="558B4FE4"/>
    <w:rsid w:val="55937540"/>
    <w:rsid w:val="55945654"/>
    <w:rsid w:val="55963DED"/>
    <w:rsid w:val="559B10DE"/>
    <w:rsid w:val="559C1BBA"/>
    <w:rsid w:val="55A45098"/>
    <w:rsid w:val="55A630EA"/>
    <w:rsid w:val="55B17D46"/>
    <w:rsid w:val="55B8063C"/>
    <w:rsid w:val="55C515AE"/>
    <w:rsid w:val="55C75137"/>
    <w:rsid w:val="55CE7E35"/>
    <w:rsid w:val="55D07839"/>
    <w:rsid w:val="55D804A4"/>
    <w:rsid w:val="55DB6C8F"/>
    <w:rsid w:val="55E11B63"/>
    <w:rsid w:val="55EB2205"/>
    <w:rsid w:val="55EB36CD"/>
    <w:rsid w:val="55F17004"/>
    <w:rsid w:val="55F57EFA"/>
    <w:rsid w:val="55F8243E"/>
    <w:rsid w:val="55FC26B8"/>
    <w:rsid w:val="55FD5218"/>
    <w:rsid w:val="560827C9"/>
    <w:rsid w:val="56094FA7"/>
    <w:rsid w:val="560B259E"/>
    <w:rsid w:val="5610543B"/>
    <w:rsid w:val="5611478A"/>
    <w:rsid w:val="56165648"/>
    <w:rsid w:val="561D5C6C"/>
    <w:rsid w:val="56204D65"/>
    <w:rsid w:val="562365F7"/>
    <w:rsid w:val="562735A5"/>
    <w:rsid w:val="56355637"/>
    <w:rsid w:val="56365AEB"/>
    <w:rsid w:val="56386703"/>
    <w:rsid w:val="563C33EB"/>
    <w:rsid w:val="56482628"/>
    <w:rsid w:val="56487466"/>
    <w:rsid w:val="56560AC0"/>
    <w:rsid w:val="56583E42"/>
    <w:rsid w:val="565C6101"/>
    <w:rsid w:val="566F631B"/>
    <w:rsid w:val="567C1339"/>
    <w:rsid w:val="56843738"/>
    <w:rsid w:val="568645E5"/>
    <w:rsid w:val="568931AA"/>
    <w:rsid w:val="569300A5"/>
    <w:rsid w:val="56963BA1"/>
    <w:rsid w:val="56972C28"/>
    <w:rsid w:val="569C58A2"/>
    <w:rsid w:val="569F5E87"/>
    <w:rsid w:val="56A62459"/>
    <w:rsid w:val="56A625D6"/>
    <w:rsid w:val="56A80492"/>
    <w:rsid w:val="56AA3EED"/>
    <w:rsid w:val="56AF685B"/>
    <w:rsid w:val="56B01604"/>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100211"/>
    <w:rsid w:val="571133D0"/>
    <w:rsid w:val="571C6062"/>
    <w:rsid w:val="571D5C8F"/>
    <w:rsid w:val="571F30CA"/>
    <w:rsid w:val="57244451"/>
    <w:rsid w:val="572E75B6"/>
    <w:rsid w:val="57351EB9"/>
    <w:rsid w:val="57355ADD"/>
    <w:rsid w:val="57375FB1"/>
    <w:rsid w:val="57393D6B"/>
    <w:rsid w:val="57403A58"/>
    <w:rsid w:val="57493647"/>
    <w:rsid w:val="574B03EC"/>
    <w:rsid w:val="574B7A63"/>
    <w:rsid w:val="574C55B4"/>
    <w:rsid w:val="57594A33"/>
    <w:rsid w:val="575A65B2"/>
    <w:rsid w:val="575C30EF"/>
    <w:rsid w:val="575E5A9B"/>
    <w:rsid w:val="576014EF"/>
    <w:rsid w:val="57646ADF"/>
    <w:rsid w:val="576821B9"/>
    <w:rsid w:val="576F5F2E"/>
    <w:rsid w:val="577161BF"/>
    <w:rsid w:val="57761A18"/>
    <w:rsid w:val="577D3C8B"/>
    <w:rsid w:val="578032F4"/>
    <w:rsid w:val="578739E0"/>
    <w:rsid w:val="57893428"/>
    <w:rsid w:val="578B6A5A"/>
    <w:rsid w:val="57902632"/>
    <w:rsid w:val="579119D9"/>
    <w:rsid w:val="57964504"/>
    <w:rsid w:val="57A259BD"/>
    <w:rsid w:val="57A415A0"/>
    <w:rsid w:val="57A76360"/>
    <w:rsid w:val="57B66559"/>
    <w:rsid w:val="57BD09A3"/>
    <w:rsid w:val="57BE7D87"/>
    <w:rsid w:val="57C036E6"/>
    <w:rsid w:val="57C877BF"/>
    <w:rsid w:val="57CA7D64"/>
    <w:rsid w:val="57CE0995"/>
    <w:rsid w:val="57CE384E"/>
    <w:rsid w:val="57CF4335"/>
    <w:rsid w:val="57D1762F"/>
    <w:rsid w:val="57DF75E9"/>
    <w:rsid w:val="57E1795C"/>
    <w:rsid w:val="57EA40EA"/>
    <w:rsid w:val="57EC6F2E"/>
    <w:rsid w:val="57F52D10"/>
    <w:rsid w:val="57F661DB"/>
    <w:rsid w:val="5801628A"/>
    <w:rsid w:val="5806359D"/>
    <w:rsid w:val="580E446B"/>
    <w:rsid w:val="581544E0"/>
    <w:rsid w:val="581F0C6A"/>
    <w:rsid w:val="58231F48"/>
    <w:rsid w:val="582525CE"/>
    <w:rsid w:val="582879EB"/>
    <w:rsid w:val="582B7A46"/>
    <w:rsid w:val="58305004"/>
    <w:rsid w:val="583642A8"/>
    <w:rsid w:val="583B552E"/>
    <w:rsid w:val="583E2F16"/>
    <w:rsid w:val="58476B77"/>
    <w:rsid w:val="584947A1"/>
    <w:rsid w:val="585058A1"/>
    <w:rsid w:val="58544B13"/>
    <w:rsid w:val="58586F0A"/>
    <w:rsid w:val="585A0306"/>
    <w:rsid w:val="585D013C"/>
    <w:rsid w:val="58616A48"/>
    <w:rsid w:val="58622C3F"/>
    <w:rsid w:val="586512AB"/>
    <w:rsid w:val="586A3366"/>
    <w:rsid w:val="586F2E9C"/>
    <w:rsid w:val="587A7D1C"/>
    <w:rsid w:val="587C7065"/>
    <w:rsid w:val="58862DE6"/>
    <w:rsid w:val="58864413"/>
    <w:rsid w:val="588773AC"/>
    <w:rsid w:val="588E249A"/>
    <w:rsid w:val="588E5956"/>
    <w:rsid w:val="589313F4"/>
    <w:rsid w:val="58960C74"/>
    <w:rsid w:val="589D28EF"/>
    <w:rsid w:val="58A757CE"/>
    <w:rsid w:val="58AF340F"/>
    <w:rsid w:val="58B15CE2"/>
    <w:rsid w:val="58B21A5B"/>
    <w:rsid w:val="58BC2065"/>
    <w:rsid w:val="58C2306F"/>
    <w:rsid w:val="58C77D7F"/>
    <w:rsid w:val="58CD0E32"/>
    <w:rsid w:val="58D22059"/>
    <w:rsid w:val="58DC13CC"/>
    <w:rsid w:val="58DF2BE5"/>
    <w:rsid w:val="58F330B8"/>
    <w:rsid w:val="58F9664E"/>
    <w:rsid w:val="5901650F"/>
    <w:rsid w:val="59072496"/>
    <w:rsid w:val="591366B0"/>
    <w:rsid w:val="591B5C56"/>
    <w:rsid w:val="591C6825"/>
    <w:rsid w:val="591F5339"/>
    <w:rsid w:val="59211403"/>
    <w:rsid w:val="5927438F"/>
    <w:rsid w:val="592D0507"/>
    <w:rsid w:val="592E28D2"/>
    <w:rsid w:val="593D3E1E"/>
    <w:rsid w:val="59407B43"/>
    <w:rsid w:val="59444534"/>
    <w:rsid w:val="59462E1E"/>
    <w:rsid w:val="594C567E"/>
    <w:rsid w:val="59500028"/>
    <w:rsid w:val="59541FDF"/>
    <w:rsid w:val="596145C4"/>
    <w:rsid w:val="59631AF0"/>
    <w:rsid w:val="596878F8"/>
    <w:rsid w:val="596949AC"/>
    <w:rsid w:val="596F354A"/>
    <w:rsid w:val="59714FFB"/>
    <w:rsid w:val="59822BBC"/>
    <w:rsid w:val="598555E2"/>
    <w:rsid w:val="59964016"/>
    <w:rsid w:val="599D1AD6"/>
    <w:rsid w:val="59AF2552"/>
    <w:rsid w:val="59B079AE"/>
    <w:rsid w:val="59B27FFE"/>
    <w:rsid w:val="59B3124A"/>
    <w:rsid w:val="59B61CBC"/>
    <w:rsid w:val="59B71EBB"/>
    <w:rsid w:val="59BA3889"/>
    <w:rsid w:val="59BA5770"/>
    <w:rsid w:val="59BD2CBE"/>
    <w:rsid w:val="59BF24D2"/>
    <w:rsid w:val="59C70497"/>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6306"/>
    <w:rsid w:val="5A3236E2"/>
    <w:rsid w:val="5A3B1052"/>
    <w:rsid w:val="5A425487"/>
    <w:rsid w:val="5A4C5FCE"/>
    <w:rsid w:val="5A514406"/>
    <w:rsid w:val="5A580FCC"/>
    <w:rsid w:val="5A5954AE"/>
    <w:rsid w:val="5A6B4BAD"/>
    <w:rsid w:val="5A6D0865"/>
    <w:rsid w:val="5A787C93"/>
    <w:rsid w:val="5A7B3F51"/>
    <w:rsid w:val="5A7F6252"/>
    <w:rsid w:val="5A837D78"/>
    <w:rsid w:val="5A89089D"/>
    <w:rsid w:val="5A8C3206"/>
    <w:rsid w:val="5A8E3C11"/>
    <w:rsid w:val="5A924EDF"/>
    <w:rsid w:val="5A9739CC"/>
    <w:rsid w:val="5A9A100B"/>
    <w:rsid w:val="5A9B5F5F"/>
    <w:rsid w:val="5A9B793E"/>
    <w:rsid w:val="5AA33CD5"/>
    <w:rsid w:val="5AA66358"/>
    <w:rsid w:val="5AA81BFB"/>
    <w:rsid w:val="5AA83B7B"/>
    <w:rsid w:val="5AA91928"/>
    <w:rsid w:val="5AB35978"/>
    <w:rsid w:val="5AB36A44"/>
    <w:rsid w:val="5AB7205B"/>
    <w:rsid w:val="5ABA711E"/>
    <w:rsid w:val="5ABB1C95"/>
    <w:rsid w:val="5AC07BCD"/>
    <w:rsid w:val="5AC500FA"/>
    <w:rsid w:val="5AC513FC"/>
    <w:rsid w:val="5ACA11DF"/>
    <w:rsid w:val="5ACD0E3F"/>
    <w:rsid w:val="5ACD6955"/>
    <w:rsid w:val="5AD03122"/>
    <w:rsid w:val="5AD3439A"/>
    <w:rsid w:val="5AE10023"/>
    <w:rsid w:val="5AE2566C"/>
    <w:rsid w:val="5AE749FC"/>
    <w:rsid w:val="5AE75EE2"/>
    <w:rsid w:val="5AEC62E4"/>
    <w:rsid w:val="5AF2511B"/>
    <w:rsid w:val="5AF60EBB"/>
    <w:rsid w:val="5AFB7E1F"/>
    <w:rsid w:val="5B003F11"/>
    <w:rsid w:val="5B0A2004"/>
    <w:rsid w:val="5B1266D8"/>
    <w:rsid w:val="5B1418BC"/>
    <w:rsid w:val="5B1F6589"/>
    <w:rsid w:val="5B242460"/>
    <w:rsid w:val="5B2B78E3"/>
    <w:rsid w:val="5B2C5B65"/>
    <w:rsid w:val="5B362119"/>
    <w:rsid w:val="5B371BF3"/>
    <w:rsid w:val="5B39465F"/>
    <w:rsid w:val="5B3A3BC9"/>
    <w:rsid w:val="5B3D080B"/>
    <w:rsid w:val="5B486AE8"/>
    <w:rsid w:val="5B503528"/>
    <w:rsid w:val="5B550977"/>
    <w:rsid w:val="5B5D45E7"/>
    <w:rsid w:val="5B656241"/>
    <w:rsid w:val="5B657FE4"/>
    <w:rsid w:val="5B683FBF"/>
    <w:rsid w:val="5B6F7639"/>
    <w:rsid w:val="5B7634B0"/>
    <w:rsid w:val="5B7728CA"/>
    <w:rsid w:val="5B781D51"/>
    <w:rsid w:val="5B783603"/>
    <w:rsid w:val="5B7C62DC"/>
    <w:rsid w:val="5B87382D"/>
    <w:rsid w:val="5B8A2A5E"/>
    <w:rsid w:val="5B9F264B"/>
    <w:rsid w:val="5BA03026"/>
    <w:rsid w:val="5BA071EB"/>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104E3"/>
    <w:rsid w:val="5BF11D48"/>
    <w:rsid w:val="5BF91242"/>
    <w:rsid w:val="5BFF2023"/>
    <w:rsid w:val="5C021D00"/>
    <w:rsid w:val="5C1B27AA"/>
    <w:rsid w:val="5C1C44D5"/>
    <w:rsid w:val="5C1E2364"/>
    <w:rsid w:val="5C1E5887"/>
    <w:rsid w:val="5C2330FB"/>
    <w:rsid w:val="5C235588"/>
    <w:rsid w:val="5C32578C"/>
    <w:rsid w:val="5C3537ED"/>
    <w:rsid w:val="5C371883"/>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114AD"/>
    <w:rsid w:val="5C860DDC"/>
    <w:rsid w:val="5C8A075C"/>
    <w:rsid w:val="5C960A06"/>
    <w:rsid w:val="5CA067EF"/>
    <w:rsid w:val="5CA310E4"/>
    <w:rsid w:val="5CA80596"/>
    <w:rsid w:val="5CAB1657"/>
    <w:rsid w:val="5CB06986"/>
    <w:rsid w:val="5CB13AAE"/>
    <w:rsid w:val="5CBC7F4C"/>
    <w:rsid w:val="5CC5362A"/>
    <w:rsid w:val="5CCF25EB"/>
    <w:rsid w:val="5CD307B1"/>
    <w:rsid w:val="5CD90E60"/>
    <w:rsid w:val="5CDB568A"/>
    <w:rsid w:val="5CDD0506"/>
    <w:rsid w:val="5CDD19D2"/>
    <w:rsid w:val="5CE47508"/>
    <w:rsid w:val="5CE527F5"/>
    <w:rsid w:val="5CEC0A3F"/>
    <w:rsid w:val="5CEC3B39"/>
    <w:rsid w:val="5CF0040E"/>
    <w:rsid w:val="5CF35158"/>
    <w:rsid w:val="5CF96039"/>
    <w:rsid w:val="5CFA22FA"/>
    <w:rsid w:val="5CFF314A"/>
    <w:rsid w:val="5CFF78A4"/>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E7046"/>
    <w:rsid w:val="5D4D76C0"/>
    <w:rsid w:val="5D4E57E7"/>
    <w:rsid w:val="5D557C40"/>
    <w:rsid w:val="5D692BCC"/>
    <w:rsid w:val="5D6B1EF5"/>
    <w:rsid w:val="5D6B6ED7"/>
    <w:rsid w:val="5D6D0FAF"/>
    <w:rsid w:val="5D780FCA"/>
    <w:rsid w:val="5D7B7BCE"/>
    <w:rsid w:val="5D805957"/>
    <w:rsid w:val="5D82247A"/>
    <w:rsid w:val="5D860D20"/>
    <w:rsid w:val="5D876E1E"/>
    <w:rsid w:val="5D887486"/>
    <w:rsid w:val="5D8D6E5B"/>
    <w:rsid w:val="5D913F60"/>
    <w:rsid w:val="5D927941"/>
    <w:rsid w:val="5D984E32"/>
    <w:rsid w:val="5D987491"/>
    <w:rsid w:val="5D9D11DD"/>
    <w:rsid w:val="5DA1730C"/>
    <w:rsid w:val="5DA56C09"/>
    <w:rsid w:val="5DA842A8"/>
    <w:rsid w:val="5DB04C49"/>
    <w:rsid w:val="5DB15C32"/>
    <w:rsid w:val="5DCA3AFD"/>
    <w:rsid w:val="5DD53CE5"/>
    <w:rsid w:val="5DD733B5"/>
    <w:rsid w:val="5DD92FC1"/>
    <w:rsid w:val="5DDD76F7"/>
    <w:rsid w:val="5DE03873"/>
    <w:rsid w:val="5DE211FE"/>
    <w:rsid w:val="5DE531EB"/>
    <w:rsid w:val="5DEA558E"/>
    <w:rsid w:val="5DEB2D87"/>
    <w:rsid w:val="5DF0091C"/>
    <w:rsid w:val="5DF549BC"/>
    <w:rsid w:val="5DF80634"/>
    <w:rsid w:val="5DFA35E8"/>
    <w:rsid w:val="5E034CC2"/>
    <w:rsid w:val="5E0670B3"/>
    <w:rsid w:val="5E112788"/>
    <w:rsid w:val="5E125D25"/>
    <w:rsid w:val="5E130B5F"/>
    <w:rsid w:val="5E144979"/>
    <w:rsid w:val="5E182BD7"/>
    <w:rsid w:val="5E1D7DED"/>
    <w:rsid w:val="5E216464"/>
    <w:rsid w:val="5E2C6DF7"/>
    <w:rsid w:val="5E2F0B68"/>
    <w:rsid w:val="5E3B30BF"/>
    <w:rsid w:val="5E4B5787"/>
    <w:rsid w:val="5E652D3C"/>
    <w:rsid w:val="5E763B4C"/>
    <w:rsid w:val="5E791D0A"/>
    <w:rsid w:val="5E8054C0"/>
    <w:rsid w:val="5E806693"/>
    <w:rsid w:val="5E8A52E5"/>
    <w:rsid w:val="5E8D0B5B"/>
    <w:rsid w:val="5E924CF7"/>
    <w:rsid w:val="5E976716"/>
    <w:rsid w:val="5E9D5665"/>
    <w:rsid w:val="5EA0644F"/>
    <w:rsid w:val="5EA27A5B"/>
    <w:rsid w:val="5EB06D1A"/>
    <w:rsid w:val="5EC01350"/>
    <w:rsid w:val="5EC17DED"/>
    <w:rsid w:val="5EC6323D"/>
    <w:rsid w:val="5ECA4BF7"/>
    <w:rsid w:val="5ECB1F2C"/>
    <w:rsid w:val="5ECB6EFB"/>
    <w:rsid w:val="5ECD6C99"/>
    <w:rsid w:val="5ED00916"/>
    <w:rsid w:val="5EDD54B5"/>
    <w:rsid w:val="5EDF0237"/>
    <w:rsid w:val="5EEB591E"/>
    <w:rsid w:val="5EEC1AAF"/>
    <w:rsid w:val="5EEF3BAC"/>
    <w:rsid w:val="5EF13409"/>
    <w:rsid w:val="5EF21A26"/>
    <w:rsid w:val="5EF23A26"/>
    <w:rsid w:val="5EF629FA"/>
    <w:rsid w:val="5EFC3680"/>
    <w:rsid w:val="5F09130D"/>
    <w:rsid w:val="5F093470"/>
    <w:rsid w:val="5F0B233D"/>
    <w:rsid w:val="5F116BE4"/>
    <w:rsid w:val="5F12337D"/>
    <w:rsid w:val="5F171EB4"/>
    <w:rsid w:val="5F17346F"/>
    <w:rsid w:val="5F1A6907"/>
    <w:rsid w:val="5F2327EC"/>
    <w:rsid w:val="5F232EA8"/>
    <w:rsid w:val="5F2C1782"/>
    <w:rsid w:val="5F364BA5"/>
    <w:rsid w:val="5F366FF3"/>
    <w:rsid w:val="5F383D78"/>
    <w:rsid w:val="5F394D31"/>
    <w:rsid w:val="5F3A03EF"/>
    <w:rsid w:val="5F4E46DB"/>
    <w:rsid w:val="5F543965"/>
    <w:rsid w:val="5F603A2A"/>
    <w:rsid w:val="5F6074F5"/>
    <w:rsid w:val="5F67277F"/>
    <w:rsid w:val="5F6917F1"/>
    <w:rsid w:val="5F6D1802"/>
    <w:rsid w:val="5F7256EB"/>
    <w:rsid w:val="5F885D1F"/>
    <w:rsid w:val="5F8A21C1"/>
    <w:rsid w:val="5F974B93"/>
    <w:rsid w:val="5F995FD0"/>
    <w:rsid w:val="5F9969D7"/>
    <w:rsid w:val="5F9B0901"/>
    <w:rsid w:val="5F9B3355"/>
    <w:rsid w:val="5F9C0D9F"/>
    <w:rsid w:val="5FA21701"/>
    <w:rsid w:val="5FA35AF6"/>
    <w:rsid w:val="5FAA56F9"/>
    <w:rsid w:val="5FB06CEE"/>
    <w:rsid w:val="5FB279B4"/>
    <w:rsid w:val="5FB41622"/>
    <w:rsid w:val="5FB63AE0"/>
    <w:rsid w:val="5FB8351D"/>
    <w:rsid w:val="5FB8630B"/>
    <w:rsid w:val="5FBD2541"/>
    <w:rsid w:val="5FC96983"/>
    <w:rsid w:val="5FCD290C"/>
    <w:rsid w:val="5FCE775E"/>
    <w:rsid w:val="5FD43CC5"/>
    <w:rsid w:val="5FD65A93"/>
    <w:rsid w:val="5FD90345"/>
    <w:rsid w:val="5FDD563B"/>
    <w:rsid w:val="5FDD602F"/>
    <w:rsid w:val="5FE60008"/>
    <w:rsid w:val="5FED6CDB"/>
    <w:rsid w:val="5FEE5CAB"/>
    <w:rsid w:val="5FFD327E"/>
    <w:rsid w:val="6000344F"/>
    <w:rsid w:val="600C7D20"/>
    <w:rsid w:val="60113DB1"/>
    <w:rsid w:val="60125314"/>
    <w:rsid w:val="601B6635"/>
    <w:rsid w:val="6027328F"/>
    <w:rsid w:val="602B77BF"/>
    <w:rsid w:val="603A2ABF"/>
    <w:rsid w:val="603C15A8"/>
    <w:rsid w:val="603C343A"/>
    <w:rsid w:val="60477ED6"/>
    <w:rsid w:val="604A46C8"/>
    <w:rsid w:val="604D70D7"/>
    <w:rsid w:val="60512301"/>
    <w:rsid w:val="60522814"/>
    <w:rsid w:val="60551367"/>
    <w:rsid w:val="60574045"/>
    <w:rsid w:val="6058759C"/>
    <w:rsid w:val="60592C75"/>
    <w:rsid w:val="60607E54"/>
    <w:rsid w:val="6062570F"/>
    <w:rsid w:val="60665812"/>
    <w:rsid w:val="606950C8"/>
    <w:rsid w:val="60717E4B"/>
    <w:rsid w:val="607809D9"/>
    <w:rsid w:val="60856F54"/>
    <w:rsid w:val="608B3373"/>
    <w:rsid w:val="608F16A9"/>
    <w:rsid w:val="60920706"/>
    <w:rsid w:val="60996F9E"/>
    <w:rsid w:val="60A71426"/>
    <w:rsid w:val="60AD5F71"/>
    <w:rsid w:val="60AE005F"/>
    <w:rsid w:val="60B02C6F"/>
    <w:rsid w:val="60B15063"/>
    <w:rsid w:val="60B637FB"/>
    <w:rsid w:val="60BB0EC8"/>
    <w:rsid w:val="60BE3677"/>
    <w:rsid w:val="60BE72DD"/>
    <w:rsid w:val="60C30A17"/>
    <w:rsid w:val="60C66196"/>
    <w:rsid w:val="60CD0794"/>
    <w:rsid w:val="60D31B16"/>
    <w:rsid w:val="60E11EDE"/>
    <w:rsid w:val="60E42343"/>
    <w:rsid w:val="60EA3009"/>
    <w:rsid w:val="60EF4197"/>
    <w:rsid w:val="60F27126"/>
    <w:rsid w:val="60F66C84"/>
    <w:rsid w:val="60FA486C"/>
    <w:rsid w:val="61084F5E"/>
    <w:rsid w:val="610B34BE"/>
    <w:rsid w:val="610C109A"/>
    <w:rsid w:val="610C532A"/>
    <w:rsid w:val="610E52A4"/>
    <w:rsid w:val="61117D9D"/>
    <w:rsid w:val="611929B4"/>
    <w:rsid w:val="611A23F0"/>
    <w:rsid w:val="61201D10"/>
    <w:rsid w:val="612C4F37"/>
    <w:rsid w:val="613D6B8B"/>
    <w:rsid w:val="613E32DC"/>
    <w:rsid w:val="614C1D68"/>
    <w:rsid w:val="61536DDF"/>
    <w:rsid w:val="616B4844"/>
    <w:rsid w:val="61826CEC"/>
    <w:rsid w:val="6187178B"/>
    <w:rsid w:val="61893534"/>
    <w:rsid w:val="61980E52"/>
    <w:rsid w:val="619E5C54"/>
    <w:rsid w:val="619F4C70"/>
    <w:rsid w:val="61A008E9"/>
    <w:rsid w:val="61A34F3F"/>
    <w:rsid w:val="61BA7092"/>
    <w:rsid w:val="61C72A89"/>
    <w:rsid w:val="61C76D42"/>
    <w:rsid w:val="61D730C9"/>
    <w:rsid w:val="61D95B47"/>
    <w:rsid w:val="61DA7DDD"/>
    <w:rsid w:val="61E45C8D"/>
    <w:rsid w:val="61E531C6"/>
    <w:rsid w:val="61EB027D"/>
    <w:rsid w:val="61F4421E"/>
    <w:rsid w:val="61F52EF2"/>
    <w:rsid w:val="61FF70C6"/>
    <w:rsid w:val="62045B10"/>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456F3"/>
    <w:rsid w:val="62672037"/>
    <w:rsid w:val="626D18D2"/>
    <w:rsid w:val="626D46D9"/>
    <w:rsid w:val="6271290B"/>
    <w:rsid w:val="62731E47"/>
    <w:rsid w:val="62764827"/>
    <w:rsid w:val="627A50A0"/>
    <w:rsid w:val="627A6E15"/>
    <w:rsid w:val="627E71E5"/>
    <w:rsid w:val="62844239"/>
    <w:rsid w:val="62863BD8"/>
    <w:rsid w:val="62893482"/>
    <w:rsid w:val="628C0D0A"/>
    <w:rsid w:val="628D6700"/>
    <w:rsid w:val="628F6EDC"/>
    <w:rsid w:val="62905168"/>
    <w:rsid w:val="629848D8"/>
    <w:rsid w:val="629C14C1"/>
    <w:rsid w:val="62A06919"/>
    <w:rsid w:val="62AA4E70"/>
    <w:rsid w:val="62AE4FD6"/>
    <w:rsid w:val="62B153E6"/>
    <w:rsid w:val="62B471B6"/>
    <w:rsid w:val="62BF063C"/>
    <w:rsid w:val="62C50E8D"/>
    <w:rsid w:val="62C63041"/>
    <w:rsid w:val="62DE2907"/>
    <w:rsid w:val="62E137FB"/>
    <w:rsid w:val="62E77B2E"/>
    <w:rsid w:val="62EB7850"/>
    <w:rsid w:val="62EE4B0A"/>
    <w:rsid w:val="62F95EC9"/>
    <w:rsid w:val="62FD0DB1"/>
    <w:rsid w:val="630B450E"/>
    <w:rsid w:val="631252CA"/>
    <w:rsid w:val="63144600"/>
    <w:rsid w:val="631B1574"/>
    <w:rsid w:val="631C3DAD"/>
    <w:rsid w:val="63382746"/>
    <w:rsid w:val="634414A2"/>
    <w:rsid w:val="634C2B0B"/>
    <w:rsid w:val="63524760"/>
    <w:rsid w:val="637769D3"/>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70A84"/>
    <w:rsid w:val="63E768EF"/>
    <w:rsid w:val="63EA477E"/>
    <w:rsid w:val="63EA7508"/>
    <w:rsid w:val="63EE5036"/>
    <w:rsid w:val="63F00E30"/>
    <w:rsid w:val="63F30CE0"/>
    <w:rsid w:val="63F35152"/>
    <w:rsid w:val="63F91C3C"/>
    <w:rsid w:val="64035B35"/>
    <w:rsid w:val="64054FC3"/>
    <w:rsid w:val="6406405D"/>
    <w:rsid w:val="640878BD"/>
    <w:rsid w:val="641422FB"/>
    <w:rsid w:val="641851AC"/>
    <w:rsid w:val="641861DF"/>
    <w:rsid w:val="641A6FA3"/>
    <w:rsid w:val="641D38A8"/>
    <w:rsid w:val="642800BD"/>
    <w:rsid w:val="64352E0C"/>
    <w:rsid w:val="644538FE"/>
    <w:rsid w:val="644A0235"/>
    <w:rsid w:val="644B6387"/>
    <w:rsid w:val="645144E7"/>
    <w:rsid w:val="64574787"/>
    <w:rsid w:val="645B5BDE"/>
    <w:rsid w:val="645E7AD0"/>
    <w:rsid w:val="645E7D2F"/>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66DFC"/>
    <w:rsid w:val="64CA059F"/>
    <w:rsid w:val="64D3507C"/>
    <w:rsid w:val="64D3608D"/>
    <w:rsid w:val="64E060EB"/>
    <w:rsid w:val="64E6591B"/>
    <w:rsid w:val="64E86817"/>
    <w:rsid w:val="64EB6D9E"/>
    <w:rsid w:val="64EF5D4A"/>
    <w:rsid w:val="64F4160B"/>
    <w:rsid w:val="64F47CF3"/>
    <w:rsid w:val="64F95AE5"/>
    <w:rsid w:val="64FA7A21"/>
    <w:rsid w:val="64FC35DB"/>
    <w:rsid w:val="64FF69FB"/>
    <w:rsid w:val="65003583"/>
    <w:rsid w:val="6501166C"/>
    <w:rsid w:val="65043F4A"/>
    <w:rsid w:val="65122A22"/>
    <w:rsid w:val="65184CDC"/>
    <w:rsid w:val="651D2F4B"/>
    <w:rsid w:val="6520586C"/>
    <w:rsid w:val="65225687"/>
    <w:rsid w:val="652505C7"/>
    <w:rsid w:val="65255221"/>
    <w:rsid w:val="652F4B50"/>
    <w:rsid w:val="65391F52"/>
    <w:rsid w:val="653B030A"/>
    <w:rsid w:val="6544084C"/>
    <w:rsid w:val="654C06EB"/>
    <w:rsid w:val="65711A06"/>
    <w:rsid w:val="65714BC9"/>
    <w:rsid w:val="65724683"/>
    <w:rsid w:val="65762A83"/>
    <w:rsid w:val="658524FE"/>
    <w:rsid w:val="65860477"/>
    <w:rsid w:val="658A4AC2"/>
    <w:rsid w:val="658E66A9"/>
    <w:rsid w:val="659719A5"/>
    <w:rsid w:val="659768E8"/>
    <w:rsid w:val="65994000"/>
    <w:rsid w:val="65A31A71"/>
    <w:rsid w:val="65AD2F21"/>
    <w:rsid w:val="65AD4123"/>
    <w:rsid w:val="65B228BF"/>
    <w:rsid w:val="65B45FA0"/>
    <w:rsid w:val="65B550FA"/>
    <w:rsid w:val="65B95F16"/>
    <w:rsid w:val="65BD6A37"/>
    <w:rsid w:val="65C96BF5"/>
    <w:rsid w:val="65D420B7"/>
    <w:rsid w:val="65D50280"/>
    <w:rsid w:val="65D516AB"/>
    <w:rsid w:val="65DA6FA5"/>
    <w:rsid w:val="65E469B9"/>
    <w:rsid w:val="65E94A91"/>
    <w:rsid w:val="65E97A17"/>
    <w:rsid w:val="65EB1A66"/>
    <w:rsid w:val="65F50EFF"/>
    <w:rsid w:val="65F6131A"/>
    <w:rsid w:val="65F87EE8"/>
    <w:rsid w:val="65FA2543"/>
    <w:rsid w:val="66062D34"/>
    <w:rsid w:val="660A6344"/>
    <w:rsid w:val="660B6E12"/>
    <w:rsid w:val="661150DF"/>
    <w:rsid w:val="661A4AC5"/>
    <w:rsid w:val="6624512F"/>
    <w:rsid w:val="66295EF8"/>
    <w:rsid w:val="662E67CC"/>
    <w:rsid w:val="66305A6E"/>
    <w:rsid w:val="66340B7E"/>
    <w:rsid w:val="6639754C"/>
    <w:rsid w:val="663C0E16"/>
    <w:rsid w:val="663F55ED"/>
    <w:rsid w:val="663F5CB9"/>
    <w:rsid w:val="66452604"/>
    <w:rsid w:val="66460CE3"/>
    <w:rsid w:val="664B7D87"/>
    <w:rsid w:val="664E173A"/>
    <w:rsid w:val="66530961"/>
    <w:rsid w:val="665E5F21"/>
    <w:rsid w:val="66686991"/>
    <w:rsid w:val="66735546"/>
    <w:rsid w:val="66764D34"/>
    <w:rsid w:val="6681097E"/>
    <w:rsid w:val="66865EBF"/>
    <w:rsid w:val="668670D4"/>
    <w:rsid w:val="66893AB2"/>
    <w:rsid w:val="668A2784"/>
    <w:rsid w:val="668E74C0"/>
    <w:rsid w:val="66944478"/>
    <w:rsid w:val="66961E9C"/>
    <w:rsid w:val="669C1C39"/>
    <w:rsid w:val="669F0DD7"/>
    <w:rsid w:val="66A14990"/>
    <w:rsid w:val="66B15758"/>
    <w:rsid w:val="66B2177A"/>
    <w:rsid w:val="66B43318"/>
    <w:rsid w:val="66C2550F"/>
    <w:rsid w:val="66CB3704"/>
    <w:rsid w:val="66CD1ADC"/>
    <w:rsid w:val="66CD41A2"/>
    <w:rsid w:val="66D035E5"/>
    <w:rsid w:val="66D67F70"/>
    <w:rsid w:val="66D7383E"/>
    <w:rsid w:val="66D86466"/>
    <w:rsid w:val="66DE4DB0"/>
    <w:rsid w:val="66E0554D"/>
    <w:rsid w:val="66EF254D"/>
    <w:rsid w:val="66F17846"/>
    <w:rsid w:val="66F23762"/>
    <w:rsid w:val="671136F1"/>
    <w:rsid w:val="671D201A"/>
    <w:rsid w:val="671E19D0"/>
    <w:rsid w:val="672834E4"/>
    <w:rsid w:val="6731235A"/>
    <w:rsid w:val="673226DD"/>
    <w:rsid w:val="67325781"/>
    <w:rsid w:val="673332D4"/>
    <w:rsid w:val="67367960"/>
    <w:rsid w:val="673B457D"/>
    <w:rsid w:val="67424340"/>
    <w:rsid w:val="674C2860"/>
    <w:rsid w:val="67574881"/>
    <w:rsid w:val="675864E7"/>
    <w:rsid w:val="675A395C"/>
    <w:rsid w:val="675C4DDA"/>
    <w:rsid w:val="6764244C"/>
    <w:rsid w:val="67672D56"/>
    <w:rsid w:val="6770044D"/>
    <w:rsid w:val="67782223"/>
    <w:rsid w:val="67826625"/>
    <w:rsid w:val="678A1FB6"/>
    <w:rsid w:val="678B38B1"/>
    <w:rsid w:val="678E6802"/>
    <w:rsid w:val="6792268F"/>
    <w:rsid w:val="6796727D"/>
    <w:rsid w:val="67B10006"/>
    <w:rsid w:val="67B25853"/>
    <w:rsid w:val="67B879A2"/>
    <w:rsid w:val="67BA3E66"/>
    <w:rsid w:val="67BD36F9"/>
    <w:rsid w:val="67CE33D5"/>
    <w:rsid w:val="67D17D86"/>
    <w:rsid w:val="67D227B7"/>
    <w:rsid w:val="67D77131"/>
    <w:rsid w:val="67E7796D"/>
    <w:rsid w:val="67EB1CFB"/>
    <w:rsid w:val="67F95C58"/>
    <w:rsid w:val="680A1F5D"/>
    <w:rsid w:val="680A3424"/>
    <w:rsid w:val="680C4A46"/>
    <w:rsid w:val="680E27C5"/>
    <w:rsid w:val="68133822"/>
    <w:rsid w:val="681D53AE"/>
    <w:rsid w:val="68205F7B"/>
    <w:rsid w:val="682B6B0F"/>
    <w:rsid w:val="682C4A9A"/>
    <w:rsid w:val="683513B2"/>
    <w:rsid w:val="68365446"/>
    <w:rsid w:val="683D6961"/>
    <w:rsid w:val="68465BE5"/>
    <w:rsid w:val="684D2161"/>
    <w:rsid w:val="685E1AB3"/>
    <w:rsid w:val="68645E35"/>
    <w:rsid w:val="686B53DF"/>
    <w:rsid w:val="68704A5E"/>
    <w:rsid w:val="68772691"/>
    <w:rsid w:val="687B09E1"/>
    <w:rsid w:val="688439FB"/>
    <w:rsid w:val="689044FE"/>
    <w:rsid w:val="6891166A"/>
    <w:rsid w:val="68954387"/>
    <w:rsid w:val="689A44A2"/>
    <w:rsid w:val="689A51A2"/>
    <w:rsid w:val="689E43D7"/>
    <w:rsid w:val="68AB3DD3"/>
    <w:rsid w:val="68AC6478"/>
    <w:rsid w:val="68AF59C1"/>
    <w:rsid w:val="68B341DF"/>
    <w:rsid w:val="68B4076A"/>
    <w:rsid w:val="68B547A5"/>
    <w:rsid w:val="68BC0290"/>
    <w:rsid w:val="68C94669"/>
    <w:rsid w:val="68CB7074"/>
    <w:rsid w:val="68D034A3"/>
    <w:rsid w:val="68D115AB"/>
    <w:rsid w:val="68D518BE"/>
    <w:rsid w:val="68EA699F"/>
    <w:rsid w:val="68EA7A68"/>
    <w:rsid w:val="68ED31FE"/>
    <w:rsid w:val="68EF0F81"/>
    <w:rsid w:val="68F267FA"/>
    <w:rsid w:val="68F35DEA"/>
    <w:rsid w:val="68FB5F53"/>
    <w:rsid w:val="69004AAD"/>
    <w:rsid w:val="69084E6C"/>
    <w:rsid w:val="69097407"/>
    <w:rsid w:val="69174989"/>
    <w:rsid w:val="69193ADA"/>
    <w:rsid w:val="69275369"/>
    <w:rsid w:val="692C198F"/>
    <w:rsid w:val="692D768A"/>
    <w:rsid w:val="69407E0E"/>
    <w:rsid w:val="6944301C"/>
    <w:rsid w:val="6944321C"/>
    <w:rsid w:val="6949485F"/>
    <w:rsid w:val="694D518E"/>
    <w:rsid w:val="69575715"/>
    <w:rsid w:val="69606004"/>
    <w:rsid w:val="6967726F"/>
    <w:rsid w:val="697815AF"/>
    <w:rsid w:val="697A00D6"/>
    <w:rsid w:val="697A0310"/>
    <w:rsid w:val="69826AC0"/>
    <w:rsid w:val="698649FA"/>
    <w:rsid w:val="69875FD4"/>
    <w:rsid w:val="69894A11"/>
    <w:rsid w:val="69910FF0"/>
    <w:rsid w:val="69A03700"/>
    <w:rsid w:val="69A62159"/>
    <w:rsid w:val="69AC23A9"/>
    <w:rsid w:val="69B30344"/>
    <w:rsid w:val="69B8294C"/>
    <w:rsid w:val="69C12909"/>
    <w:rsid w:val="69C41CAD"/>
    <w:rsid w:val="69C9523C"/>
    <w:rsid w:val="69CB4B06"/>
    <w:rsid w:val="69D5345D"/>
    <w:rsid w:val="69D713B7"/>
    <w:rsid w:val="69E3424A"/>
    <w:rsid w:val="69E63BA6"/>
    <w:rsid w:val="69E97969"/>
    <w:rsid w:val="69ED1076"/>
    <w:rsid w:val="69FD3935"/>
    <w:rsid w:val="69FE76EC"/>
    <w:rsid w:val="69FF5D56"/>
    <w:rsid w:val="6A026A25"/>
    <w:rsid w:val="6A091791"/>
    <w:rsid w:val="6A094475"/>
    <w:rsid w:val="6A121D4C"/>
    <w:rsid w:val="6A2C31D8"/>
    <w:rsid w:val="6A320250"/>
    <w:rsid w:val="6A323D8C"/>
    <w:rsid w:val="6A3777A8"/>
    <w:rsid w:val="6A3877C1"/>
    <w:rsid w:val="6A4D79D5"/>
    <w:rsid w:val="6A5356F7"/>
    <w:rsid w:val="6A5A321E"/>
    <w:rsid w:val="6A5A5884"/>
    <w:rsid w:val="6A617CC5"/>
    <w:rsid w:val="6A6604F0"/>
    <w:rsid w:val="6A6B690B"/>
    <w:rsid w:val="6A8E655B"/>
    <w:rsid w:val="6A963C65"/>
    <w:rsid w:val="6A9764BC"/>
    <w:rsid w:val="6A9A10BC"/>
    <w:rsid w:val="6A9A7CFD"/>
    <w:rsid w:val="6AB36AA8"/>
    <w:rsid w:val="6AB370FF"/>
    <w:rsid w:val="6AB701FA"/>
    <w:rsid w:val="6AB72FE5"/>
    <w:rsid w:val="6AB82939"/>
    <w:rsid w:val="6AC120D8"/>
    <w:rsid w:val="6AC24D84"/>
    <w:rsid w:val="6AC25F3C"/>
    <w:rsid w:val="6AC451FB"/>
    <w:rsid w:val="6AC6351C"/>
    <w:rsid w:val="6AC67705"/>
    <w:rsid w:val="6ACA0149"/>
    <w:rsid w:val="6AE0092D"/>
    <w:rsid w:val="6AE31517"/>
    <w:rsid w:val="6AE908F1"/>
    <w:rsid w:val="6AF107FC"/>
    <w:rsid w:val="6AF85B30"/>
    <w:rsid w:val="6B081846"/>
    <w:rsid w:val="6B095854"/>
    <w:rsid w:val="6B0F3F1A"/>
    <w:rsid w:val="6B1272E7"/>
    <w:rsid w:val="6B176896"/>
    <w:rsid w:val="6B200B85"/>
    <w:rsid w:val="6B2B0790"/>
    <w:rsid w:val="6B2B70B4"/>
    <w:rsid w:val="6B3346A9"/>
    <w:rsid w:val="6B3E4826"/>
    <w:rsid w:val="6B4A659E"/>
    <w:rsid w:val="6B4C64EA"/>
    <w:rsid w:val="6B520916"/>
    <w:rsid w:val="6B682116"/>
    <w:rsid w:val="6B6838C9"/>
    <w:rsid w:val="6B722E05"/>
    <w:rsid w:val="6B751FCE"/>
    <w:rsid w:val="6B7939DA"/>
    <w:rsid w:val="6B7A5412"/>
    <w:rsid w:val="6B7C6405"/>
    <w:rsid w:val="6B7F64AB"/>
    <w:rsid w:val="6B846EF4"/>
    <w:rsid w:val="6B855BDC"/>
    <w:rsid w:val="6B8C4DA7"/>
    <w:rsid w:val="6B91486F"/>
    <w:rsid w:val="6B92723A"/>
    <w:rsid w:val="6B945BBF"/>
    <w:rsid w:val="6B9A7CD8"/>
    <w:rsid w:val="6BAE0A1B"/>
    <w:rsid w:val="6BB30447"/>
    <w:rsid w:val="6BBE6D2F"/>
    <w:rsid w:val="6BC04A11"/>
    <w:rsid w:val="6BDD53FD"/>
    <w:rsid w:val="6BE84124"/>
    <w:rsid w:val="6BEA249C"/>
    <w:rsid w:val="6BEB4C1D"/>
    <w:rsid w:val="6BF5230D"/>
    <w:rsid w:val="6BF640CD"/>
    <w:rsid w:val="6BFD1844"/>
    <w:rsid w:val="6BFE7FD4"/>
    <w:rsid w:val="6C03128B"/>
    <w:rsid w:val="6C034FB4"/>
    <w:rsid w:val="6C05519A"/>
    <w:rsid w:val="6C0569C9"/>
    <w:rsid w:val="6C0E2A3B"/>
    <w:rsid w:val="6C1744BE"/>
    <w:rsid w:val="6C190122"/>
    <w:rsid w:val="6C1902BA"/>
    <w:rsid w:val="6C1C5A28"/>
    <w:rsid w:val="6C287541"/>
    <w:rsid w:val="6C377F0E"/>
    <w:rsid w:val="6C3A1D24"/>
    <w:rsid w:val="6C3C08B1"/>
    <w:rsid w:val="6C466ECE"/>
    <w:rsid w:val="6C4C0DE9"/>
    <w:rsid w:val="6C594359"/>
    <w:rsid w:val="6C5C72FA"/>
    <w:rsid w:val="6C605DB0"/>
    <w:rsid w:val="6C651075"/>
    <w:rsid w:val="6C6701F2"/>
    <w:rsid w:val="6C673849"/>
    <w:rsid w:val="6C6E7A01"/>
    <w:rsid w:val="6C762570"/>
    <w:rsid w:val="6C80342F"/>
    <w:rsid w:val="6C811662"/>
    <w:rsid w:val="6C811960"/>
    <w:rsid w:val="6C853AC4"/>
    <w:rsid w:val="6C894FCD"/>
    <w:rsid w:val="6C937246"/>
    <w:rsid w:val="6C950BEA"/>
    <w:rsid w:val="6C9816CF"/>
    <w:rsid w:val="6CA55FAD"/>
    <w:rsid w:val="6CB25092"/>
    <w:rsid w:val="6CB736E9"/>
    <w:rsid w:val="6CBA5F3C"/>
    <w:rsid w:val="6CCB3706"/>
    <w:rsid w:val="6CD96CEE"/>
    <w:rsid w:val="6CDF4A66"/>
    <w:rsid w:val="6CE61633"/>
    <w:rsid w:val="6CEF2DC8"/>
    <w:rsid w:val="6CF43CCE"/>
    <w:rsid w:val="6CF536E9"/>
    <w:rsid w:val="6CF5606F"/>
    <w:rsid w:val="6CFF7217"/>
    <w:rsid w:val="6D04288A"/>
    <w:rsid w:val="6D0F14C3"/>
    <w:rsid w:val="6D0F4DB6"/>
    <w:rsid w:val="6D110C1A"/>
    <w:rsid w:val="6D132B21"/>
    <w:rsid w:val="6D170A5C"/>
    <w:rsid w:val="6D172E46"/>
    <w:rsid w:val="6D1A177B"/>
    <w:rsid w:val="6D1A6E88"/>
    <w:rsid w:val="6D1F797B"/>
    <w:rsid w:val="6D2B237C"/>
    <w:rsid w:val="6D313400"/>
    <w:rsid w:val="6D3C47A4"/>
    <w:rsid w:val="6D6A12BE"/>
    <w:rsid w:val="6D6B7CF9"/>
    <w:rsid w:val="6D6B7DDB"/>
    <w:rsid w:val="6D76781F"/>
    <w:rsid w:val="6D7A1B4D"/>
    <w:rsid w:val="6D7E720D"/>
    <w:rsid w:val="6D837FA1"/>
    <w:rsid w:val="6D886614"/>
    <w:rsid w:val="6D892E00"/>
    <w:rsid w:val="6D8B1C75"/>
    <w:rsid w:val="6D932EAF"/>
    <w:rsid w:val="6DA10555"/>
    <w:rsid w:val="6DAD5678"/>
    <w:rsid w:val="6DB73BF9"/>
    <w:rsid w:val="6DBD0DAF"/>
    <w:rsid w:val="6DC4482D"/>
    <w:rsid w:val="6DCA6791"/>
    <w:rsid w:val="6DCD58AB"/>
    <w:rsid w:val="6DD6111A"/>
    <w:rsid w:val="6DE00C70"/>
    <w:rsid w:val="6DE353F1"/>
    <w:rsid w:val="6DEB463B"/>
    <w:rsid w:val="6DEE24EC"/>
    <w:rsid w:val="6DF5372B"/>
    <w:rsid w:val="6DF81E00"/>
    <w:rsid w:val="6DF90DFC"/>
    <w:rsid w:val="6DFC5BBF"/>
    <w:rsid w:val="6DFE6212"/>
    <w:rsid w:val="6E040FB9"/>
    <w:rsid w:val="6E0463C0"/>
    <w:rsid w:val="6E124682"/>
    <w:rsid w:val="6E19302D"/>
    <w:rsid w:val="6E1B1178"/>
    <w:rsid w:val="6E1B3FDD"/>
    <w:rsid w:val="6E1E7048"/>
    <w:rsid w:val="6E2634B4"/>
    <w:rsid w:val="6E2C1EB9"/>
    <w:rsid w:val="6E2C223A"/>
    <w:rsid w:val="6E2F2D71"/>
    <w:rsid w:val="6E2F5F26"/>
    <w:rsid w:val="6E305619"/>
    <w:rsid w:val="6E387B7D"/>
    <w:rsid w:val="6E3F16B5"/>
    <w:rsid w:val="6E402157"/>
    <w:rsid w:val="6E406975"/>
    <w:rsid w:val="6E414522"/>
    <w:rsid w:val="6E424B3C"/>
    <w:rsid w:val="6E4B3F9A"/>
    <w:rsid w:val="6E580429"/>
    <w:rsid w:val="6E5B4A18"/>
    <w:rsid w:val="6E610468"/>
    <w:rsid w:val="6E611A4E"/>
    <w:rsid w:val="6E6219EF"/>
    <w:rsid w:val="6E63437A"/>
    <w:rsid w:val="6E6A2935"/>
    <w:rsid w:val="6E6F563B"/>
    <w:rsid w:val="6E72645D"/>
    <w:rsid w:val="6E7352B3"/>
    <w:rsid w:val="6E7516E4"/>
    <w:rsid w:val="6E766DC9"/>
    <w:rsid w:val="6E7D51C4"/>
    <w:rsid w:val="6E801620"/>
    <w:rsid w:val="6E804815"/>
    <w:rsid w:val="6E822FFE"/>
    <w:rsid w:val="6E862B6D"/>
    <w:rsid w:val="6E862F48"/>
    <w:rsid w:val="6E926828"/>
    <w:rsid w:val="6EAC0AF4"/>
    <w:rsid w:val="6EAD08D9"/>
    <w:rsid w:val="6EAD7F56"/>
    <w:rsid w:val="6EB01DE3"/>
    <w:rsid w:val="6EB5146A"/>
    <w:rsid w:val="6EB86EA2"/>
    <w:rsid w:val="6EC008FC"/>
    <w:rsid w:val="6EC429D7"/>
    <w:rsid w:val="6ECD799E"/>
    <w:rsid w:val="6ECE33F4"/>
    <w:rsid w:val="6ED245B0"/>
    <w:rsid w:val="6ED71DD0"/>
    <w:rsid w:val="6EE10E0F"/>
    <w:rsid w:val="6EEE3DEA"/>
    <w:rsid w:val="6EEF756C"/>
    <w:rsid w:val="6EF32476"/>
    <w:rsid w:val="6EF55BD9"/>
    <w:rsid w:val="6EFB2C0E"/>
    <w:rsid w:val="6EFF14A7"/>
    <w:rsid w:val="6F065E48"/>
    <w:rsid w:val="6F072BA5"/>
    <w:rsid w:val="6F134346"/>
    <w:rsid w:val="6F1513F7"/>
    <w:rsid w:val="6F170A4D"/>
    <w:rsid w:val="6F193CE0"/>
    <w:rsid w:val="6F2A3DFB"/>
    <w:rsid w:val="6F3369BB"/>
    <w:rsid w:val="6F3E6C19"/>
    <w:rsid w:val="6F4C4F92"/>
    <w:rsid w:val="6F511EE4"/>
    <w:rsid w:val="6F576BAB"/>
    <w:rsid w:val="6F5B6062"/>
    <w:rsid w:val="6F5B6A33"/>
    <w:rsid w:val="6F5C3422"/>
    <w:rsid w:val="6F5F7E5D"/>
    <w:rsid w:val="6F630569"/>
    <w:rsid w:val="6F674830"/>
    <w:rsid w:val="6F6F0AA0"/>
    <w:rsid w:val="6F712CFE"/>
    <w:rsid w:val="6F724FCC"/>
    <w:rsid w:val="6F725984"/>
    <w:rsid w:val="6F726F60"/>
    <w:rsid w:val="6F73576B"/>
    <w:rsid w:val="6F757E94"/>
    <w:rsid w:val="6F783CF9"/>
    <w:rsid w:val="6F791A83"/>
    <w:rsid w:val="6F7A325E"/>
    <w:rsid w:val="6F86506B"/>
    <w:rsid w:val="6F881FEB"/>
    <w:rsid w:val="6F8B2862"/>
    <w:rsid w:val="6F8C070F"/>
    <w:rsid w:val="6F8C779B"/>
    <w:rsid w:val="6F8F1524"/>
    <w:rsid w:val="6F922CE7"/>
    <w:rsid w:val="6F936945"/>
    <w:rsid w:val="6F963980"/>
    <w:rsid w:val="6F9956D1"/>
    <w:rsid w:val="6F9B74DC"/>
    <w:rsid w:val="6F9D7521"/>
    <w:rsid w:val="6FA155D5"/>
    <w:rsid w:val="6FA945F3"/>
    <w:rsid w:val="6FAC463B"/>
    <w:rsid w:val="6FB0406F"/>
    <w:rsid w:val="6FB658B9"/>
    <w:rsid w:val="6FBD24A6"/>
    <w:rsid w:val="6FC37E8F"/>
    <w:rsid w:val="6FCA088F"/>
    <w:rsid w:val="6FCB285C"/>
    <w:rsid w:val="6FCE07A2"/>
    <w:rsid w:val="6FDE2A2A"/>
    <w:rsid w:val="6FE26DB4"/>
    <w:rsid w:val="6FE4735A"/>
    <w:rsid w:val="6FE50C33"/>
    <w:rsid w:val="6FE81C55"/>
    <w:rsid w:val="6FED22CC"/>
    <w:rsid w:val="6FF84FF0"/>
    <w:rsid w:val="6FFD2DDD"/>
    <w:rsid w:val="6FFE3146"/>
    <w:rsid w:val="700A5AA4"/>
    <w:rsid w:val="700A5E30"/>
    <w:rsid w:val="700B4CA0"/>
    <w:rsid w:val="7010420A"/>
    <w:rsid w:val="70131D6D"/>
    <w:rsid w:val="7021525A"/>
    <w:rsid w:val="702D2958"/>
    <w:rsid w:val="70323DBD"/>
    <w:rsid w:val="70351D2B"/>
    <w:rsid w:val="703A3E84"/>
    <w:rsid w:val="703C3B35"/>
    <w:rsid w:val="703D3A58"/>
    <w:rsid w:val="704114DE"/>
    <w:rsid w:val="70413BEB"/>
    <w:rsid w:val="70495E16"/>
    <w:rsid w:val="704C2DF0"/>
    <w:rsid w:val="70522D9F"/>
    <w:rsid w:val="70565D1B"/>
    <w:rsid w:val="705F7547"/>
    <w:rsid w:val="70612B4A"/>
    <w:rsid w:val="706D4A29"/>
    <w:rsid w:val="707673C3"/>
    <w:rsid w:val="70775E46"/>
    <w:rsid w:val="70870B1F"/>
    <w:rsid w:val="708D1ADE"/>
    <w:rsid w:val="709177AA"/>
    <w:rsid w:val="70917E45"/>
    <w:rsid w:val="709F7CAA"/>
    <w:rsid w:val="70A11E84"/>
    <w:rsid w:val="70A55685"/>
    <w:rsid w:val="70A75E78"/>
    <w:rsid w:val="70AC0078"/>
    <w:rsid w:val="70AC19F3"/>
    <w:rsid w:val="70C07B9A"/>
    <w:rsid w:val="70D134DD"/>
    <w:rsid w:val="70E215AC"/>
    <w:rsid w:val="70E74002"/>
    <w:rsid w:val="70F17BE3"/>
    <w:rsid w:val="70F54537"/>
    <w:rsid w:val="70FB7FC2"/>
    <w:rsid w:val="710931B0"/>
    <w:rsid w:val="710F37E5"/>
    <w:rsid w:val="710F7CFE"/>
    <w:rsid w:val="711038EF"/>
    <w:rsid w:val="711C07AD"/>
    <w:rsid w:val="711D73A5"/>
    <w:rsid w:val="712467E0"/>
    <w:rsid w:val="71263EE7"/>
    <w:rsid w:val="7129026F"/>
    <w:rsid w:val="71304C8A"/>
    <w:rsid w:val="71332AE5"/>
    <w:rsid w:val="713A069E"/>
    <w:rsid w:val="713C75DA"/>
    <w:rsid w:val="71413502"/>
    <w:rsid w:val="714F77B8"/>
    <w:rsid w:val="71567F3A"/>
    <w:rsid w:val="715C7F5B"/>
    <w:rsid w:val="716254DB"/>
    <w:rsid w:val="71650D7C"/>
    <w:rsid w:val="716672DD"/>
    <w:rsid w:val="71690B9C"/>
    <w:rsid w:val="71696B89"/>
    <w:rsid w:val="716A7CC0"/>
    <w:rsid w:val="716C36A6"/>
    <w:rsid w:val="71701574"/>
    <w:rsid w:val="71731992"/>
    <w:rsid w:val="717447C0"/>
    <w:rsid w:val="718B0C94"/>
    <w:rsid w:val="718C797D"/>
    <w:rsid w:val="718F17A1"/>
    <w:rsid w:val="7195733C"/>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E23EC7"/>
    <w:rsid w:val="71F570A3"/>
    <w:rsid w:val="71FD3815"/>
    <w:rsid w:val="71FE5F7E"/>
    <w:rsid w:val="71FF1E8A"/>
    <w:rsid w:val="72127AC6"/>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7C3CB9"/>
    <w:rsid w:val="72A36EC0"/>
    <w:rsid w:val="72B93507"/>
    <w:rsid w:val="72BE394E"/>
    <w:rsid w:val="72BF2E42"/>
    <w:rsid w:val="72C02CCD"/>
    <w:rsid w:val="72CB293F"/>
    <w:rsid w:val="72D2349C"/>
    <w:rsid w:val="72D41E32"/>
    <w:rsid w:val="72DA112E"/>
    <w:rsid w:val="72DC3E1E"/>
    <w:rsid w:val="72DE52DA"/>
    <w:rsid w:val="72E03114"/>
    <w:rsid w:val="72E2484B"/>
    <w:rsid w:val="72EC2869"/>
    <w:rsid w:val="73001013"/>
    <w:rsid w:val="730207B8"/>
    <w:rsid w:val="730528A9"/>
    <w:rsid w:val="73096A16"/>
    <w:rsid w:val="731275F7"/>
    <w:rsid w:val="73154FAD"/>
    <w:rsid w:val="731B706E"/>
    <w:rsid w:val="73233F97"/>
    <w:rsid w:val="73291EFE"/>
    <w:rsid w:val="732E456F"/>
    <w:rsid w:val="73312CAC"/>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92915"/>
    <w:rsid w:val="73AA26EC"/>
    <w:rsid w:val="73B77F17"/>
    <w:rsid w:val="73B97C46"/>
    <w:rsid w:val="73BF3207"/>
    <w:rsid w:val="73C2191D"/>
    <w:rsid w:val="73C46856"/>
    <w:rsid w:val="73C744FC"/>
    <w:rsid w:val="73D146B2"/>
    <w:rsid w:val="73D43118"/>
    <w:rsid w:val="73D66E6A"/>
    <w:rsid w:val="73DB651A"/>
    <w:rsid w:val="73DE3C21"/>
    <w:rsid w:val="73E32F09"/>
    <w:rsid w:val="73EA5F89"/>
    <w:rsid w:val="73EB5EF6"/>
    <w:rsid w:val="73F53D53"/>
    <w:rsid w:val="73FA2F75"/>
    <w:rsid w:val="73FA450F"/>
    <w:rsid w:val="73FE6CD9"/>
    <w:rsid w:val="7400572B"/>
    <w:rsid w:val="74076858"/>
    <w:rsid w:val="740D0F0B"/>
    <w:rsid w:val="741A3124"/>
    <w:rsid w:val="741D4811"/>
    <w:rsid w:val="74212BAF"/>
    <w:rsid w:val="742475BB"/>
    <w:rsid w:val="7426357E"/>
    <w:rsid w:val="74273E69"/>
    <w:rsid w:val="74292792"/>
    <w:rsid w:val="742B641A"/>
    <w:rsid w:val="742D4D4A"/>
    <w:rsid w:val="742D6C04"/>
    <w:rsid w:val="742F1B00"/>
    <w:rsid w:val="74364FB5"/>
    <w:rsid w:val="7444022D"/>
    <w:rsid w:val="74442F77"/>
    <w:rsid w:val="74484A9B"/>
    <w:rsid w:val="744A540C"/>
    <w:rsid w:val="744D19AB"/>
    <w:rsid w:val="74524688"/>
    <w:rsid w:val="745E5131"/>
    <w:rsid w:val="7465560D"/>
    <w:rsid w:val="7469251B"/>
    <w:rsid w:val="746C62CC"/>
    <w:rsid w:val="746F1AFB"/>
    <w:rsid w:val="74810EBA"/>
    <w:rsid w:val="74833EB5"/>
    <w:rsid w:val="74890F33"/>
    <w:rsid w:val="74910885"/>
    <w:rsid w:val="749F1E28"/>
    <w:rsid w:val="74A039B8"/>
    <w:rsid w:val="74A66772"/>
    <w:rsid w:val="74A909E5"/>
    <w:rsid w:val="74AA4F0F"/>
    <w:rsid w:val="74AB749D"/>
    <w:rsid w:val="74AD6512"/>
    <w:rsid w:val="74AD7653"/>
    <w:rsid w:val="74B13E15"/>
    <w:rsid w:val="74B1490A"/>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92EF9"/>
    <w:rsid w:val="75170729"/>
    <w:rsid w:val="751A141C"/>
    <w:rsid w:val="751A7F6B"/>
    <w:rsid w:val="751D6EAF"/>
    <w:rsid w:val="752162ED"/>
    <w:rsid w:val="75285F14"/>
    <w:rsid w:val="753047EE"/>
    <w:rsid w:val="753241D6"/>
    <w:rsid w:val="75451F63"/>
    <w:rsid w:val="754751A6"/>
    <w:rsid w:val="75497B05"/>
    <w:rsid w:val="754C54FC"/>
    <w:rsid w:val="756515D5"/>
    <w:rsid w:val="756631C3"/>
    <w:rsid w:val="756E741F"/>
    <w:rsid w:val="756F7EDB"/>
    <w:rsid w:val="75710B71"/>
    <w:rsid w:val="75800338"/>
    <w:rsid w:val="759503D4"/>
    <w:rsid w:val="75984DA0"/>
    <w:rsid w:val="759B5B5D"/>
    <w:rsid w:val="75A236B2"/>
    <w:rsid w:val="75A641C4"/>
    <w:rsid w:val="75B3270C"/>
    <w:rsid w:val="75B50EFF"/>
    <w:rsid w:val="75BE1B38"/>
    <w:rsid w:val="75C20090"/>
    <w:rsid w:val="75C7170E"/>
    <w:rsid w:val="75CB1B3F"/>
    <w:rsid w:val="75E0700F"/>
    <w:rsid w:val="75E1375C"/>
    <w:rsid w:val="75EE20CC"/>
    <w:rsid w:val="75F53481"/>
    <w:rsid w:val="75F71F4D"/>
    <w:rsid w:val="75F7471F"/>
    <w:rsid w:val="75F86A3D"/>
    <w:rsid w:val="75FE09C8"/>
    <w:rsid w:val="761108B6"/>
    <w:rsid w:val="761C303B"/>
    <w:rsid w:val="761E29A2"/>
    <w:rsid w:val="76206BFA"/>
    <w:rsid w:val="76252F85"/>
    <w:rsid w:val="762E2B3C"/>
    <w:rsid w:val="76307C0D"/>
    <w:rsid w:val="76410CB5"/>
    <w:rsid w:val="764456E6"/>
    <w:rsid w:val="76445F25"/>
    <w:rsid w:val="76470EE2"/>
    <w:rsid w:val="76496E5A"/>
    <w:rsid w:val="764D3E17"/>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A453A4"/>
    <w:rsid w:val="76A80234"/>
    <w:rsid w:val="76A80D31"/>
    <w:rsid w:val="76AB1A36"/>
    <w:rsid w:val="76AD51CC"/>
    <w:rsid w:val="76B00ED2"/>
    <w:rsid w:val="76BD1EC6"/>
    <w:rsid w:val="76C01C98"/>
    <w:rsid w:val="76C25BA1"/>
    <w:rsid w:val="76C31B55"/>
    <w:rsid w:val="76C56BFA"/>
    <w:rsid w:val="76C60922"/>
    <w:rsid w:val="76CB7E3D"/>
    <w:rsid w:val="76DC3209"/>
    <w:rsid w:val="76EA23A7"/>
    <w:rsid w:val="76EA717D"/>
    <w:rsid w:val="76EC45E1"/>
    <w:rsid w:val="76ED0243"/>
    <w:rsid w:val="76F051EC"/>
    <w:rsid w:val="76FE351B"/>
    <w:rsid w:val="76FF0DE4"/>
    <w:rsid w:val="77006FF5"/>
    <w:rsid w:val="77180EEF"/>
    <w:rsid w:val="7719268A"/>
    <w:rsid w:val="771E2E80"/>
    <w:rsid w:val="77242F9B"/>
    <w:rsid w:val="7728787B"/>
    <w:rsid w:val="772C7637"/>
    <w:rsid w:val="773032D4"/>
    <w:rsid w:val="773A02A1"/>
    <w:rsid w:val="773E3044"/>
    <w:rsid w:val="77407DB5"/>
    <w:rsid w:val="77460ECB"/>
    <w:rsid w:val="774631A2"/>
    <w:rsid w:val="77480ACB"/>
    <w:rsid w:val="774E5C04"/>
    <w:rsid w:val="775201BE"/>
    <w:rsid w:val="7759185C"/>
    <w:rsid w:val="775A1150"/>
    <w:rsid w:val="775F2A44"/>
    <w:rsid w:val="776131A9"/>
    <w:rsid w:val="77635C2E"/>
    <w:rsid w:val="77664ECB"/>
    <w:rsid w:val="77675268"/>
    <w:rsid w:val="776A2C7E"/>
    <w:rsid w:val="77742746"/>
    <w:rsid w:val="77786DA6"/>
    <w:rsid w:val="77811371"/>
    <w:rsid w:val="778843FB"/>
    <w:rsid w:val="778E17B2"/>
    <w:rsid w:val="77990E6A"/>
    <w:rsid w:val="779A0764"/>
    <w:rsid w:val="779A6024"/>
    <w:rsid w:val="779B311A"/>
    <w:rsid w:val="77A36BEC"/>
    <w:rsid w:val="77B17027"/>
    <w:rsid w:val="77B31333"/>
    <w:rsid w:val="77BA1AC8"/>
    <w:rsid w:val="77BA6CEC"/>
    <w:rsid w:val="77C14AC0"/>
    <w:rsid w:val="77D10265"/>
    <w:rsid w:val="77D35131"/>
    <w:rsid w:val="77DD72E2"/>
    <w:rsid w:val="77E30556"/>
    <w:rsid w:val="77E86777"/>
    <w:rsid w:val="77EE4B6B"/>
    <w:rsid w:val="77F3616A"/>
    <w:rsid w:val="77F40BEF"/>
    <w:rsid w:val="77FA18D0"/>
    <w:rsid w:val="77FE1D66"/>
    <w:rsid w:val="78043735"/>
    <w:rsid w:val="78117C14"/>
    <w:rsid w:val="78176516"/>
    <w:rsid w:val="78184E67"/>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22DB3"/>
    <w:rsid w:val="7887256E"/>
    <w:rsid w:val="788F757C"/>
    <w:rsid w:val="78900E9E"/>
    <w:rsid w:val="78903A41"/>
    <w:rsid w:val="78984D40"/>
    <w:rsid w:val="789A31ED"/>
    <w:rsid w:val="789D1371"/>
    <w:rsid w:val="78A2013A"/>
    <w:rsid w:val="78AB3A7C"/>
    <w:rsid w:val="78B02F47"/>
    <w:rsid w:val="78B04BDB"/>
    <w:rsid w:val="78B67A9B"/>
    <w:rsid w:val="78BF08A7"/>
    <w:rsid w:val="78C0160F"/>
    <w:rsid w:val="78C13147"/>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A0C59"/>
    <w:rsid w:val="78FB65E8"/>
    <w:rsid w:val="78FE41F1"/>
    <w:rsid w:val="7912238A"/>
    <w:rsid w:val="79165EE7"/>
    <w:rsid w:val="791A1817"/>
    <w:rsid w:val="791A48BC"/>
    <w:rsid w:val="79200B49"/>
    <w:rsid w:val="79211E4B"/>
    <w:rsid w:val="79257EF3"/>
    <w:rsid w:val="79272FC5"/>
    <w:rsid w:val="7928232A"/>
    <w:rsid w:val="792E6A79"/>
    <w:rsid w:val="793648F4"/>
    <w:rsid w:val="7940051E"/>
    <w:rsid w:val="7952784C"/>
    <w:rsid w:val="795470A3"/>
    <w:rsid w:val="796075BB"/>
    <w:rsid w:val="7968243D"/>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C52095"/>
    <w:rsid w:val="79C65BBE"/>
    <w:rsid w:val="79D1116F"/>
    <w:rsid w:val="79D96809"/>
    <w:rsid w:val="79E03305"/>
    <w:rsid w:val="79E226D1"/>
    <w:rsid w:val="79E97929"/>
    <w:rsid w:val="79EA539B"/>
    <w:rsid w:val="79EB4459"/>
    <w:rsid w:val="79F23CDC"/>
    <w:rsid w:val="79F34CAF"/>
    <w:rsid w:val="7A15062E"/>
    <w:rsid w:val="7A1D6F2C"/>
    <w:rsid w:val="7A270D7D"/>
    <w:rsid w:val="7A2B5749"/>
    <w:rsid w:val="7A2C7B18"/>
    <w:rsid w:val="7A32236A"/>
    <w:rsid w:val="7A342DFB"/>
    <w:rsid w:val="7A3E149B"/>
    <w:rsid w:val="7A3E5311"/>
    <w:rsid w:val="7A5C4C55"/>
    <w:rsid w:val="7A5C68FE"/>
    <w:rsid w:val="7A6009F2"/>
    <w:rsid w:val="7A682E8A"/>
    <w:rsid w:val="7A6B4B0F"/>
    <w:rsid w:val="7A6D4697"/>
    <w:rsid w:val="7A791E81"/>
    <w:rsid w:val="7A7B3652"/>
    <w:rsid w:val="7A8D452F"/>
    <w:rsid w:val="7A904D85"/>
    <w:rsid w:val="7AA22EFC"/>
    <w:rsid w:val="7AAE18A2"/>
    <w:rsid w:val="7AB37FBB"/>
    <w:rsid w:val="7AB44C4D"/>
    <w:rsid w:val="7AB971D8"/>
    <w:rsid w:val="7ABF5DF1"/>
    <w:rsid w:val="7AC40312"/>
    <w:rsid w:val="7AC46114"/>
    <w:rsid w:val="7ACB6579"/>
    <w:rsid w:val="7AD53736"/>
    <w:rsid w:val="7AD9270A"/>
    <w:rsid w:val="7AE026C2"/>
    <w:rsid w:val="7AEC5358"/>
    <w:rsid w:val="7AF6355F"/>
    <w:rsid w:val="7AF86AE2"/>
    <w:rsid w:val="7B055E0F"/>
    <w:rsid w:val="7B081DA0"/>
    <w:rsid w:val="7B186B71"/>
    <w:rsid w:val="7B2223D2"/>
    <w:rsid w:val="7B231F28"/>
    <w:rsid w:val="7B25293B"/>
    <w:rsid w:val="7B2C4334"/>
    <w:rsid w:val="7B2C4CC0"/>
    <w:rsid w:val="7B2E2426"/>
    <w:rsid w:val="7B3A0DFE"/>
    <w:rsid w:val="7B3D4DA7"/>
    <w:rsid w:val="7B413E67"/>
    <w:rsid w:val="7B4E236A"/>
    <w:rsid w:val="7B5016EF"/>
    <w:rsid w:val="7B517C6E"/>
    <w:rsid w:val="7B534179"/>
    <w:rsid w:val="7B575748"/>
    <w:rsid w:val="7B5A16BD"/>
    <w:rsid w:val="7B643258"/>
    <w:rsid w:val="7B664932"/>
    <w:rsid w:val="7B83373F"/>
    <w:rsid w:val="7B854C75"/>
    <w:rsid w:val="7B881F3C"/>
    <w:rsid w:val="7B8B01B2"/>
    <w:rsid w:val="7B8E64D2"/>
    <w:rsid w:val="7B97500F"/>
    <w:rsid w:val="7B985C69"/>
    <w:rsid w:val="7B9905A9"/>
    <w:rsid w:val="7BA41BF8"/>
    <w:rsid w:val="7BB10EFE"/>
    <w:rsid w:val="7BB71DFE"/>
    <w:rsid w:val="7BBC2B27"/>
    <w:rsid w:val="7BC56F92"/>
    <w:rsid w:val="7BCE489F"/>
    <w:rsid w:val="7BCE6A58"/>
    <w:rsid w:val="7BCF3C09"/>
    <w:rsid w:val="7BD0460F"/>
    <w:rsid w:val="7BD26592"/>
    <w:rsid w:val="7BDE3918"/>
    <w:rsid w:val="7BEA3BE2"/>
    <w:rsid w:val="7BFB48C3"/>
    <w:rsid w:val="7BFC2A3F"/>
    <w:rsid w:val="7C1D23E6"/>
    <w:rsid w:val="7C1F3E57"/>
    <w:rsid w:val="7C1F7E96"/>
    <w:rsid w:val="7C256FB0"/>
    <w:rsid w:val="7C303EA0"/>
    <w:rsid w:val="7C324AC7"/>
    <w:rsid w:val="7C404365"/>
    <w:rsid w:val="7C4222EC"/>
    <w:rsid w:val="7C425F74"/>
    <w:rsid w:val="7C7566C0"/>
    <w:rsid w:val="7C7D6E82"/>
    <w:rsid w:val="7C82399E"/>
    <w:rsid w:val="7C8825B8"/>
    <w:rsid w:val="7C887B7F"/>
    <w:rsid w:val="7C897EFD"/>
    <w:rsid w:val="7C8B4132"/>
    <w:rsid w:val="7C934E11"/>
    <w:rsid w:val="7C955035"/>
    <w:rsid w:val="7C960A7C"/>
    <w:rsid w:val="7C981479"/>
    <w:rsid w:val="7C98620C"/>
    <w:rsid w:val="7CA621E0"/>
    <w:rsid w:val="7CA778E3"/>
    <w:rsid w:val="7CB47684"/>
    <w:rsid w:val="7CB9688C"/>
    <w:rsid w:val="7CC9599D"/>
    <w:rsid w:val="7CCC22F1"/>
    <w:rsid w:val="7CCF63D9"/>
    <w:rsid w:val="7CD10E3C"/>
    <w:rsid w:val="7CD472FB"/>
    <w:rsid w:val="7CD74DFA"/>
    <w:rsid w:val="7CF349A0"/>
    <w:rsid w:val="7CF43390"/>
    <w:rsid w:val="7CF87A64"/>
    <w:rsid w:val="7D063701"/>
    <w:rsid w:val="7D0C3EEB"/>
    <w:rsid w:val="7D0E6A3E"/>
    <w:rsid w:val="7D103C58"/>
    <w:rsid w:val="7D141D26"/>
    <w:rsid w:val="7D16509E"/>
    <w:rsid w:val="7D1A5047"/>
    <w:rsid w:val="7D231801"/>
    <w:rsid w:val="7D2474D9"/>
    <w:rsid w:val="7D2810B8"/>
    <w:rsid w:val="7D321D31"/>
    <w:rsid w:val="7D327CAA"/>
    <w:rsid w:val="7D3B4997"/>
    <w:rsid w:val="7D464D8B"/>
    <w:rsid w:val="7D4976D6"/>
    <w:rsid w:val="7D527871"/>
    <w:rsid w:val="7D556DD8"/>
    <w:rsid w:val="7D594D25"/>
    <w:rsid w:val="7D604354"/>
    <w:rsid w:val="7D614D41"/>
    <w:rsid w:val="7D6D1027"/>
    <w:rsid w:val="7D6D5112"/>
    <w:rsid w:val="7D755334"/>
    <w:rsid w:val="7D760599"/>
    <w:rsid w:val="7D78013B"/>
    <w:rsid w:val="7D787ECC"/>
    <w:rsid w:val="7D7C2278"/>
    <w:rsid w:val="7D8570B6"/>
    <w:rsid w:val="7D892D2B"/>
    <w:rsid w:val="7D8C206E"/>
    <w:rsid w:val="7D9220EE"/>
    <w:rsid w:val="7D952C01"/>
    <w:rsid w:val="7D9612D8"/>
    <w:rsid w:val="7D9621EC"/>
    <w:rsid w:val="7D9C08D5"/>
    <w:rsid w:val="7DA4468F"/>
    <w:rsid w:val="7DAB4491"/>
    <w:rsid w:val="7DAC3888"/>
    <w:rsid w:val="7DAE681E"/>
    <w:rsid w:val="7DB531D9"/>
    <w:rsid w:val="7DBB7CE9"/>
    <w:rsid w:val="7DC05388"/>
    <w:rsid w:val="7DCB4ECF"/>
    <w:rsid w:val="7DD27EC2"/>
    <w:rsid w:val="7DD35BF7"/>
    <w:rsid w:val="7DD720D9"/>
    <w:rsid w:val="7DDA60DC"/>
    <w:rsid w:val="7DEB22A3"/>
    <w:rsid w:val="7DF15509"/>
    <w:rsid w:val="7DF21494"/>
    <w:rsid w:val="7DF24D46"/>
    <w:rsid w:val="7DF5601E"/>
    <w:rsid w:val="7DF5696A"/>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3F288B"/>
    <w:rsid w:val="7E435CF4"/>
    <w:rsid w:val="7E464A33"/>
    <w:rsid w:val="7E4726DC"/>
    <w:rsid w:val="7E524B0D"/>
    <w:rsid w:val="7E5B760E"/>
    <w:rsid w:val="7E60723E"/>
    <w:rsid w:val="7E676DAA"/>
    <w:rsid w:val="7E691CE1"/>
    <w:rsid w:val="7E7543B0"/>
    <w:rsid w:val="7E754A27"/>
    <w:rsid w:val="7E930BD6"/>
    <w:rsid w:val="7E970804"/>
    <w:rsid w:val="7E9A7C76"/>
    <w:rsid w:val="7EA16809"/>
    <w:rsid w:val="7EA757F3"/>
    <w:rsid w:val="7EA76728"/>
    <w:rsid w:val="7EA77D82"/>
    <w:rsid w:val="7EAA6440"/>
    <w:rsid w:val="7EAD7950"/>
    <w:rsid w:val="7EB07B44"/>
    <w:rsid w:val="7EB62378"/>
    <w:rsid w:val="7EBA4E02"/>
    <w:rsid w:val="7EBD751C"/>
    <w:rsid w:val="7EC46E9A"/>
    <w:rsid w:val="7EC70DDC"/>
    <w:rsid w:val="7EC756AD"/>
    <w:rsid w:val="7ED054A1"/>
    <w:rsid w:val="7ED63B43"/>
    <w:rsid w:val="7ED81A1B"/>
    <w:rsid w:val="7EDA224D"/>
    <w:rsid w:val="7EE613DB"/>
    <w:rsid w:val="7EE85A6F"/>
    <w:rsid w:val="7EEB0D7C"/>
    <w:rsid w:val="7EEC208B"/>
    <w:rsid w:val="7EFC100C"/>
    <w:rsid w:val="7F004803"/>
    <w:rsid w:val="7F07622C"/>
    <w:rsid w:val="7F0F6799"/>
    <w:rsid w:val="7F1207B2"/>
    <w:rsid w:val="7F124DE7"/>
    <w:rsid w:val="7F132329"/>
    <w:rsid w:val="7F152856"/>
    <w:rsid w:val="7F1A3010"/>
    <w:rsid w:val="7F21785D"/>
    <w:rsid w:val="7F287205"/>
    <w:rsid w:val="7F2A4104"/>
    <w:rsid w:val="7F2B2602"/>
    <w:rsid w:val="7F351531"/>
    <w:rsid w:val="7F3C3963"/>
    <w:rsid w:val="7F47771D"/>
    <w:rsid w:val="7F4859B6"/>
    <w:rsid w:val="7F4B7D44"/>
    <w:rsid w:val="7F4F43E9"/>
    <w:rsid w:val="7F4F77B8"/>
    <w:rsid w:val="7F53595E"/>
    <w:rsid w:val="7F5C6669"/>
    <w:rsid w:val="7F607033"/>
    <w:rsid w:val="7F625085"/>
    <w:rsid w:val="7F685C6C"/>
    <w:rsid w:val="7F6951CA"/>
    <w:rsid w:val="7F6C5DF1"/>
    <w:rsid w:val="7F6F6014"/>
    <w:rsid w:val="7F7933D6"/>
    <w:rsid w:val="7F834CDB"/>
    <w:rsid w:val="7F836A2D"/>
    <w:rsid w:val="7F863B3E"/>
    <w:rsid w:val="7F864B9F"/>
    <w:rsid w:val="7F8D6E67"/>
    <w:rsid w:val="7F95237A"/>
    <w:rsid w:val="7F98638E"/>
    <w:rsid w:val="7FAF48B7"/>
    <w:rsid w:val="7FB3172E"/>
    <w:rsid w:val="7FB62FE3"/>
    <w:rsid w:val="7FBD7D06"/>
    <w:rsid w:val="7FC35BB5"/>
    <w:rsid w:val="7FC45EC4"/>
    <w:rsid w:val="7FC6346B"/>
    <w:rsid w:val="7FCB172A"/>
    <w:rsid w:val="7FCB362A"/>
    <w:rsid w:val="7FD20096"/>
    <w:rsid w:val="7FD270AE"/>
    <w:rsid w:val="7FD276E9"/>
    <w:rsid w:val="7FD7600E"/>
    <w:rsid w:val="7FDB6CBA"/>
    <w:rsid w:val="7FDF0629"/>
    <w:rsid w:val="7FE106D9"/>
    <w:rsid w:val="7FE1210F"/>
    <w:rsid w:val="7FE44581"/>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50" w:beforeLines="50" w:after="120" w:line="259" w:lineRule="auto"/>
      <w:jc w:val="both"/>
    </w:pPr>
    <w:rPr>
      <w:rFonts w:ascii="Times New Roman" w:hAnsi="Times New Roman" w:eastAsia="宋体" w:cs="Times New Roman"/>
      <w:szCs w:val="22"/>
      <w:lang w:val="en-US" w:eastAsia="zh-CN" w:bidi="ar-SA"/>
    </w:rPr>
  </w:style>
  <w:style w:type="paragraph" w:styleId="2">
    <w:name w:val="heading 1"/>
    <w:basedOn w:val="1"/>
    <w:next w:val="1"/>
    <w:link w:val="55"/>
    <w:qFormat/>
    <w:uiPriority w:val="99"/>
    <w:pPr>
      <w:widowControl w:val="0"/>
      <w:numPr>
        <w:ilvl w:val="0"/>
        <w:numId w:val="1"/>
      </w:numPr>
      <w:autoSpaceDE w:val="0"/>
      <w:autoSpaceDN w:val="0"/>
      <w:adjustRightInd w:val="0"/>
      <w:spacing w:line="360" w:lineRule="auto"/>
      <w:ind w:left="431" w:hanging="431"/>
      <w:outlineLvl w:val="0"/>
    </w:pPr>
    <w:rPr>
      <w:rFonts w:ascii="Arial" w:hAnsi="Arial" w:eastAsia="黑体"/>
      <w:b/>
      <w:bCs/>
      <w:sz w:val="30"/>
      <w:szCs w:val="30"/>
      <w:lang w:val="zh-CN"/>
    </w:rPr>
  </w:style>
  <w:style w:type="paragraph" w:styleId="3">
    <w:name w:val="heading 2"/>
    <w:basedOn w:val="2"/>
    <w:next w:val="1"/>
    <w:link w:val="80"/>
    <w:qFormat/>
    <w:uiPriority w:val="0"/>
    <w:pPr>
      <w:keepNext/>
      <w:keepLines/>
      <w:numPr>
        <w:ilvl w:val="1"/>
      </w:numPr>
      <w:tabs>
        <w:tab w:val="left" w:pos="612"/>
      </w:tabs>
      <w:ind w:left="431" w:hanging="431"/>
      <w:outlineLvl w:val="1"/>
    </w:pPr>
    <w:rPr>
      <w:bCs w:val="0"/>
      <w:sz w:val="28"/>
      <w:szCs w:val="28"/>
    </w:rPr>
  </w:style>
  <w:style w:type="paragraph" w:styleId="4">
    <w:name w:val="heading 3"/>
    <w:basedOn w:val="3"/>
    <w:next w:val="1"/>
    <w:link w:val="81"/>
    <w:qFormat/>
    <w:uiPriority w:val="9"/>
    <w:pPr>
      <w:numPr>
        <w:ilvl w:val="2"/>
      </w:numPr>
      <w:outlineLvl w:val="2"/>
    </w:pPr>
    <w:rPr>
      <w:bCs/>
      <w:sz w:val="24"/>
      <w:szCs w:val="32"/>
    </w:rPr>
  </w:style>
  <w:style w:type="paragraph" w:styleId="5">
    <w:name w:val="heading 4"/>
    <w:basedOn w:val="4"/>
    <w:next w:val="1"/>
    <w:link w:val="65"/>
    <w:qFormat/>
    <w:uiPriority w:val="0"/>
    <w:pPr>
      <w:numPr>
        <w:ilvl w:val="3"/>
      </w:numPr>
      <w:overflowPunct w:val="0"/>
      <w:ind w:left="862" w:hanging="862"/>
      <w:textAlignment w:val="baseline"/>
      <w:outlineLvl w:val="3"/>
    </w:pPr>
    <w:rPr>
      <w:sz w:val="21"/>
      <w:szCs w:val="21"/>
      <w:lang w:val="en-GB"/>
    </w:rPr>
  </w:style>
  <w:style w:type="paragraph" w:styleId="6">
    <w:name w:val="heading 5"/>
    <w:basedOn w:val="5"/>
    <w:next w:val="1"/>
    <w:link w:val="68"/>
    <w:qFormat/>
    <w:uiPriority w:val="0"/>
    <w:pPr>
      <w:numPr>
        <w:ilvl w:val="4"/>
      </w:numPr>
      <w:outlineLvl w:val="4"/>
    </w:pPr>
    <w:rPr>
      <w:b w:val="0"/>
      <w:sz w:val="24"/>
      <w:szCs w:val="24"/>
    </w:rPr>
  </w:style>
  <w:style w:type="paragraph" w:styleId="7">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qFormat/>
    <w:uiPriority w:val="9"/>
    <w:pPr>
      <w:keepNext/>
      <w:keepLines/>
      <w:numPr>
        <w:ilvl w:val="6"/>
        <w:numId w:val="1"/>
      </w:numPr>
      <w:spacing w:before="240" w:after="64" w:line="317" w:lineRule="auto"/>
      <w:outlineLvl w:val="6"/>
    </w:pPr>
    <w:rPr>
      <w:b/>
      <w:sz w:val="24"/>
    </w:rPr>
  </w:style>
  <w:style w:type="paragraph" w:styleId="9">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pPr>
    <w:rPr>
      <w:kern w:val="2"/>
      <w:sz w:val="21"/>
      <w:szCs w:val="20"/>
    </w:rPr>
  </w:style>
  <w:style w:type="paragraph" w:styleId="15">
    <w:name w:val="caption"/>
    <w:basedOn w:val="1"/>
    <w:next w:val="1"/>
    <w:link w:val="57"/>
    <w:qFormat/>
    <w:uiPriority w:val="0"/>
    <w:pPr>
      <w:tabs>
        <w:tab w:val="left" w:pos="1418"/>
      </w:tabs>
      <w:spacing w:before="120" w:line="240" w:lineRule="auto"/>
    </w:pPr>
    <w:rPr>
      <w:b/>
      <w:bCs/>
      <w:szCs w:val="20"/>
      <w:lang w:val="en-GB" w:eastAsia="sv-SE"/>
    </w:rPr>
  </w:style>
  <w:style w:type="paragraph" w:styleId="16">
    <w:name w:val="List Bullet"/>
    <w:basedOn w:val="1"/>
    <w:unhideWhenUsed/>
    <w:qFormat/>
    <w:uiPriority w:val="99"/>
    <w:pPr>
      <w:numPr>
        <w:ilvl w:val="0"/>
        <w:numId w:val="2"/>
      </w:numPr>
    </w:pPr>
  </w:style>
  <w:style w:type="paragraph" w:styleId="17">
    <w:name w:val="Document Map"/>
    <w:basedOn w:val="1"/>
    <w:link w:val="83"/>
    <w:unhideWhenUsed/>
    <w:qFormat/>
    <w:uiPriority w:val="99"/>
    <w:rPr>
      <w:rFonts w:ascii="宋体"/>
      <w:sz w:val="18"/>
      <w:szCs w:val="18"/>
    </w:rPr>
  </w:style>
  <w:style w:type="paragraph" w:styleId="18">
    <w:name w:val="annotation text"/>
    <w:basedOn w:val="1"/>
    <w:link w:val="84"/>
    <w:unhideWhenUsed/>
    <w:qFormat/>
    <w:uiPriority w:val="99"/>
    <w:rPr>
      <w:szCs w:val="20"/>
    </w:rPr>
  </w:style>
  <w:style w:type="paragraph" w:styleId="19">
    <w:name w:val="Body Text"/>
    <w:basedOn w:val="1"/>
    <w:link w:val="69"/>
    <w:qFormat/>
    <w:uiPriority w:val="0"/>
    <w:pPr>
      <w:widowControl w:val="0"/>
      <w:spacing w:after="0" w:line="240" w:lineRule="auto"/>
    </w:pPr>
    <w:rPr>
      <w:color w:val="0000FF"/>
      <w:kern w:val="2"/>
      <w:sz w:val="21"/>
      <w:szCs w:val="20"/>
    </w:rPr>
  </w:style>
  <w:style w:type="paragraph" w:styleId="20">
    <w:name w:val="Body Text Indent"/>
    <w:basedOn w:val="1"/>
    <w:link w:val="87"/>
    <w:unhideWhenUsed/>
    <w:qFormat/>
    <w:uiPriority w:val="99"/>
    <w:pPr>
      <w:ind w:left="420" w:leftChars="200"/>
    </w:pPr>
  </w:style>
  <w:style w:type="paragraph" w:styleId="21">
    <w:name w:val="Plain Text"/>
    <w:basedOn w:val="1"/>
    <w:link w:val="89"/>
    <w:unhideWhenUsed/>
    <w:qFormat/>
    <w:uiPriority w:val="99"/>
    <w:pPr>
      <w:spacing w:after="0" w:line="240" w:lineRule="auto"/>
    </w:pPr>
    <w:rPr>
      <w:rFonts w:eastAsia="Calibri"/>
      <w:szCs w:val="21"/>
      <w:lang w:val="en-GB" w:eastAsia="en-US"/>
    </w:rPr>
  </w:style>
  <w:style w:type="paragraph" w:styleId="22">
    <w:name w:val="Date"/>
    <w:basedOn w:val="1"/>
    <w:next w:val="1"/>
    <w:link w:val="64"/>
    <w:unhideWhenUsed/>
    <w:qFormat/>
    <w:uiPriority w:val="99"/>
    <w:pPr>
      <w:ind w:left="100" w:leftChars="2500"/>
    </w:pPr>
  </w:style>
  <w:style w:type="paragraph" w:styleId="23">
    <w:name w:val="Balloon Text"/>
    <w:basedOn w:val="1"/>
    <w:link w:val="42"/>
    <w:unhideWhenUsed/>
    <w:qFormat/>
    <w:uiPriority w:val="99"/>
    <w:pPr>
      <w:spacing w:after="0" w:line="240" w:lineRule="auto"/>
    </w:pPr>
    <w:rPr>
      <w:rFonts w:ascii="Tahoma" w:hAnsi="Tahoma"/>
      <w:sz w:val="16"/>
      <w:szCs w:val="16"/>
    </w:rPr>
  </w:style>
  <w:style w:type="paragraph" w:styleId="24">
    <w:name w:val="footer"/>
    <w:basedOn w:val="1"/>
    <w:link w:val="45"/>
    <w:unhideWhenUsed/>
    <w:qFormat/>
    <w:uiPriority w:val="99"/>
    <w:pPr>
      <w:tabs>
        <w:tab w:val="center" w:pos="4153"/>
        <w:tab w:val="right" w:pos="8306"/>
      </w:tabs>
      <w:spacing w:line="240" w:lineRule="auto"/>
    </w:pPr>
    <w:rPr>
      <w:sz w:val="18"/>
      <w:szCs w:val="18"/>
    </w:rPr>
  </w:style>
  <w:style w:type="paragraph" w:styleId="25">
    <w:name w:val="header"/>
    <w:basedOn w:val="1"/>
    <w:link w:val="91"/>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1"/>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8"/>
    <w:next w:val="18"/>
    <w:link w:val="48"/>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字符"/>
    <w:link w:val="23"/>
    <w:semiHidden/>
    <w:qFormat/>
    <w:uiPriority w:val="99"/>
    <w:rPr>
      <w:rFonts w:ascii="Tahoma" w:hAnsi="Tahoma" w:cs="Tahoma"/>
      <w:sz w:val="16"/>
      <w:szCs w:val="16"/>
    </w:rPr>
  </w:style>
  <w:style w:type="character" w:customStyle="1" w:styleId="43">
    <w:name w:val="quote1"/>
    <w:qFormat/>
    <w:uiPriority w:val="0"/>
    <w:rPr>
      <w:color w:val="6B6B6B"/>
      <w:sz w:val="18"/>
      <w:szCs w:val="18"/>
    </w:rPr>
  </w:style>
  <w:style w:type="character" w:customStyle="1" w:styleId="44">
    <w:name w:val="font41"/>
    <w:qFormat/>
    <w:uiPriority w:val="0"/>
    <w:rPr>
      <w:rFonts w:hint="default" w:ascii="Times New Roman" w:hAnsi="Times New Roman" w:cs="Times New Roman"/>
      <w:color w:val="000000"/>
      <w:sz w:val="20"/>
      <w:szCs w:val="20"/>
      <w:u w:val="none"/>
    </w:rPr>
  </w:style>
  <w:style w:type="character" w:customStyle="1" w:styleId="45">
    <w:name w:val="页脚 字符"/>
    <w:link w:val="24"/>
    <w:qFormat/>
    <w:uiPriority w:val="99"/>
    <w:rPr>
      <w:sz w:val="18"/>
      <w:szCs w:val="18"/>
    </w:rPr>
  </w:style>
  <w:style w:type="character" w:customStyle="1" w:styleId="46">
    <w:name w:val="countx"/>
    <w:qFormat/>
    <w:uiPriority w:val="0"/>
    <w:rPr>
      <w:sz w:val="18"/>
      <w:szCs w:val="18"/>
    </w:rPr>
  </w:style>
  <w:style w:type="character" w:customStyle="1" w:styleId="47">
    <w:name w:val="hover6"/>
    <w:qFormat/>
    <w:uiPriority w:val="0"/>
    <w:rPr>
      <w:color w:val="FC5531"/>
      <w:bdr w:val="single" w:color="FC5531" w:sz="6" w:space="0"/>
    </w:rPr>
  </w:style>
  <w:style w:type="character" w:customStyle="1" w:styleId="48">
    <w:name w:val="批注主题 字符"/>
    <w:link w:val="29"/>
    <w:semiHidden/>
    <w:qFormat/>
    <w:uiPriority w:val="99"/>
    <w:rPr>
      <w:b/>
      <w:bCs/>
    </w:rPr>
  </w:style>
  <w:style w:type="character" w:customStyle="1" w:styleId="49">
    <w:name w:val="tip"/>
    <w:qFormat/>
    <w:uiPriority w:val="0"/>
    <w:rPr>
      <w:color w:val="999AAA"/>
      <w:sz w:val="18"/>
      <w:szCs w:val="18"/>
    </w:rPr>
  </w:style>
  <w:style w:type="character" w:customStyle="1" w:styleId="50">
    <w:name w:val="0 Main text Char"/>
    <w:link w:val="51"/>
    <w:qFormat/>
    <w:locked/>
    <w:uiPriority w:val="0"/>
    <w:rPr>
      <w:lang w:val="en-GB" w:eastAsia="en-US"/>
    </w:rPr>
  </w:style>
  <w:style w:type="paragraph" w:customStyle="1" w:styleId="51">
    <w:name w:val="0 Main text"/>
    <w:basedOn w:val="1"/>
    <w:link w:val="50"/>
    <w:qFormat/>
    <w:uiPriority w:val="0"/>
    <w:pPr>
      <w:snapToGrid/>
      <w:spacing w:after="0"/>
    </w:pPr>
    <w:rPr>
      <w:szCs w:val="20"/>
      <w:lang w:val="en-GB" w:eastAsia="en-US"/>
    </w:rPr>
  </w:style>
  <w:style w:type="character" w:customStyle="1" w:styleId="52">
    <w:name w:val="ZGSM"/>
    <w:qFormat/>
    <w:uiPriority w:val="0"/>
  </w:style>
  <w:style w:type="character" w:customStyle="1" w:styleId="53">
    <w:name w:val="text10"/>
    <w:qFormat/>
    <w:uiPriority w:val="0"/>
    <w:rPr>
      <w:vertAlign w:val="superscript"/>
    </w:rPr>
  </w:style>
  <w:style w:type="character" w:customStyle="1" w:styleId="54">
    <w:name w:val="red"/>
    <w:qFormat/>
    <w:uiPriority w:val="0"/>
    <w:rPr>
      <w:color w:val="FF0000"/>
    </w:rPr>
  </w:style>
  <w:style w:type="character" w:customStyle="1" w:styleId="55">
    <w:name w:val="标题 1 字符"/>
    <w:link w:val="2"/>
    <w:qFormat/>
    <w:uiPriority w:val="99"/>
    <w:rPr>
      <w:rFonts w:ascii="Arial" w:hAnsi="Arial" w:eastAsia="黑体"/>
      <w:b/>
      <w:bCs/>
      <w:sz w:val="30"/>
      <w:szCs w:val="30"/>
      <w:lang w:val="zh-CN"/>
    </w:rPr>
  </w:style>
  <w:style w:type="character" w:customStyle="1" w:styleId="56">
    <w:name w:val="10"/>
    <w:qFormat/>
    <w:uiPriority w:val="0"/>
    <w:rPr>
      <w:rFonts w:hint="default" w:ascii="Times New Roman" w:hAnsi="Times New Roman" w:cs="Times New Roman"/>
    </w:rPr>
  </w:style>
  <w:style w:type="character" w:customStyle="1" w:styleId="57">
    <w:name w:val="题注 字符"/>
    <w:link w:val="15"/>
    <w:qFormat/>
    <w:uiPriority w:val="0"/>
    <w:rPr>
      <w:rFonts w:ascii="Times New Roman" w:hAnsi="Times New Roman"/>
      <w:b/>
      <w:bCs/>
      <w:lang w:val="en-GB" w:eastAsia="sv-SE"/>
    </w:rPr>
  </w:style>
  <w:style w:type="character" w:customStyle="1" w:styleId="58">
    <w:name w:val="def3"/>
    <w:qFormat/>
    <w:uiPriority w:val="0"/>
    <w:rPr>
      <w:color w:val="313131"/>
    </w:rPr>
  </w:style>
  <w:style w:type="character" w:customStyle="1" w:styleId="59">
    <w:name w:val="引用1"/>
    <w:qFormat/>
    <w:uiPriority w:val="0"/>
    <w:rPr>
      <w:color w:val="6B6B6B"/>
      <w:sz w:val="18"/>
      <w:szCs w:val="18"/>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_Style 42"/>
    <w:basedOn w:val="1"/>
    <w:next w:val="1"/>
    <w:link w:val="6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2">
    <w:name w:val="advert-count-people"/>
    <w:qFormat/>
    <w:uiPriority w:val="0"/>
    <w:rPr>
      <w:color w:val="FC5531"/>
      <w:sz w:val="21"/>
      <w:szCs w:val="21"/>
    </w:rPr>
  </w:style>
  <w:style w:type="character" w:customStyle="1" w:styleId="63">
    <w:name w:val="hot-word-count"/>
    <w:qFormat/>
    <w:uiPriority w:val="0"/>
    <w:rPr>
      <w:color w:val="FC5531"/>
    </w:rPr>
  </w:style>
  <w:style w:type="character" w:customStyle="1" w:styleId="64">
    <w:name w:val="日期 字符"/>
    <w:link w:val="22"/>
    <w:semiHidden/>
    <w:qFormat/>
    <w:uiPriority w:val="99"/>
    <w:rPr>
      <w:sz w:val="22"/>
      <w:szCs w:val="22"/>
    </w:rPr>
  </w:style>
  <w:style w:type="character" w:customStyle="1" w:styleId="65">
    <w:name w:val="标题 4 字符"/>
    <w:link w:val="5"/>
    <w:qFormat/>
    <w:uiPriority w:val="0"/>
    <w:rPr>
      <w:rFonts w:ascii="Arial" w:hAnsi="Arial" w:eastAsia="黑体"/>
      <w:b/>
      <w:bCs/>
      <w:sz w:val="21"/>
      <w:szCs w:val="21"/>
      <w:lang w:val="en-GB"/>
    </w:rPr>
  </w:style>
  <w:style w:type="character" w:customStyle="1" w:styleId="66">
    <w:name w:val="hps"/>
    <w:qFormat/>
    <w:uiPriority w:val="0"/>
  </w:style>
  <w:style w:type="character" w:customStyle="1" w:styleId="67">
    <w:name w:val="toolbar-adver-btn"/>
    <w:qFormat/>
    <w:uiPriority w:val="0"/>
    <w:rPr>
      <w:color w:val="FFFFFF"/>
      <w:sz w:val="33"/>
      <w:szCs w:val="33"/>
    </w:rPr>
  </w:style>
  <w:style w:type="character" w:customStyle="1" w:styleId="68">
    <w:name w:val="标题 5 字符"/>
    <w:link w:val="6"/>
    <w:qFormat/>
    <w:uiPriority w:val="0"/>
    <w:rPr>
      <w:rFonts w:ascii="Arial" w:hAnsi="Arial" w:eastAsia="黑体"/>
      <w:bCs/>
      <w:sz w:val="24"/>
      <w:szCs w:val="24"/>
      <w:lang w:val="en-GB"/>
    </w:rPr>
  </w:style>
  <w:style w:type="character" w:customStyle="1" w:styleId="69">
    <w:name w:val="正文文本 字符"/>
    <w:link w:val="19"/>
    <w:qFormat/>
    <w:uiPriority w:val="0"/>
    <w:rPr>
      <w:rFonts w:ascii="Times New Roman" w:hAnsi="Times New Roman"/>
      <w:color w:val="0000FF"/>
      <w:kern w:val="2"/>
      <w:sz w:val="21"/>
    </w:rPr>
  </w:style>
  <w:style w:type="character" w:customStyle="1" w:styleId="70">
    <w:name w:val="choosed"/>
    <w:qFormat/>
    <w:uiPriority w:val="0"/>
    <w:rPr>
      <w:color w:val="FC5531"/>
      <w:bdr w:val="single" w:color="FC5531" w:sz="6" w:space="0"/>
    </w:rPr>
  </w:style>
  <w:style w:type="character" w:customStyle="1" w:styleId="71">
    <w:name w:val="via2"/>
    <w:qFormat/>
    <w:uiPriority w:val="0"/>
    <w:rPr>
      <w:vanish/>
      <w:color w:val="959595"/>
    </w:rPr>
  </w:style>
  <w:style w:type="character" w:customStyle="1" w:styleId="72">
    <w:name w:val="nth-child(3n+1)"/>
    <w:qFormat/>
    <w:uiPriority w:val="0"/>
  </w:style>
  <w:style w:type="character" w:customStyle="1" w:styleId="73">
    <w:name w:val="count1"/>
    <w:qFormat/>
    <w:uiPriority w:val="0"/>
    <w:rPr>
      <w:color w:val="555666"/>
      <w:sz w:val="21"/>
      <w:szCs w:val="21"/>
    </w:rPr>
  </w:style>
  <w:style w:type="character" w:customStyle="1" w:styleId="74">
    <w:name w:val="reward-close"/>
    <w:qFormat/>
    <w:uiPriority w:val="0"/>
  </w:style>
  <w:style w:type="character" w:customStyle="1" w:styleId="75">
    <w:name w:val="txt"/>
    <w:qFormat/>
    <w:uiPriority w:val="0"/>
  </w:style>
  <w:style w:type="character" w:customStyle="1" w:styleId="76">
    <w:name w:val="B1 (文字)"/>
    <w:link w:val="77"/>
    <w:qFormat/>
    <w:locked/>
    <w:uiPriority w:val="0"/>
    <w:rPr>
      <w:rFonts w:ascii="Times New Roman" w:hAnsi="Times New Roman" w:eastAsia="宋体"/>
      <w:lang w:val="en-GB" w:eastAsia="en-US"/>
    </w:rPr>
  </w:style>
  <w:style w:type="paragraph" w:customStyle="1" w:styleId="77">
    <w:name w:val="B1"/>
    <w:basedOn w:val="13"/>
    <w:link w:val="76"/>
    <w:qFormat/>
    <w:uiPriority w:val="0"/>
    <w:pPr>
      <w:spacing w:after="180" w:line="240" w:lineRule="auto"/>
      <w:ind w:left="568" w:hanging="284" w:firstLineChars="0"/>
    </w:pPr>
    <w:rPr>
      <w:szCs w:val="20"/>
      <w:lang w:val="en-GB" w:eastAsia="en-US"/>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after="180" w:line="240" w:lineRule="auto"/>
      <w:jc w:val="center"/>
    </w:pPr>
    <w:rPr>
      <w:rFonts w:ascii="Arial" w:hAnsi="Arial"/>
      <w:b/>
      <w:szCs w:val="20"/>
      <w:lang w:val="en-GB" w:eastAsia="en-US"/>
    </w:rPr>
  </w:style>
  <w:style w:type="character" w:customStyle="1" w:styleId="80">
    <w:name w:val="标题 2 字符"/>
    <w:link w:val="3"/>
    <w:qFormat/>
    <w:uiPriority w:val="0"/>
    <w:rPr>
      <w:rFonts w:ascii="Arial" w:hAnsi="Arial" w:eastAsia="黑体"/>
      <w:b/>
      <w:sz w:val="28"/>
      <w:szCs w:val="28"/>
      <w:lang w:val="zh-CN"/>
    </w:rPr>
  </w:style>
  <w:style w:type="character" w:customStyle="1" w:styleId="81">
    <w:name w:val="标题 3 字符"/>
    <w:link w:val="4"/>
    <w:qFormat/>
    <w:uiPriority w:val="9"/>
    <w:rPr>
      <w:rFonts w:ascii="Arial" w:hAnsi="Arial" w:eastAsia="黑体"/>
      <w:b/>
      <w:bCs/>
      <w:sz w:val="24"/>
      <w:szCs w:val="32"/>
      <w:lang w:val="zh-CN"/>
    </w:rPr>
  </w:style>
  <w:style w:type="character" w:customStyle="1" w:styleId="82">
    <w:name w:val="TAH Car"/>
    <w:qFormat/>
    <w:locked/>
    <w:uiPriority w:val="0"/>
    <w:rPr>
      <w:rFonts w:ascii="Arial" w:hAnsi="Arial" w:eastAsia="Times New Roman"/>
      <w:b/>
      <w:sz w:val="18"/>
    </w:rPr>
  </w:style>
  <w:style w:type="character" w:customStyle="1" w:styleId="83">
    <w:name w:val="文档结构图 字符"/>
    <w:link w:val="17"/>
    <w:semiHidden/>
    <w:qFormat/>
    <w:uiPriority w:val="99"/>
    <w:rPr>
      <w:rFonts w:ascii="宋体"/>
      <w:sz w:val="18"/>
      <w:szCs w:val="18"/>
    </w:rPr>
  </w:style>
  <w:style w:type="character" w:customStyle="1" w:styleId="84">
    <w:name w:val="批注文字 字符"/>
    <w:link w:val="18"/>
    <w:qFormat/>
    <w:uiPriority w:val="99"/>
  </w:style>
  <w:style w:type="character" w:customStyle="1" w:styleId="85">
    <w:name w:val="列表段落 字符"/>
    <w:link w:val="86"/>
    <w:qFormat/>
    <w:locked/>
    <w:uiPriority w:val="34"/>
    <w:rPr>
      <w:rFonts w:ascii="Times New Roman" w:hAnsi="Times New Roman"/>
      <w:kern w:val="2"/>
      <w:sz w:val="21"/>
      <w:szCs w:val="24"/>
    </w:rPr>
  </w:style>
  <w:style w:type="paragraph" w:styleId="86">
    <w:name w:val="List Paragraph"/>
    <w:basedOn w:val="1"/>
    <w:link w:val="85"/>
    <w:qFormat/>
    <w:uiPriority w:val="34"/>
    <w:pPr>
      <w:widowControl w:val="0"/>
      <w:spacing w:after="0" w:line="240" w:lineRule="auto"/>
      <w:ind w:firstLine="420" w:firstLineChars="200"/>
    </w:pPr>
    <w:rPr>
      <w:rFonts w:ascii="Calibri" w:hAnsi="Calibri" w:eastAsia="Calibri"/>
      <w:sz w:val="22"/>
    </w:rPr>
  </w:style>
  <w:style w:type="character" w:customStyle="1" w:styleId="87">
    <w:name w:val="正文文本缩进 字符"/>
    <w:link w:val="20"/>
    <w:qFormat/>
    <w:uiPriority w:val="99"/>
    <w:rPr>
      <w:sz w:val="22"/>
      <w:szCs w:val="22"/>
    </w:rPr>
  </w:style>
  <w:style w:type="character" w:customStyle="1" w:styleId="88">
    <w:name w:val="15"/>
    <w:qFormat/>
    <w:uiPriority w:val="0"/>
    <w:rPr>
      <w:rFonts w:hint="default" w:ascii="Times New Roman" w:hAnsi="Times New Roman" w:cs="Times New Roman"/>
    </w:rPr>
  </w:style>
  <w:style w:type="character" w:customStyle="1" w:styleId="89">
    <w:name w:val="纯文本 字符"/>
    <w:link w:val="21"/>
    <w:qFormat/>
    <w:uiPriority w:val="99"/>
    <w:rPr>
      <w:rFonts w:eastAsia="Calibri"/>
      <w:sz w:val="22"/>
      <w:szCs w:val="21"/>
      <w:lang w:val="en-GB" w:eastAsia="en-US"/>
    </w:rPr>
  </w:style>
  <w:style w:type="character" w:customStyle="1" w:styleId="90">
    <w:name w:val="font21"/>
    <w:qFormat/>
    <w:uiPriority w:val="0"/>
    <w:rPr>
      <w:rFonts w:hint="default" w:ascii="Times New Roman" w:hAnsi="Times New Roman" w:cs="Times New Roman"/>
      <w:color w:val="000000"/>
      <w:sz w:val="22"/>
      <w:szCs w:val="22"/>
      <w:u w:val="none"/>
    </w:rPr>
  </w:style>
  <w:style w:type="character" w:customStyle="1" w:styleId="91">
    <w:name w:val="页眉 字符"/>
    <w:link w:val="25"/>
    <w:qFormat/>
    <w:uiPriority w:val="99"/>
    <w:rPr>
      <w:rFonts w:ascii="Arial" w:hAnsi="Arial" w:eastAsia="MS Mincho"/>
      <w:b/>
      <w:szCs w:val="24"/>
      <w:lang w:eastAsia="en-US"/>
    </w:rPr>
  </w:style>
  <w:style w:type="character" w:customStyle="1" w:styleId="92">
    <w:name w:val="count"/>
    <w:qFormat/>
    <w:uiPriority w:val="0"/>
    <w:rPr>
      <w:color w:val="999AAA"/>
      <w:sz w:val="18"/>
      <w:szCs w:val="18"/>
    </w:rPr>
  </w:style>
  <w:style w:type="character" w:customStyle="1" w:styleId="93">
    <w:name w:val="keyword"/>
    <w:qFormat/>
    <w:uiPriority w:val="0"/>
  </w:style>
  <w:style w:type="character" w:customStyle="1" w:styleId="94">
    <w:name w:val="name10"/>
    <w:qFormat/>
    <w:uiPriority w:val="0"/>
    <w:rPr>
      <w:color w:val="555666"/>
      <w:sz w:val="21"/>
      <w:szCs w:val="21"/>
    </w:rPr>
  </w:style>
  <w:style w:type="character" w:customStyle="1" w:styleId="95">
    <w:name w:val="short_text"/>
    <w:qFormat/>
    <w:uiPriority w:val="0"/>
  </w:style>
  <w:style w:type="character" w:customStyle="1" w:styleId="96">
    <w:name w:val="Doc-text2 Char"/>
    <w:link w:val="97"/>
    <w:qFormat/>
    <w:uiPriority w:val="0"/>
    <w:rPr>
      <w:rFonts w:ascii="Arial" w:hAnsi="Arial" w:eastAsia="MS Mincho"/>
      <w:szCs w:val="24"/>
      <w:lang w:val="en-GB" w:eastAsia="en-GB"/>
    </w:rPr>
  </w:style>
  <w:style w:type="paragraph" w:customStyle="1" w:styleId="97">
    <w:name w:val="Doc-text2"/>
    <w:basedOn w:val="1"/>
    <w:link w:val="96"/>
    <w:qFormat/>
    <w:uiPriority w:val="0"/>
    <w:pPr>
      <w:tabs>
        <w:tab w:val="left" w:pos="1622"/>
      </w:tabs>
      <w:spacing w:after="0" w:line="240" w:lineRule="auto"/>
      <w:ind w:left="1622" w:hanging="363"/>
    </w:pPr>
    <w:rPr>
      <w:rFonts w:ascii="Arial" w:hAnsi="Arial"/>
      <w:szCs w:val="24"/>
      <w:lang w:val="en-GB" w:eastAsia="en-GB"/>
    </w:rPr>
  </w:style>
  <w:style w:type="character" w:customStyle="1" w:styleId="98">
    <w:name w:val="TAH Char"/>
    <w:link w:val="99"/>
    <w:qFormat/>
    <w:locked/>
    <w:uiPriority w:val="0"/>
    <w:rPr>
      <w:rFonts w:ascii="Arial" w:hAnsi="Arial"/>
      <w:b/>
      <w:sz w:val="18"/>
      <w:lang w:val="en-GB" w:eastAsia="en-US"/>
    </w:rPr>
  </w:style>
  <w:style w:type="paragraph" w:customStyle="1" w:styleId="99">
    <w:name w:val="TAH"/>
    <w:basedOn w:val="100"/>
    <w:link w:val="98"/>
    <w:qFormat/>
    <w:uiPriority w:val="0"/>
    <w:rPr>
      <w:b/>
    </w:rPr>
  </w:style>
  <w:style w:type="paragraph" w:customStyle="1" w:styleId="100">
    <w:name w:val="TAC"/>
    <w:basedOn w:val="101"/>
    <w:qFormat/>
    <w:uiPriority w:val="0"/>
    <w:pPr>
      <w:spacing w:line="240" w:lineRule="auto"/>
      <w:jc w:val="center"/>
    </w:pPr>
    <w:rPr>
      <w:szCs w:val="20"/>
      <w:lang w:val="en-GB" w:eastAsia="en-US"/>
    </w:rPr>
  </w:style>
  <w:style w:type="paragraph" w:customStyle="1" w:styleId="101">
    <w:name w:val="TAL"/>
    <w:basedOn w:val="1"/>
    <w:qFormat/>
    <w:uiPriority w:val="0"/>
    <w:pPr>
      <w:keepNext/>
      <w:keepLines/>
      <w:spacing w:after="0"/>
    </w:pPr>
    <w:rPr>
      <w:rFonts w:ascii="Arial" w:hAnsi="Arial"/>
      <w:sz w:val="18"/>
    </w:rPr>
  </w:style>
  <w:style w:type="character" w:customStyle="1" w:styleId="102">
    <w:name w:val="quote2"/>
    <w:qFormat/>
    <w:uiPriority w:val="0"/>
    <w:rPr>
      <w:color w:val="6B6B6B"/>
      <w:sz w:val="18"/>
      <w:szCs w:val="18"/>
    </w:rPr>
  </w:style>
  <w:style w:type="character" w:customStyle="1" w:styleId="103">
    <w:name w:val="font11"/>
    <w:qFormat/>
    <w:uiPriority w:val="0"/>
    <w:rPr>
      <w:rFonts w:hint="default" w:ascii="Times New Roman" w:hAnsi="Times New Roman" w:cs="Times New Roman"/>
      <w:color w:val="000000"/>
      <w:sz w:val="22"/>
      <w:szCs w:val="22"/>
      <w:u w:val="none"/>
    </w:rPr>
  </w:style>
  <w:style w:type="character" w:customStyle="1" w:styleId="104">
    <w:name w:val="hot-word-bar"/>
    <w:qFormat/>
    <w:uiPriority w:val="0"/>
    <w:rPr>
      <w:shd w:val="clear" w:color="auto" w:fill="B1B1B1"/>
    </w:rPr>
  </w:style>
  <w:style w:type="character" w:customStyle="1" w:styleId="105">
    <w:name w:val="font01"/>
    <w:qFormat/>
    <w:uiPriority w:val="0"/>
    <w:rPr>
      <w:rFonts w:hint="default" w:ascii="Times New Roman" w:hAnsi="Times New Roman" w:cs="Times New Roman"/>
      <w:color w:val="000000"/>
      <w:sz w:val="20"/>
      <w:szCs w:val="20"/>
      <w:u w:val="none"/>
      <w:vertAlign w:val="superscript"/>
    </w:rPr>
  </w:style>
  <w:style w:type="character" w:customStyle="1" w:styleId="106">
    <w:name w:val="advert-money"/>
    <w:qFormat/>
    <w:uiPriority w:val="0"/>
    <w:rPr>
      <w:b/>
      <w:color w:val="FC5531"/>
      <w:sz w:val="24"/>
      <w:szCs w:val="24"/>
    </w:rPr>
  </w:style>
  <w:style w:type="character" w:customStyle="1" w:styleId="107">
    <w:name w:val="quote3"/>
    <w:qFormat/>
    <w:uiPriority w:val="0"/>
    <w:rPr>
      <w:color w:val="6B6B6B"/>
      <w:sz w:val="18"/>
      <w:szCs w:val="18"/>
    </w:rPr>
  </w:style>
  <w:style w:type="character" w:customStyle="1" w:styleId="108">
    <w:name w:val="fontstyle01"/>
    <w:qFormat/>
    <w:uiPriority w:val="0"/>
    <w:rPr>
      <w:rFonts w:hint="default" w:ascii="TimesNewRomanPSMT" w:hAnsi="TimesNewRomanPSMT"/>
      <w:color w:val="000000"/>
      <w:sz w:val="20"/>
      <w:szCs w:val="20"/>
    </w:rPr>
  </w:style>
  <w:style w:type="character" w:customStyle="1" w:styleId="109">
    <w:name w:val="apple-converted-space"/>
    <w:qFormat/>
    <w:uiPriority w:val="0"/>
  </w:style>
  <w:style w:type="character" w:customStyle="1" w:styleId="110">
    <w:name w:val="z-窗体底端 Char"/>
    <w:link w:val="111"/>
    <w:semiHidden/>
    <w:qFormat/>
    <w:uiPriority w:val="99"/>
    <w:rPr>
      <w:rFonts w:ascii="Arial" w:hAnsi="Arial" w:cs="Arial"/>
      <w:vanish/>
      <w:sz w:val="16"/>
      <w:szCs w:val="16"/>
    </w:rPr>
  </w:style>
  <w:style w:type="paragraph" w:customStyle="1" w:styleId="111">
    <w:name w:val="_Style 43"/>
    <w:basedOn w:val="1"/>
    <w:next w:val="1"/>
    <w:link w:val="110"/>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2">
    <w:name w:val="B4"/>
    <w:basedOn w:val="27"/>
    <w:qFormat/>
    <w:uiPriority w:val="0"/>
  </w:style>
  <w:style w:type="paragraph" w:customStyle="1" w:styleId="113">
    <w:name w:val="_Style 112"/>
    <w:unhideWhenUsed/>
    <w:qFormat/>
    <w:uiPriority w:val="99"/>
    <w:rPr>
      <w:rFonts w:ascii="Times New Roman" w:hAnsi="Times New Roman" w:eastAsia="宋体" w:cs="Times New Roman"/>
      <w:szCs w:val="22"/>
      <w:lang w:val="en-US" w:eastAsia="zh-CN" w:bidi="ar-SA"/>
    </w:rPr>
  </w:style>
  <w:style w:type="paragraph" w:customStyle="1" w:styleId="114">
    <w:name w:val="TF"/>
    <w:basedOn w:val="79"/>
    <w:qFormat/>
    <w:uiPriority w:val="0"/>
    <w:pPr>
      <w:keepNext w:val="0"/>
      <w:spacing w:before="0" w:after="240"/>
    </w:pPr>
  </w:style>
  <w:style w:type="paragraph" w:customStyle="1" w:styleId="115">
    <w:name w:val="Observation"/>
    <w:basedOn w:val="116"/>
    <w:qFormat/>
    <w:uiPriority w:val="0"/>
    <w:pPr>
      <w:numPr>
        <w:ilvl w:val="0"/>
        <w:numId w:val="3"/>
      </w:numPr>
      <w:tabs>
        <w:tab w:val="left" w:pos="1701"/>
      </w:tabs>
      <w:ind w:left="1701" w:hanging="1701"/>
    </w:pPr>
    <w:rPr>
      <w:lang w:eastAsia="ja-JP"/>
    </w:rPr>
  </w:style>
  <w:style w:type="paragraph" w:customStyle="1" w:styleId="116">
    <w:name w:val="Proposal"/>
    <w:basedOn w:val="19"/>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tableheader"/>
    <w:basedOn w:val="1"/>
    <w:qFormat/>
    <w:uiPriority w:val="0"/>
    <w:pPr>
      <w:spacing w:before="40" w:after="40" w:line="240" w:lineRule="auto"/>
      <w:jc w:val="center"/>
    </w:pPr>
    <w:rPr>
      <w:rFonts w:cs="Calibri"/>
      <w:b/>
      <w:bCs/>
      <w:color w:val="000000"/>
      <w:lang w:eastAsia="en-US"/>
    </w:rPr>
  </w:style>
  <w:style w:type="paragraph" w:customStyle="1" w:styleId="118">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19">
    <w:name w:val="tablecell"/>
    <w:basedOn w:val="1"/>
    <w:qFormat/>
    <w:uiPriority w:val="0"/>
    <w:pPr>
      <w:autoSpaceDE w:val="0"/>
      <w:autoSpaceDN w:val="0"/>
      <w:adjustRightInd w:val="0"/>
      <w:spacing w:before="40" w:after="40" w:line="240" w:lineRule="auto"/>
    </w:pPr>
    <w:rPr>
      <w:lang w:eastAsia="en-US"/>
    </w:rPr>
  </w:style>
  <w:style w:type="paragraph" w:customStyle="1" w:styleId="120">
    <w:name w:val="B2"/>
    <w:basedOn w:val="12"/>
    <w:qFormat/>
    <w:uiPriority w:val="0"/>
  </w:style>
  <w:style w:type="paragraph" w:customStyle="1" w:styleId="121">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3">
    <w:name w:val="CR Cover Page"/>
    <w:qFormat/>
    <w:uiPriority w:val="0"/>
    <w:pPr>
      <w:spacing w:after="120" w:line="259" w:lineRule="auto"/>
    </w:pPr>
    <w:rPr>
      <w:rFonts w:ascii="Arial" w:hAnsi="Arial" w:eastAsia="宋体" w:cs="Times New Roman"/>
      <w:lang w:val="en-GB" w:eastAsia="en-US" w:bidi="ar-SA"/>
    </w:rPr>
  </w:style>
  <w:style w:type="paragraph" w:customStyle="1" w:styleId="124">
    <w:name w:val="_Style 1"/>
    <w:basedOn w:val="1"/>
    <w:qFormat/>
    <w:uiPriority w:val="34"/>
    <w:pPr>
      <w:widowControl w:val="0"/>
      <w:spacing w:after="0" w:line="240" w:lineRule="auto"/>
      <w:ind w:firstLine="420" w:firstLineChars="200"/>
    </w:pPr>
    <w:rPr>
      <w:kern w:val="2"/>
      <w:sz w:val="21"/>
      <w:szCs w:val="24"/>
    </w:rPr>
  </w:style>
  <w:style w:type="paragraph" w:customStyle="1" w:styleId="12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7">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8">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29">
    <w:name w:val="EX"/>
    <w:basedOn w:val="1"/>
    <w:qFormat/>
    <w:uiPriority w:val="99"/>
    <w:pPr>
      <w:keepLines/>
      <w:ind w:left="1702" w:hanging="1418"/>
    </w:pPr>
  </w:style>
  <w:style w:type="paragraph" w:customStyle="1" w:styleId="130">
    <w:name w:val="B3"/>
    <w:basedOn w:val="11"/>
    <w:qFormat/>
    <w:uiPriority w:val="0"/>
  </w:style>
  <w:style w:type="paragraph" w:customStyle="1" w:styleId="13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2">
    <w:name w:val="Test"/>
    <w:basedOn w:val="1"/>
    <w:qFormat/>
    <w:uiPriority w:val="0"/>
    <w:pPr>
      <w:spacing w:before="60" w:after="60" w:line="280" w:lineRule="atLeast"/>
      <w:ind w:left="2160"/>
    </w:pPr>
    <w:rPr>
      <w:szCs w:val="20"/>
      <w:lang w:val="en-GB" w:eastAsia="en-US"/>
    </w:rPr>
  </w:style>
  <w:style w:type="paragraph" w:customStyle="1" w:styleId="133">
    <w:name w:val="References"/>
    <w:basedOn w:val="1"/>
    <w:qFormat/>
    <w:uiPriority w:val="0"/>
    <w:pPr>
      <w:numPr>
        <w:ilvl w:val="0"/>
        <w:numId w:val="4"/>
      </w:numPr>
      <w:autoSpaceDE w:val="0"/>
      <w:autoSpaceDN w:val="0"/>
      <w:spacing w:after="60"/>
    </w:pPr>
    <w:rPr>
      <w:szCs w:val="16"/>
      <w:lang w:eastAsia="en-US"/>
    </w:rPr>
  </w:style>
  <w:style w:type="paragraph" w:customStyle="1" w:styleId="134">
    <w:name w:val="列出段落1"/>
    <w:basedOn w:val="1"/>
    <w:qFormat/>
    <w:uiPriority w:val="72"/>
    <w:pPr>
      <w:spacing w:after="0"/>
      <w:ind w:firstLine="420" w:firstLineChars="200"/>
    </w:pPr>
    <w:rPr>
      <w:rFonts w:ascii="宋体" w:hAnsi="宋体"/>
      <w:sz w:val="24"/>
      <w:szCs w:val="24"/>
    </w:rPr>
  </w:style>
  <w:style w:type="paragraph" w:customStyle="1" w:styleId="135">
    <w:name w:val="EQ"/>
    <w:basedOn w:val="1"/>
    <w:next w:val="1"/>
    <w:qFormat/>
    <w:uiPriority w:val="0"/>
    <w:pPr>
      <w:keepLines/>
      <w:tabs>
        <w:tab w:val="center" w:pos="4536"/>
        <w:tab w:val="right" w:pos="9072"/>
      </w:tabs>
    </w:pPr>
  </w:style>
  <w:style w:type="paragraph" w:customStyle="1" w:styleId="136">
    <w:name w:val="Agreement"/>
    <w:basedOn w:val="1"/>
    <w:next w:val="97"/>
    <w:qFormat/>
    <w:uiPriority w:val="0"/>
    <w:pPr>
      <w:numPr>
        <w:ilvl w:val="0"/>
        <w:numId w:val="5"/>
      </w:numPr>
      <w:spacing w:before="60"/>
    </w:pPr>
    <w:rPr>
      <w:b/>
    </w:rPr>
  </w:style>
  <w:style w:type="paragraph" w:customStyle="1" w:styleId="137">
    <w:name w:val="TAR"/>
    <w:basedOn w:val="101"/>
    <w:qFormat/>
    <w:uiPriority w:val="0"/>
    <w:pPr>
      <w:jc w:val="right"/>
    </w:pPr>
  </w:style>
  <w:style w:type="paragraph" w:customStyle="1" w:styleId="138">
    <w:name w:val="EW"/>
    <w:basedOn w:val="129"/>
    <w:qFormat/>
    <w:uiPriority w:val="0"/>
    <w:pPr>
      <w:spacing w:after="0"/>
    </w:pPr>
  </w:style>
  <w:style w:type="paragraph" w:customStyle="1" w:styleId="139">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0">
    <w:name w:val="List Paragraph2"/>
    <w:basedOn w:val="1"/>
    <w:qFormat/>
    <w:uiPriority w:val="34"/>
    <w:pPr>
      <w:spacing w:after="0"/>
      <w:ind w:left="720"/>
    </w:pPr>
    <w:rPr>
      <w:rFonts w:ascii="Calibri" w:hAnsi="Calibri" w:eastAsia="Calibri"/>
      <w:sz w:val="22"/>
    </w:rPr>
  </w:style>
  <w:style w:type="paragraph" w:customStyle="1" w:styleId="141">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2">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3">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
    <w:basedOn w:val="3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7">
    <w:name w:val="批注文字 Char1"/>
    <w:basedOn w:val="32"/>
    <w:qFormat/>
    <w:uiPriority w:val="0"/>
    <w:rPr>
      <w:rFonts w:hint="default" w:ascii="Times New Roman" w:hAnsi="Times New Roman" w:eastAsia="Times New Roman" w:cs="Times New Roman"/>
      <w:szCs w:val="22"/>
    </w:rPr>
  </w:style>
  <w:style w:type="paragraph" w:customStyle="1" w:styleId="148">
    <w:name w:val="列出段落"/>
    <w:basedOn w:val="1"/>
    <w:qFormat/>
    <w:uiPriority w:val="0"/>
    <w:pPr>
      <w:spacing w:before="0" w:after="0" w:line="256" w:lineRule="auto"/>
      <w:ind w:left="840" w:leftChars="400"/>
      <w:jc w:val="left"/>
    </w:pPr>
    <w:rPr>
      <w:rFonts w:ascii="Times" w:hAnsi="Times" w:eastAsia="Batang"/>
      <w:szCs w:val="24"/>
    </w:rPr>
  </w:style>
  <w:style w:type="paragraph" w:customStyle="1" w:styleId="149">
    <w:name w:val="列出段落2"/>
    <w:basedOn w:val="1"/>
    <w:link w:val="150"/>
    <w:qFormat/>
    <w:uiPriority w:val="0"/>
    <w:pPr>
      <w:spacing w:before="0" w:after="0"/>
      <w:ind w:left="840" w:leftChars="400"/>
      <w:jc w:val="left"/>
    </w:pPr>
    <w:rPr>
      <w:rFonts w:ascii="Times" w:hAnsi="Times" w:eastAsia="Batang"/>
      <w:szCs w:val="24"/>
    </w:rPr>
  </w:style>
  <w:style w:type="character" w:customStyle="1" w:styleId="150">
    <w:name w:val="列出段落 Char1"/>
    <w:basedOn w:val="32"/>
    <w:link w:val="149"/>
    <w:qFormat/>
    <w:uiPriority w:val="0"/>
    <w:rPr>
      <w:rFonts w:hint="default" w:ascii="Times" w:hAnsi="Times" w:eastAsia="Batang" w:cs="Times"/>
      <w:szCs w:val="24"/>
      <w:lang w:val="en-US"/>
    </w:rPr>
  </w:style>
  <w:style w:type="paragraph" w:customStyle="1" w:styleId="15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emf"/><Relationship Id="rId16" Type="http://schemas.openxmlformats.org/officeDocument/2006/relationships/image" Target="media/image5.emf"/><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12</Pages>
  <Words>3171</Words>
  <Characters>18079</Characters>
  <Lines>150</Lines>
  <Paragraphs>42</Paragraphs>
  <TotalTime>4</TotalTime>
  <ScaleCrop>false</ScaleCrop>
  <LinksUpToDate>false</LinksUpToDate>
  <CharactersWithSpaces>21208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2023-08-02T11:40:00Z</dcterms:created>
  <dc:creator>ZTE</dc:creator>
  <cp:lastModifiedBy>ZTE</cp:lastModifiedBy>
  <dcterms:modified xsi:type="dcterms:W3CDTF">2024-04-05T14:40:44Z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E03203A0102C4F11A729728BF3F9891E</vt:lpwstr>
  </property>
</Properties>
</file>