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FC9C23" w14:textId="3301CC1D" w:rsidR="003C19FB" w:rsidRDefault="005813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WG1 Meeting # 115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R1-23</w:t>
      </w:r>
      <w:r w:rsidR="00D334C1">
        <w:rPr>
          <w:rFonts w:ascii="Arial" w:eastAsiaTheme="minorEastAsia" w:hAnsi="Arial" w:cs="Arial"/>
          <w:b/>
          <w:sz w:val="24"/>
          <w:szCs w:val="24"/>
          <w:lang w:eastAsia="zh-CN"/>
        </w:rPr>
        <w:t>12419</w:t>
      </w:r>
    </w:p>
    <w:p w14:paraId="72FEA887" w14:textId="77777777" w:rsidR="003C19FB" w:rsidRDefault="005813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 USA, 13</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17</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November 2023</w:t>
      </w:r>
    </w:p>
    <w:p w14:paraId="2E943DA1" w14:textId="77777777" w:rsidR="003C19FB" w:rsidRDefault="003C19FB">
      <w:pPr>
        <w:spacing w:after="120"/>
        <w:ind w:left="1985" w:hanging="1985"/>
        <w:rPr>
          <w:rFonts w:ascii="Arial" w:eastAsia="MS Mincho" w:hAnsi="Arial" w:cs="Arial"/>
          <w:b/>
          <w:sz w:val="22"/>
        </w:rPr>
      </w:pPr>
    </w:p>
    <w:p w14:paraId="080D0343" w14:textId="77777777" w:rsidR="003C19FB" w:rsidRDefault="005813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8.15.3</w:t>
      </w:r>
    </w:p>
    <w:p w14:paraId="7642D689" w14:textId="77777777" w:rsidR="003C19FB" w:rsidRDefault="005813E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(MediaTek)</w:t>
      </w:r>
    </w:p>
    <w:p w14:paraId="7D2D449F" w14:textId="77777777" w:rsidR="003C19FB" w:rsidRDefault="005813E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Feature Lead</w:t>
      </w:r>
      <w:r>
        <w:rPr>
          <w:rFonts w:ascii="Arial" w:eastAsiaTheme="minorEastAsia" w:hAnsi="Arial" w:cs="Arial" w:hint="eastAsia"/>
          <w:color w:val="000000"/>
          <w:sz w:val="22"/>
          <w:lang w:eastAsia="zh-CN"/>
        </w:rPr>
        <w:t xml:space="preserve"> summary </w:t>
      </w:r>
      <w:r>
        <w:rPr>
          <w:rFonts w:ascii="Arial" w:eastAsiaTheme="minorEastAsia" w:hAnsi="Arial" w:cs="Arial"/>
          <w:color w:val="000000"/>
          <w:sz w:val="22"/>
          <w:lang w:eastAsia="zh-CN"/>
        </w:rPr>
        <w:t>for</w:t>
      </w:r>
      <w:r>
        <w:rPr>
          <w:rFonts w:ascii="Arial" w:eastAsiaTheme="minorEastAsia" w:hAnsi="Arial" w:cs="Arial" w:hint="eastAsia"/>
          <w:color w:val="000000"/>
          <w:sz w:val="22"/>
          <w:lang w:eastAsia="zh-CN"/>
        </w:rPr>
        <w:t xml:space="preserve"> </w:t>
      </w:r>
      <w:r>
        <w:rPr>
          <w:rFonts w:ascii="Arial" w:eastAsiaTheme="minorEastAsia" w:hAnsi="Arial" w:cs="Arial"/>
          <w:color w:val="000000"/>
          <w:sz w:val="22"/>
          <w:lang w:eastAsia="zh-CN"/>
        </w:rPr>
        <w:t>8.15.3: Self-Evaluation Results for IoT NTN</w:t>
      </w:r>
    </w:p>
    <w:p w14:paraId="4CAE7588" w14:textId="77777777" w:rsidR="003C19FB" w:rsidRDefault="005813E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 &amp; Decision</w:t>
      </w:r>
    </w:p>
    <w:p w14:paraId="5BDFC04A" w14:textId="77777777" w:rsidR="003C19FB" w:rsidRDefault="005813EC">
      <w:pPr>
        <w:pStyle w:val="Heading1"/>
        <w:rPr>
          <w:rFonts w:eastAsiaTheme="minorEastAsia"/>
          <w:lang w:eastAsia="zh-CN"/>
        </w:rPr>
      </w:pPr>
      <w:r>
        <w:rPr>
          <w:rFonts w:hint="eastAsia"/>
          <w:lang w:eastAsia="ja-JP"/>
        </w:rPr>
        <w:t>Introduction</w:t>
      </w:r>
    </w:p>
    <w:p w14:paraId="31E0C793" w14:textId="77777777" w:rsidR="003C19FB" w:rsidRDefault="005813EC">
      <w:pPr>
        <w:rPr>
          <w:iCs/>
          <w:lang w:eastAsia="zh-CN"/>
        </w:rPr>
      </w:pPr>
      <w:r>
        <w:rPr>
          <w:iCs/>
          <w:lang w:eastAsia="zh-CN"/>
        </w:rPr>
        <w:t xml:space="preserve">This summary is to summarise the progress on the following agenda items of the study item </w:t>
      </w:r>
      <w:r>
        <w:rPr>
          <w:rFonts w:eastAsia="Batang"/>
          <w:bCs/>
        </w:rPr>
        <w:t xml:space="preserve">on “Self-Evaluation towards </w:t>
      </w:r>
      <w:bookmarkStart w:id="0" w:name="_Hlk120896877"/>
      <w:r>
        <w:rPr>
          <w:rFonts w:eastAsia="Batang"/>
          <w:bCs/>
        </w:rPr>
        <w:t>the 3GPP submission of a</w:t>
      </w:r>
      <w:bookmarkEnd w:id="0"/>
      <w:r>
        <w:rPr>
          <w:rFonts w:eastAsia="Batang"/>
          <w:bCs/>
        </w:rPr>
        <w:t>n IMT-2020 Satellite Radio Interface Technology”</w:t>
      </w:r>
    </w:p>
    <w:p w14:paraId="17553370" w14:textId="77777777" w:rsidR="003C19FB" w:rsidRDefault="005813EC">
      <w:pPr>
        <w:pStyle w:val="ListParagraph"/>
        <w:numPr>
          <w:ilvl w:val="0"/>
          <w:numId w:val="3"/>
        </w:numPr>
        <w:ind w:firstLineChars="0"/>
        <w:rPr>
          <w:lang w:eastAsia="zh-CN"/>
        </w:rPr>
      </w:pPr>
      <w:r>
        <w:rPr>
          <w:rFonts w:eastAsiaTheme="minorEastAsia"/>
          <w:lang w:eastAsia="zh-CN"/>
        </w:rPr>
        <w:t>Agenda item 8.15.3 – Self-Evaluation Results for IoT NTN</w:t>
      </w:r>
    </w:p>
    <w:p w14:paraId="3AA30BC8" w14:textId="77777777" w:rsidR="003C19FB" w:rsidRDefault="005813EC">
      <w:pPr>
        <w:rPr>
          <w:lang w:eastAsia="zh-CN"/>
        </w:rPr>
      </w:pPr>
      <w:r>
        <w:rPr>
          <w:lang w:eastAsia="zh-CN"/>
        </w:rPr>
        <w:t>Relevant prior agreements are:</w:t>
      </w:r>
    </w:p>
    <w:p w14:paraId="1C07C50F" w14:textId="77777777" w:rsidR="003C19FB" w:rsidRDefault="005813EC">
      <w:pPr>
        <w:rPr>
          <w:b/>
          <w:u w:val="single"/>
          <w:lang w:eastAsia="zh-CN"/>
        </w:rPr>
      </w:pPr>
      <w:r>
        <w:rPr>
          <w:b/>
          <w:u w:val="single"/>
          <w:lang w:eastAsia="zh-CN"/>
        </w:rPr>
        <w:t xml:space="preserve">[RAN1#112bis-e] </w:t>
      </w:r>
    </w:p>
    <w:p w14:paraId="711F9C46" w14:textId="77777777" w:rsidR="003C19FB" w:rsidRDefault="005813EC">
      <w:pPr>
        <w:rPr>
          <w:bCs/>
          <w:lang w:val="en-US" w:eastAsia="zh-CN"/>
        </w:rPr>
      </w:pPr>
      <w:r>
        <w:rPr>
          <w:bCs/>
          <w:highlight w:val="green"/>
          <w:lang w:val="en-US" w:eastAsia="zh-CN"/>
        </w:rPr>
        <w:t>Agreement</w:t>
      </w:r>
    </w:p>
    <w:p w14:paraId="64BB22BD" w14:textId="77777777" w:rsidR="003C19FB" w:rsidRDefault="005813EC">
      <w:pPr>
        <w:rPr>
          <w:lang w:val="en-US" w:eastAsia="zh-CN"/>
        </w:rPr>
      </w:pPr>
      <w:r>
        <w:rPr>
          <w:lang w:val="en-US" w:eastAsia="zh-CN"/>
        </w:rPr>
        <w:t xml:space="preserve">The proposals and proposed working assumption in Section 2 of </w:t>
      </w:r>
      <w:hyperlink r:id="rId10" w:history="1">
        <w:r>
          <w:rPr>
            <w:rStyle w:val="Hyperlink"/>
            <w:lang w:val="en-US" w:eastAsia="zh-CN"/>
          </w:rPr>
          <w:t>R1-2304118</w:t>
        </w:r>
      </w:hyperlink>
      <w:r>
        <w:rPr>
          <w:lang w:val="en-US" w:eastAsia="zh-CN"/>
        </w:rPr>
        <w:t xml:space="preserve"> are endorsed.</w:t>
      </w:r>
    </w:p>
    <w:p w14:paraId="7A30897E" w14:textId="77777777" w:rsidR="003C19FB" w:rsidRDefault="005813EC">
      <w:pPr>
        <w:rPr>
          <w:bCs/>
          <w:lang w:val="en-US" w:eastAsia="zh-CN"/>
        </w:rPr>
      </w:pPr>
      <w:r>
        <w:rPr>
          <w:bCs/>
          <w:highlight w:val="green"/>
          <w:lang w:val="en-US" w:eastAsia="zh-CN"/>
        </w:rPr>
        <w:t>Agreement</w:t>
      </w:r>
    </w:p>
    <w:p w14:paraId="3317A900" w14:textId="77777777" w:rsidR="003C19FB" w:rsidRDefault="005813EC">
      <w:pPr>
        <w:rPr>
          <w:lang w:val="en-US" w:eastAsia="zh-CN"/>
        </w:rPr>
      </w:pPr>
      <w:r>
        <w:rPr>
          <w:lang w:val="en-US" w:eastAsia="zh-CN"/>
        </w:rPr>
        <w:t>Signals from one satellite to a UE would be seen as site-specific according to Table 7.6.3.4-1 of TR 38.901.</w:t>
      </w:r>
    </w:p>
    <w:p w14:paraId="2DBB3327" w14:textId="77777777" w:rsidR="003C19FB" w:rsidRDefault="005813EC">
      <w:pPr>
        <w:rPr>
          <w:bCs/>
          <w:lang w:val="en-US" w:eastAsia="zh-CN"/>
        </w:rPr>
      </w:pPr>
      <w:r>
        <w:rPr>
          <w:bCs/>
          <w:highlight w:val="green"/>
          <w:lang w:val="en-US" w:eastAsia="zh-CN"/>
        </w:rPr>
        <w:t>Agreement</w:t>
      </w:r>
    </w:p>
    <w:p w14:paraId="01A623F5" w14:textId="77777777" w:rsidR="003C19FB" w:rsidRDefault="005813EC">
      <w:pPr>
        <w:rPr>
          <w:lang w:val="en-US" w:eastAsia="zh-CN"/>
        </w:rPr>
      </w:pPr>
      <w:r>
        <w:rPr>
          <w:lang w:val="en-US" w:eastAsia="zh-CN"/>
        </w:rPr>
        <w:t xml:space="preserve">The proposal in Section 2 of </w:t>
      </w:r>
      <w:hyperlink r:id="rId11" w:history="1">
        <w:r>
          <w:rPr>
            <w:rStyle w:val="Hyperlink"/>
            <w:lang w:val="en-US" w:eastAsia="zh-CN"/>
          </w:rPr>
          <w:t>R1-2304123</w:t>
        </w:r>
      </w:hyperlink>
      <w:r>
        <w:rPr>
          <w:lang w:val="en-US" w:eastAsia="zh-CN"/>
        </w:rPr>
        <w:t xml:space="preserve"> is agreed.</w:t>
      </w:r>
    </w:p>
    <w:p w14:paraId="5DBE17BD" w14:textId="77777777" w:rsidR="003C19FB" w:rsidRDefault="005813EC">
      <w:pPr>
        <w:rPr>
          <w:b/>
          <w:u w:val="single"/>
          <w:lang w:eastAsia="zh-CN"/>
        </w:rPr>
      </w:pPr>
      <w:r>
        <w:rPr>
          <w:b/>
          <w:u w:val="single"/>
          <w:lang w:eastAsia="zh-CN"/>
        </w:rPr>
        <w:t xml:space="preserve">[RAN1#113] </w:t>
      </w:r>
    </w:p>
    <w:p w14:paraId="60A18E2B" w14:textId="77777777" w:rsidR="003C19FB" w:rsidRDefault="005813EC">
      <w:pPr>
        <w:rPr>
          <w:bCs/>
          <w:lang w:eastAsia="zh-CN"/>
        </w:rPr>
      </w:pPr>
      <w:r>
        <w:rPr>
          <w:bCs/>
          <w:highlight w:val="green"/>
          <w:lang w:eastAsia="zh-CN"/>
        </w:rPr>
        <w:t>Agreement</w:t>
      </w:r>
      <w:r>
        <w:rPr>
          <w:bCs/>
          <w:lang w:eastAsia="zh-CN"/>
        </w:rPr>
        <w:t xml:space="preserve"> </w:t>
      </w:r>
    </w:p>
    <w:p w14:paraId="30D7EB21" w14:textId="77777777" w:rsidR="003C19FB" w:rsidRDefault="005813EC">
      <w:pPr>
        <w:rPr>
          <w:lang w:eastAsia="zh-CN"/>
        </w:rPr>
      </w:pPr>
      <w:r>
        <w:rPr>
          <w:lang w:eastAsia="zh-CN"/>
        </w:rPr>
        <w:t xml:space="preserve">The proposals and conclusions in Section 1 of </w:t>
      </w:r>
      <w:hyperlink r:id="rId12" w:history="1">
        <w:r>
          <w:rPr>
            <w:rStyle w:val="Hyperlink"/>
            <w:lang w:eastAsia="zh-CN"/>
          </w:rPr>
          <w:t>R1-2306083</w:t>
        </w:r>
      </w:hyperlink>
      <w:r>
        <w:rPr>
          <w:lang w:eastAsia="zh-CN"/>
        </w:rPr>
        <w:t xml:space="preserve"> are endorsed, except for proposal 2.4 (which is already included in the proposed conclusion).</w:t>
      </w:r>
    </w:p>
    <w:p w14:paraId="66640CDB" w14:textId="77777777" w:rsidR="003C19FB" w:rsidRDefault="005813EC">
      <w:pPr>
        <w:rPr>
          <w:b/>
          <w:bCs/>
          <w:lang w:eastAsia="zh-CN"/>
        </w:rPr>
      </w:pPr>
      <w:r>
        <w:rPr>
          <w:b/>
          <w:bCs/>
          <w:lang w:eastAsia="zh-CN"/>
        </w:rPr>
        <w:t>[RAN1#114]</w:t>
      </w:r>
    </w:p>
    <w:p w14:paraId="274E0C6B" w14:textId="77777777" w:rsidR="003C19FB" w:rsidRDefault="005813EC">
      <w:r>
        <w:rPr>
          <w:highlight w:val="green"/>
        </w:rPr>
        <w:t>Agreement</w:t>
      </w:r>
    </w:p>
    <w:p w14:paraId="783F3D0F" w14:textId="77777777" w:rsidR="003C19FB" w:rsidRDefault="005813EC">
      <w:r>
        <w:t>For the evaluation metrics that require usage of beam area, a beam area of 1415 km</w:t>
      </w:r>
      <w:r>
        <w:rPr>
          <w:vertAlign w:val="superscript"/>
        </w:rPr>
        <w:t>2</w:t>
      </w:r>
      <w:r>
        <w:t xml:space="preserve"> is assumed.</w:t>
      </w:r>
    </w:p>
    <w:p w14:paraId="2D1660A3" w14:textId="77777777" w:rsidR="003C19FB" w:rsidRDefault="005813EC">
      <w:r>
        <w:rPr>
          <w:highlight w:val="green"/>
        </w:rPr>
        <w:t>Agreement</w:t>
      </w:r>
    </w:p>
    <w:p w14:paraId="4E860E2D" w14:textId="77777777" w:rsidR="003C19FB" w:rsidRDefault="005813EC">
      <w:r>
        <w:t>The modeling of delay / RTT for SLS is up to companies to report.</w:t>
      </w:r>
    </w:p>
    <w:p w14:paraId="07DAC0B3" w14:textId="77777777" w:rsidR="003C19FB" w:rsidRDefault="005813EC">
      <w:r>
        <w:rPr>
          <w:highlight w:val="green"/>
        </w:rPr>
        <w:t>Agreement</w:t>
      </w:r>
    </w:p>
    <w:p w14:paraId="6E1F392A" w14:textId="77777777" w:rsidR="003C19FB" w:rsidRDefault="005813EC">
      <w:pPr>
        <w:ind w:left="-200" w:firstLineChars="100" w:firstLine="200"/>
        <w:rPr>
          <w:lang w:eastAsia="zh-CN"/>
        </w:rPr>
      </w:pPr>
      <w:r>
        <w:rPr>
          <w:lang w:eastAsia="zh-CN"/>
        </w:rPr>
        <w:t>All the beams are considered for computing the area of connection density.</w:t>
      </w:r>
    </w:p>
    <w:p w14:paraId="3EE0EB8E" w14:textId="77777777" w:rsidR="003C19FB" w:rsidRDefault="005813EC">
      <w:r>
        <w:rPr>
          <w:highlight w:val="green"/>
        </w:rPr>
        <w:t>Agreement</w:t>
      </w:r>
    </w:p>
    <w:p w14:paraId="55B9849F" w14:textId="77777777" w:rsidR="003C19FB" w:rsidRDefault="005813EC">
      <w:pPr>
        <w:rPr>
          <w:lang w:eastAsia="zh-CN"/>
        </w:rPr>
      </w:pPr>
      <w:r>
        <w:rPr>
          <w:lang w:eastAsia="zh-CN"/>
        </w:rPr>
        <w:t>For SLS to LLS metric of connection density, “pre-processing SINR” should be used instead of “pre-processing SNR”.</w:t>
      </w:r>
    </w:p>
    <w:p w14:paraId="4921A007" w14:textId="77777777" w:rsidR="003C19FB" w:rsidRDefault="005813EC">
      <w:pPr>
        <w:rPr>
          <w:rFonts w:eastAsia="Times New Roman"/>
        </w:rPr>
      </w:pPr>
      <w:r>
        <w:rPr>
          <w:highlight w:val="green"/>
        </w:rPr>
        <w:t>Agreement</w:t>
      </w:r>
    </w:p>
    <w:p w14:paraId="2A050556" w14:textId="77777777" w:rsidR="003C19FB" w:rsidRDefault="005813EC">
      <w:r>
        <w:t>Elevation angle of 90° is used for determining mean and standard deviation values of K-factor and delay spread for NTN TDL-C Rural channel model.</w:t>
      </w:r>
    </w:p>
    <w:p w14:paraId="1DAA7116" w14:textId="77777777" w:rsidR="003C19FB" w:rsidRDefault="005813EC">
      <w:r>
        <w:rPr>
          <w:highlight w:val="green"/>
        </w:rPr>
        <w:lastRenderedPageBreak/>
        <w:t>Agreement</w:t>
      </w:r>
    </w:p>
    <w:p w14:paraId="2EC11F5A" w14:textId="77777777" w:rsidR="003C19FB" w:rsidRDefault="005813EC">
      <w:r>
        <w:t>For mMTC LLS (NR and eMTC), 16-QAM can be used in addition to QPSK to derive the SNR to SE mapping.</w:t>
      </w:r>
    </w:p>
    <w:p w14:paraId="41DC88AD" w14:textId="77777777" w:rsidR="003C19FB" w:rsidRDefault="005813EC">
      <w:r>
        <w:rPr>
          <w:highlight w:val="green"/>
        </w:rPr>
        <w:t>Agreement</w:t>
      </w:r>
    </w:p>
    <w:p w14:paraId="44742B8A" w14:textId="77777777" w:rsidR="003C19FB" w:rsidRDefault="005813EC">
      <w:pPr>
        <w:rPr>
          <w:color w:val="000000"/>
        </w:rPr>
      </w:pPr>
      <w:r>
        <w:rPr>
          <w:color w:val="000000"/>
        </w:rPr>
        <w:t>For connection density evaluation with full buffer system-level simulation followed by link-level simulation, for SINR CDF distribution derivation, all the beams are assumed to be fully loaded.</w:t>
      </w:r>
    </w:p>
    <w:p w14:paraId="37B72D0B" w14:textId="77777777" w:rsidR="003C19FB" w:rsidRDefault="005813EC">
      <w:pPr>
        <w:rPr>
          <w:iCs/>
          <w:lang w:eastAsia="zh-CN"/>
        </w:rPr>
      </w:pPr>
      <w:r>
        <w:rPr>
          <w:iCs/>
          <w:highlight w:val="green"/>
          <w:lang w:eastAsia="zh-CN"/>
        </w:rPr>
        <w:t>Agreement</w:t>
      </w:r>
    </w:p>
    <w:p w14:paraId="0947C5A8" w14:textId="77777777" w:rsidR="003C19FB" w:rsidRDefault="005813EC">
      <w:pPr>
        <w:rPr>
          <w:iCs/>
          <w:lang w:eastAsia="zh-CN"/>
        </w:rPr>
      </w:pPr>
      <w:r>
        <w:rPr>
          <w:iCs/>
          <w:lang w:eastAsia="zh-CN"/>
        </w:rPr>
        <w:t>For IoT NTN Connection Density LLS:</w:t>
      </w:r>
    </w:p>
    <w:p w14:paraId="21767C86" w14:textId="77777777" w:rsidR="003C19FB" w:rsidRDefault="005813EC">
      <w:pPr>
        <w:pStyle w:val="ListParagraph"/>
        <w:numPr>
          <w:ilvl w:val="0"/>
          <w:numId w:val="4"/>
        </w:numPr>
        <w:ind w:firstLineChars="0"/>
        <w:contextualSpacing/>
        <w:textAlignment w:val="auto"/>
        <w:rPr>
          <w:lang w:eastAsia="zh-CN"/>
        </w:rPr>
      </w:pPr>
      <w:r>
        <w:rPr>
          <w:lang w:eastAsia="zh-CN"/>
        </w:rPr>
        <w:t>Agree 10% BLER as target for throughput for NB-IoT Full Buffer and eMTC Full Buffer</w:t>
      </w:r>
    </w:p>
    <w:p w14:paraId="5993E6E3" w14:textId="77777777" w:rsidR="003C19FB" w:rsidRDefault="005813EC">
      <w:pPr>
        <w:pStyle w:val="ListParagraph"/>
        <w:numPr>
          <w:ilvl w:val="0"/>
          <w:numId w:val="4"/>
        </w:numPr>
        <w:ind w:firstLineChars="0"/>
        <w:contextualSpacing/>
        <w:textAlignment w:val="auto"/>
        <w:rPr>
          <w:lang w:eastAsia="zh-CN"/>
        </w:rPr>
      </w:pPr>
      <w:r>
        <w:rPr>
          <w:lang w:eastAsia="zh-CN"/>
        </w:rPr>
        <w:t>Companies to use QPSK-π/4</w:t>
      </w:r>
      <w:r>
        <w:rPr>
          <w:rFonts w:ascii="Arial" w:hAnsi="Arial" w:cs="Arial"/>
          <w:sz w:val="18"/>
          <w:szCs w:val="18"/>
          <w:lang w:eastAsia="zh-CN"/>
        </w:rPr>
        <w:t xml:space="preserve"> </w:t>
      </w:r>
      <w:r>
        <w:rPr>
          <w:lang w:eastAsia="zh-CN"/>
        </w:rPr>
        <w:t>as well as BPSK-π/2 in evaluations for NB-IoT Full Buffer.</w:t>
      </w:r>
    </w:p>
    <w:p w14:paraId="1A0D73E0" w14:textId="77777777" w:rsidR="003C19FB" w:rsidRDefault="005813EC">
      <w:pPr>
        <w:pStyle w:val="ListParagraph"/>
        <w:numPr>
          <w:ilvl w:val="0"/>
          <w:numId w:val="4"/>
        </w:numPr>
        <w:ind w:firstLineChars="0"/>
        <w:contextualSpacing/>
        <w:textAlignment w:val="auto"/>
        <w:rPr>
          <w:lang w:eastAsia="zh-CN"/>
        </w:rPr>
      </w:pPr>
      <w:r>
        <w:rPr>
          <w:lang w:eastAsia="zh-CN"/>
        </w:rPr>
        <w:t>Each company to provide SINR - user spectral efficiency (SE) mapping graph for NB-IoT Full Buffer and eMTC Full Buffer, where:</w:t>
      </w:r>
    </w:p>
    <w:p w14:paraId="112310F3" w14:textId="77777777" w:rsidR="003C19FB" w:rsidRDefault="005813EC">
      <w:pPr>
        <w:pStyle w:val="ListParagraph"/>
        <w:numPr>
          <w:ilvl w:val="1"/>
          <w:numId w:val="4"/>
        </w:numPr>
        <w:ind w:firstLineChars="0"/>
        <w:contextualSpacing/>
        <w:textAlignment w:val="auto"/>
        <w:rPr>
          <w:lang w:eastAsia="zh-CN"/>
        </w:rPr>
      </w:pPr>
      <w:r>
        <w:rPr>
          <w:lang w:eastAsia="zh-CN"/>
        </w:rPr>
        <w:t>SE =</w:t>
      </w:r>
      <w:r>
        <w:t xml:space="preserve"> </w:t>
      </w:r>
      <w:r>
        <w:rPr>
          <w:lang w:eastAsia="zh-CN"/>
        </w:rPr>
        <w:t>nominal SE × (1-BLER)</w:t>
      </w:r>
    </w:p>
    <w:p w14:paraId="094DF314" w14:textId="77777777" w:rsidR="003C19FB" w:rsidRDefault="005813EC">
      <w:pPr>
        <w:rPr>
          <w:b/>
          <w:bCs/>
          <w:lang w:eastAsia="zh-CN"/>
        </w:rPr>
      </w:pPr>
      <w:r>
        <w:rPr>
          <w:b/>
          <w:bCs/>
          <w:lang w:eastAsia="zh-CN"/>
        </w:rPr>
        <w:t>[RAN1#114-bis]</w:t>
      </w:r>
    </w:p>
    <w:p w14:paraId="0E72ED9B" w14:textId="77777777" w:rsidR="003C19FB" w:rsidRDefault="005813EC">
      <w:pPr>
        <w:rPr>
          <w:bCs/>
        </w:rPr>
      </w:pPr>
      <w:r>
        <w:rPr>
          <w:bCs/>
          <w:highlight w:val="green"/>
        </w:rPr>
        <w:t>Agreement</w:t>
      </w:r>
    </w:p>
    <w:p w14:paraId="6A1214A5" w14:textId="77777777" w:rsidR="003C19FB" w:rsidRDefault="005813EC">
      <w:pPr>
        <w:pStyle w:val="ListParagraph"/>
        <w:numPr>
          <w:ilvl w:val="0"/>
          <w:numId w:val="4"/>
        </w:numPr>
        <w:ind w:firstLineChars="0"/>
        <w:rPr>
          <w:lang w:eastAsia="zh-CN"/>
        </w:rPr>
      </w:pPr>
      <w:r>
        <w:rPr>
          <w:lang w:eastAsia="zh-CN"/>
        </w:rPr>
        <w:t>For eMTC evaluations, companies to report the TBS size used.</w:t>
      </w:r>
    </w:p>
    <w:p w14:paraId="52AEE6C4" w14:textId="77777777" w:rsidR="003C19FB" w:rsidRDefault="003C19FB">
      <w:pPr>
        <w:contextualSpacing/>
        <w:rPr>
          <w:lang w:eastAsia="zh-CN"/>
        </w:rPr>
      </w:pPr>
    </w:p>
    <w:p w14:paraId="1AD7CB77" w14:textId="77777777" w:rsidR="003C19FB" w:rsidRDefault="005813EC">
      <w:pPr>
        <w:rPr>
          <w:b/>
          <w:bCs/>
          <w:lang w:eastAsia="zh-CN"/>
        </w:rPr>
      </w:pPr>
      <w:r>
        <w:rPr>
          <w:b/>
          <w:bCs/>
          <w:lang w:eastAsia="zh-CN"/>
        </w:rPr>
        <w:t>-----------------------------------------------------------------------------------------------------------------------------------------</w:t>
      </w:r>
    </w:p>
    <w:p w14:paraId="63A55B09" w14:textId="77777777" w:rsidR="003C19FB" w:rsidRDefault="005813EC">
      <w:pPr>
        <w:rPr>
          <w:b/>
          <w:bCs/>
          <w:lang w:eastAsia="zh-CN"/>
        </w:rPr>
      </w:pPr>
      <w:r>
        <w:rPr>
          <w:b/>
          <w:bCs/>
          <w:highlight w:val="cyan"/>
          <w:lang w:eastAsia="zh-CN"/>
        </w:rPr>
        <w:t>Feature Lead Request: Companies that have not yet done so, please add your data to the IoT NTN Results spreadsheet.</w:t>
      </w:r>
    </w:p>
    <w:p w14:paraId="59A25B0F" w14:textId="77777777" w:rsidR="003C19FB" w:rsidRDefault="005813EC">
      <w:pPr>
        <w:pStyle w:val="Heading1"/>
        <w:rPr>
          <w:lang w:eastAsia="ja-JP"/>
        </w:rPr>
      </w:pPr>
      <w:r>
        <w:rPr>
          <w:lang w:eastAsia="ja-JP"/>
        </w:rPr>
        <w:t>Discussion</w:t>
      </w:r>
    </w:p>
    <w:p w14:paraId="448C32C7" w14:textId="77777777" w:rsidR="003C19FB" w:rsidRDefault="005813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02"/>
        <w:gridCol w:w="1428"/>
        <w:gridCol w:w="6801"/>
      </w:tblGrid>
      <w:tr w:rsidR="003C19FB" w14:paraId="392CC0C6" w14:textId="77777777">
        <w:trPr>
          <w:trHeight w:val="468"/>
        </w:trPr>
        <w:tc>
          <w:tcPr>
            <w:tcW w:w="1402" w:type="dxa"/>
            <w:vAlign w:val="center"/>
          </w:tcPr>
          <w:p w14:paraId="5184DE73" w14:textId="77777777" w:rsidR="003C19FB" w:rsidRDefault="005813EC">
            <w:pPr>
              <w:spacing w:before="120" w:after="120"/>
              <w:rPr>
                <w:b/>
                <w:bCs/>
              </w:rPr>
            </w:pPr>
            <w:r>
              <w:rPr>
                <w:b/>
                <w:bCs/>
              </w:rPr>
              <w:t>Tdoc number</w:t>
            </w:r>
          </w:p>
        </w:tc>
        <w:tc>
          <w:tcPr>
            <w:tcW w:w="1428" w:type="dxa"/>
            <w:vAlign w:val="center"/>
          </w:tcPr>
          <w:p w14:paraId="7156B9AA" w14:textId="77777777" w:rsidR="003C19FB" w:rsidRDefault="005813EC">
            <w:pPr>
              <w:spacing w:before="120" w:after="120"/>
              <w:rPr>
                <w:b/>
                <w:bCs/>
              </w:rPr>
            </w:pPr>
            <w:r>
              <w:rPr>
                <w:b/>
                <w:bCs/>
              </w:rPr>
              <w:t>Company</w:t>
            </w:r>
          </w:p>
        </w:tc>
        <w:tc>
          <w:tcPr>
            <w:tcW w:w="6801" w:type="dxa"/>
            <w:vAlign w:val="center"/>
          </w:tcPr>
          <w:p w14:paraId="271DB16F" w14:textId="77777777" w:rsidR="003C19FB" w:rsidRDefault="005813EC">
            <w:pPr>
              <w:spacing w:before="120" w:after="120"/>
              <w:rPr>
                <w:b/>
                <w:bCs/>
              </w:rPr>
            </w:pPr>
            <w:r>
              <w:rPr>
                <w:b/>
                <w:bCs/>
              </w:rPr>
              <w:t>Proposals / Observations</w:t>
            </w:r>
          </w:p>
        </w:tc>
      </w:tr>
      <w:tr w:rsidR="003C19FB" w14:paraId="4662BC0C" w14:textId="77777777">
        <w:trPr>
          <w:trHeight w:val="468"/>
        </w:trPr>
        <w:tc>
          <w:tcPr>
            <w:tcW w:w="1402" w:type="dxa"/>
          </w:tcPr>
          <w:p w14:paraId="04EC306B" w14:textId="77777777" w:rsidR="003C19FB" w:rsidRDefault="005813EC">
            <w:pPr>
              <w:spacing w:before="120" w:after="120"/>
            </w:pPr>
            <w:r>
              <w:rPr>
                <w:lang w:eastAsia="zh-CN"/>
              </w:rPr>
              <w:t>R1-2311206</w:t>
            </w:r>
          </w:p>
        </w:tc>
        <w:tc>
          <w:tcPr>
            <w:tcW w:w="1428" w:type="dxa"/>
          </w:tcPr>
          <w:p w14:paraId="740A2D18" w14:textId="77777777" w:rsidR="003C19FB" w:rsidRDefault="005813EC">
            <w:pPr>
              <w:spacing w:before="120" w:after="120"/>
            </w:pPr>
            <w:r>
              <w:t>ZTE</w:t>
            </w:r>
          </w:p>
        </w:tc>
        <w:tc>
          <w:tcPr>
            <w:tcW w:w="6801" w:type="dxa"/>
          </w:tcPr>
          <w:p w14:paraId="4570E2B6" w14:textId="77777777" w:rsidR="003C19FB" w:rsidRDefault="005813EC">
            <w:pPr>
              <w:rPr>
                <w:lang w:eastAsia="zh-CN"/>
              </w:rPr>
            </w:pPr>
            <w:r>
              <w:rPr>
                <w:rFonts w:hint="eastAsia"/>
                <w:u w:val="single"/>
                <w:lang w:eastAsia="zh-CN"/>
              </w:rPr>
              <w:t>Observation 1</w:t>
            </w:r>
            <w:r>
              <w:rPr>
                <w:rFonts w:hint="eastAsia"/>
                <w:lang w:eastAsia="zh-CN"/>
              </w:rPr>
              <w:t>: For FRF=3, the connection density requirement can be fulfilled with target BLER of 10%.</w:t>
            </w:r>
          </w:p>
          <w:p w14:paraId="16B636AA" w14:textId="77777777" w:rsidR="003C19FB" w:rsidRDefault="005813EC">
            <w:pPr>
              <w:rPr>
                <w:lang w:eastAsia="zh-CN"/>
              </w:rPr>
            </w:pPr>
            <w:r>
              <w:rPr>
                <w:rFonts w:hint="eastAsia"/>
                <w:u w:val="single"/>
                <w:lang w:eastAsia="zh-CN"/>
              </w:rPr>
              <w:t>Observation 2</w:t>
            </w:r>
            <w:r>
              <w:rPr>
                <w:rFonts w:hint="eastAsia"/>
                <w:lang w:eastAsia="zh-CN"/>
              </w:rPr>
              <w:t>: For FRF=1, the connection density requirement can be fulfilled without target BLER of 10% restriction.</w:t>
            </w:r>
          </w:p>
          <w:p w14:paraId="675BC35D" w14:textId="77777777" w:rsidR="003C19FB" w:rsidRDefault="005813EC">
            <w:pPr>
              <w:rPr>
                <w:lang w:eastAsia="zh-CN"/>
              </w:rPr>
            </w:pPr>
            <w:r>
              <w:rPr>
                <w:u w:val="single"/>
                <w:lang w:eastAsia="zh-CN"/>
              </w:rPr>
              <w:t xml:space="preserve">Proposal </w:t>
            </w:r>
            <w:r>
              <w:rPr>
                <w:rFonts w:hint="eastAsia"/>
                <w:u w:val="single"/>
                <w:lang w:eastAsia="zh-CN"/>
              </w:rPr>
              <w:t>1</w:t>
            </w:r>
            <w:r>
              <w:rPr>
                <w:lang w:eastAsia="zh-CN"/>
              </w:rPr>
              <w:t>: Captur</w:t>
            </w:r>
            <w:r>
              <w:rPr>
                <w:rFonts w:hint="eastAsia"/>
                <w:lang w:eastAsia="zh-CN"/>
              </w:rPr>
              <w:t>e</w:t>
            </w:r>
            <w:r>
              <w:rPr>
                <w:lang w:eastAsia="zh-CN"/>
              </w:rPr>
              <w:t xml:space="preserve"> the </w:t>
            </w:r>
            <w:r>
              <w:t>evaluation results in</w:t>
            </w:r>
            <w:r>
              <w:rPr>
                <w:rFonts w:hint="eastAsia"/>
                <w:lang w:eastAsia="zh-CN"/>
              </w:rPr>
              <w:t xml:space="preserve"> </w:t>
            </w:r>
            <w:r>
              <w:rPr>
                <w:rFonts w:hint="eastAsia"/>
                <w:lang w:eastAsia="zh-CN"/>
              </w:rPr>
              <w:fldChar w:fldCharType="begin"/>
            </w:r>
            <w:r>
              <w:rPr>
                <w:rFonts w:hint="eastAsia"/>
                <w:lang w:eastAsia="zh-CN"/>
              </w:rPr>
              <w:instrText xml:space="preserve"> REF _Ref20043 \h </w:instrText>
            </w:r>
            <w:r>
              <w:rPr>
                <w:lang w:eastAsia="zh-CN"/>
              </w:rPr>
              <w:instrText xml:space="preserve"> \* MERGEFORMAT </w:instrText>
            </w:r>
            <w:r>
              <w:rPr>
                <w:rFonts w:hint="eastAsia"/>
                <w:lang w:eastAsia="zh-CN"/>
              </w:rPr>
            </w:r>
            <w:r>
              <w:rPr>
                <w:rFonts w:hint="eastAsia"/>
                <w:lang w:eastAsia="zh-CN"/>
              </w:rPr>
              <w:fldChar w:fldCharType="separate"/>
            </w:r>
            <w:r>
              <w:t>Table 2</w:t>
            </w:r>
            <w:r>
              <w:rPr>
                <w:rFonts w:hint="eastAsia"/>
                <w:lang w:eastAsia="zh-CN"/>
              </w:rPr>
              <w:fldChar w:fldCharType="end"/>
            </w:r>
            <w:r>
              <w:rPr>
                <w:rFonts w:hint="eastAsia"/>
                <w:lang w:eastAsia="zh-CN"/>
              </w:rPr>
              <w:t xml:space="preserve"> ~ </w:t>
            </w:r>
            <w:r>
              <w:rPr>
                <w:rFonts w:hint="eastAsia"/>
                <w:lang w:eastAsia="zh-CN"/>
              </w:rPr>
              <w:fldChar w:fldCharType="begin"/>
            </w:r>
            <w:r>
              <w:rPr>
                <w:rFonts w:hint="eastAsia"/>
                <w:lang w:eastAsia="zh-CN"/>
              </w:rPr>
              <w:instrText xml:space="preserve"> REF _Ref21944 \h </w:instrText>
            </w:r>
            <w:r>
              <w:rPr>
                <w:lang w:eastAsia="zh-CN"/>
              </w:rPr>
              <w:instrText xml:space="preserve"> \* MERGEFORMAT </w:instrText>
            </w:r>
            <w:r>
              <w:rPr>
                <w:rFonts w:hint="eastAsia"/>
                <w:lang w:eastAsia="zh-CN"/>
              </w:rPr>
            </w:r>
            <w:r>
              <w:rPr>
                <w:rFonts w:hint="eastAsia"/>
                <w:lang w:eastAsia="zh-CN"/>
              </w:rPr>
              <w:fldChar w:fldCharType="separate"/>
            </w:r>
            <w:r>
              <w:rPr>
                <w:rFonts w:hint="eastAsia"/>
                <w:lang w:eastAsia="zh-CN"/>
              </w:rPr>
              <w:fldChar w:fldCharType="begin"/>
            </w:r>
            <w:r>
              <w:rPr>
                <w:rFonts w:hint="eastAsia"/>
                <w:lang w:eastAsia="zh-CN"/>
              </w:rPr>
              <w:instrText xml:space="preserve"> REF _Ref21944 \h </w:instrText>
            </w:r>
            <w:r>
              <w:rPr>
                <w:lang w:eastAsia="zh-CN"/>
              </w:rPr>
              <w:instrText xml:space="preserve"> \* MERGEFORMAT </w:instrText>
            </w:r>
            <w:r>
              <w:rPr>
                <w:rFonts w:hint="eastAsia"/>
                <w:lang w:eastAsia="zh-CN"/>
              </w:rPr>
            </w:r>
            <w:r>
              <w:rPr>
                <w:rFonts w:hint="eastAsia"/>
                <w:lang w:eastAsia="zh-CN"/>
              </w:rPr>
              <w:fldChar w:fldCharType="separate"/>
            </w:r>
            <w:r>
              <w:t>Table 3</w:t>
            </w:r>
            <w:r>
              <w:rPr>
                <w:rFonts w:hint="eastAsia"/>
                <w:lang w:eastAsia="zh-CN"/>
              </w:rPr>
              <w:fldChar w:fldCharType="end"/>
            </w:r>
            <w:r>
              <w:rPr>
                <w:rFonts w:hint="eastAsia"/>
                <w:lang w:eastAsia="zh-CN"/>
              </w:rPr>
              <w:fldChar w:fldCharType="end"/>
            </w:r>
            <w:r>
              <w:rPr>
                <w:lang w:eastAsia="zh-CN"/>
              </w:rPr>
              <w:t xml:space="preserve"> into the TR</w:t>
            </w:r>
            <w:r>
              <w:rPr>
                <w:rFonts w:hint="eastAsia"/>
                <w:lang w:eastAsia="zh-CN"/>
              </w:rPr>
              <w:t xml:space="preserve"> </w:t>
            </w:r>
            <w:r>
              <w:rPr>
                <w:lang w:eastAsia="zh-CN"/>
              </w:rPr>
              <w:t>3</w:t>
            </w:r>
            <w:r>
              <w:rPr>
                <w:rFonts w:hint="eastAsia"/>
                <w:lang w:eastAsia="zh-CN"/>
              </w:rPr>
              <w:t>7.911</w:t>
            </w:r>
            <w:r>
              <w:rPr>
                <w:lang w:eastAsia="zh-CN"/>
              </w:rPr>
              <w:t>.</w:t>
            </w:r>
          </w:p>
        </w:tc>
      </w:tr>
      <w:tr w:rsidR="003C19FB" w14:paraId="4393D0E3" w14:textId="77777777">
        <w:trPr>
          <w:trHeight w:val="468"/>
        </w:trPr>
        <w:tc>
          <w:tcPr>
            <w:tcW w:w="1402" w:type="dxa"/>
          </w:tcPr>
          <w:p w14:paraId="54D4FC76" w14:textId="77777777" w:rsidR="003C19FB" w:rsidRDefault="005813EC">
            <w:pPr>
              <w:spacing w:before="120" w:after="120"/>
            </w:pPr>
            <w:r>
              <w:rPr>
                <w:lang w:eastAsia="zh-CN"/>
              </w:rPr>
              <w:t>R1-2311259</w:t>
            </w:r>
          </w:p>
        </w:tc>
        <w:tc>
          <w:tcPr>
            <w:tcW w:w="1428" w:type="dxa"/>
          </w:tcPr>
          <w:p w14:paraId="09E62E7C" w14:textId="77777777" w:rsidR="003C19FB" w:rsidRDefault="005813EC">
            <w:pPr>
              <w:spacing w:before="120" w:after="120"/>
            </w:pPr>
            <w:r>
              <w:rPr>
                <w:lang w:eastAsia="zh-CN"/>
              </w:rPr>
              <w:t>OPPO</w:t>
            </w:r>
          </w:p>
        </w:tc>
        <w:tc>
          <w:tcPr>
            <w:tcW w:w="6801" w:type="dxa"/>
          </w:tcPr>
          <w:p w14:paraId="5E9208F0" w14:textId="77777777" w:rsidR="003C19FB" w:rsidRDefault="005813EC">
            <w:pPr>
              <w:pStyle w:val="BodyText"/>
              <w:spacing w:line="252" w:lineRule="auto"/>
              <w:rPr>
                <w:rFonts w:eastAsiaTheme="minorEastAsia"/>
                <w:bCs/>
                <w:lang w:eastAsia="zh-CN"/>
              </w:rPr>
            </w:pPr>
            <w:r>
              <w:rPr>
                <w:rFonts w:ascii="Times" w:eastAsiaTheme="minorEastAsia" w:hAnsi="Times"/>
                <w:bCs/>
                <w:u w:val="single"/>
                <w:lang w:eastAsia="zh-CN"/>
              </w:rPr>
              <w:t>Observation 1</w:t>
            </w:r>
            <w:r>
              <w:rPr>
                <w:rFonts w:ascii="Times" w:eastAsiaTheme="minorEastAsia" w:hAnsi="Times"/>
                <w:bCs/>
                <w:lang w:eastAsia="zh-CN"/>
              </w:rPr>
              <w:t xml:space="preserve">: For traffic model with </w:t>
            </w:r>
            <w:r>
              <w:rPr>
                <w:rFonts w:ascii="Times" w:eastAsiaTheme="minorEastAsia" w:hAnsi="Times" w:hint="eastAsia"/>
                <w:bCs/>
                <w:lang w:eastAsia="zh-CN"/>
              </w:rPr>
              <w:t>1 message/2 hours/device</w:t>
            </w:r>
            <w:r>
              <w:rPr>
                <w:rFonts w:ascii="Times" w:eastAsiaTheme="minorEastAsia" w:hAnsi="Times"/>
                <w:bCs/>
                <w:lang w:eastAsia="zh-CN"/>
              </w:rPr>
              <w:t xml:space="preserve"> in NB-IoT NTN evaluation, the connection density can meet ITU-R requirement for system bandwidth of 180kHz(FRF1)/540kHz(FRF3), where the connection density is  775 Devices/ km</w:t>
            </w:r>
            <w:r>
              <w:rPr>
                <w:rFonts w:ascii="Times" w:eastAsiaTheme="minorEastAsia" w:hAnsi="Times"/>
                <w:bCs/>
                <w:vertAlign w:val="superscript"/>
                <w:lang w:eastAsia="zh-CN"/>
              </w:rPr>
              <w:t>2</w:t>
            </w:r>
            <w:r>
              <w:rPr>
                <w:rFonts w:ascii="Times" w:eastAsiaTheme="minorEastAsia" w:hAnsi="Times"/>
                <w:bCs/>
                <w:lang w:eastAsia="zh-CN"/>
              </w:rPr>
              <w:t xml:space="preserve"> (FRF1)/3023 Devices/ km</w:t>
            </w:r>
            <w:r>
              <w:rPr>
                <w:rFonts w:ascii="Times" w:eastAsiaTheme="minorEastAsia" w:hAnsi="Times"/>
                <w:bCs/>
                <w:vertAlign w:val="superscript"/>
                <w:lang w:eastAsia="zh-CN"/>
              </w:rPr>
              <w:t>2</w:t>
            </w:r>
            <w:r>
              <w:rPr>
                <w:rFonts w:ascii="Times" w:eastAsiaTheme="minorEastAsia" w:hAnsi="Times"/>
                <w:bCs/>
                <w:lang w:eastAsia="zh-CN"/>
              </w:rPr>
              <w:t xml:space="preserve"> (FRF3) and the 99</w:t>
            </w:r>
            <w:r>
              <w:rPr>
                <w:rFonts w:ascii="Times" w:eastAsiaTheme="minorEastAsia" w:hAnsi="Times"/>
                <w:bCs/>
                <w:vertAlign w:val="superscript"/>
                <w:lang w:eastAsia="zh-CN"/>
              </w:rPr>
              <w:t>th</w:t>
            </w:r>
            <w:r>
              <w:rPr>
                <w:rFonts w:ascii="Times" w:eastAsiaTheme="minorEastAsia" w:hAnsi="Times"/>
                <w:bCs/>
                <w:lang w:eastAsia="zh-CN"/>
              </w:rPr>
              <w:t xml:space="preserve"> percentile of the delay is 0.25s(FRF1)/0.0362s(FRF3).</w:t>
            </w:r>
          </w:p>
          <w:p w14:paraId="236DBA61" w14:textId="77777777" w:rsidR="003C19FB" w:rsidRDefault="005813EC">
            <w:pPr>
              <w:pStyle w:val="BodyText"/>
              <w:spacing w:line="252" w:lineRule="auto"/>
              <w:rPr>
                <w:rFonts w:eastAsiaTheme="minorEastAsia"/>
                <w:lang w:eastAsia="zh-CN"/>
              </w:rPr>
            </w:pPr>
            <w:r>
              <w:rPr>
                <w:rFonts w:ascii="Times" w:eastAsiaTheme="minorEastAsia" w:hAnsi="Times"/>
                <w:bCs/>
                <w:u w:val="single"/>
                <w:lang w:eastAsia="zh-CN"/>
              </w:rPr>
              <w:t>Observation 2</w:t>
            </w:r>
            <w:r>
              <w:rPr>
                <w:rFonts w:ascii="Times" w:eastAsiaTheme="minorEastAsia" w:hAnsi="Times"/>
                <w:bCs/>
                <w:lang w:eastAsia="zh-CN"/>
              </w:rPr>
              <w:t xml:space="preserve">: For traffic model with </w:t>
            </w:r>
            <w:r>
              <w:rPr>
                <w:rFonts w:ascii="Times" w:eastAsiaTheme="minorEastAsia" w:hAnsi="Times" w:hint="eastAsia"/>
                <w:bCs/>
                <w:lang w:eastAsia="zh-CN"/>
              </w:rPr>
              <w:t>1 message/</w:t>
            </w:r>
            <w:r>
              <w:rPr>
                <w:rFonts w:ascii="Times" w:eastAsiaTheme="minorEastAsia" w:hAnsi="Times"/>
                <w:bCs/>
                <w:lang w:eastAsia="zh-CN"/>
              </w:rPr>
              <w:t>day</w:t>
            </w:r>
            <w:r>
              <w:rPr>
                <w:rFonts w:ascii="Times" w:eastAsiaTheme="minorEastAsia" w:hAnsi="Times" w:hint="eastAsia"/>
                <w:bCs/>
                <w:lang w:eastAsia="zh-CN"/>
              </w:rPr>
              <w:t>/device</w:t>
            </w:r>
            <w:r>
              <w:rPr>
                <w:rFonts w:ascii="Times" w:eastAsiaTheme="minorEastAsia" w:hAnsi="Times"/>
                <w:bCs/>
                <w:lang w:eastAsia="zh-CN"/>
              </w:rPr>
              <w:t xml:space="preserve"> in NB-IoT NTN evaluation, the connection density can meet ITU-R requirement for system bandwidth of 180kHz(FRF1)/540kHz(FRF3), where the connection density is  9300 Devices/ km</w:t>
            </w:r>
            <w:r>
              <w:rPr>
                <w:rFonts w:ascii="Times" w:eastAsiaTheme="minorEastAsia" w:hAnsi="Times"/>
                <w:bCs/>
                <w:vertAlign w:val="superscript"/>
                <w:lang w:eastAsia="zh-CN"/>
              </w:rPr>
              <w:t>2</w:t>
            </w:r>
            <w:r>
              <w:rPr>
                <w:rFonts w:ascii="Times" w:eastAsiaTheme="minorEastAsia" w:hAnsi="Times"/>
                <w:bCs/>
                <w:lang w:eastAsia="zh-CN"/>
              </w:rPr>
              <w:t xml:space="preserve"> (FRF1)/36281 Devices/ km</w:t>
            </w:r>
            <w:r>
              <w:rPr>
                <w:rFonts w:ascii="Times" w:eastAsiaTheme="minorEastAsia" w:hAnsi="Times"/>
                <w:bCs/>
                <w:vertAlign w:val="superscript"/>
                <w:lang w:eastAsia="zh-CN"/>
              </w:rPr>
              <w:t>2</w:t>
            </w:r>
            <w:r>
              <w:rPr>
                <w:rFonts w:ascii="Times" w:eastAsiaTheme="minorEastAsia" w:hAnsi="Times"/>
                <w:bCs/>
                <w:lang w:eastAsia="zh-CN"/>
              </w:rPr>
              <w:t xml:space="preserve"> (FRF3) and the 99</w:t>
            </w:r>
            <w:r>
              <w:rPr>
                <w:rFonts w:ascii="Times" w:eastAsiaTheme="minorEastAsia" w:hAnsi="Times"/>
                <w:bCs/>
                <w:vertAlign w:val="superscript"/>
                <w:lang w:eastAsia="zh-CN"/>
              </w:rPr>
              <w:t>th</w:t>
            </w:r>
            <w:r>
              <w:rPr>
                <w:rFonts w:ascii="Times" w:eastAsiaTheme="minorEastAsia" w:hAnsi="Times"/>
                <w:bCs/>
                <w:lang w:eastAsia="zh-CN"/>
              </w:rPr>
              <w:t xml:space="preserve"> percentile of the delay is 0.25s(FRF1)/0.0362s(FRF3).</w:t>
            </w:r>
          </w:p>
        </w:tc>
      </w:tr>
      <w:tr w:rsidR="003C19FB" w14:paraId="07A3AC9A" w14:textId="77777777">
        <w:trPr>
          <w:trHeight w:val="468"/>
        </w:trPr>
        <w:tc>
          <w:tcPr>
            <w:tcW w:w="1402" w:type="dxa"/>
          </w:tcPr>
          <w:p w14:paraId="18C17068" w14:textId="77777777" w:rsidR="003C19FB" w:rsidRDefault="005813EC">
            <w:pPr>
              <w:spacing w:before="120" w:after="120"/>
              <w:rPr>
                <w:u w:val="single"/>
              </w:rPr>
            </w:pPr>
            <w:r>
              <w:rPr>
                <w:lang w:eastAsia="zh-CN"/>
              </w:rPr>
              <w:t>R1-2312002</w:t>
            </w:r>
          </w:p>
        </w:tc>
        <w:tc>
          <w:tcPr>
            <w:tcW w:w="1428" w:type="dxa"/>
          </w:tcPr>
          <w:p w14:paraId="5001F463" w14:textId="77777777" w:rsidR="003C19FB" w:rsidRDefault="005813EC">
            <w:pPr>
              <w:spacing w:before="120" w:after="120"/>
            </w:pPr>
            <w:r>
              <w:rPr>
                <w:lang w:eastAsia="zh-CN"/>
              </w:rPr>
              <w:t>MediaTek Inc.</w:t>
            </w:r>
          </w:p>
        </w:tc>
        <w:tc>
          <w:tcPr>
            <w:tcW w:w="6801" w:type="dxa"/>
          </w:tcPr>
          <w:p w14:paraId="7609530D" w14:textId="77777777" w:rsidR="003C19FB" w:rsidRDefault="005813EC">
            <w:pPr>
              <w:pStyle w:val="3GPPNormalText"/>
              <w:ind w:left="0" w:firstLine="0"/>
              <w:rPr>
                <w:sz w:val="20"/>
                <w:szCs w:val="22"/>
                <w:lang w:val="en-GB"/>
              </w:rPr>
            </w:pPr>
            <w:r>
              <w:rPr>
                <w:sz w:val="20"/>
                <w:szCs w:val="20"/>
                <w:u w:val="single"/>
                <w:lang w:val="en-GB"/>
              </w:rPr>
              <w:t>Observation:</w:t>
            </w:r>
            <w:r>
              <w:rPr>
                <w:sz w:val="20"/>
                <w:szCs w:val="20"/>
                <w:lang w:val="en-GB"/>
              </w:rPr>
              <w:t xml:space="preserve"> These results demonstrate that NB-IoT NTN exceeds the ITU-R Connection Density requirement by some margin for both FRF=1 and FRF=3, and </w:t>
            </w:r>
            <w:r>
              <w:rPr>
                <w:sz w:val="20"/>
                <w:szCs w:val="20"/>
                <w:lang w:val="en-GB"/>
              </w:rPr>
              <w:lastRenderedPageBreak/>
              <w:t>that the corresponding packet delay requirement is also able to be fulfilled by a large margin.</w:t>
            </w:r>
          </w:p>
          <w:p w14:paraId="5EC418CD" w14:textId="77777777" w:rsidR="003C19FB" w:rsidRDefault="005813EC">
            <w:r>
              <w:rPr>
                <w:u w:val="single"/>
              </w:rPr>
              <w:t>Proposal 1</w:t>
            </w:r>
            <w:r>
              <w:t>: Add the results for NB-IoT NTN to section 5.1 of TR37.911.</w:t>
            </w:r>
          </w:p>
          <w:p w14:paraId="23F84CB6" w14:textId="77777777" w:rsidR="003C19FB" w:rsidRDefault="005813EC">
            <w:r>
              <w:rPr>
                <w:u w:val="single"/>
              </w:rPr>
              <w:t>Proposal 2</w:t>
            </w:r>
            <w:r>
              <w:t xml:space="preserve">: Consider the above link budget analysis for the link budget template finalisation for NB-IoT NTN. </w:t>
            </w:r>
            <w:r>
              <w:rPr>
                <w:b/>
                <w:bCs/>
                <w:color w:val="FF0000"/>
              </w:rPr>
              <w:t>&lt;FL: It is proposed to handle this proposal in agenda item 8.15.1 discussion&gt;</w:t>
            </w:r>
          </w:p>
        </w:tc>
      </w:tr>
      <w:tr w:rsidR="003C19FB" w14:paraId="5FF3DE26" w14:textId="77777777">
        <w:trPr>
          <w:trHeight w:val="468"/>
        </w:trPr>
        <w:tc>
          <w:tcPr>
            <w:tcW w:w="1402" w:type="dxa"/>
          </w:tcPr>
          <w:p w14:paraId="2D213230" w14:textId="77777777" w:rsidR="003C19FB" w:rsidRDefault="005813EC">
            <w:pPr>
              <w:spacing w:before="120" w:after="120"/>
              <w:rPr>
                <w:lang w:eastAsia="zh-CN"/>
              </w:rPr>
            </w:pPr>
            <w:r>
              <w:rPr>
                <w:lang w:eastAsia="zh-CN"/>
              </w:rPr>
              <w:lastRenderedPageBreak/>
              <w:t>R1-2312001</w:t>
            </w:r>
          </w:p>
        </w:tc>
        <w:tc>
          <w:tcPr>
            <w:tcW w:w="1428" w:type="dxa"/>
          </w:tcPr>
          <w:p w14:paraId="6D8F35A6" w14:textId="77777777" w:rsidR="003C19FB" w:rsidRDefault="005813EC">
            <w:pPr>
              <w:spacing w:before="120" w:after="120"/>
            </w:pPr>
            <w:r>
              <w:t>MediaTek Inc, Thales, Qualcomm</w:t>
            </w:r>
          </w:p>
        </w:tc>
        <w:tc>
          <w:tcPr>
            <w:tcW w:w="6801" w:type="dxa"/>
          </w:tcPr>
          <w:p w14:paraId="2A0A15D2" w14:textId="77777777" w:rsidR="003C19FB" w:rsidRDefault="005813EC">
            <w:pPr>
              <w:rPr>
                <w:u w:val="single"/>
              </w:rPr>
            </w:pPr>
            <w:r>
              <w:rPr>
                <w:rFonts w:eastAsiaTheme="minorEastAsia"/>
                <w:color w:val="000000"/>
                <w:szCs w:val="18"/>
                <w:lang w:eastAsia="zh-CN"/>
              </w:rPr>
              <w:t xml:space="preserve">TP to TR 37.911 for Connection Density evaluation. </w:t>
            </w:r>
            <w:r>
              <w:rPr>
                <w:rFonts w:eastAsiaTheme="minorEastAsia"/>
                <w:b/>
                <w:bCs/>
                <w:color w:val="FF0000"/>
                <w:szCs w:val="18"/>
                <w:lang w:eastAsia="zh-CN"/>
              </w:rPr>
              <w:t>&lt;FL: It is proposed to treat the TP in this discussion, while any points on the specific requirements values for NR can be handled in the 8.15.2 discussion&gt;</w:t>
            </w:r>
          </w:p>
        </w:tc>
      </w:tr>
      <w:tr w:rsidR="003C19FB" w14:paraId="4A5518C0" w14:textId="77777777">
        <w:trPr>
          <w:trHeight w:val="468"/>
        </w:trPr>
        <w:tc>
          <w:tcPr>
            <w:tcW w:w="1402" w:type="dxa"/>
          </w:tcPr>
          <w:p w14:paraId="299E2EE0" w14:textId="77777777" w:rsidR="003C19FB" w:rsidRDefault="005813EC">
            <w:pPr>
              <w:spacing w:before="120" w:after="120"/>
              <w:rPr>
                <w:u w:val="single"/>
              </w:rPr>
            </w:pPr>
            <w:r>
              <w:rPr>
                <w:lang w:eastAsia="zh-CN"/>
              </w:rPr>
              <w:t>R1-2312060</w:t>
            </w:r>
          </w:p>
        </w:tc>
        <w:tc>
          <w:tcPr>
            <w:tcW w:w="1428" w:type="dxa"/>
          </w:tcPr>
          <w:p w14:paraId="3478FD66" w14:textId="77777777" w:rsidR="003C19FB" w:rsidRDefault="005813EC">
            <w:pPr>
              <w:spacing w:before="120" w:after="120"/>
            </w:pPr>
            <w:r>
              <w:t>Qualcomm Incorporated</w:t>
            </w:r>
          </w:p>
        </w:tc>
        <w:tc>
          <w:tcPr>
            <w:tcW w:w="6801" w:type="dxa"/>
          </w:tcPr>
          <w:p w14:paraId="209E0A79" w14:textId="77777777" w:rsidR="003C19FB" w:rsidRDefault="005813EC">
            <w:r>
              <w:rPr>
                <w:u w:val="single"/>
              </w:rPr>
              <w:t>Proposal 1:</w:t>
            </w:r>
            <w:r>
              <w:t xml:space="preserve"> Capture the evaluation assumptions in Table 1 and evaluation results in Table 2 in TR 37.911.</w:t>
            </w:r>
          </w:p>
          <w:p w14:paraId="6A048451" w14:textId="77777777" w:rsidR="003C19FB" w:rsidRDefault="005813EC">
            <w:pPr>
              <w:rPr>
                <w:b/>
                <w:bCs/>
              </w:rPr>
            </w:pPr>
            <w:r>
              <w:rPr>
                <w:u w:val="single"/>
              </w:rPr>
              <w:t>Proposal 2:</w:t>
            </w:r>
            <w:r>
              <w:t xml:space="preserve"> Capture the evaluation assumptions in Table 3 and evaluation results in Table 4 in TR 37.911.</w:t>
            </w:r>
          </w:p>
        </w:tc>
      </w:tr>
      <w:tr w:rsidR="003C19FB" w14:paraId="59E8FCCD" w14:textId="77777777">
        <w:trPr>
          <w:trHeight w:val="468"/>
        </w:trPr>
        <w:tc>
          <w:tcPr>
            <w:tcW w:w="1402" w:type="dxa"/>
          </w:tcPr>
          <w:p w14:paraId="3DA36B38" w14:textId="77777777" w:rsidR="003C19FB" w:rsidRDefault="005813EC">
            <w:pPr>
              <w:spacing w:before="120" w:after="120"/>
              <w:rPr>
                <w:u w:val="single"/>
              </w:rPr>
            </w:pPr>
            <w:r>
              <w:rPr>
                <w:lang w:eastAsia="zh-CN"/>
              </w:rPr>
              <w:t>R1-2312150</w:t>
            </w:r>
          </w:p>
        </w:tc>
        <w:tc>
          <w:tcPr>
            <w:tcW w:w="1428" w:type="dxa"/>
          </w:tcPr>
          <w:p w14:paraId="41552BA5" w14:textId="77777777" w:rsidR="003C19FB" w:rsidRDefault="005813EC">
            <w:pPr>
              <w:spacing w:before="120" w:after="120"/>
            </w:pPr>
            <w:r>
              <w:rPr>
                <w:lang w:eastAsia="zh-CN"/>
              </w:rPr>
              <w:t>Huawei, HiSilicon</w:t>
            </w:r>
          </w:p>
        </w:tc>
        <w:tc>
          <w:tcPr>
            <w:tcW w:w="6801" w:type="dxa"/>
          </w:tcPr>
          <w:p w14:paraId="7B782CC8" w14:textId="77777777" w:rsidR="003C19FB" w:rsidRDefault="005813EC">
            <w:pPr>
              <w:rPr>
                <w:bCs/>
                <w:iCs/>
                <w:lang w:eastAsia="zh-CN"/>
              </w:rPr>
            </w:pPr>
            <w:r>
              <w:rPr>
                <w:bCs/>
                <w:iCs/>
                <w:u w:val="single"/>
                <w:lang w:eastAsia="zh-CN"/>
              </w:rPr>
              <w:t>Observation 1</w:t>
            </w:r>
            <w:r>
              <w:rPr>
                <w:bCs/>
                <w:iCs/>
                <w:lang w:eastAsia="zh-CN"/>
              </w:rPr>
              <w:t>: NB-IoT can fulfil the connection density requirements with full-buffer system-level simulation followed by link-level simulation method.</w:t>
            </w:r>
          </w:p>
          <w:p w14:paraId="4C5AFEAC" w14:textId="77777777" w:rsidR="003C19FB" w:rsidRDefault="005813EC">
            <w:pPr>
              <w:rPr>
                <w:bCs/>
                <w:iCs/>
                <w:lang w:eastAsia="zh-CN"/>
              </w:rPr>
            </w:pPr>
            <w:r>
              <w:rPr>
                <w:bCs/>
                <w:iCs/>
                <w:u w:val="single"/>
                <w:lang w:eastAsia="zh-CN"/>
              </w:rPr>
              <w:t>Proposal 1</w:t>
            </w:r>
            <w:r>
              <w:rPr>
                <w:bCs/>
                <w:iCs/>
                <w:lang w:eastAsia="zh-CN"/>
              </w:rPr>
              <w:t xml:space="preserve">: Capture the evaluation assumptions in </w:t>
            </w:r>
            <w:r>
              <w:rPr>
                <w:bCs/>
                <w:iCs/>
                <w:lang w:eastAsia="zh-CN"/>
              </w:rPr>
              <w:fldChar w:fldCharType="begin"/>
            </w:r>
            <w:r>
              <w:rPr>
                <w:bCs/>
                <w:iCs/>
                <w:lang w:eastAsia="zh-CN"/>
              </w:rPr>
              <w:instrText xml:space="preserve"> REF _Ref141365449 \h  \* MERGEFORMAT </w:instrText>
            </w:r>
            <w:r>
              <w:rPr>
                <w:bCs/>
                <w:iCs/>
                <w:lang w:eastAsia="zh-CN"/>
              </w:rPr>
            </w:r>
            <w:r>
              <w:rPr>
                <w:bCs/>
                <w:iCs/>
                <w:lang w:eastAsia="zh-CN"/>
              </w:rPr>
              <w:fldChar w:fldCharType="separate"/>
            </w:r>
            <w:r>
              <w:rPr>
                <w:bCs/>
                <w:iCs/>
                <w:lang w:eastAsia="zh-CN"/>
              </w:rPr>
              <w:t>Table 1</w:t>
            </w:r>
            <w:r>
              <w:rPr>
                <w:bCs/>
                <w:iCs/>
                <w:lang w:eastAsia="zh-CN"/>
              </w:rPr>
              <w:fldChar w:fldCharType="end"/>
            </w:r>
            <w:r>
              <w:rPr>
                <w:bCs/>
                <w:iCs/>
                <w:lang w:eastAsia="zh-CN"/>
              </w:rPr>
              <w:t xml:space="preserve"> and evaluation results in </w:t>
            </w:r>
            <w:r>
              <w:rPr>
                <w:bCs/>
                <w:iCs/>
                <w:lang w:eastAsia="zh-CN"/>
              </w:rPr>
              <w:fldChar w:fldCharType="begin"/>
            </w:r>
            <w:r>
              <w:rPr>
                <w:bCs/>
                <w:iCs/>
                <w:lang w:eastAsia="zh-CN"/>
              </w:rPr>
              <w:instrText xml:space="preserve"> REF _Ref141367707 \h  \* MERGEFORMAT </w:instrText>
            </w:r>
            <w:r>
              <w:rPr>
                <w:bCs/>
                <w:iCs/>
                <w:lang w:eastAsia="zh-CN"/>
              </w:rPr>
            </w:r>
            <w:r>
              <w:rPr>
                <w:bCs/>
                <w:iCs/>
                <w:lang w:eastAsia="zh-CN"/>
              </w:rPr>
              <w:fldChar w:fldCharType="separate"/>
            </w:r>
            <w:r>
              <w:rPr>
                <w:bCs/>
                <w:iCs/>
                <w:lang w:eastAsia="zh-CN"/>
              </w:rPr>
              <w:t>Table 2</w:t>
            </w:r>
            <w:r>
              <w:rPr>
                <w:bCs/>
                <w:iCs/>
                <w:lang w:eastAsia="zh-CN"/>
              </w:rPr>
              <w:fldChar w:fldCharType="end"/>
            </w:r>
            <w:r>
              <w:rPr>
                <w:bCs/>
                <w:iCs/>
                <w:lang w:eastAsia="zh-CN"/>
              </w:rPr>
              <w:t xml:space="preserve"> in TR 37.911.</w:t>
            </w:r>
          </w:p>
        </w:tc>
      </w:tr>
    </w:tbl>
    <w:p w14:paraId="5A372906" w14:textId="77777777" w:rsidR="003C19FB" w:rsidRDefault="003C19FB"/>
    <w:p w14:paraId="112DC23E" w14:textId="77777777" w:rsidR="003C19FB" w:rsidRDefault="005813EC">
      <w:pPr>
        <w:pStyle w:val="Heading2"/>
      </w:pPr>
      <w:r>
        <w:t>Discussion points</w:t>
      </w:r>
    </w:p>
    <w:p w14:paraId="2381900E" w14:textId="77777777" w:rsidR="003C19FB" w:rsidRDefault="005813EC">
      <w:pPr>
        <w:pStyle w:val="Heading3"/>
        <w:rPr>
          <w:sz w:val="24"/>
          <w:szCs w:val="16"/>
          <w:lang w:val="en-US"/>
        </w:rPr>
      </w:pPr>
      <w:r>
        <w:rPr>
          <w:sz w:val="24"/>
          <w:szCs w:val="16"/>
          <w:lang w:val="en-US"/>
        </w:rPr>
        <w:t>Connection Density evaluation: IoT NTN full-buffer results spreadsheet</w:t>
      </w:r>
    </w:p>
    <w:p w14:paraId="3C802029" w14:textId="77777777" w:rsidR="003C19FB" w:rsidRDefault="005813EC">
      <w:pPr>
        <w:rPr>
          <w:i/>
          <w:iCs/>
          <w:lang w:val="en-US" w:eastAsia="zh-CN"/>
        </w:rPr>
      </w:pPr>
      <w:r>
        <w:rPr>
          <w:lang w:val="en-US" w:eastAsia="zh-CN"/>
        </w:rPr>
        <w:t xml:space="preserve">Please provide any comment on the results captured in the file: </w:t>
      </w:r>
      <w:r>
        <w:rPr>
          <w:b/>
          <w:bCs/>
          <w:color w:val="4472C4" w:themeColor="accent1"/>
          <w:lang w:val="en-US" w:eastAsia="zh-CN"/>
        </w:rPr>
        <w:t>IoT NTN_ConnDensity_Simulation Results Collection_v05</w:t>
      </w:r>
      <w:r>
        <w:rPr>
          <w:i/>
          <w:iCs/>
          <w:lang w:val="en-US" w:eastAsia="zh-CN"/>
        </w:rPr>
        <w:t xml:space="preserve">, </w:t>
      </w:r>
      <w:r>
        <w:rPr>
          <w:lang w:val="en-US" w:eastAsia="zh-CN"/>
        </w:rPr>
        <w:t>including answers to the following questions:</w:t>
      </w:r>
    </w:p>
    <w:p w14:paraId="1A5E8BC8" w14:textId="77777777" w:rsidR="003C19FB" w:rsidRDefault="005813EC">
      <w:pPr>
        <w:pStyle w:val="ListParagraph"/>
        <w:numPr>
          <w:ilvl w:val="0"/>
          <w:numId w:val="5"/>
        </w:numPr>
        <w:ind w:firstLineChars="0"/>
        <w:rPr>
          <w:lang w:val="en-US" w:eastAsia="zh-CN"/>
        </w:rPr>
      </w:pPr>
      <w:r>
        <w:rPr>
          <w:lang w:val="en-US" w:eastAsia="zh-CN"/>
        </w:rPr>
        <w:t xml:space="preserve">Should we capture the ZTE SINR-SE values not bound by 10% BLER? FL believes it may not be appropriate to capture in the results spreadsheet. </w:t>
      </w:r>
    </w:p>
    <w:p w14:paraId="382524B0" w14:textId="77777777" w:rsidR="003C19FB" w:rsidRDefault="005813EC">
      <w:pPr>
        <w:pStyle w:val="ListParagraph"/>
        <w:numPr>
          <w:ilvl w:val="0"/>
          <w:numId w:val="5"/>
        </w:numPr>
        <w:ind w:firstLineChars="0"/>
        <w:rPr>
          <w:lang w:val="en-US" w:eastAsia="zh-CN"/>
        </w:rPr>
      </w:pPr>
      <w:r>
        <w:rPr>
          <w:lang w:val="en-US" w:eastAsia="zh-CN"/>
        </w:rPr>
        <w:t>Should we add the 99%ile packet latency per company to the results spreadsheet? Or just provide the overall mean values for FRF=1 and FRF=3 in the Technical Report?</w:t>
      </w:r>
    </w:p>
    <w:p w14:paraId="03FD5426" w14:textId="77777777" w:rsidR="003C19FB" w:rsidRDefault="005813EC">
      <w:pPr>
        <w:pStyle w:val="ListParagraph"/>
        <w:numPr>
          <w:ilvl w:val="0"/>
          <w:numId w:val="5"/>
        </w:numPr>
        <w:ind w:firstLineChars="0"/>
        <w:rPr>
          <w:lang w:val="en-US" w:eastAsia="zh-CN"/>
        </w:rPr>
      </w:pPr>
      <w:r>
        <w:rPr>
          <w:lang w:val="en-US" w:eastAsia="zh-CN"/>
        </w:rPr>
        <w:t>Should we add the actual bandwidth for which 500 users is achieved where the requirement is not met with the minimum bandwidth by each company?</w:t>
      </w:r>
    </w:p>
    <w:p w14:paraId="2891F1F9" w14:textId="77777777" w:rsidR="003C19FB" w:rsidRDefault="005813EC">
      <w:pPr>
        <w:pStyle w:val="ListParagraph"/>
        <w:numPr>
          <w:ilvl w:val="0"/>
          <w:numId w:val="5"/>
        </w:numPr>
        <w:ind w:firstLineChars="0"/>
        <w:rPr>
          <w:lang w:val="en-US" w:eastAsia="zh-CN"/>
        </w:rPr>
      </w:pPr>
      <w:r>
        <w:rPr>
          <w:lang w:val="en-US" w:eastAsia="zh-CN"/>
        </w:rPr>
        <w:t>Any other comments, including on the format or presentation of simulation parameters?</w:t>
      </w:r>
    </w:p>
    <w:p w14:paraId="01FCB1D5" w14:textId="77777777" w:rsidR="003C19FB" w:rsidRDefault="005813EC">
      <w:pPr>
        <w:pStyle w:val="ListParagraph"/>
        <w:ind w:left="720" w:firstLineChars="0" w:firstLine="0"/>
        <w:rPr>
          <w:color w:val="FF0000"/>
          <w:lang w:val="en-US" w:eastAsia="zh-CN"/>
        </w:rPr>
      </w:pPr>
      <w:r>
        <w:rPr>
          <w:color w:val="FF0000"/>
          <w:lang w:val="en-US" w:eastAsia="zh-CN"/>
        </w:rPr>
        <w:t>&lt;FL: ZTE, please can you also confirm that existing SINR and SINR-SE values are still correct?&gt;</w:t>
      </w:r>
    </w:p>
    <w:p w14:paraId="563ED9B9" w14:textId="77777777" w:rsidR="003C19FB" w:rsidRDefault="005813EC">
      <w:pPr>
        <w:pStyle w:val="ListParagraph"/>
        <w:ind w:left="720" w:firstLineChars="0" w:firstLine="0"/>
        <w:rPr>
          <w:color w:val="FF0000"/>
          <w:lang w:val="en-US" w:eastAsia="zh-CN"/>
        </w:rPr>
      </w:pPr>
      <w:r>
        <w:rPr>
          <w:color w:val="FF0000"/>
          <w:lang w:val="en-US" w:eastAsia="zh-CN"/>
        </w:rPr>
        <w:t>&lt;FL: OPPO, do you have SINR values corresponding to the eMTC results you provided in last meeting?&gt;</w:t>
      </w:r>
    </w:p>
    <w:tbl>
      <w:tblPr>
        <w:tblStyle w:val="TableGrid"/>
        <w:tblW w:w="0" w:type="auto"/>
        <w:tblLook w:val="04A0" w:firstRow="1" w:lastRow="0" w:firstColumn="1" w:lastColumn="0" w:noHBand="0" w:noVBand="1"/>
      </w:tblPr>
      <w:tblGrid>
        <w:gridCol w:w="3256"/>
        <w:gridCol w:w="6375"/>
      </w:tblGrid>
      <w:tr w:rsidR="003C19FB" w14:paraId="3C7A961B" w14:textId="77777777">
        <w:tc>
          <w:tcPr>
            <w:tcW w:w="3256" w:type="dxa"/>
            <w:shd w:val="clear" w:color="auto" w:fill="E7E6E6" w:themeFill="background2"/>
          </w:tcPr>
          <w:p w14:paraId="44336188" w14:textId="77777777" w:rsidR="003C19FB" w:rsidRDefault="005813EC">
            <w:pPr>
              <w:rPr>
                <w:b/>
                <w:bCs/>
                <w:lang w:eastAsia="zh-CN"/>
              </w:rPr>
            </w:pPr>
            <w:r>
              <w:rPr>
                <w:b/>
                <w:bCs/>
                <w:lang w:eastAsia="zh-CN"/>
              </w:rPr>
              <w:t>Company</w:t>
            </w:r>
          </w:p>
        </w:tc>
        <w:tc>
          <w:tcPr>
            <w:tcW w:w="6375" w:type="dxa"/>
            <w:shd w:val="clear" w:color="auto" w:fill="E7E6E6" w:themeFill="background2"/>
          </w:tcPr>
          <w:p w14:paraId="0231684A" w14:textId="77777777" w:rsidR="003C19FB" w:rsidRDefault="005813EC">
            <w:pPr>
              <w:rPr>
                <w:b/>
                <w:bCs/>
                <w:lang w:eastAsia="zh-CN"/>
              </w:rPr>
            </w:pPr>
            <w:r>
              <w:rPr>
                <w:b/>
                <w:bCs/>
                <w:lang w:eastAsia="zh-CN"/>
              </w:rPr>
              <w:t>Comments</w:t>
            </w:r>
          </w:p>
        </w:tc>
      </w:tr>
      <w:tr w:rsidR="003C19FB" w14:paraId="4D5643BF" w14:textId="77777777">
        <w:tc>
          <w:tcPr>
            <w:tcW w:w="3256" w:type="dxa"/>
          </w:tcPr>
          <w:p w14:paraId="45DD5EA1" w14:textId="77777777" w:rsidR="003C19FB" w:rsidRDefault="005813EC">
            <w:pPr>
              <w:rPr>
                <w:rFonts w:eastAsiaTheme="minorEastAsia"/>
                <w:b/>
                <w:bCs/>
                <w:lang w:eastAsia="zh-CN"/>
              </w:rPr>
            </w:pPr>
            <w:r>
              <w:rPr>
                <w:rFonts w:eastAsiaTheme="minorEastAsia" w:hint="eastAsia"/>
                <w:b/>
                <w:bCs/>
                <w:lang w:eastAsia="zh-CN"/>
              </w:rPr>
              <w:t>O</w:t>
            </w:r>
            <w:r>
              <w:rPr>
                <w:rFonts w:eastAsiaTheme="minorEastAsia"/>
                <w:b/>
                <w:bCs/>
                <w:lang w:eastAsia="zh-CN"/>
              </w:rPr>
              <w:t>PPO</w:t>
            </w:r>
          </w:p>
        </w:tc>
        <w:tc>
          <w:tcPr>
            <w:tcW w:w="6375" w:type="dxa"/>
          </w:tcPr>
          <w:p w14:paraId="588428A5" w14:textId="77777777" w:rsidR="003C19FB" w:rsidRDefault="005813EC">
            <w:pPr>
              <w:jc w:val="both"/>
              <w:rPr>
                <w:rFonts w:eastAsiaTheme="minorEastAsia"/>
                <w:lang w:eastAsia="zh-CN"/>
              </w:rPr>
            </w:pPr>
            <w:r>
              <w:rPr>
                <w:rFonts w:eastAsiaTheme="minorEastAsia" w:hint="eastAsia"/>
                <w:lang w:eastAsia="zh-CN"/>
              </w:rPr>
              <w:t>Q</w:t>
            </w:r>
            <w:r>
              <w:rPr>
                <w:rFonts w:eastAsiaTheme="minorEastAsia"/>
                <w:lang w:eastAsia="zh-CN"/>
              </w:rPr>
              <w:t>2: The 99</w:t>
            </w:r>
            <w:r>
              <w:rPr>
                <w:rFonts w:eastAsiaTheme="minorEastAsia"/>
                <w:vertAlign w:val="superscript"/>
                <w:lang w:eastAsia="zh-CN"/>
              </w:rPr>
              <w:t>th</w:t>
            </w:r>
            <w:r>
              <w:rPr>
                <w:rFonts w:eastAsiaTheme="minorEastAsia"/>
                <w:lang w:eastAsia="zh-CN"/>
              </w:rPr>
              <w:t xml:space="preserve"> percentile delay is not needed to be added to the results spreadsheet as long as it is less than or equal to 10s.</w:t>
            </w:r>
          </w:p>
          <w:p w14:paraId="611819D5" w14:textId="77777777" w:rsidR="003C19FB" w:rsidRDefault="005813EC">
            <w:pPr>
              <w:jc w:val="both"/>
              <w:rPr>
                <w:rFonts w:eastAsiaTheme="minorEastAsia"/>
                <w:lang w:eastAsia="zh-CN"/>
              </w:rPr>
            </w:pPr>
            <w:r>
              <w:rPr>
                <w:rFonts w:eastAsiaTheme="minorEastAsia"/>
                <w:lang w:eastAsia="zh-CN"/>
              </w:rPr>
              <w:t>Q3: The bandwidth used for evaluation should be aligned, otherwise the evaluation results on connection density from each company will be not comparable. In addition, we should use the mean value to determine whether the requirement is met.</w:t>
            </w:r>
          </w:p>
          <w:p w14:paraId="74A3DCB0" w14:textId="77777777" w:rsidR="003C19FB" w:rsidRDefault="005813EC">
            <w:pPr>
              <w:jc w:val="both"/>
              <w:rPr>
                <w:rFonts w:eastAsiaTheme="minorEastAsia"/>
                <w:lang w:eastAsia="zh-CN"/>
              </w:rPr>
            </w:pPr>
            <w:r>
              <w:rPr>
                <w:rFonts w:eastAsiaTheme="minorEastAsia" w:hint="eastAsia"/>
                <w:lang w:eastAsia="zh-CN"/>
              </w:rPr>
              <w:t>Q</w:t>
            </w:r>
            <w:r>
              <w:rPr>
                <w:rFonts w:eastAsiaTheme="minorEastAsia"/>
                <w:lang w:eastAsia="zh-CN"/>
              </w:rPr>
              <w:t xml:space="preserve">4: Considering a fixed TBS is not used in our </w:t>
            </w:r>
            <w:r>
              <w:rPr>
                <w:rFonts w:eastAsiaTheme="minorEastAsia" w:hint="eastAsia"/>
                <w:lang w:eastAsia="zh-CN"/>
              </w:rPr>
              <w:t>e</w:t>
            </w:r>
            <w:r>
              <w:rPr>
                <w:rFonts w:eastAsiaTheme="minorEastAsia"/>
                <w:lang w:eastAsia="zh-CN"/>
              </w:rPr>
              <w:t xml:space="preserve">MTC evaluation, we do not provide the eMTC results in this meeting, and our eMTC results can be removed from the spreadsheet. In addition, we provide the NB-IoT results </w:t>
            </w:r>
            <w:r>
              <w:rPr>
                <w:rFonts w:eastAsiaTheme="minorEastAsia"/>
                <w:lang w:eastAsia="zh-CN"/>
              </w:rPr>
              <w:lastRenderedPageBreak/>
              <w:t>where the evaluation assumption is aligned with the agreements and upload our SINR values of NB-IoT evaluation to the results spreadsheet.</w:t>
            </w:r>
          </w:p>
        </w:tc>
      </w:tr>
      <w:tr w:rsidR="003C19FB" w14:paraId="163FB055" w14:textId="77777777">
        <w:tc>
          <w:tcPr>
            <w:tcW w:w="3256" w:type="dxa"/>
          </w:tcPr>
          <w:p w14:paraId="0171E150" w14:textId="77777777" w:rsidR="003C19FB" w:rsidRDefault="005813EC">
            <w:pPr>
              <w:rPr>
                <w:b/>
                <w:bCs/>
                <w:lang w:val="en-US" w:eastAsia="zh-CN"/>
              </w:rPr>
            </w:pPr>
            <w:r>
              <w:rPr>
                <w:rFonts w:hint="eastAsia"/>
                <w:b/>
                <w:bCs/>
                <w:lang w:val="en-US" w:eastAsia="zh-CN"/>
              </w:rPr>
              <w:lastRenderedPageBreak/>
              <w:t>ZTE</w:t>
            </w:r>
          </w:p>
        </w:tc>
        <w:tc>
          <w:tcPr>
            <w:tcW w:w="6375" w:type="dxa"/>
          </w:tcPr>
          <w:p w14:paraId="08DD7542" w14:textId="067C0255" w:rsidR="003C19FB" w:rsidRDefault="005813EC">
            <w:pPr>
              <w:rPr>
                <w:lang w:val="en-US" w:eastAsia="zh-CN"/>
              </w:rPr>
            </w:pPr>
            <w:r>
              <w:rPr>
                <w:rFonts w:hint="eastAsia"/>
                <w:lang w:val="en-US" w:eastAsia="zh-CN"/>
              </w:rPr>
              <w:t>The SINR and SINR-SE is u</w:t>
            </w:r>
            <w:r w:rsidR="000175CC">
              <w:rPr>
                <w:lang w:val="en-US" w:eastAsia="zh-CN"/>
              </w:rPr>
              <w:t>pd</w:t>
            </w:r>
            <w:r>
              <w:rPr>
                <w:rFonts w:hint="eastAsia"/>
                <w:lang w:val="en-US" w:eastAsia="zh-CN"/>
              </w:rPr>
              <w:t>ated in the excel sheet.</w:t>
            </w:r>
          </w:p>
          <w:p w14:paraId="32E82B7D" w14:textId="77777777" w:rsidR="003C19FB" w:rsidRDefault="005813EC">
            <w:pPr>
              <w:rPr>
                <w:lang w:val="en-US" w:eastAsia="zh-CN"/>
              </w:rPr>
            </w:pPr>
            <w:r>
              <w:rPr>
                <w:rFonts w:hint="eastAsia"/>
                <w:lang w:val="en-US" w:eastAsia="zh-CN"/>
              </w:rPr>
              <w:t>For Q1: Regarding the results not bound by 10%, it</w:t>
            </w:r>
            <w:r>
              <w:rPr>
                <w:lang w:val="en-US" w:eastAsia="zh-CN"/>
              </w:rPr>
              <w:t>’</w:t>
            </w:r>
            <w:r>
              <w:rPr>
                <w:rFonts w:hint="eastAsia"/>
                <w:lang w:val="en-US" w:eastAsia="zh-CN"/>
              </w:rPr>
              <w:t xml:space="preserve">s to reflect the situation with FR = 1.  For others, the assumption is aligned. </w:t>
            </w:r>
          </w:p>
          <w:p w14:paraId="0FD91678" w14:textId="77777777" w:rsidR="003C19FB" w:rsidRDefault="005813EC">
            <w:pPr>
              <w:rPr>
                <w:lang w:val="en-US" w:eastAsia="zh-CN"/>
              </w:rPr>
            </w:pPr>
            <w:r>
              <w:rPr>
                <w:rFonts w:hint="eastAsia"/>
                <w:lang w:val="en-US" w:eastAsia="zh-CN"/>
              </w:rPr>
              <w:t>For Q3: Yes.</w:t>
            </w:r>
          </w:p>
        </w:tc>
      </w:tr>
      <w:tr w:rsidR="003C19FB" w14:paraId="51EF4DC5" w14:textId="77777777">
        <w:tc>
          <w:tcPr>
            <w:tcW w:w="3256" w:type="dxa"/>
          </w:tcPr>
          <w:p w14:paraId="245C6796" w14:textId="73353B53" w:rsidR="003C19FB" w:rsidRDefault="000175CC">
            <w:pPr>
              <w:rPr>
                <w:b/>
                <w:bCs/>
                <w:lang w:eastAsia="zh-CN"/>
              </w:rPr>
            </w:pPr>
            <w:r>
              <w:rPr>
                <w:b/>
                <w:bCs/>
                <w:lang w:eastAsia="zh-CN"/>
              </w:rPr>
              <w:t>MediaTek</w:t>
            </w:r>
          </w:p>
        </w:tc>
        <w:tc>
          <w:tcPr>
            <w:tcW w:w="6375" w:type="dxa"/>
          </w:tcPr>
          <w:p w14:paraId="7170F629" w14:textId="0E47FF4E" w:rsidR="000175CC" w:rsidRDefault="000175CC">
            <w:pPr>
              <w:rPr>
                <w:lang w:eastAsia="zh-CN"/>
              </w:rPr>
            </w:pPr>
            <w:r>
              <w:rPr>
                <w:lang w:eastAsia="zh-CN"/>
              </w:rPr>
              <w:t>Q1: See Q3 answer.</w:t>
            </w:r>
          </w:p>
          <w:p w14:paraId="344D3633" w14:textId="15A078E9" w:rsidR="003C19FB" w:rsidRDefault="000175CC">
            <w:pPr>
              <w:rPr>
                <w:lang w:eastAsia="zh-CN"/>
              </w:rPr>
            </w:pPr>
            <w:r>
              <w:rPr>
                <w:lang w:eastAsia="zh-CN"/>
              </w:rPr>
              <w:t>Q2: Tend to agree with OPPO. We could just say “we observe that we fulfil the 10 seconds by a large margin”.</w:t>
            </w:r>
          </w:p>
          <w:p w14:paraId="07FEB841" w14:textId="0FECB5EA" w:rsidR="000175CC" w:rsidRDefault="000175CC">
            <w:pPr>
              <w:rPr>
                <w:lang w:eastAsia="zh-CN"/>
              </w:rPr>
            </w:pPr>
            <w:r>
              <w:rPr>
                <w:lang w:eastAsia="zh-CN"/>
              </w:rPr>
              <w:t>Q3: Prefer to just capture the BW needed by the average result, which in all cases meets the requirement &lt;30MHz. In that sense maybe we do not need to capture results without 10% BLER constraint.</w:t>
            </w:r>
          </w:p>
        </w:tc>
      </w:tr>
      <w:tr w:rsidR="003C19FB" w14:paraId="410BA5A8" w14:textId="77777777">
        <w:tc>
          <w:tcPr>
            <w:tcW w:w="3256" w:type="dxa"/>
          </w:tcPr>
          <w:p w14:paraId="648770F1" w14:textId="77777777" w:rsidR="003C19FB" w:rsidRDefault="003C19FB">
            <w:pPr>
              <w:rPr>
                <w:b/>
                <w:bCs/>
                <w:lang w:eastAsia="zh-CN"/>
              </w:rPr>
            </w:pPr>
          </w:p>
        </w:tc>
        <w:tc>
          <w:tcPr>
            <w:tcW w:w="6375" w:type="dxa"/>
          </w:tcPr>
          <w:p w14:paraId="3B04C523" w14:textId="77777777" w:rsidR="003C19FB" w:rsidRDefault="003C19FB">
            <w:pPr>
              <w:ind w:left="720"/>
              <w:rPr>
                <w:b/>
                <w:bCs/>
                <w:lang w:eastAsia="zh-CN"/>
              </w:rPr>
            </w:pPr>
          </w:p>
        </w:tc>
      </w:tr>
      <w:tr w:rsidR="003C19FB" w14:paraId="746830E7" w14:textId="77777777">
        <w:tc>
          <w:tcPr>
            <w:tcW w:w="3256" w:type="dxa"/>
          </w:tcPr>
          <w:p w14:paraId="76DF04FB" w14:textId="77777777" w:rsidR="003C19FB" w:rsidRDefault="003C19FB">
            <w:pPr>
              <w:rPr>
                <w:lang w:eastAsia="zh-CN"/>
              </w:rPr>
            </w:pPr>
          </w:p>
        </w:tc>
        <w:tc>
          <w:tcPr>
            <w:tcW w:w="6375" w:type="dxa"/>
          </w:tcPr>
          <w:p w14:paraId="64CF010D" w14:textId="77777777" w:rsidR="003C19FB" w:rsidRDefault="003C19FB">
            <w:pPr>
              <w:rPr>
                <w:highlight w:val="yellow"/>
                <w:lang w:eastAsia="zh-CN"/>
              </w:rPr>
            </w:pPr>
          </w:p>
        </w:tc>
      </w:tr>
    </w:tbl>
    <w:p w14:paraId="5C28FE4F" w14:textId="2653DC05" w:rsidR="003C19FB" w:rsidRDefault="003C19FB">
      <w:pPr>
        <w:rPr>
          <w:lang w:val="en-US" w:eastAsia="zh-CN"/>
        </w:rPr>
      </w:pPr>
    </w:p>
    <w:p w14:paraId="7A2C8401" w14:textId="6E88BCD0" w:rsidR="005018A6" w:rsidRPr="005018A6" w:rsidRDefault="005018A6">
      <w:pPr>
        <w:rPr>
          <w:b/>
          <w:bCs/>
          <w:u w:val="single"/>
          <w:lang w:val="en-US" w:eastAsia="zh-CN"/>
        </w:rPr>
      </w:pPr>
      <w:r w:rsidRPr="005018A6">
        <w:rPr>
          <w:b/>
          <w:bCs/>
          <w:u w:val="single"/>
          <w:lang w:val="en-US" w:eastAsia="zh-CN"/>
        </w:rPr>
        <w:t>FL proposals</w:t>
      </w:r>
      <w:r w:rsidR="0013721C">
        <w:rPr>
          <w:b/>
          <w:bCs/>
          <w:u w:val="single"/>
          <w:lang w:val="en-US" w:eastAsia="zh-CN"/>
        </w:rPr>
        <w:t xml:space="preserve"> 1/2/3</w:t>
      </w:r>
      <w:r w:rsidRPr="005018A6">
        <w:rPr>
          <w:b/>
          <w:bCs/>
          <w:u w:val="single"/>
          <w:lang w:val="en-US" w:eastAsia="zh-CN"/>
        </w:rPr>
        <w:t xml:space="preserve"> for </w:t>
      </w:r>
      <w:r w:rsidR="0013721C">
        <w:rPr>
          <w:b/>
          <w:bCs/>
          <w:u w:val="single"/>
          <w:lang w:val="en-US" w:eastAsia="zh-CN"/>
        </w:rPr>
        <w:t>online session</w:t>
      </w:r>
    </w:p>
    <w:p w14:paraId="54D37727" w14:textId="2D936F3D" w:rsidR="005018A6" w:rsidRDefault="00FE00C5" w:rsidP="005018A6">
      <w:pPr>
        <w:pStyle w:val="ListParagraph"/>
        <w:numPr>
          <w:ilvl w:val="0"/>
          <w:numId w:val="7"/>
        </w:numPr>
        <w:ind w:firstLineChars="0"/>
        <w:rPr>
          <w:lang w:val="en-US" w:eastAsia="zh-CN"/>
        </w:rPr>
      </w:pPr>
      <w:r w:rsidRPr="00FE00C5">
        <w:rPr>
          <w:b/>
          <w:bCs/>
          <w:lang w:val="en-US" w:eastAsia="zh-CN"/>
        </w:rPr>
        <w:t>Unbounded BLER results:</w:t>
      </w:r>
      <w:r>
        <w:rPr>
          <w:lang w:val="en-US" w:eastAsia="zh-CN"/>
        </w:rPr>
        <w:t xml:space="preserve"> Do not</w:t>
      </w:r>
      <w:r w:rsidR="005018A6">
        <w:rPr>
          <w:lang w:val="en-US" w:eastAsia="zh-CN"/>
        </w:rPr>
        <w:t xml:space="preserve"> capture the ZTE SINR-SE values not bound by 10% BLER in the results spreadsheet. </w:t>
      </w:r>
      <w:r>
        <w:rPr>
          <w:lang w:val="en-US" w:eastAsia="zh-CN"/>
        </w:rPr>
        <w:t xml:space="preserve">But add a note to the </w:t>
      </w:r>
      <w:r w:rsidR="0013721C" w:rsidRPr="00D334C1">
        <w:rPr>
          <w:u w:val="single"/>
          <w:lang w:val="en-US" w:eastAsia="zh-CN"/>
        </w:rPr>
        <w:t>Results Spreadsheet</w:t>
      </w:r>
      <w:r w:rsidRPr="0013721C">
        <w:rPr>
          <w:color w:val="FF0000"/>
          <w:lang w:val="en-US" w:eastAsia="zh-CN"/>
        </w:rPr>
        <w:t xml:space="preserve"> </w:t>
      </w:r>
      <w:r>
        <w:rPr>
          <w:lang w:val="en-US" w:eastAsia="zh-CN"/>
        </w:rPr>
        <w:t>that one company showed that with unbounded BLER for FRF=1, higher connection density values are feasible due to higher spectral efficiency vs SINR.</w:t>
      </w:r>
    </w:p>
    <w:p w14:paraId="4F8EEDFB" w14:textId="5FA11AB0" w:rsidR="005018A6" w:rsidRDefault="00FE00C5" w:rsidP="005018A6">
      <w:pPr>
        <w:pStyle w:val="ListParagraph"/>
        <w:numPr>
          <w:ilvl w:val="0"/>
          <w:numId w:val="7"/>
        </w:numPr>
        <w:ind w:firstLineChars="0"/>
        <w:rPr>
          <w:lang w:val="en-US" w:eastAsia="zh-CN"/>
        </w:rPr>
      </w:pPr>
      <w:r w:rsidRPr="00FE00C5">
        <w:rPr>
          <w:b/>
          <w:bCs/>
          <w:lang w:val="en-US" w:eastAsia="zh-CN"/>
        </w:rPr>
        <w:t>99%</w:t>
      </w:r>
      <w:r>
        <w:rPr>
          <w:b/>
          <w:bCs/>
          <w:lang w:val="en-US" w:eastAsia="zh-CN"/>
        </w:rPr>
        <w:t>ile</w:t>
      </w:r>
      <w:r w:rsidRPr="00FE00C5">
        <w:rPr>
          <w:b/>
          <w:bCs/>
          <w:lang w:val="en-US" w:eastAsia="zh-CN"/>
        </w:rPr>
        <w:t xml:space="preserve"> packet latency values:</w:t>
      </w:r>
      <w:r>
        <w:rPr>
          <w:lang w:val="en-US" w:eastAsia="zh-CN"/>
        </w:rPr>
        <w:t xml:space="preserve"> Capture in the TR that for the given connection density values the 99</w:t>
      </w:r>
      <w:r w:rsidRPr="00FE00C5">
        <w:rPr>
          <w:vertAlign w:val="superscript"/>
          <w:lang w:val="en-US" w:eastAsia="zh-CN"/>
        </w:rPr>
        <w:t>th</w:t>
      </w:r>
      <w:r>
        <w:rPr>
          <w:lang w:val="en-US" w:eastAsia="zh-CN"/>
        </w:rPr>
        <w:t xml:space="preserve"> percentile packet latency fulfils the &lt;10 seconds requirement by a large margin.</w:t>
      </w:r>
    </w:p>
    <w:p w14:paraId="3667AC8C" w14:textId="009BBB73" w:rsidR="005018A6" w:rsidRPr="00AB0DA3" w:rsidRDefault="00FE00C5" w:rsidP="00AB0DA3">
      <w:pPr>
        <w:pStyle w:val="ListParagraph"/>
        <w:numPr>
          <w:ilvl w:val="0"/>
          <w:numId w:val="7"/>
        </w:numPr>
        <w:ind w:firstLineChars="0"/>
        <w:rPr>
          <w:lang w:val="en-US" w:eastAsia="zh-CN"/>
        </w:rPr>
      </w:pPr>
      <w:r w:rsidRPr="00FE00C5">
        <w:rPr>
          <w:b/>
          <w:bCs/>
          <w:lang w:val="en-US" w:eastAsia="zh-CN"/>
        </w:rPr>
        <w:t>Bandwidth capture:</w:t>
      </w:r>
      <w:r>
        <w:rPr>
          <w:lang w:val="en-US" w:eastAsia="zh-CN"/>
        </w:rPr>
        <w:t xml:space="preserve"> Capture the bandwidth needed by the average result</w:t>
      </w:r>
      <w:r w:rsidR="00AB0DA3">
        <w:rPr>
          <w:lang w:val="en-US" w:eastAsia="zh-CN"/>
        </w:rPr>
        <w:t>. Also add a note to say that number of users will scale up further with higher bandwidth</w:t>
      </w:r>
      <w:r>
        <w:rPr>
          <w:lang w:val="en-US" w:eastAsia="zh-CN"/>
        </w:rPr>
        <w:t>.</w:t>
      </w:r>
      <w:r w:rsidR="0018082B">
        <w:rPr>
          <w:lang w:val="en-US" w:eastAsia="zh-CN"/>
        </w:rPr>
        <w:t xml:space="preserve"> </w:t>
      </w:r>
      <w:r w:rsidR="0018082B" w:rsidRPr="0013721C">
        <w:rPr>
          <w:lang w:val="en-US" w:eastAsia="zh-CN"/>
        </w:rPr>
        <w:t>Capture also for NR.</w:t>
      </w:r>
    </w:p>
    <w:p w14:paraId="0529FCB5" w14:textId="77777777" w:rsidR="005018A6" w:rsidRDefault="005018A6">
      <w:pPr>
        <w:rPr>
          <w:lang w:val="en-US" w:eastAsia="zh-CN"/>
        </w:rPr>
      </w:pPr>
    </w:p>
    <w:p w14:paraId="2BB10839" w14:textId="77777777" w:rsidR="003C19FB" w:rsidRDefault="005813EC">
      <w:pPr>
        <w:pStyle w:val="Heading3"/>
        <w:rPr>
          <w:sz w:val="24"/>
          <w:szCs w:val="16"/>
          <w:lang w:val="en-US"/>
        </w:rPr>
      </w:pPr>
      <w:r>
        <w:rPr>
          <w:sz w:val="24"/>
          <w:szCs w:val="16"/>
          <w:lang w:val="en-US"/>
        </w:rPr>
        <w:t>Connection Density Text Proposal to TR37.911</w:t>
      </w:r>
    </w:p>
    <w:p w14:paraId="41953F49" w14:textId="77777777" w:rsidR="003C19FB" w:rsidRDefault="005813EC">
      <w:pPr>
        <w:rPr>
          <w:lang w:val="en-US" w:eastAsia="zh-CN"/>
        </w:rPr>
      </w:pPr>
      <w:r>
        <w:rPr>
          <w:lang w:val="en-US" w:eastAsia="zh-CN"/>
        </w:rPr>
        <w:t xml:space="preserve">Please provide any comment on the text in the TP captured in </w:t>
      </w:r>
      <w:r>
        <w:rPr>
          <w:b/>
          <w:bCs/>
          <w:color w:val="4472C4" w:themeColor="accent1"/>
          <w:lang w:val="en-US" w:eastAsia="zh-CN"/>
        </w:rPr>
        <w:t>R1-2312001</w:t>
      </w:r>
      <w:r>
        <w:rPr>
          <w:lang w:val="en-US" w:eastAsia="zh-CN"/>
        </w:rPr>
        <w:t xml:space="preserve">. Any comments on the requirements numbers for NR NTN will be handled in the 8.15.2 discussion. </w:t>
      </w:r>
    </w:p>
    <w:tbl>
      <w:tblPr>
        <w:tblStyle w:val="TableGrid"/>
        <w:tblW w:w="0" w:type="auto"/>
        <w:tblLook w:val="04A0" w:firstRow="1" w:lastRow="0" w:firstColumn="1" w:lastColumn="0" w:noHBand="0" w:noVBand="1"/>
      </w:tblPr>
      <w:tblGrid>
        <w:gridCol w:w="3256"/>
        <w:gridCol w:w="6375"/>
      </w:tblGrid>
      <w:tr w:rsidR="003C19FB" w14:paraId="2185A672" w14:textId="77777777">
        <w:tc>
          <w:tcPr>
            <w:tcW w:w="3256" w:type="dxa"/>
            <w:shd w:val="clear" w:color="auto" w:fill="E7E6E6" w:themeFill="background2"/>
          </w:tcPr>
          <w:p w14:paraId="15A99F6D" w14:textId="77777777" w:rsidR="003C19FB" w:rsidRDefault="005813EC">
            <w:pPr>
              <w:rPr>
                <w:b/>
                <w:bCs/>
                <w:lang w:eastAsia="zh-CN"/>
              </w:rPr>
            </w:pPr>
            <w:r>
              <w:rPr>
                <w:b/>
                <w:bCs/>
                <w:lang w:eastAsia="zh-CN"/>
              </w:rPr>
              <w:t>Company</w:t>
            </w:r>
          </w:p>
        </w:tc>
        <w:tc>
          <w:tcPr>
            <w:tcW w:w="6375" w:type="dxa"/>
            <w:shd w:val="clear" w:color="auto" w:fill="E7E6E6" w:themeFill="background2"/>
          </w:tcPr>
          <w:p w14:paraId="2755CC26" w14:textId="77777777" w:rsidR="003C19FB" w:rsidRDefault="005813EC">
            <w:pPr>
              <w:rPr>
                <w:b/>
                <w:bCs/>
                <w:lang w:eastAsia="zh-CN"/>
              </w:rPr>
            </w:pPr>
            <w:r>
              <w:rPr>
                <w:b/>
                <w:bCs/>
                <w:lang w:eastAsia="zh-CN"/>
              </w:rPr>
              <w:t>Comment</w:t>
            </w:r>
          </w:p>
        </w:tc>
      </w:tr>
      <w:tr w:rsidR="00C878FE" w14:paraId="1CFC6695" w14:textId="77777777">
        <w:tc>
          <w:tcPr>
            <w:tcW w:w="3256" w:type="dxa"/>
          </w:tcPr>
          <w:p w14:paraId="1F4F38AF" w14:textId="77777777" w:rsidR="00C878FE" w:rsidRPr="00427E51" w:rsidRDefault="00C878FE" w:rsidP="00C878FE">
            <w:pPr>
              <w:rPr>
                <w:rFonts w:eastAsiaTheme="minorEastAsia"/>
                <w:b/>
                <w:bCs/>
                <w:lang w:eastAsia="zh-CN"/>
              </w:rPr>
            </w:pPr>
            <w:r>
              <w:rPr>
                <w:rFonts w:eastAsiaTheme="minorEastAsia" w:hint="eastAsia"/>
                <w:b/>
                <w:bCs/>
                <w:lang w:eastAsia="zh-CN"/>
              </w:rPr>
              <w:t>H</w:t>
            </w:r>
            <w:r>
              <w:rPr>
                <w:rFonts w:eastAsiaTheme="minorEastAsia"/>
                <w:b/>
                <w:bCs/>
                <w:lang w:eastAsia="zh-CN"/>
              </w:rPr>
              <w:t>uawei/HiSilicon</w:t>
            </w:r>
          </w:p>
        </w:tc>
        <w:tc>
          <w:tcPr>
            <w:tcW w:w="6375" w:type="dxa"/>
          </w:tcPr>
          <w:p w14:paraId="3D3E602D" w14:textId="77777777" w:rsidR="00C878FE" w:rsidRDefault="00C878FE" w:rsidP="00C878FE">
            <w:pPr>
              <w:rPr>
                <w:lang w:eastAsia="zh-CN"/>
              </w:rPr>
            </w:pPr>
            <w:r>
              <w:t>The agreed RAN plenary way forward in RP-231457 indicates NR NTN and IoT NTN for SRIT. 37.911 also includes “Developed by 3GPP as NR NTN and IoT NTN”. The use of “E-UTRA” is not aligned with RAN plenary agreement and are not aligned with the text in 37.911 neither. Suggest to revise.</w:t>
            </w:r>
          </w:p>
        </w:tc>
      </w:tr>
      <w:tr w:rsidR="00C878FE" w14:paraId="6D8374E3" w14:textId="77777777">
        <w:tc>
          <w:tcPr>
            <w:tcW w:w="3256" w:type="dxa"/>
          </w:tcPr>
          <w:p w14:paraId="19F81981" w14:textId="77426B58" w:rsidR="00C878FE" w:rsidRPr="000175CC" w:rsidRDefault="000175CC" w:rsidP="00C878FE">
            <w:pPr>
              <w:rPr>
                <w:rFonts w:eastAsiaTheme="minorEastAsia"/>
                <w:b/>
                <w:bCs/>
                <w:lang w:eastAsia="zh-CN"/>
              </w:rPr>
            </w:pPr>
            <w:r w:rsidRPr="000175CC">
              <w:rPr>
                <w:rFonts w:eastAsiaTheme="minorEastAsia"/>
                <w:b/>
                <w:bCs/>
                <w:lang w:eastAsia="zh-CN"/>
              </w:rPr>
              <w:t>MediaTek</w:t>
            </w:r>
          </w:p>
        </w:tc>
        <w:tc>
          <w:tcPr>
            <w:tcW w:w="6375" w:type="dxa"/>
          </w:tcPr>
          <w:p w14:paraId="4F033D90" w14:textId="61C173CB" w:rsidR="007046E9" w:rsidRDefault="007046E9" w:rsidP="00C878FE">
            <w:pPr>
              <w:rPr>
                <w:rFonts w:eastAsiaTheme="minorEastAsia"/>
                <w:lang w:eastAsia="zh-CN"/>
              </w:rPr>
            </w:pPr>
            <w:r>
              <w:rPr>
                <w:rFonts w:eastAsiaTheme="minorEastAsia"/>
                <w:lang w:eastAsia="zh-CN"/>
              </w:rPr>
              <w:t xml:space="preserve">Options we see </w:t>
            </w:r>
            <w:r w:rsidR="009D6327">
              <w:rPr>
                <w:rFonts w:eastAsiaTheme="minorEastAsia"/>
                <w:lang w:eastAsia="zh-CN"/>
              </w:rPr>
              <w:t>to allay Huawei concerns could</w:t>
            </w:r>
            <w:r>
              <w:rPr>
                <w:rFonts w:eastAsiaTheme="minorEastAsia"/>
                <w:lang w:eastAsia="zh-CN"/>
              </w:rPr>
              <w:t xml:space="preserve"> be: </w:t>
            </w:r>
          </w:p>
          <w:p w14:paraId="4FCEE776" w14:textId="77777777" w:rsidR="00C878FE" w:rsidRDefault="007046E9" w:rsidP="007046E9">
            <w:pPr>
              <w:pStyle w:val="ListParagraph"/>
              <w:numPr>
                <w:ilvl w:val="0"/>
                <w:numId w:val="6"/>
              </w:numPr>
              <w:ind w:firstLineChars="0"/>
              <w:rPr>
                <w:rFonts w:eastAsiaTheme="minorEastAsia"/>
                <w:lang w:eastAsia="zh-CN"/>
              </w:rPr>
            </w:pPr>
            <w:r w:rsidRPr="007046E9">
              <w:rPr>
                <w:rFonts w:eastAsiaTheme="minorEastAsia"/>
                <w:lang w:eastAsia="zh-CN"/>
              </w:rPr>
              <w:t>“IoT NTN, i.e. NB-IoT and eMTC satellite access</w:t>
            </w:r>
          </w:p>
          <w:p w14:paraId="76310E7C" w14:textId="1010D6E3" w:rsidR="007046E9" w:rsidRDefault="007046E9" w:rsidP="007046E9">
            <w:pPr>
              <w:pStyle w:val="ListParagraph"/>
              <w:numPr>
                <w:ilvl w:val="0"/>
                <w:numId w:val="6"/>
              </w:numPr>
              <w:ind w:firstLineChars="0"/>
              <w:rPr>
                <w:rFonts w:eastAsiaTheme="minorEastAsia"/>
                <w:lang w:eastAsia="zh-CN"/>
              </w:rPr>
            </w:pPr>
            <w:r>
              <w:rPr>
                <w:rFonts w:eastAsiaTheme="minorEastAsia"/>
                <w:lang w:eastAsia="zh-CN"/>
              </w:rPr>
              <w:t>“IoT NTN, i.e. EUTRA satellite access for categories NB1/2 and category M1 devices”</w:t>
            </w:r>
          </w:p>
          <w:p w14:paraId="5DF72641" w14:textId="517A495B" w:rsidR="007046E9" w:rsidRPr="007046E9" w:rsidRDefault="007046E9" w:rsidP="007046E9">
            <w:pPr>
              <w:pStyle w:val="ListParagraph"/>
              <w:numPr>
                <w:ilvl w:val="0"/>
                <w:numId w:val="6"/>
              </w:numPr>
              <w:ind w:firstLineChars="0"/>
              <w:rPr>
                <w:rFonts w:eastAsiaTheme="minorEastAsia"/>
                <w:lang w:eastAsia="zh-CN"/>
              </w:rPr>
            </w:pPr>
            <w:r>
              <w:rPr>
                <w:rFonts w:eastAsiaTheme="minorEastAsia"/>
                <w:lang w:eastAsia="zh-CN"/>
              </w:rPr>
              <w:t xml:space="preserve">“IoT NTN, i.e. </w:t>
            </w:r>
            <w:r w:rsidR="009D6327">
              <w:rPr>
                <w:rFonts w:eastAsiaTheme="minorEastAsia"/>
                <w:lang w:eastAsia="zh-CN"/>
              </w:rPr>
              <w:t>NB-IoT-based NTN and eMTC-based NTN”</w:t>
            </w:r>
          </w:p>
        </w:tc>
      </w:tr>
      <w:tr w:rsidR="00C878FE" w14:paraId="570560A2" w14:textId="77777777">
        <w:tc>
          <w:tcPr>
            <w:tcW w:w="3256" w:type="dxa"/>
          </w:tcPr>
          <w:p w14:paraId="67280A2B" w14:textId="77777777" w:rsidR="00C878FE" w:rsidRDefault="00C878FE" w:rsidP="00C878FE">
            <w:pPr>
              <w:rPr>
                <w:b/>
                <w:bCs/>
                <w:lang w:eastAsia="zh-CN"/>
              </w:rPr>
            </w:pPr>
          </w:p>
        </w:tc>
        <w:tc>
          <w:tcPr>
            <w:tcW w:w="6375" w:type="dxa"/>
          </w:tcPr>
          <w:p w14:paraId="061B0E6F" w14:textId="77777777" w:rsidR="00C878FE" w:rsidRDefault="00C878FE" w:rsidP="00C878FE">
            <w:pPr>
              <w:rPr>
                <w:b/>
                <w:bCs/>
                <w:lang w:eastAsia="zh-CN"/>
              </w:rPr>
            </w:pPr>
          </w:p>
        </w:tc>
      </w:tr>
      <w:tr w:rsidR="00C878FE" w14:paraId="500CD064" w14:textId="77777777">
        <w:tc>
          <w:tcPr>
            <w:tcW w:w="3256" w:type="dxa"/>
          </w:tcPr>
          <w:p w14:paraId="04591C6B" w14:textId="77777777" w:rsidR="00C878FE" w:rsidRDefault="00C878FE" w:rsidP="00C878FE">
            <w:pPr>
              <w:rPr>
                <w:lang w:eastAsia="zh-CN"/>
              </w:rPr>
            </w:pPr>
          </w:p>
        </w:tc>
        <w:tc>
          <w:tcPr>
            <w:tcW w:w="6375" w:type="dxa"/>
          </w:tcPr>
          <w:p w14:paraId="69A3E81F" w14:textId="77777777" w:rsidR="00C878FE" w:rsidRDefault="00C878FE" w:rsidP="00C878FE">
            <w:pPr>
              <w:rPr>
                <w:lang w:eastAsia="zh-CN"/>
              </w:rPr>
            </w:pPr>
          </w:p>
        </w:tc>
      </w:tr>
      <w:tr w:rsidR="00C878FE" w14:paraId="4D5E4840" w14:textId="77777777">
        <w:tc>
          <w:tcPr>
            <w:tcW w:w="3256" w:type="dxa"/>
          </w:tcPr>
          <w:p w14:paraId="16A37215" w14:textId="77777777" w:rsidR="00C878FE" w:rsidRDefault="00C878FE" w:rsidP="00C878FE">
            <w:pPr>
              <w:rPr>
                <w:lang w:eastAsia="zh-CN"/>
              </w:rPr>
            </w:pPr>
          </w:p>
        </w:tc>
        <w:tc>
          <w:tcPr>
            <w:tcW w:w="6375" w:type="dxa"/>
          </w:tcPr>
          <w:p w14:paraId="175C5CBC" w14:textId="77777777" w:rsidR="00C878FE" w:rsidRDefault="00C878FE" w:rsidP="00C878FE">
            <w:pPr>
              <w:rPr>
                <w:lang w:eastAsia="zh-CN"/>
              </w:rPr>
            </w:pPr>
          </w:p>
        </w:tc>
      </w:tr>
      <w:tr w:rsidR="00C878FE" w14:paraId="2566ACF0" w14:textId="77777777">
        <w:tc>
          <w:tcPr>
            <w:tcW w:w="3256" w:type="dxa"/>
          </w:tcPr>
          <w:p w14:paraId="3506A2AE" w14:textId="77777777" w:rsidR="00C878FE" w:rsidRDefault="00C878FE" w:rsidP="00C878FE">
            <w:pPr>
              <w:rPr>
                <w:lang w:eastAsia="zh-CN"/>
              </w:rPr>
            </w:pPr>
          </w:p>
        </w:tc>
        <w:tc>
          <w:tcPr>
            <w:tcW w:w="6375" w:type="dxa"/>
          </w:tcPr>
          <w:p w14:paraId="5A9BC879" w14:textId="77777777" w:rsidR="00C878FE" w:rsidRDefault="00C878FE" w:rsidP="00C878FE">
            <w:pPr>
              <w:rPr>
                <w:lang w:eastAsia="zh-CN"/>
              </w:rPr>
            </w:pPr>
          </w:p>
        </w:tc>
      </w:tr>
    </w:tbl>
    <w:p w14:paraId="6F054B00" w14:textId="77777777" w:rsidR="003C19FB" w:rsidRDefault="003C19FB">
      <w:pPr>
        <w:rPr>
          <w:lang w:eastAsia="zh-CN"/>
        </w:rPr>
      </w:pPr>
    </w:p>
    <w:p w14:paraId="391B3AB5" w14:textId="0807743B" w:rsidR="003C19FB" w:rsidRPr="00AB0DA3" w:rsidRDefault="00AB0DA3">
      <w:pPr>
        <w:rPr>
          <w:b/>
          <w:bCs/>
          <w:u w:val="single"/>
          <w:lang w:eastAsia="zh-CN"/>
        </w:rPr>
      </w:pPr>
      <w:r w:rsidRPr="00AB0DA3">
        <w:rPr>
          <w:b/>
          <w:bCs/>
          <w:u w:val="single"/>
          <w:lang w:eastAsia="zh-CN"/>
        </w:rPr>
        <w:t>FL proposal</w:t>
      </w:r>
      <w:r w:rsidR="0013721C">
        <w:rPr>
          <w:b/>
          <w:bCs/>
          <w:u w:val="single"/>
          <w:lang w:eastAsia="zh-CN"/>
        </w:rPr>
        <w:t xml:space="preserve"> 4 for online session</w:t>
      </w:r>
    </w:p>
    <w:p w14:paraId="6379D70E" w14:textId="69442558" w:rsidR="00AB0DA3" w:rsidRPr="0013721C" w:rsidRDefault="0013721C" w:rsidP="0013721C">
      <w:pPr>
        <w:rPr>
          <w:rFonts w:eastAsiaTheme="minorEastAsia"/>
          <w:lang w:eastAsia="zh-CN"/>
        </w:rPr>
      </w:pPr>
      <w:r>
        <w:rPr>
          <w:lang w:eastAsia="zh-CN"/>
        </w:rPr>
        <w:t xml:space="preserve">Agree the following terminology: </w:t>
      </w:r>
      <w:r w:rsidR="00AB0DA3" w:rsidRPr="007046E9">
        <w:rPr>
          <w:rFonts w:eastAsiaTheme="minorEastAsia"/>
          <w:lang w:eastAsia="zh-CN"/>
        </w:rPr>
        <w:t>“IoT NTN, i.e. NB-IoT and eMTC satellite access</w:t>
      </w:r>
      <w:r w:rsidR="00C117DC">
        <w:rPr>
          <w:rFonts w:eastAsiaTheme="minorEastAsia"/>
          <w:lang w:eastAsia="zh-CN"/>
        </w:rPr>
        <w:t>”</w:t>
      </w:r>
    </w:p>
    <w:sectPr w:rsidR="00AB0DA3" w:rsidRPr="0013721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769C9" w14:textId="77777777" w:rsidR="00995F4A" w:rsidRDefault="00995F4A" w:rsidP="00C878FE">
      <w:pPr>
        <w:spacing w:after="0"/>
      </w:pPr>
      <w:r>
        <w:separator/>
      </w:r>
    </w:p>
  </w:endnote>
  <w:endnote w:type="continuationSeparator" w:id="0">
    <w:p w14:paraId="355D57C5" w14:textId="77777777" w:rsidR="00995F4A" w:rsidRDefault="00995F4A" w:rsidP="00C878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5140B" w14:textId="77777777" w:rsidR="00995F4A" w:rsidRDefault="00995F4A" w:rsidP="00C878FE">
      <w:pPr>
        <w:spacing w:after="0"/>
      </w:pPr>
      <w:r>
        <w:separator/>
      </w:r>
    </w:p>
  </w:footnote>
  <w:footnote w:type="continuationSeparator" w:id="0">
    <w:p w14:paraId="409034C8" w14:textId="77777777" w:rsidR="00995F4A" w:rsidRDefault="00995F4A" w:rsidP="00C878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8924D0"/>
    <w:multiLevelType w:val="multilevel"/>
    <w:tmpl w:val="1E8924D0"/>
    <w:lvl w:ilvl="0">
      <w:start w:val="1"/>
      <w:numFmt w:val="decimal"/>
      <w:pStyle w:val="Proposal"/>
      <w:lvlText w:val="Propos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6D70291"/>
    <w:multiLevelType w:val="multilevel"/>
    <w:tmpl w:val="36D702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2989"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1470B71"/>
    <w:multiLevelType w:val="multilevel"/>
    <w:tmpl w:val="82AC630E"/>
    <w:lvl w:ilvl="0">
      <w:start w:val="1"/>
      <w:numFmt w:val="decimal"/>
      <w:lvlText w:val="%1)"/>
      <w:lvlJc w:val="left"/>
      <w:pPr>
        <w:ind w:left="360" w:hanging="360"/>
      </w:pPr>
      <w:rPr>
        <w:rFonts w:hint="default"/>
        <w:b w:val="0"/>
        <w:i w:val="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8ED2252"/>
    <w:multiLevelType w:val="multilevel"/>
    <w:tmpl w:val="68ED2252"/>
    <w:lvl w:ilvl="0">
      <w:start w:val="1"/>
      <w:numFmt w:val="decimal"/>
      <w:lvlText w:val="%1)"/>
      <w:lvlJc w:val="left"/>
      <w:pPr>
        <w:ind w:left="72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1D49F0"/>
    <w:multiLevelType w:val="hybridMultilevel"/>
    <w:tmpl w:val="641887B4"/>
    <w:lvl w:ilvl="0" w:tplc="6E6C9A56">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0"/>
    <w:lvlOverride w:ilvl="0">
      <w:startOverride w:val="1"/>
    </w:lvlOverride>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F4"/>
    <w:rsid w:val="00004165"/>
    <w:rsid w:val="000175CC"/>
    <w:rsid w:val="00020C56"/>
    <w:rsid w:val="00024CC3"/>
    <w:rsid w:val="00026ACC"/>
    <w:rsid w:val="0003171D"/>
    <w:rsid w:val="00031C1D"/>
    <w:rsid w:val="00035C50"/>
    <w:rsid w:val="0004399A"/>
    <w:rsid w:val="000457A1"/>
    <w:rsid w:val="00050001"/>
    <w:rsid w:val="00051EAB"/>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3C6F"/>
    <w:rsid w:val="000A3E79"/>
    <w:rsid w:val="000A4121"/>
    <w:rsid w:val="000A4AA3"/>
    <w:rsid w:val="000A550E"/>
    <w:rsid w:val="000B0960"/>
    <w:rsid w:val="000B1079"/>
    <w:rsid w:val="000B1A55"/>
    <w:rsid w:val="000B20BB"/>
    <w:rsid w:val="000B2EF6"/>
    <w:rsid w:val="000B2FA6"/>
    <w:rsid w:val="000B4AA0"/>
    <w:rsid w:val="000C2553"/>
    <w:rsid w:val="000C38C3"/>
    <w:rsid w:val="000C4549"/>
    <w:rsid w:val="000D09FD"/>
    <w:rsid w:val="000D19DE"/>
    <w:rsid w:val="000D44FB"/>
    <w:rsid w:val="000D574B"/>
    <w:rsid w:val="000D6CFC"/>
    <w:rsid w:val="000E11EF"/>
    <w:rsid w:val="000E537B"/>
    <w:rsid w:val="000E57D0"/>
    <w:rsid w:val="000E7858"/>
    <w:rsid w:val="000F3495"/>
    <w:rsid w:val="000F39CA"/>
    <w:rsid w:val="0010362B"/>
    <w:rsid w:val="00107927"/>
    <w:rsid w:val="00107931"/>
    <w:rsid w:val="00110E26"/>
    <w:rsid w:val="00111321"/>
    <w:rsid w:val="001128E7"/>
    <w:rsid w:val="00117BD6"/>
    <w:rsid w:val="001206C2"/>
    <w:rsid w:val="00121978"/>
    <w:rsid w:val="00123422"/>
    <w:rsid w:val="00124B6A"/>
    <w:rsid w:val="00130462"/>
    <w:rsid w:val="00136D4C"/>
    <w:rsid w:val="0013721C"/>
    <w:rsid w:val="00142538"/>
    <w:rsid w:val="00142BB9"/>
    <w:rsid w:val="00144F96"/>
    <w:rsid w:val="00151EAC"/>
    <w:rsid w:val="00152A39"/>
    <w:rsid w:val="00153528"/>
    <w:rsid w:val="00154E68"/>
    <w:rsid w:val="00162548"/>
    <w:rsid w:val="00165554"/>
    <w:rsid w:val="00172183"/>
    <w:rsid w:val="00172287"/>
    <w:rsid w:val="001751AB"/>
    <w:rsid w:val="00175508"/>
    <w:rsid w:val="00175A3F"/>
    <w:rsid w:val="0018082B"/>
    <w:rsid w:val="00180E09"/>
    <w:rsid w:val="00182D3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5E37"/>
    <w:rsid w:val="001D67E4"/>
    <w:rsid w:val="001D7D94"/>
    <w:rsid w:val="001E0A28"/>
    <w:rsid w:val="001E4218"/>
    <w:rsid w:val="001E6C4D"/>
    <w:rsid w:val="001F0B20"/>
    <w:rsid w:val="001F5B48"/>
    <w:rsid w:val="00200315"/>
    <w:rsid w:val="00200A62"/>
    <w:rsid w:val="00203740"/>
    <w:rsid w:val="002138EA"/>
    <w:rsid w:val="002139EA"/>
    <w:rsid w:val="00213F84"/>
    <w:rsid w:val="00214FBD"/>
    <w:rsid w:val="00221E08"/>
    <w:rsid w:val="00222897"/>
    <w:rsid w:val="00222B0C"/>
    <w:rsid w:val="00234922"/>
    <w:rsid w:val="00235394"/>
    <w:rsid w:val="00235577"/>
    <w:rsid w:val="002371B2"/>
    <w:rsid w:val="002435CA"/>
    <w:rsid w:val="0024469F"/>
    <w:rsid w:val="00250B5B"/>
    <w:rsid w:val="00252DB8"/>
    <w:rsid w:val="002537BC"/>
    <w:rsid w:val="00255C58"/>
    <w:rsid w:val="0025781A"/>
    <w:rsid w:val="00260EC7"/>
    <w:rsid w:val="00261539"/>
    <w:rsid w:val="0026179F"/>
    <w:rsid w:val="00263A71"/>
    <w:rsid w:val="002666AE"/>
    <w:rsid w:val="002701BA"/>
    <w:rsid w:val="00274E1A"/>
    <w:rsid w:val="00274E25"/>
    <w:rsid w:val="00276081"/>
    <w:rsid w:val="002775B1"/>
    <w:rsid w:val="002775B9"/>
    <w:rsid w:val="002811C4"/>
    <w:rsid w:val="00282213"/>
    <w:rsid w:val="00284016"/>
    <w:rsid w:val="002858BF"/>
    <w:rsid w:val="002921E4"/>
    <w:rsid w:val="002939AF"/>
    <w:rsid w:val="00294491"/>
    <w:rsid w:val="00294BDE"/>
    <w:rsid w:val="002A0681"/>
    <w:rsid w:val="002A0CED"/>
    <w:rsid w:val="002A1D94"/>
    <w:rsid w:val="002A4CD0"/>
    <w:rsid w:val="002A7DA6"/>
    <w:rsid w:val="002B1E9B"/>
    <w:rsid w:val="002B516C"/>
    <w:rsid w:val="002B5E1D"/>
    <w:rsid w:val="002B60C1"/>
    <w:rsid w:val="002B7CBB"/>
    <w:rsid w:val="002C4B52"/>
    <w:rsid w:val="002D03E5"/>
    <w:rsid w:val="002D336D"/>
    <w:rsid w:val="002D33FF"/>
    <w:rsid w:val="002D36EB"/>
    <w:rsid w:val="002D3891"/>
    <w:rsid w:val="002D6BDF"/>
    <w:rsid w:val="002E2CE9"/>
    <w:rsid w:val="002E3BF7"/>
    <w:rsid w:val="002E403E"/>
    <w:rsid w:val="002E4C74"/>
    <w:rsid w:val="002E6B9D"/>
    <w:rsid w:val="002F158C"/>
    <w:rsid w:val="002F2CFD"/>
    <w:rsid w:val="002F4093"/>
    <w:rsid w:val="002F5636"/>
    <w:rsid w:val="003022A5"/>
    <w:rsid w:val="00307E51"/>
    <w:rsid w:val="00311363"/>
    <w:rsid w:val="003149CC"/>
    <w:rsid w:val="00315867"/>
    <w:rsid w:val="003201A0"/>
    <w:rsid w:val="00321150"/>
    <w:rsid w:val="003260D7"/>
    <w:rsid w:val="0033052D"/>
    <w:rsid w:val="00336697"/>
    <w:rsid w:val="00336763"/>
    <w:rsid w:val="003418CB"/>
    <w:rsid w:val="00355873"/>
    <w:rsid w:val="0035660F"/>
    <w:rsid w:val="00356B8A"/>
    <w:rsid w:val="003628B9"/>
    <w:rsid w:val="00362D8F"/>
    <w:rsid w:val="00367724"/>
    <w:rsid w:val="003710BA"/>
    <w:rsid w:val="00371737"/>
    <w:rsid w:val="003770F6"/>
    <w:rsid w:val="00380220"/>
    <w:rsid w:val="00383E37"/>
    <w:rsid w:val="00393042"/>
    <w:rsid w:val="003948EE"/>
    <w:rsid w:val="00394AD5"/>
    <w:rsid w:val="003955F5"/>
    <w:rsid w:val="0039642D"/>
    <w:rsid w:val="00396AFE"/>
    <w:rsid w:val="003A2E40"/>
    <w:rsid w:val="003B0158"/>
    <w:rsid w:val="003B40B6"/>
    <w:rsid w:val="003B56DB"/>
    <w:rsid w:val="003B5F04"/>
    <w:rsid w:val="003B715E"/>
    <w:rsid w:val="003B755E"/>
    <w:rsid w:val="003C173E"/>
    <w:rsid w:val="003C19FB"/>
    <w:rsid w:val="003C228E"/>
    <w:rsid w:val="003C51E7"/>
    <w:rsid w:val="003C645C"/>
    <w:rsid w:val="003C6893"/>
    <w:rsid w:val="003C6DE2"/>
    <w:rsid w:val="003D1EFD"/>
    <w:rsid w:val="003D28BF"/>
    <w:rsid w:val="003D4215"/>
    <w:rsid w:val="003D4C47"/>
    <w:rsid w:val="003D6F2C"/>
    <w:rsid w:val="003D7719"/>
    <w:rsid w:val="003E40EE"/>
    <w:rsid w:val="003F1C1B"/>
    <w:rsid w:val="003F3A2F"/>
    <w:rsid w:val="003F5584"/>
    <w:rsid w:val="00401144"/>
    <w:rsid w:val="00401F0F"/>
    <w:rsid w:val="004044B2"/>
    <w:rsid w:val="00404831"/>
    <w:rsid w:val="00407661"/>
    <w:rsid w:val="00410314"/>
    <w:rsid w:val="00411478"/>
    <w:rsid w:val="00412063"/>
    <w:rsid w:val="00412EB1"/>
    <w:rsid w:val="00413DDE"/>
    <w:rsid w:val="00414118"/>
    <w:rsid w:val="00416084"/>
    <w:rsid w:val="00416713"/>
    <w:rsid w:val="00423764"/>
    <w:rsid w:val="00424F8C"/>
    <w:rsid w:val="00426275"/>
    <w:rsid w:val="004271BA"/>
    <w:rsid w:val="00430497"/>
    <w:rsid w:val="00430EA5"/>
    <w:rsid w:val="00434DC1"/>
    <w:rsid w:val="004350F4"/>
    <w:rsid w:val="00436E98"/>
    <w:rsid w:val="004412A0"/>
    <w:rsid w:val="00442337"/>
    <w:rsid w:val="00446408"/>
    <w:rsid w:val="00450F27"/>
    <w:rsid w:val="004510E5"/>
    <w:rsid w:val="00456036"/>
    <w:rsid w:val="00456A75"/>
    <w:rsid w:val="00461E39"/>
    <w:rsid w:val="00462D3A"/>
    <w:rsid w:val="00463521"/>
    <w:rsid w:val="00470E78"/>
    <w:rsid w:val="00471125"/>
    <w:rsid w:val="0047437A"/>
    <w:rsid w:val="00477744"/>
    <w:rsid w:val="00480E42"/>
    <w:rsid w:val="00484C5D"/>
    <w:rsid w:val="0048543E"/>
    <w:rsid w:val="004868C1"/>
    <w:rsid w:val="0048750F"/>
    <w:rsid w:val="004A17E9"/>
    <w:rsid w:val="004A495F"/>
    <w:rsid w:val="004A7544"/>
    <w:rsid w:val="004B45F0"/>
    <w:rsid w:val="004B6B0F"/>
    <w:rsid w:val="004C2ED2"/>
    <w:rsid w:val="004C54E5"/>
    <w:rsid w:val="004C7DC8"/>
    <w:rsid w:val="004D21B0"/>
    <w:rsid w:val="004D334E"/>
    <w:rsid w:val="004D4813"/>
    <w:rsid w:val="004D50AB"/>
    <w:rsid w:val="004D737D"/>
    <w:rsid w:val="004E186B"/>
    <w:rsid w:val="004E2659"/>
    <w:rsid w:val="004E39EE"/>
    <w:rsid w:val="004E475C"/>
    <w:rsid w:val="004E56E0"/>
    <w:rsid w:val="004E7329"/>
    <w:rsid w:val="004F1707"/>
    <w:rsid w:val="004F2CB0"/>
    <w:rsid w:val="005017F7"/>
    <w:rsid w:val="005018A6"/>
    <w:rsid w:val="00501FA7"/>
    <w:rsid w:val="005034DC"/>
    <w:rsid w:val="00505BFA"/>
    <w:rsid w:val="005071B4"/>
    <w:rsid w:val="00507687"/>
    <w:rsid w:val="005117A9"/>
    <w:rsid w:val="00511F57"/>
    <w:rsid w:val="00515CBE"/>
    <w:rsid w:val="00515E2B"/>
    <w:rsid w:val="00522A7E"/>
    <w:rsid w:val="00522B25"/>
    <w:rsid w:val="00522F20"/>
    <w:rsid w:val="005278EB"/>
    <w:rsid w:val="005308DB"/>
    <w:rsid w:val="00530A2E"/>
    <w:rsid w:val="00530FBE"/>
    <w:rsid w:val="00531913"/>
    <w:rsid w:val="00533159"/>
    <w:rsid w:val="005339DB"/>
    <w:rsid w:val="00533D33"/>
    <w:rsid w:val="00534C89"/>
    <w:rsid w:val="00541573"/>
    <w:rsid w:val="0054348A"/>
    <w:rsid w:val="00563D3E"/>
    <w:rsid w:val="00564022"/>
    <w:rsid w:val="00565054"/>
    <w:rsid w:val="0056733D"/>
    <w:rsid w:val="00571777"/>
    <w:rsid w:val="0057197F"/>
    <w:rsid w:val="00580FF5"/>
    <w:rsid w:val="005813EC"/>
    <w:rsid w:val="005816AB"/>
    <w:rsid w:val="0058519C"/>
    <w:rsid w:val="005876DC"/>
    <w:rsid w:val="0059149A"/>
    <w:rsid w:val="005956EE"/>
    <w:rsid w:val="005A083E"/>
    <w:rsid w:val="005B4802"/>
    <w:rsid w:val="005C1EA6"/>
    <w:rsid w:val="005D0B99"/>
    <w:rsid w:val="005D308E"/>
    <w:rsid w:val="005D3A48"/>
    <w:rsid w:val="005D7AF8"/>
    <w:rsid w:val="005E17BF"/>
    <w:rsid w:val="005E366A"/>
    <w:rsid w:val="005E4E28"/>
    <w:rsid w:val="005F2145"/>
    <w:rsid w:val="006016E1"/>
    <w:rsid w:val="00602D27"/>
    <w:rsid w:val="006069E1"/>
    <w:rsid w:val="00610546"/>
    <w:rsid w:val="006144A1"/>
    <w:rsid w:val="00615EBB"/>
    <w:rsid w:val="00616096"/>
    <w:rsid w:val="006160A2"/>
    <w:rsid w:val="006202A2"/>
    <w:rsid w:val="00623CE8"/>
    <w:rsid w:val="006302AA"/>
    <w:rsid w:val="006363BD"/>
    <w:rsid w:val="00640B55"/>
    <w:rsid w:val="006412DC"/>
    <w:rsid w:val="006418C7"/>
    <w:rsid w:val="00642BC6"/>
    <w:rsid w:val="00644790"/>
    <w:rsid w:val="006501AF"/>
    <w:rsid w:val="00650DDE"/>
    <w:rsid w:val="0065236E"/>
    <w:rsid w:val="00652F32"/>
    <w:rsid w:val="00653BCF"/>
    <w:rsid w:val="0065505B"/>
    <w:rsid w:val="006670AC"/>
    <w:rsid w:val="00672307"/>
    <w:rsid w:val="006754D3"/>
    <w:rsid w:val="006773C8"/>
    <w:rsid w:val="006808C6"/>
    <w:rsid w:val="00682668"/>
    <w:rsid w:val="00692A68"/>
    <w:rsid w:val="00692A71"/>
    <w:rsid w:val="00692FF8"/>
    <w:rsid w:val="00695D85"/>
    <w:rsid w:val="00697C74"/>
    <w:rsid w:val="006A30A2"/>
    <w:rsid w:val="006A5172"/>
    <w:rsid w:val="006A6D23"/>
    <w:rsid w:val="006B25DE"/>
    <w:rsid w:val="006C1C3B"/>
    <w:rsid w:val="006C4E43"/>
    <w:rsid w:val="006C643E"/>
    <w:rsid w:val="006C7070"/>
    <w:rsid w:val="006D2887"/>
    <w:rsid w:val="006D2932"/>
    <w:rsid w:val="006D3671"/>
    <w:rsid w:val="006D4176"/>
    <w:rsid w:val="006D71B9"/>
    <w:rsid w:val="006D7B2E"/>
    <w:rsid w:val="006E0A73"/>
    <w:rsid w:val="006E0FEE"/>
    <w:rsid w:val="006E6C11"/>
    <w:rsid w:val="006F385E"/>
    <w:rsid w:val="006F7C0C"/>
    <w:rsid w:val="00700755"/>
    <w:rsid w:val="00702A91"/>
    <w:rsid w:val="007046E9"/>
    <w:rsid w:val="0070646B"/>
    <w:rsid w:val="00712A45"/>
    <w:rsid w:val="007130A2"/>
    <w:rsid w:val="00714716"/>
    <w:rsid w:val="00715463"/>
    <w:rsid w:val="007212B0"/>
    <w:rsid w:val="007245C3"/>
    <w:rsid w:val="00727BCB"/>
    <w:rsid w:val="00730655"/>
    <w:rsid w:val="00731D77"/>
    <w:rsid w:val="00732360"/>
    <w:rsid w:val="0073390A"/>
    <w:rsid w:val="007347F5"/>
    <w:rsid w:val="00734E64"/>
    <w:rsid w:val="007369B6"/>
    <w:rsid w:val="00736B37"/>
    <w:rsid w:val="00740A35"/>
    <w:rsid w:val="00751E88"/>
    <w:rsid w:val="007520B4"/>
    <w:rsid w:val="00762C32"/>
    <w:rsid w:val="007655D5"/>
    <w:rsid w:val="007763C1"/>
    <w:rsid w:val="00777E82"/>
    <w:rsid w:val="00781359"/>
    <w:rsid w:val="00786921"/>
    <w:rsid w:val="00796525"/>
    <w:rsid w:val="007A1EAA"/>
    <w:rsid w:val="007A2F0F"/>
    <w:rsid w:val="007A79FD"/>
    <w:rsid w:val="007B0ABE"/>
    <w:rsid w:val="007B0B9D"/>
    <w:rsid w:val="007B26E3"/>
    <w:rsid w:val="007B34F4"/>
    <w:rsid w:val="007B55DA"/>
    <w:rsid w:val="007B5A43"/>
    <w:rsid w:val="007B709B"/>
    <w:rsid w:val="007C1343"/>
    <w:rsid w:val="007C5775"/>
    <w:rsid w:val="007C5EF1"/>
    <w:rsid w:val="007C7BF5"/>
    <w:rsid w:val="007D19B7"/>
    <w:rsid w:val="007D1A95"/>
    <w:rsid w:val="007D57CA"/>
    <w:rsid w:val="007D64DB"/>
    <w:rsid w:val="007D75E5"/>
    <w:rsid w:val="007D773E"/>
    <w:rsid w:val="007E066E"/>
    <w:rsid w:val="007E1356"/>
    <w:rsid w:val="007E20FC"/>
    <w:rsid w:val="007E3722"/>
    <w:rsid w:val="007E7062"/>
    <w:rsid w:val="007F0E1E"/>
    <w:rsid w:val="007F13F1"/>
    <w:rsid w:val="007F29A7"/>
    <w:rsid w:val="007F465F"/>
    <w:rsid w:val="008004B4"/>
    <w:rsid w:val="00800ADA"/>
    <w:rsid w:val="0080111A"/>
    <w:rsid w:val="00805BE8"/>
    <w:rsid w:val="00816078"/>
    <w:rsid w:val="008177E3"/>
    <w:rsid w:val="008223DC"/>
    <w:rsid w:val="00823AA9"/>
    <w:rsid w:val="008255B9"/>
    <w:rsid w:val="00825CD8"/>
    <w:rsid w:val="00827324"/>
    <w:rsid w:val="008355EA"/>
    <w:rsid w:val="00837458"/>
    <w:rsid w:val="00837AAE"/>
    <w:rsid w:val="008421C9"/>
    <w:rsid w:val="008429AD"/>
    <w:rsid w:val="008429DB"/>
    <w:rsid w:val="00847319"/>
    <w:rsid w:val="008507DB"/>
    <w:rsid w:val="00850C75"/>
    <w:rsid w:val="00850E39"/>
    <w:rsid w:val="0085477A"/>
    <w:rsid w:val="00855107"/>
    <w:rsid w:val="00855173"/>
    <w:rsid w:val="008557D9"/>
    <w:rsid w:val="00855BF7"/>
    <w:rsid w:val="00856214"/>
    <w:rsid w:val="0085621C"/>
    <w:rsid w:val="00862089"/>
    <w:rsid w:val="00866250"/>
    <w:rsid w:val="00866D5B"/>
    <w:rsid w:val="00866FF5"/>
    <w:rsid w:val="0087332D"/>
    <w:rsid w:val="00873E1F"/>
    <w:rsid w:val="00874C16"/>
    <w:rsid w:val="00886D1F"/>
    <w:rsid w:val="008901A3"/>
    <w:rsid w:val="00891EE1"/>
    <w:rsid w:val="00892E55"/>
    <w:rsid w:val="0089339A"/>
    <w:rsid w:val="00893987"/>
    <w:rsid w:val="008963EF"/>
    <w:rsid w:val="0089688E"/>
    <w:rsid w:val="008A0833"/>
    <w:rsid w:val="008A1FBE"/>
    <w:rsid w:val="008B126D"/>
    <w:rsid w:val="008B3194"/>
    <w:rsid w:val="008B5AE7"/>
    <w:rsid w:val="008B701A"/>
    <w:rsid w:val="008C60E9"/>
    <w:rsid w:val="008C7F1A"/>
    <w:rsid w:val="008D1B7C"/>
    <w:rsid w:val="008D6657"/>
    <w:rsid w:val="008E1F60"/>
    <w:rsid w:val="008E307E"/>
    <w:rsid w:val="008E4133"/>
    <w:rsid w:val="008F4DD1"/>
    <w:rsid w:val="008F6056"/>
    <w:rsid w:val="00901A14"/>
    <w:rsid w:val="009028B5"/>
    <w:rsid w:val="00902C07"/>
    <w:rsid w:val="00905804"/>
    <w:rsid w:val="009101E2"/>
    <w:rsid w:val="00915D73"/>
    <w:rsid w:val="00916077"/>
    <w:rsid w:val="009164B0"/>
    <w:rsid w:val="00916C70"/>
    <w:rsid w:val="009170A2"/>
    <w:rsid w:val="009208A6"/>
    <w:rsid w:val="00920B2D"/>
    <w:rsid w:val="00924514"/>
    <w:rsid w:val="00927316"/>
    <w:rsid w:val="009305AC"/>
    <w:rsid w:val="0093133D"/>
    <w:rsid w:val="009317D4"/>
    <w:rsid w:val="0093276D"/>
    <w:rsid w:val="00933D12"/>
    <w:rsid w:val="0093492B"/>
    <w:rsid w:val="00937065"/>
    <w:rsid w:val="00940285"/>
    <w:rsid w:val="009415B0"/>
    <w:rsid w:val="0094347D"/>
    <w:rsid w:val="00947E7E"/>
    <w:rsid w:val="0095139A"/>
    <w:rsid w:val="00953E16"/>
    <w:rsid w:val="009542AC"/>
    <w:rsid w:val="00955DF5"/>
    <w:rsid w:val="009576F9"/>
    <w:rsid w:val="00961BB2"/>
    <w:rsid w:val="00962108"/>
    <w:rsid w:val="009638D6"/>
    <w:rsid w:val="009739CE"/>
    <w:rsid w:val="0097408E"/>
    <w:rsid w:val="00974BB2"/>
    <w:rsid w:val="00974FA7"/>
    <w:rsid w:val="0097560B"/>
    <w:rsid w:val="009756E5"/>
    <w:rsid w:val="00977A8C"/>
    <w:rsid w:val="0098013B"/>
    <w:rsid w:val="00983910"/>
    <w:rsid w:val="009932AC"/>
    <w:rsid w:val="00994351"/>
    <w:rsid w:val="00995F4A"/>
    <w:rsid w:val="00996A8F"/>
    <w:rsid w:val="009A1DBF"/>
    <w:rsid w:val="009A68E6"/>
    <w:rsid w:val="009A7598"/>
    <w:rsid w:val="009B1DF8"/>
    <w:rsid w:val="009B3D20"/>
    <w:rsid w:val="009B5418"/>
    <w:rsid w:val="009B61B4"/>
    <w:rsid w:val="009C0727"/>
    <w:rsid w:val="009C3C80"/>
    <w:rsid w:val="009C492F"/>
    <w:rsid w:val="009D2A49"/>
    <w:rsid w:val="009D2FF2"/>
    <w:rsid w:val="009D3226"/>
    <w:rsid w:val="009D3385"/>
    <w:rsid w:val="009D3857"/>
    <w:rsid w:val="009D6327"/>
    <w:rsid w:val="009D793C"/>
    <w:rsid w:val="009E16A9"/>
    <w:rsid w:val="009E375F"/>
    <w:rsid w:val="009E39D4"/>
    <w:rsid w:val="009E433B"/>
    <w:rsid w:val="009E5401"/>
    <w:rsid w:val="009F30F1"/>
    <w:rsid w:val="00A04188"/>
    <w:rsid w:val="00A0758F"/>
    <w:rsid w:val="00A1570A"/>
    <w:rsid w:val="00A17149"/>
    <w:rsid w:val="00A17866"/>
    <w:rsid w:val="00A17B86"/>
    <w:rsid w:val="00A211B4"/>
    <w:rsid w:val="00A222C3"/>
    <w:rsid w:val="00A223CF"/>
    <w:rsid w:val="00A26D78"/>
    <w:rsid w:val="00A33DDF"/>
    <w:rsid w:val="00A344BF"/>
    <w:rsid w:val="00A34547"/>
    <w:rsid w:val="00A376B7"/>
    <w:rsid w:val="00A37A02"/>
    <w:rsid w:val="00A41BF5"/>
    <w:rsid w:val="00A44778"/>
    <w:rsid w:val="00A469E7"/>
    <w:rsid w:val="00A604A4"/>
    <w:rsid w:val="00A61B7D"/>
    <w:rsid w:val="00A6605B"/>
    <w:rsid w:val="00A66ADC"/>
    <w:rsid w:val="00A7147D"/>
    <w:rsid w:val="00A751E6"/>
    <w:rsid w:val="00A81B15"/>
    <w:rsid w:val="00A837FF"/>
    <w:rsid w:val="00A84052"/>
    <w:rsid w:val="00A84DC8"/>
    <w:rsid w:val="00A85DBC"/>
    <w:rsid w:val="00A87FEB"/>
    <w:rsid w:val="00A934EA"/>
    <w:rsid w:val="00A93F9F"/>
    <w:rsid w:val="00A9420E"/>
    <w:rsid w:val="00A97648"/>
    <w:rsid w:val="00AA1CFD"/>
    <w:rsid w:val="00AA2239"/>
    <w:rsid w:val="00AA33D2"/>
    <w:rsid w:val="00AB0C57"/>
    <w:rsid w:val="00AB0DA3"/>
    <w:rsid w:val="00AB1195"/>
    <w:rsid w:val="00AB2AAF"/>
    <w:rsid w:val="00AB4182"/>
    <w:rsid w:val="00AC27DB"/>
    <w:rsid w:val="00AC655D"/>
    <w:rsid w:val="00AC6D6B"/>
    <w:rsid w:val="00AD7736"/>
    <w:rsid w:val="00AE10CE"/>
    <w:rsid w:val="00AE528B"/>
    <w:rsid w:val="00AE70D4"/>
    <w:rsid w:val="00AE7868"/>
    <w:rsid w:val="00AF000E"/>
    <w:rsid w:val="00AF0407"/>
    <w:rsid w:val="00AF049B"/>
    <w:rsid w:val="00AF4D8B"/>
    <w:rsid w:val="00B03216"/>
    <w:rsid w:val="00B04108"/>
    <w:rsid w:val="00B067CA"/>
    <w:rsid w:val="00B12B26"/>
    <w:rsid w:val="00B159B4"/>
    <w:rsid w:val="00B163F8"/>
    <w:rsid w:val="00B2472D"/>
    <w:rsid w:val="00B2476B"/>
    <w:rsid w:val="00B24CA0"/>
    <w:rsid w:val="00B2549F"/>
    <w:rsid w:val="00B4108D"/>
    <w:rsid w:val="00B57265"/>
    <w:rsid w:val="00B633AE"/>
    <w:rsid w:val="00B63429"/>
    <w:rsid w:val="00B637EB"/>
    <w:rsid w:val="00B65271"/>
    <w:rsid w:val="00B665D2"/>
    <w:rsid w:val="00B6737C"/>
    <w:rsid w:val="00B71B51"/>
    <w:rsid w:val="00B7214D"/>
    <w:rsid w:val="00B74372"/>
    <w:rsid w:val="00B75525"/>
    <w:rsid w:val="00B75A69"/>
    <w:rsid w:val="00B80283"/>
    <w:rsid w:val="00B8095F"/>
    <w:rsid w:val="00B80B0C"/>
    <w:rsid w:val="00B80B11"/>
    <w:rsid w:val="00B831AE"/>
    <w:rsid w:val="00B8446C"/>
    <w:rsid w:val="00B8680F"/>
    <w:rsid w:val="00B86D82"/>
    <w:rsid w:val="00B87725"/>
    <w:rsid w:val="00B94DC3"/>
    <w:rsid w:val="00BA259A"/>
    <w:rsid w:val="00BA259C"/>
    <w:rsid w:val="00BA29D3"/>
    <w:rsid w:val="00BA307F"/>
    <w:rsid w:val="00BA5280"/>
    <w:rsid w:val="00BA7ED1"/>
    <w:rsid w:val="00BB14F1"/>
    <w:rsid w:val="00BB572E"/>
    <w:rsid w:val="00BB64C0"/>
    <w:rsid w:val="00BB74FD"/>
    <w:rsid w:val="00BC5982"/>
    <w:rsid w:val="00BC60BF"/>
    <w:rsid w:val="00BD28BF"/>
    <w:rsid w:val="00BD2D12"/>
    <w:rsid w:val="00BD6404"/>
    <w:rsid w:val="00BE33AE"/>
    <w:rsid w:val="00BE5A9D"/>
    <w:rsid w:val="00BF03C4"/>
    <w:rsid w:val="00BF046F"/>
    <w:rsid w:val="00C01D50"/>
    <w:rsid w:val="00C056DC"/>
    <w:rsid w:val="00C117DC"/>
    <w:rsid w:val="00C129BD"/>
    <w:rsid w:val="00C1329B"/>
    <w:rsid w:val="00C14229"/>
    <w:rsid w:val="00C1572F"/>
    <w:rsid w:val="00C24C05"/>
    <w:rsid w:val="00C24D2F"/>
    <w:rsid w:val="00C2591E"/>
    <w:rsid w:val="00C26222"/>
    <w:rsid w:val="00C31283"/>
    <w:rsid w:val="00C33C48"/>
    <w:rsid w:val="00C340E5"/>
    <w:rsid w:val="00C35AA7"/>
    <w:rsid w:val="00C404C3"/>
    <w:rsid w:val="00C4066F"/>
    <w:rsid w:val="00C42D40"/>
    <w:rsid w:val="00C43BA1"/>
    <w:rsid w:val="00C43DAB"/>
    <w:rsid w:val="00C47F08"/>
    <w:rsid w:val="00C514A6"/>
    <w:rsid w:val="00C56E73"/>
    <w:rsid w:val="00C5739F"/>
    <w:rsid w:val="00C57CF0"/>
    <w:rsid w:val="00C63557"/>
    <w:rsid w:val="00C649BD"/>
    <w:rsid w:val="00C65891"/>
    <w:rsid w:val="00C66AC9"/>
    <w:rsid w:val="00C724D3"/>
    <w:rsid w:val="00C72951"/>
    <w:rsid w:val="00C74304"/>
    <w:rsid w:val="00C77DD9"/>
    <w:rsid w:val="00C8339D"/>
    <w:rsid w:val="00C83BE6"/>
    <w:rsid w:val="00C85354"/>
    <w:rsid w:val="00C86ABA"/>
    <w:rsid w:val="00C878FE"/>
    <w:rsid w:val="00C87A55"/>
    <w:rsid w:val="00C943F3"/>
    <w:rsid w:val="00C95EAE"/>
    <w:rsid w:val="00CA08C6"/>
    <w:rsid w:val="00CA0A77"/>
    <w:rsid w:val="00CA2681"/>
    <w:rsid w:val="00CA2729"/>
    <w:rsid w:val="00CA2D15"/>
    <w:rsid w:val="00CA3057"/>
    <w:rsid w:val="00CA45F8"/>
    <w:rsid w:val="00CB0305"/>
    <w:rsid w:val="00CB33C7"/>
    <w:rsid w:val="00CB3FAB"/>
    <w:rsid w:val="00CB6DA7"/>
    <w:rsid w:val="00CB7E4C"/>
    <w:rsid w:val="00CC25B4"/>
    <w:rsid w:val="00CC5F88"/>
    <w:rsid w:val="00CC69C8"/>
    <w:rsid w:val="00CC77A2"/>
    <w:rsid w:val="00CD29DF"/>
    <w:rsid w:val="00CD307E"/>
    <w:rsid w:val="00CD629F"/>
    <w:rsid w:val="00CD6A1B"/>
    <w:rsid w:val="00CE02A3"/>
    <w:rsid w:val="00CE0A7F"/>
    <w:rsid w:val="00CE1718"/>
    <w:rsid w:val="00CF4156"/>
    <w:rsid w:val="00D0036C"/>
    <w:rsid w:val="00D03D00"/>
    <w:rsid w:val="00D05C30"/>
    <w:rsid w:val="00D10052"/>
    <w:rsid w:val="00D11359"/>
    <w:rsid w:val="00D315CE"/>
    <w:rsid w:val="00D3188C"/>
    <w:rsid w:val="00D334C1"/>
    <w:rsid w:val="00D35F9B"/>
    <w:rsid w:val="00D36B69"/>
    <w:rsid w:val="00D404E0"/>
    <w:rsid w:val="00D408DD"/>
    <w:rsid w:val="00D40E91"/>
    <w:rsid w:val="00D431AE"/>
    <w:rsid w:val="00D45D72"/>
    <w:rsid w:val="00D520E4"/>
    <w:rsid w:val="00D53A38"/>
    <w:rsid w:val="00D575DD"/>
    <w:rsid w:val="00D57DFA"/>
    <w:rsid w:val="00D6334F"/>
    <w:rsid w:val="00D65665"/>
    <w:rsid w:val="00D67FCF"/>
    <w:rsid w:val="00D709CE"/>
    <w:rsid w:val="00D71F73"/>
    <w:rsid w:val="00D80786"/>
    <w:rsid w:val="00D81CAB"/>
    <w:rsid w:val="00D8576F"/>
    <w:rsid w:val="00D8677F"/>
    <w:rsid w:val="00D867E1"/>
    <w:rsid w:val="00D9232A"/>
    <w:rsid w:val="00D968D3"/>
    <w:rsid w:val="00D97F0C"/>
    <w:rsid w:val="00DA3A86"/>
    <w:rsid w:val="00DA61B1"/>
    <w:rsid w:val="00DA6C10"/>
    <w:rsid w:val="00DC2500"/>
    <w:rsid w:val="00DC4F72"/>
    <w:rsid w:val="00DC77DC"/>
    <w:rsid w:val="00DD0453"/>
    <w:rsid w:val="00DD0C2C"/>
    <w:rsid w:val="00DD19DE"/>
    <w:rsid w:val="00DD28BC"/>
    <w:rsid w:val="00DD48DB"/>
    <w:rsid w:val="00DE31F0"/>
    <w:rsid w:val="00DE3D1C"/>
    <w:rsid w:val="00DF2000"/>
    <w:rsid w:val="00E01C41"/>
    <w:rsid w:val="00E0227D"/>
    <w:rsid w:val="00E04B84"/>
    <w:rsid w:val="00E06466"/>
    <w:rsid w:val="00E06835"/>
    <w:rsid w:val="00E06FDA"/>
    <w:rsid w:val="00E160A5"/>
    <w:rsid w:val="00E1713D"/>
    <w:rsid w:val="00E20A43"/>
    <w:rsid w:val="00E23898"/>
    <w:rsid w:val="00E30190"/>
    <w:rsid w:val="00E311C7"/>
    <w:rsid w:val="00E319F1"/>
    <w:rsid w:val="00E32249"/>
    <w:rsid w:val="00E33CD2"/>
    <w:rsid w:val="00E40E90"/>
    <w:rsid w:val="00E43E51"/>
    <w:rsid w:val="00E45C7E"/>
    <w:rsid w:val="00E531EB"/>
    <w:rsid w:val="00E5466A"/>
    <w:rsid w:val="00E54874"/>
    <w:rsid w:val="00E54B6F"/>
    <w:rsid w:val="00E55ACA"/>
    <w:rsid w:val="00E57B74"/>
    <w:rsid w:val="00E62E66"/>
    <w:rsid w:val="00E65BC6"/>
    <w:rsid w:val="00E661FF"/>
    <w:rsid w:val="00E726EB"/>
    <w:rsid w:val="00E72CF1"/>
    <w:rsid w:val="00E80B52"/>
    <w:rsid w:val="00E81A90"/>
    <w:rsid w:val="00E824C3"/>
    <w:rsid w:val="00E840B3"/>
    <w:rsid w:val="00E84D10"/>
    <w:rsid w:val="00E85DFB"/>
    <w:rsid w:val="00E8629F"/>
    <w:rsid w:val="00E91008"/>
    <w:rsid w:val="00E9374E"/>
    <w:rsid w:val="00E94F54"/>
    <w:rsid w:val="00E97AD5"/>
    <w:rsid w:val="00EA1111"/>
    <w:rsid w:val="00EA253B"/>
    <w:rsid w:val="00EA3B4F"/>
    <w:rsid w:val="00EA3C24"/>
    <w:rsid w:val="00EA3F86"/>
    <w:rsid w:val="00EA73DF"/>
    <w:rsid w:val="00EB3571"/>
    <w:rsid w:val="00EB48BF"/>
    <w:rsid w:val="00EB61AE"/>
    <w:rsid w:val="00EC2DF4"/>
    <w:rsid w:val="00EC322D"/>
    <w:rsid w:val="00EC72DC"/>
    <w:rsid w:val="00ED383A"/>
    <w:rsid w:val="00EE1080"/>
    <w:rsid w:val="00EF0778"/>
    <w:rsid w:val="00EF1EC5"/>
    <w:rsid w:val="00EF327F"/>
    <w:rsid w:val="00EF4C88"/>
    <w:rsid w:val="00EF55EB"/>
    <w:rsid w:val="00F00DCC"/>
    <w:rsid w:val="00F010FF"/>
    <w:rsid w:val="00F0156F"/>
    <w:rsid w:val="00F05AC8"/>
    <w:rsid w:val="00F07167"/>
    <w:rsid w:val="00F072D8"/>
    <w:rsid w:val="00F07CE0"/>
    <w:rsid w:val="00F115F5"/>
    <w:rsid w:val="00F13D05"/>
    <w:rsid w:val="00F1679D"/>
    <w:rsid w:val="00F1682C"/>
    <w:rsid w:val="00F20B91"/>
    <w:rsid w:val="00F20FEA"/>
    <w:rsid w:val="00F21139"/>
    <w:rsid w:val="00F24B8B"/>
    <w:rsid w:val="00F26A3E"/>
    <w:rsid w:val="00F27123"/>
    <w:rsid w:val="00F27617"/>
    <w:rsid w:val="00F30D2E"/>
    <w:rsid w:val="00F35516"/>
    <w:rsid w:val="00F35790"/>
    <w:rsid w:val="00F3705B"/>
    <w:rsid w:val="00F4136D"/>
    <w:rsid w:val="00F4212E"/>
    <w:rsid w:val="00F42C20"/>
    <w:rsid w:val="00F43E34"/>
    <w:rsid w:val="00F514E8"/>
    <w:rsid w:val="00F53053"/>
    <w:rsid w:val="00F53FE2"/>
    <w:rsid w:val="00F55996"/>
    <w:rsid w:val="00F575FF"/>
    <w:rsid w:val="00F57908"/>
    <w:rsid w:val="00F618EF"/>
    <w:rsid w:val="00F65582"/>
    <w:rsid w:val="00F66E75"/>
    <w:rsid w:val="00F77EB0"/>
    <w:rsid w:val="00F83A36"/>
    <w:rsid w:val="00F87CDD"/>
    <w:rsid w:val="00F90425"/>
    <w:rsid w:val="00F933F0"/>
    <w:rsid w:val="00F937A3"/>
    <w:rsid w:val="00F9443D"/>
    <w:rsid w:val="00F94715"/>
    <w:rsid w:val="00F96A3D"/>
    <w:rsid w:val="00FA176F"/>
    <w:rsid w:val="00FA28CC"/>
    <w:rsid w:val="00FA4718"/>
    <w:rsid w:val="00FA5848"/>
    <w:rsid w:val="00FA6899"/>
    <w:rsid w:val="00FA7F3D"/>
    <w:rsid w:val="00FB38D8"/>
    <w:rsid w:val="00FC051F"/>
    <w:rsid w:val="00FC06FF"/>
    <w:rsid w:val="00FC45F4"/>
    <w:rsid w:val="00FC4D0D"/>
    <w:rsid w:val="00FC69B4"/>
    <w:rsid w:val="00FD0694"/>
    <w:rsid w:val="00FD25BE"/>
    <w:rsid w:val="00FD2E70"/>
    <w:rsid w:val="00FD666D"/>
    <w:rsid w:val="00FD6BC0"/>
    <w:rsid w:val="00FD7AA7"/>
    <w:rsid w:val="00FE00C5"/>
    <w:rsid w:val="00FE247A"/>
    <w:rsid w:val="00FF1FCB"/>
    <w:rsid w:val="00FF52D4"/>
    <w:rsid w:val="00FF6985"/>
    <w:rsid w:val="00FF6AA4"/>
    <w:rsid w:val="00FF6B09"/>
    <w:rsid w:val="1EA156FE"/>
    <w:rsid w:val="311E1D1B"/>
    <w:rsid w:val="41F70B2B"/>
    <w:rsid w:val="68EE24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78A93"/>
  <w15:docId w15:val="{84D764C0-34A3-418D-8B5A-861C1B2DB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roposal">
    <w:name w:val="Proposal"/>
    <w:basedOn w:val="Normal"/>
    <w:link w:val="ProposalChar"/>
    <w:qFormat/>
    <w:pPr>
      <w:numPr>
        <w:numId w:val="2"/>
      </w:numPr>
    </w:pPr>
    <w:rPr>
      <w:b/>
    </w:rPr>
  </w:style>
  <w:style w:type="character" w:customStyle="1" w:styleId="ProposalChar">
    <w:name w:val="Proposal Char"/>
    <w:link w:val="Proposal"/>
    <w:qFormat/>
    <w:rPr>
      <w:b/>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file:///C:\Users\mtk27984\AppData\Local\Temp\Docs\R1-2306083.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MyMeetings\TSGR1_112b-e\Docs\R1-2304123.zip" TargetMode="External"/><Relationship Id="rId5" Type="http://schemas.openxmlformats.org/officeDocument/2006/relationships/styles" Target="styles.xml"/><Relationship Id="rId10" Type="http://schemas.openxmlformats.org/officeDocument/2006/relationships/hyperlink" Target="file:///C:\MyMeetings\TSGR1_112b-e\Docs\R1-230411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5677F5-5790-4463-8EA2-230CA596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 Inc2</cp:lastModifiedBy>
  <cp:revision>4</cp:revision>
  <cp:lastPrinted>2019-04-25T01:09:00Z</cp:lastPrinted>
  <dcterms:created xsi:type="dcterms:W3CDTF">2023-11-14T21:03:00Z</dcterms:created>
  <dcterms:modified xsi:type="dcterms:W3CDTF">2023-11-14T21:04:00Z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(3)QKCpenkYk/T1V3k675XDjsJwQ6VeamjSskYOXSAfKyxlXZ899vg6cnYE9fh6sBDCBvZGQ/0x
5zaNuLhXRYXjfiCuVT0ia8Xiy7oWPnvvZpFbLLLi7lqsnmnvjhZ50d2crDtCALmwCj3mcJTI
+EVKrnYr9QBK5/0hW5s1Jz15ST9hfyY0tsnrrT9k1fVwKSf72sS0LC8Mh8h9BjH+Lr1lg7Sr
+iTvFHKQWub8xKKlH1</vt:lpwstr>
  </property>
  <property fmtid="{D5CDD505-2E9C-101B-9397-08002B2CF9AE}" pid="10" name="_2015_ms_pID_7253431">
    <vt:lpwstr>IYt84k5tw9yrDqJSRJzSXH4utiOCweYlHbAIXATQR2IKfWtpu6RNy6
fkJ3ZNtI+NxqhG9NfX9BIiFUsBhqtNgTjM3Eq1uM6pp0D0tg/IDMi+rvJq73ilpRlaNwc4EP
FDm0Y+hHDJTj31XbOz5NqJ1EvNYSoPXSm3cAxLiT5DBjGQ+nCJZj+/WwHdaUlCZZ503HCySh
b8DWIVcyNZuqBS1M8i8xMkWgCLrEiOOKdDre</vt:lpwstr>
  </property>
  <property fmtid="{D5CDD505-2E9C-101B-9397-08002B2CF9AE}" pid="11" name="_2015_ms_pID_7253432">
    <vt:lpwstr>KSaPIaF6oB77soeObVSVpoY=</vt:lpwstr>
  </property>
  <property fmtid="{D5CDD505-2E9C-101B-9397-08002B2CF9AE}" pid="12" name="MSIP_Label_83bcef13-7cac-433f-ba1d-47a323951816_Enabled">
    <vt:lpwstr>true</vt:lpwstr>
  </property>
  <property fmtid="{D5CDD505-2E9C-101B-9397-08002B2CF9AE}" pid="13" name="MSIP_Label_83bcef13-7cac-433f-ba1d-47a323951816_SetDate">
    <vt:lpwstr>2023-02-21T02:10:19Z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eebe51b9-a324-4ae2-b5bd-c6e5fd8d93f0</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1692794648</vt:lpwstr>
  </property>
  <property fmtid="{D5CDD505-2E9C-101B-9397-08002B2CF9AE}" pid="23" name="KSOProductBuildVer">
    <vt:lpwstr>2052-11.8.2.9022</vt:lpwstr>
  </property>
  <property fmtid="{D5CDD505-2E9C-101B-9397-08002B2CF9AE}" pid="24" name="ICV">
    <vt:lpwstr>5B3D270F01554BEDB5D554616937BE35</vt:lpwstr>
  </property>
</Properties>
</file>