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_Hlk145670493"/>
      <w:bookmarkStart w:id="1" w:name="_Hlk117841894"/>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R1-231</w:t>
      </w:r>
      <w:r>
        <w:rPr>
          <w:rFonts w:hint="eastAsia" w:ascii="Arial" w:hAnsi="Arial" w:eastAsia="宋体" w:cs="Arial"/>
          <w:b/>
          <w:bCs/>
          <w:sz w:val="28"/>
          <w:lang w:val="en-US" w:eastAsia="zh-CN"/>
        </w:rPr>
        <w:t>2134</w:t>
      </w:r>
      <w:bookmarkStart w:id="4" w:name="_GoBack"/>
      <w:bookmarkEnd w:id="4"/>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Chicago, USA, November 13</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November</w:t>
      </w:r>
      <w:r>
        <w:rPr>
          <w:rFonts w:ascii="Arial" w:hAnsi="Arial" w:eastAsia="MS Mincho" w:cs="Arial"/>
          <w:b/>
          <w:bCs/>
          <w:sz w:val="28"/>
          <w:lang w:eastAsia="ja-JP"/>
        </w:rPr>
        <w:t xml:space="preserve"> 17</w:t>
      </w:r>
      <w:r>
        <w:rPr>
          <w:rFonts w:ascii="Arial" w:hAnsi="Arial" w:eastAsia="MS Mincho" w:cs="Arial"/>
          <w:b/>
          <w:bCs/>
          <w:sz w:val="28"/>
          <w:vertAlign w:val="superscript"/>
          <w:lang w:eastAsia="ja-JP"/>
        </w:rPr>
        <w:t>th</w:t>
      </w:r>
      <w:r>
        <w:rPr>
          <w:rFonts w:ascii="Arial" w:hAnsi="Arial" w:eastAsia="MS Mincho" w:cs="Arial"/>
          <w:b/>
          <w:bCs/>
          <w:sz w:val="28"/>
          <w:lang w:eastAsia="ja-JP"/>
        </w:rPr>
        <w:t>, 2023</w:t>
      </w:r>
    </w:p>
    <w:bookmarkEnd w:id="0"/>
    <w:p>
      <w:pPr>
        <w:rPr>
          <w:szCs w:val="20"/>
        </w:rPr>
      </w:pPr>
    </w:p>
    <w:p>
      <w:pPr>
        <w:pStyle w:val="26"/>
        <w:tabs>
          <w:tab w:val="left" w:pos="1800"/>
        </w:tabs>
        <w:ind w:left="1800" w:hanging="1800"/>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8.7.2</w:t>
      </w:r>
    </w:p>
    <w:bookmarkEnd w:id="1"/>
    <w:p>
      <w:pPr>
        <w:pStyle w:val="26"/>
        <w:ind w:left="1800" w:hanging="1800"/>
        <w:rPr>
          <w:sz w:val="24"/>
          <w:lang w:val="en-US"/>
        </w:rPr>
      </w:pPr>
      <w:r>
        <w:rPr>
          <w:sz w:val="24"/>
          <w:lang w:val="en-US"/>
        </w:rPr>
        <w:t>Source:</w:t>
      </w:r>
      <w:r>
        <w:rPr>
          <w:sz w:val="24"/>
          <w:lang w:val="en-US"/>
        </w:rPr>
        <w:tab/>
      </w:r>
      <w:r>
        <w:rPr>
          <w:rFonts w:hint="eastAsia" w:eastAsiaTheme="minorEastAsia"/>
          <w:sz w:val="24"/>
          <w:lang w:val="en-US" w:eastAsia="zh-CN"/>
        </w:rPr>
        <w:t>CAICT</w:t>
      </w:r>
    </w:p>
    <w:p>
      <w:pPr>
        <w:pStyle w:val="26"/>
        <w:ind w:left="1800" w:hanging="1800"/>
        <w:rPr>
          <w:sz w:val="24"/>
          <w:lang w:val="en-US"/>
        </w:rPr>
      </w:pPr>
      <w:r>
        <w:rPr>
          <w:sz w:val="24"/>
          <w:lang w:val="en-US"/>
        </w:rPr>
        <w:t>Title:</w:t>
      </w:r>
      <w:r>
        <w:rPr>
          <w:sz w:val="24"/>
          <w:lang w:val="en-US"/>
        </w:rPr>
        <w:tab/>
      </w:r>
      <w:r>
        <w:rPr>
          <w:sz w:val="24"/>
          <w:lang w:val="en-US"/>
        </w:rPr>
        <w:t xml:space="preserve">Discussion on </w:t>
      </w:r>
      <w:r>
        <w:rPr>
          <w:rFonts w:hint="eastAsia" w:eastAsia="宋体"/>
          <w:sz w:val="24"/>
          <w:lang w:val="en-US" w:eastAsia="zh-CN"/>
        </w:rPr>
        <w:t>TA</w:t>
      </w:r>
      <w:r>
        <w:rPr>
          <w:sz w:val="24"/>
        </w:rPr>
        <w:t xml:space="preserve"> management to reduce latency</w:t>
      </w:r>
    </w:p>
    <w:p>
      <w:pPr>
        <w:pBdr>
          <w:bottom w:val="single" w:color="auto" w:sz="6" w:space="1"/>
        </w:pBdr>
        <w:ind w:left="1800" w:hanging="1800"/>
        <w:rPr>
          <w:rFonts w:ascii="Arial" w:hAnsi="Arial" w:eastAsia="宋体"/>
          <w:b/>
          <w:lang w:val="en-US" w:eastAsia="zh-CN"/>
        </w:rPr>
      </w:pPr>
      <w:r>
        <w:rPr>
          <w:rFonts w:ascii="Arial" w:hAnsi="Arial"/>
          <w:b/>
          <w:lang w:val="en-US"/>
        </w:rPr>
        <w:t>Document for:</w:t>
      </w:r>
      <w:r>
        <w:rPr>
          <w:rFonts w:ascii="Arial" w:hAnsi="Arial"/>
          <w:b/>
          <w:lang w:val="en-US"/>
        </w:rPr>
        <w:tab/>
      </w:r>
      <w:r>
        <w:rPr>
          <w:rFonts w:ascii="Arial" w:hAnsi="Arial"/>
          <w:b/>
          <w:lang w:val="en-US"/>
        </w:rPr>
        <w:t>Discussion and Decision</w:t>
      </w:r>
      <w:r>
        <w:rPr>
          <w:rFonts w:hint="eastAsia" w:ascii="Arial" w:hAnsi="Arial" w:eastAsia="宋体"/>
          <w:b/>
          <w:lang w:val="en-US" w:eastAsia="zh-CN"/>
        </w:rPr>
        <w:t xml:space="preserve">   </w:t>
      </w:r>
    </w:p>
    <w:p>
      <w:pPr>
        <w:pStyle w:val="2"/>
        <w:numPr>
          <w:ilvl w:val="0"/>
          <w:numId w:val="10"/>
        </w:numPr>
        <w:spacing w:after="120"/>
        <w:jc w:val="both"/>
        <w:rPr>
          <w:b/>
          <w:lang w:val="en-US"/>
        </w:rPr>
      </w:pPr>
      <w:r>
        <w:rPr>
          <w:rFonts w:hint="eastAsia"/>
          <w:b/>
          <w:lang w:val="en-US"/>
        </w:rPr>
        <w:t>Introduction</w:t>
      </w:r>
    </w:p>
    <w:p>
      <w:r>
        <w:t xml:space="preserve">In RAN1 #113 meeting, RAN1 confirmed the working assumption of supporting the UE based RACH-less TA acquisition [1]: </w:t>
      </w:r>
    </w:p>
    <w:p>
      <w:pPr>
        <w:rPr>
          <w:b/>
          <w:bCs/>
          <w:i/>
          <w:iCs/>
          <w:sz w:val="24"/>
          <w:szCs w:val="28"/>
          <w:highlight w:val="none"/>
          <w:lang w:eastAsia="en-GB"/>
        </w:rPr>
      </w:pPr>
      <w:r>
        <w:rPr>
          <w:b/>
          <w:bCs/>
          <w:i/>
          <w:iCs/>
          <w:sz w:val="24"/>
          <w:szCs w:val="28"/>
          <w:highlight w:val="none"/>
          <w:lang w:eastAsia="en-GB"/>
        </w:rPr>
        <w:t>Working Assumption</w:t>
      </w:r>
    </w:p>
    <w:p>
      <w:pPr>
        <w:rPr>
          <w:bCs/>
          <w:i/>
          <w:iCs/>
          <w:sz w:val="24"/>
          <w:szCs w:val="28"/>
          <w:lang w:eastAsia="en-GB"/>
        </w:rPr>
      </w:pPr>
      <w:r>
        <w:rPr>
          <w:rFonts w:hint="eastAsia" w:eastAsia="等线"/>
          <w:i/>
          <w:iCs/>
          <w:sz w:val="24"/>
          <w:szCs w:val="28"/>
          <w:lang w:eastAsia="zh-CN"/>
        </w:rPr>
        <w:t xml:space="preserve">From RAN 1 perspective, </w:t>
      </w:r>
      <w:r>
        <w:rPr>
          <w:bCs/>
          <w:i/>
          <w:iCs/>
          <w:sz w:val="24"/>
          <w:szCs w:val="28"/>
          <w:lang w:eastAsia="en-GB"/>
        </w:rPr>
        <w:t xml:space="preserve">UE-based TA measurement (UE derives TA based on Rx timing difference between current serving cell and candidate cell as well as TA value for the current serving cell) is supported. </w:t>
      </w:r>
    </w:p>
    <w:p>
      <w:pPr>
        <w:widowControl w:val="0"/>
        <w:numPr>
          <w:ilvl w:val="0"/>
          <w:numId w:val="11"/>
        </w:numPr>
        <w:autoSpaceDE/>
        <w:autoSpaceDN/>
        <w:adjustRightInd/>
        <w:snapToGrid/>
        <w:spacing w:after="0"/>
        <w:rPr>
          <w:bCs/>
          <w:i/>
          <w:iCs/>
          <w:sz w:val="24"/>
          <w:szCs w:val="28"/>
          <w:lang w:eastAsia="en-GB"/>
        </w:rPr>
      </w:pPr>
      <w:r>
        <w:rPr>
          <w:bCs/>
          <w:i/>
          <w:iCs/>
          <w:sz w:val="24"/>
          <w:szCs w:val="28"/>
          <w:lang w:eastAsia="en-GB"/>
        </w:rPr>
        <w:t>Corresponding UE capability is to be introduced to support UE-based TA measurement</w:t>
      </w:r>
    </w:p>
    <w:p>
      <w:pPr>
        <w:widowControl w:val="0"/>
        <w:numPr>
          <w:ilvl w:val="0"/>
          <w:numId w:val="11"/>
        </w:numPr>
        <w:autoSpaceDE/>
        <w:autoSpaceDN/>
        <w:adjustRightInd/>
        <w:snapToGrid/>
        <w:spacing w:after="0"/>
        <w:rPr>
          <w:bCs/>
          <w:i/>
          <w:iCs/>
          <w:sz w:val="24"/>
          <w:szCs w:val="28"/>
          <w:lang w:eastAsia="en-GB"/>
        </w:rPr>
      </w:pPr>
      <w:r>
        <w:rPr>
          <w:bCs/>
          <w:i/>
          <w:iCs/>
          <w:sz w:val="24"/>
          <w:szCs w:val="28"/>
          <w:lang w:eastAsia="en-GB"/>
        </w:rPr>
        <w:t>For a UE reports support of this capability, configuration of UE-based TA measurement is supported</w:t>
      </w:r>
    </w:p>
    <w:p>
      <w:pPr>
        <w:widowControl w:val="0"/>
        <w:numPr>
          <w:ilvl w:val="0"/>
          <w:numId w:val="11"/>
        </w:numPr>
        <w:autoSpaceDE/>
        <w:autoSpaceDN/>
        <w:adjustRightInd/>
        <w:snapToGrid/>
        <w:spacing w:after="0"/>
        <w:rPr>
          <w:bCs/>
          <w:i/>
          <w:iCs/>
          <w:sz w:val="24"/>
          <w:szCs w:val="28"/>
          <w:lang w:eastAsia="en-GB"/>
        </w:rPr>
      </w:pPr>
      <w:r>
        <w:rPr>
          <w:bCs/>
          <w:i/>
          <w:iCs/>
          <w:sz w:val="24"/>
          <w:szCs w:val="28"/>
          <w:lang w:eastAsia="en-GB"/>
        </w:rPr>
        <w:t>FFS: other impacts on RAN1 spec</w:t>
      </w:r>
    </w:p>
    <w:p>
      <w:pPr>
        <w:spacing w:before="120"/>
        <w:rPr>
          <w:bCs/>
          <w:i/>
          <w:iCs/>
          <w:sz w:val="18"/>
          <w:szCs w:val="20"/>
          <w:lang w:eastAsia="en-GB"/>
        </w:rPr>
      </w:pPr>
      <w:r>
        <w:t>In RAN2 #122 meeting, RAN2 reached the following agreement for RACH-less initial transmission to the target cell [2]:</w:t>
      </w:r>
    </w:p>
    <w:p>
      <w:pPr>
        <w:widowControl w:val="0"/>
        <w:numPr>
          <w:ilvl w:val="0"/>
          <w:numId w:val="11"/>
        </w:numPr>
        <w:autoSpaceDE/>
        <w:autoSpaceDN/>
        <w:adjustRightInd/>
        <w:snapToGrid/>
        <w:spacing w:after="0"/>
        <w:rPr>
          <w:bCs/>
          <w:i/>
          <w:iCs/>
          <w:sz w:val="24"/>
          <w:szCs w:val="28"/>
          <w:lang w:eastAsia="en-GB"/>
        </w:rPr>
      </w:pPr>
      <w:r>
        <w:rPr>
          <w:bCs/>
          <w:i/>
          <w:iCs/>
          <w:sz w:val="24"/>
          <w:szCs w:val="28"/>
          <w:lang w:eastAsia="en-GB"/>
        </w:rPr>
        <w:t>Dynamic grant can be used for RACH-less LTM, for the first UL data transmission to the target cell:</w:t>
      </w:r>
    </w:p>
    <w:p>
      <w:pPr>
        <w:widowControl w:val="0"/>
        <w:numPr>
          <w:ilvl w:val="1"/>
          <w:numId w:val="11"/>
        </w:numPr>
        <w:autoSpaceDE/>
        <w:autoSpaceDN/>
        <w:adjustRightInd/>
        <w:snapToGrid/>
        <w:spacing w:after="0"/>
        <w:rPr>
          <w:bCs/>
          <w:i/>
          <w:iCs/>
          <w:sz w:val="24"/>
          <w:szCs w:val="28"/>
          <w:lang w:eastAsia="en-GB"/>
        </w:rPr>
      </w:pPr>
      <w:r>
        <w:rPr>
          <w:bCs/>
          <w:i/>
          <w:iCs/>
          <w:sz w:val="24"/>
          <w:szCs w:val="28"/>
          <w:lang w:eastAsia="en-GB"/>
        </w:rPr>
        <w:t xml:space="preserve"> the UE monitors PDCCH for dynamic scheduling from the target cell, upon LTM cell switch. </w:t>
      </w:r>
    </w:p>
    <w:p>
      <w:pPr>
        <w:widowControl w:val="0"/>
        <w:numPr>
          <w:ilvl w:val="1"/>
          <w:numId w:val="11"/>
        </w:numPr>
        <w:autoSpaceDE/>
        <w:autoSpaceDN/>
        <w:adjustRightInd/>
        <w:snapToGrid/>
        <w:spacing w:after="0"/>
        <w:rPr>
          <w:bCs/>
          <w:i/>
          <w:iCs/>
          <w:sz w:val="24"/>
          <w:szCs w:val="28"/>
          <w:lang w:eastAsia="en-GB"/>
        </w:rPr>
      </w:pPr>
      <w:r>
        <w:rPr>
          <w:bCs/>
          <w:i/>
          <w:iCs/>
          <w:sz w:val="24"/>
          <w:szCs w:val="28"/>
          <w:lang w:eastAsia="en-GB"/>
        </w:rPr>
        <w:t>upon cell switch decision, R2 assumes that the source DU informs the target DU about the selected beam, so that the target DU can start scheduling dynamic UL grant.</w:t>
      </w:r>
    </w:p>
    <w:p>
      <w:pPr>
        <w:widowControl w:val="0"/>
        <w:numPr>
          <w:ilvl w:val="0"/>
          <w:numId w:val="11"/>
        </w:numPr>
        <w:autoSpaceDE/>
        <w:autoSpaceDN/>
        <w:adjustRightInd/>
        <w:snapToGrid/>
        <w:spacing w:after="0"/>
        <w:rPr>
          <w:bCs/>
          <w:i/>
          <w:iCs/>
          <w:sz w:val="24"/>
          <w:szCs w:val="28"/>
          <w:lang w:eastAsia="en-GB"/>
        </w:rPr>
      </w:pPr>
      <w:r>
        <w:rPr>
          <w:bCs/>
          <w:i/>
          <w:iCs/>
          <w:sz w:val="24"/>
          <w:szCs w:val="28"/>
          <w:lang w:eastAsia="en-GB"/>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pPr>
        <w:jc w:val="both"/>
        <w:rPr>
          <w:rFonts w:hint="default" w:eastAsia="宋体"/>
          <w:sz w:val="24"/>
          <w:szCs w:val="24"/>
          <w:lang w:val="en-US" w:eastAsia="zh-CN"/>
        </w:rPr>
      </w:pPr>
      <w:r>
        <w:rPr>
          <w:sz w:val="24"/>
          <w:szCs w:val="24"/>
        </w:rPr>
        <w:t>In this contribution, we further discuss more details</w:t>
      </w:r>
      <w:r>
        <w:rPr>
          <w:rFonts w:hint="eastAsia" w:eastAsia="宋体"/>
          <w:sz w:val="24"/>
          <w:szCs w:val="24"/>
          <w:lang w:val="en-US" w:eastAsia="zh-CN"/>
        </w:rPr>
        <w:t xml:space="preserve"> </w:t>
      </w:r>
      <w:r>
        <w:rPr>
          <w:sz w:val="24"/>
          <w:szCs w:val="24"/>
        </w:rPr>
        <w:t xml:space="preserve">of </w:t>
      </w:r>
      <w:r>
        <w:t>supporting the UE based RACH-less TA acquisition</w:t>
      </w:r>
      <w:r>
        <w:rPr>
          <w:rFonts w:hint="eastAsia" w:eastAsia="宋体"/>
          <w:sz w:val="24"/>
          <w:szCs w:val="24"/>
          <w:lang w:val="en-US" w:eastAsia="zh-CN"/>
        </w:rPr>
        <w:t>.</w:t>
      </w:r>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 w:val="24"/>
          <w:szCs w:val="24"/>
          <w:lang w:val="en-US" w:eastAsia="zh-CN"/>
        </w:rPr>
      </w:pPr>
      <w:r>
        <w:rPr>
          <w:rFonts w:hint="eastAsia" w:eastAsia="宋体"/>
          <w:b/>
          <w:bCs/>
          <w:kern w:val="0"/>
          <w:sz w:val="24"/>
          <w:szCs w:val="24"/>
          <w:lang w:val="en-US" w:eastAsia="zh-CN"/>
        </w:rPr>
        <w:t xml:space="preserve"> Network assistance for non-ideal bias compensation</w:t>
      </w:r>
    </w:p>
    <w:p>
      <w:pPr>
        <w:spacing w:after="0"/>
        <w:jc w:val="both"/>
        <w:rPr>
          <w:rFonts w:hint="eastAsia" w:eastAsia="宋体" w:cs="Arial"/>
          <w:bCs/>
          <w:szCs w:val="24"/>
          <w:lang w:val="en-US" w:eastAsia="zh-CN"/>
        </w:rPr>
      </w:pPr>
      <w:bookmarkStart w:id="2" w:name="_Hlk130482138"/>
      <w:r>
        <w:rPr>
          <w:rFonts w:hint="eastAsia" w:eastAsia="宋体" w:cs="Arial"/>
          <w:bCs/>
          <w:szCs w:val="24"/>
          <w:lang w:val="en-US" w:eastAsia="zh-CN"/>
        </w:rPr>
        <w:t xml:space="preserve">It has been discussed that for UE based TA acquisition, gNB should at least provide the following info for UE to derive the TA for candidate cell, the first one is for each of measured serving cell and candidate cell,Cell ID, measured SSB ID and corresponding measured occasions, the second one is DL Tx timing difference between the serving and candidate cells. </w:t>
      </w:r>
    </w:p>
    <w:p>
      <w:pPr>
        <w:spacing w:after="0"/>
        <w:jc w:val="both"/>
        <w:rPr>
          <w:rFonts w:hint="default" w:eastAsia="宋体" w:cs="Arial"/>
          <w:bCs/>
          <w:szCs w:val="24"/>
          <w:lang w:val="en-US" w:eastAsia="zh-CN"/>
        </w:rPr>
      </w:pPr>
    </w:p>
    <w:p>
      <w:pPr>
        <w:spacing w:after="0"/>
        <w:jc w:val="both"/>
        <w:rPr>
          <w:rFonts w:hint="default" w:eastAsia="宋体" w:cs="Arial"/>
          <w:bCs/>
          <w:szCs w:val="24"/>
          <w:lang w:val="en-US" w:eastAsia="zh-CN"/>
        </w:rPr>
      </w:pPr>
      <w:r>
        <w:rPr>
          <w:rFonts w:hint="eastAsia" w:eastAsia="宋体" w:cs="Arial"/>
          <w:bCs/>
          <w:szCs w:val="24"/>
          <w:lang w:val="en-US" w:eastAsia="zh-CN"/>
        </w:rPr>
        <w:t xml:space="preserve">In our point of view, the first information such as cell ID and measured SSB ID need to be further discussed, while the second information is needed because the information of DL Tx timing difference between serving cell and candidate cell needs to be informed to the UE for UE based TA measurement for candidate cell when inter-DUs are generally not precisely synchronized. </w:t>
      </w:r>
    </w:p>
    <w:bookmarkEnd w:id="2"/>
    <w:p>
      <w:pPr>
        <w:spacing w:after="0"/>
        <w:jc w:val="both"/>
      </w:pPr>
    </w:p>
    <w:p>
      <w:pPr>
        <w:numPr>
          <w:ilvl w:val="0"/>
          <w:numId w:val="0"/>
        </w:numPr>
        <w:tabs>
          <w:tab w:val="left" w:pos="1440"/>
        </w:tabs>
        <w:spacing w:after="0"/>
        <w:jc w:val="both"/>
        <w:rPr>
          <w:b/>
          <w:lang w:eastAsia="ja-JP"/>
        </w:rPr>
      </w:pPr>
      <w:r>
        <w:rPr>
          <w:rFonts w:hint="eastAsia" w:eastAsia="宋体" w:cs="Arial"/>
          <w:bCs/>
          <w:szCs w:val="24"/>
          <w:lang w:val="en-US" w:eastAsia="ja-JP"/>
        </w:rPr>
        <w:t xml:space="preserve">Proposal </w:t>
      </w:r>
      <w:r>
        <w:rPr>
          <w:rFonts w:hint="eastAsia" w:eastAsia="宋体" w:cs="Arial"/>
          <w:bCs/>
          <w:szCs w:val="24"/>
          <w:lang w:val="en-US" w:eastAsia="zh-CN"/>
        </w:rPr>
        <w:t>1</w:t>
      </w:r>
      <w:r>
        <w:rPr>
          <w:rFonts w:hint="eastAsia" w:eastAsia="宋体" w:cs="Arial"/>
          <w:bCs/>
          <w:szCs w:val="24"/>
          <w:lang w:val="en-US" w:eastAsia="ja-JP"/>
        </w:rPr>
        <w:t xml:space="preserve">: </w:t>
      </w:r>
      <w:r>
        <w:rPr>
          <w:rFonts w:hint="eastAsia" w:eastAsia="宋体" w:cs="Arial"/>
          <w:bCs/>
          <w:szCs w:val="24"/>
          <w:lang w:val="en-US" w:eastAsia="zh-CN"/>
        </w:rPr>
        <w:t>DL Tx timing difference between the serving and candidate cells need to be provided to UE</w:t>
      </w:r>
      <w:r>
        <w:rPr>
          <w:rFonts w:hint="eastAsia" w:eastAsia="宋体"/>
          <w:b/>
          <w:lang w:val="en-US" w:eastAsia="zh-CN"/>
        </w:rPr>
        <w:t>.</w:t>
      </w:r>
    </w:p>
    <w:p>
      <w:pPr>
        <w:spacing w:after="0"/>
        <w:ind w:left="720"/>
        <w:jc w:val="both"/>
        <w:rPr>
          <w:b/>
          <w:lang w:eastAsia="ja-JP"/>
        </w:rPr>
      </w:pPr>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 w:val="24"/>
          <w:szCs w:val="24"/>
          <w:lang w:val="en-US" w:eastAsia="zh-CN"/>
        </w:rPr>
      </w:pPr>
      <w:r>
        <w:rPr>
          <w:rFonts w:hint="eastAsia" w:eastAsia="宋体"/>
          <w:b/>
          <w:bCs/>
          <w:kern w:val="0"/>
          <w:sz w:val="24"/>
          <w:szCs w:val="24"/>
          <w:lang w:val="en-US" w:eastAsia="zh-CN"/>
        </w:rPr>
        <w:t xml:space="preserve"> Triggering of UE-based TA acquisition</w:t>
      </w:r>
    </w:p>
    <w:p>
      <w:pPr>
        <w:spacing w:after="0"/>
        <w:jc w:val="both"/>
        <w:rPr>
          <w:rFonts w:hint="default" w:eastAsia="宋体" w:cs="Arial"/>
          <w:bCs/>
          <w:szCs w:val="24"/>
          <w:lang w:val="en-US" w:eastAsia="zh-CN"/>
        </w:rPr>
      </w:pPr>
      <w:r>
        <w:rPr>
          <w:rFonts w:hint="eastAsia" w:eastAsia="宋体" w:cs="Arial"/>
          <w:bCs/>
          <w:szCs w:val="24"/>
          <w:lang w:val="en-US" w:eastAsia="zh-CN"/>
        </w:rPr>
        <w:t>For triggering of UE based TA acquisition, down select among the following alternatives.</w:t>
      </w:r>
    </w:p>
    <w:p>
      <w:pPr>
        <w:numPr>
          <w:ilvl w:val="0"/>
          <w:numId w:val="12"/>
        </w:numPr>
        <w:spacing w:after="0"/>
        <w:ind w:left="420" w:leftChars="0" w:hanging="420" w:firstLineChars="0"/>
        <w:jc w:val="both"/>
        <w:rPr>
          <w:rFonts w:hint="eastAsia" w:eastAsia="宋体" w:cs="Arial"/>
          <w:bCs/>
          <w:szCs w:val="24"/>
          <w:lang w:val="en-US" w:eastAsia="zh-CN"/>
        </w:rPr>
      </w:pPr>
      <w:r>
        <w:rPr>
          <w:rFonts w:hint="eastAsia" w:eastAsia="宋体" w:cs="Arial"/>
          <w:bCs/>
          <w:szCs w:val="24"/>
          <w:lang w:val="en-US" w:eastAsia="zh-CN"/>
        </w:rPr>
        <w:t>Alt 1: UE based TA measurement is triggered by a cell switch command</w:t>
      </w:r>
    </w:p>
    <w:p>
      <w:pPr>
        <w:numPr>
          <w:ilvl w:val="0"/>
          <w:numId w:val="12"/>
        </w:numPr>
        <w:spacing w:after="0"/>
        <w:ind w:left="420" w:leftChars="0" w:hanging="420" w:firstLineChars="0"/>
        <w:jc w:val="both"/>
        <w:rPr>
          <w:rFonts w:hint="eastAsia" w:eastAsia="宋体" w:cs="Arial"/>
          <w:bCs/>
          <w:szCs w:val="24"/>
          <w:lang w:val="en-US" w:eastAsia="zh-CN"/>
        </w:rPr>
      </w:pPr>
      <w:r>
        <w:rPr>
          <w:rFonts w:hint="eastAsia" w:eastAsia="宋体" w:cs="Arial"/>
          <w:bCs/>
          <w:szCs w:val="24"/>
          <w:lang w:val="en-US" w:eastAsia="zh-CN"/>
        </w:rPr>
        <w:t>Alt 2: gNB can dynamically (de)activate the UE based TA update for a candidate cell via MAC-CE</w:t>
      </w:r>
    </w:p>
    <w:p>
      <w:pPr>
        <w:spacing w:after="200"/>
        <w:jc w:val="both"/>
        <w:rPr>
          <w:rFonts w:hint="default"/>
          <w:b/>
          <w:bCs/>
          <w:i/>
          <w:iCs/>
          <w:lang w:val="en-US" w:eastAsia="zh-CN"/>
        </w:rPr>
      </w:pPr>
      <w:r>
        <w:rPr>
          <w:rFonts w:hint="eastAsia"/>
          <w:lang w:val="en-US" w:eastAsia="zh-CN"/>
        </w:rPr>
        <w:t xml:space="preserve">If the first option is used to trigger UE based TA acquisition, UEs need to </w:t>
      </w:r>
      <w:r>
        <w:t>track</w:t>
      </w:r>
      <w:r>
        <w:rPr>
          <w:rFonts w:hint="eastAsia" w:eastAsia="宋体"/>
          <w:lang w:val="en-US" w:eastAsia="zh-CN"/>
        </w:rPr>
        <w:t xml:space="preserve"> and store </w:t>
      </w:r>
      <w:r>
        <w:t xml:space="preserve">the timing difference </w:t>
      </w:r>
      <w:r>
        <w:rPr>
          <w:rFonts w:hint="eastAsia" w:eastAsia="宋体"/>
          <w:lang w:val="en-US" w:eastAsia="zh-CN"/>
        </w:rPr>
        <w:t xml:space="preserve">between the serving and candidate cells or UE can measure instant </w:t>
      </w:r>
      <w:r>
        <w:t xml:space="preserve"> </w:t>
      </w:r>
      <w:r>
        <w:rPr>
          <w:rFonts w:hint="eastAsia" w:eastAsia="宋体"/>
          <w:lang w:val="en-US" w:eastAsia="zh-CN"/>
        </w:rPr>
        <w:t>TA after cell switch command,</w:t>
      </w:r>
      <w:r>
        <w:rPr>
          <w:rFonts w:hint="eastAsia"/>
          <w:lang w:val="en-US" w:eastAsia="zh-CN"/>
        </w:rPr>
        <w:t xml:space="preserve"> while when option 2 is used to trigger UE based TA acquisition,  </w:t>
      </w:r>
      <w:r>
        <w:t>gNB can dynamically activate or deactivate the UE based TA update for a candidate cell through MAC-CE</w:t>
      </w:r>
      <w:r>
        <w:rPr>
          <w:rFonts w:hint="eastAsia" w:eastAsia="宋体"/>
          <w:lang w:val="en-US" w:eastAsia="zh-CN"/>
        </w:rPr>
        <w:t>, so we think alt 2 is more preferred</w:t>
      </w:r>
      <w:r>
        <w:t xml:space="preserve">. </w:t>
      </w:r>
    </w:p>
    <w:p>
      <w:pPr>
        <w:numPr>
          <w:ilvl w:val="0"/>
          <w:numId w:val="0"/>
        </w:numPr>
        <w:tabs>
          <w:tab w:val="left" w:pos="1440"/>
        </w:tabs>
        <w:spacing w:after="0"/>
        <w:jc w:val="both"/>
        <w:rPr>
          <w:rFonts w:hint="eastAsia" w:eastAsia="宋体" w:cs="Arial"/>
          <w:bCs/>
          <w:szCs w:val="24"/>
          <w:lang w:val="en-US" w:eastAsia="zh-CN"/>
        </w:rPr>
      </w:pPr>
      <w:r>
        <w:rPr>
          <w:rFonts w:hint="eastAsia" w:eastAsia="宋体" w:cs="Arial"/>
          <w:bCs/>
          <w:szCs w:val="24"/>
          <w:lang w:val="en-GB" w:eastAsia="zh-CN"/>
        </w:rPr>
        <w:t xml:space="preserve">Proposal </w:t>
      </w:r>
      <w:r>
        <w:rPr>
          <w:rFonts w:hint="eastAsia" w:eastAsia="宋体" w:cs="Arial"/>
          <w:bCs/>
          <w:szCs w:val="24"/>
          <w:lang w:val="en-US" w:eastAsia="zh-CN"/>
        </w:rPr>
        <w:t>2</w:t>
      </w:r>
      <w:r>
        <w:rPr>
          <w:rFonts w:hint="eastAsia" w:eastAsia="宋体" w:cs="Arial"/>
          <w:bCs/>
          <w:szCs w:val="24"/>
          <w:lang w:val="en-GB" w:eastAsia="zh-CN"/>
        </w:rPr>
        <w:t xml:space="preserve">: </w:t>
      </w:r>
      <w:r>
        <w:rPr>
          <w:rFonts w:hint="eastAsia" w:eastAsia="宋体" w:cs="Arial"/>
          <w:bCs/>
          <w:szCs w:val="24"/>
          <w:lang w:val="en-US" w:eastAsia="zh-CN"/>
        </w:rPr>
        <w:t>For triggering of UE based TA acquisition, gNB can dynamically (de)activate the UE based TA update for a candidate cell via MAC-CE.</w:t>
      </w:r>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 w:val="24"/>
          <w:szCs w:val="24"/>
          <w:lang w:val="en-US" w:eastAsia="zh-CN"/>
        </w:rPr>
      </w:pPr>
      <w:r>
        <w:rPr>
          <w:rFonts w:hint="eastAsia" w:eastAsia="宋体"/>
          <w:b/>
          <w:bCs/>
          <w:kern w:val="0"/>
          <w:sz w:val="24"/>
          <w:szCs w:val="24"/>
          <w:lang w:val="en-US" w:eastAsia="zh-CN"/>
        </w:rPr>
        <w:t>Source TA Update</w:t>
      </w:r>
    </w:p>
    <w:p>
      <w:bookmarkStart w:id="3" w:name="_Hlk142425019"/>
      <w:r>
        <w:rPr>
          <w:rFonts w:hint="eastAsia" w:eastAsia="宋体"/>
          <w:lang w:val="en-US" w:eastAsia="zh-CN"/>
        </w:rPr>
        <w:t>The UE based TA measurement of candidate cell depends on the accuracy of the TA of source cell, when</w:t>
      </w:r>
      <w:r>
        <w:t xml:space="preserve"> UE </w:t>
      </w:r>
      <w:r>
        <w:rPr>
          <w:rFonts w:hint="eastAsia" w:eastAsia="宋体"/>
          <w:lang w:val="en-US" w:eastAsia="zh-CN"/>
        </w:rPr>
        <w:t>moves</w:t>
      </w:r>
      <w:r>
        <w:t xml:space="preserve"> in the serving cell, </w:t>
      </w:r>
      <w:r>
        <w:rPr>
          <w:rFonts w:hint="eastAsia" w:eastAsia="宋体"/>
          <w:lang w:val="en-US" w:eastAsia="zh-CN"/>
        </w:rPr>
        <w:t xml:space="preserve">the TA of </w:t>
      </w:r>
      <w:r>
        <w:t xml:space="preserve">the source serving cell </w:t>
      </w:r>
      <w:r>
        <w:rPr>
          <w:rFonts w:hint="eastAsia" w:eastAsia="宋体"/>
          <w:lang w:val="en-US" w:eastAsia="zh-CN"/>
        </w:rPr>
        <w:t>may changed, so it is necessary to inform the UE the change of the TA of source cell</w:t>
      </w:r>
      <w:r>
        <w:t>.</w:t>
      </w:r>
      <w:r>
        <w:rPr>
          <w:rFonts w:hint="eastAsia" w:eastAsia="宋体"/>
          <w:lang w:val="en-US" w:eastAsia="zh-CN"/>
        </w:rPr>
        <w:t xml:space="preserve"> When MAC CE is used to trigger the UE based TA acquisition, the source TA change can also be indicated in  the same MAC CE.</w:t>
      </w:r>
      <w:r>
        <w:t xml:space="preserve">  </w:t>
      </w:r>
      <w:bookmarkEnd w:id="3"/>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Cs w:val="28"/>
          <w:lang w:val="en-US" w:eastAsia="zh-CN"/>
        </w:rPr>
      </w:pPr>
      <w:r>
        <w:rPr>
          <w:rFonts w:hint="eastAsia" w:eastAsia="宋体"/>
          <w:b/>
          <w:bCs/>
          <w:kern w:val="0"/>
          <w:szCs w:val="28"/>
          <w:lang w:val="en-US" w:eastAsia="zh-CN"/>
        </w:rPr>
        <w:t>Conclusion</w:t>
      </w:r>
    </w:p>
    <w:p>
      <w:pPr>
        <w:rPr>
          <w:rFonts w:hint="eastAsia" w:eastAsia="宋体" w:cs="Times New Roman"/>
          <w:bCs/>
          <w:color w:val="000000"/>
          <w:sz w:val="24"/>
          <w:szCs w:val="24"/>
          <w:lang w:val="en-US" w:eastAsia="zh-CN"/>
        </w:rPr>
      </w:pPr>
      <w:r>
        <w:rPr>
          <w:rFonts w:eastAsia="宋体"/>
          <w:szCs w:val="24"/>
          <w:lang w:eastAsia="zh-CN"/>
        </w:rPr>
        <w:t>I</w:t>
      </w:r>
      <w:r>
        <w:rPr>
          <w:rFonts w:hint="eastAsia" w:eastAsia="宋体"/>
          <w:szCs w:val="24"/>
          <w:lang w:eastAsia="zh-CN"/>
        </w:rPr>
        <w:t xml:space="preserve">n </w:t>
      </w:r>
      <w:r>
        <w:rPr>
          <w:rFonts w:eastAsia="宋体"/>
          <w:szCs w:val="24"/>
          <w:lang w:eastAsia="zh-CN"/>
        </w:rPr>
        <w:t xml:space="preserve">this contribution, we </w:t>
      </w:r>
      <w:r>
        <w:rPr>
          <w:rFonts w:hint="eastAsia" w:eastAsiaTheme="minorEastAsia"/>
          <w:szCs w:val="24"/>
          <w:lang w:eastAsia="zh-CN"/>
        </w:rPr>
        <w:t>give</w:t>
      </w:r>
      <w:r>
        <w:rPr>
          <w:rFonts w:hint="eastAsia" w:eastAsiaTheme="minorEastAsia"/>
          <w:szCs w:val="24"/>
        </w:rPr>
        <w:t xml:space="preserve"> following</w:t>
      </w:r>
      <w:r>
        <w:rPr>
          <w:rFonts w:hint="eastAsia" w:eastAsiaTheme="minorEastAsia"/>
          <w:szCs w:val="24"/>
          <w:lang w:eastAsia="zh-CN"/>
        </w:rPr>
        <w:t xml:space="preserve"> proposals </w:t>
      </w:r>
      <w:r>
        <w:rPr>
          <w:rFonts w:hint="eastAsia" w:eastAsiaTheme="minorEastAsia"/>
          <w:lang w:val="en-US" w:eastAsia="zh-CN"/>
        </w:rPr>
        <w:t>of UE based TA acquisition</w:t>
      </w:r>
      <w:r>
        <w:rPr>
          <w:rFonts w:hint="eastAsia" w:eastAsia="宋体" w:cs="Times New Roman"/>
          <w:bCs/>
          <w:color w:val="000000"/>
          <w:sz w:val="24"/>
          <w:szCs w:val="24"/>
          <w:lang w:val="en-US" w:eastAsia="zh-CN"/>
        </w:rPr>
        <w:t>:</w:t>
      </w:r>
    </w:p>
    <w:p>
      <w:pPr>
        <w:rPr>
          <w:rFonts w:hint="eastAsia" w:eastAsia="宋体" w:cs="Times New Roman"/>
          <w:bCs/>
          <w:color w:val="000000"/>
          <w:sz w:val="24"/>
          <w:szCs w:val="24"/>
          <w:lang w:val="en-US" w:eastAsia="zh-CN"/>
        </w:rPr>
      </w:pPr>
    </w:p>
    <w:p>
      <w:pPr>
        <w:numPr>
          <w:ilvl w:val="0"/>
          <w:numId w:val="0"/>
        </w:numPr>
        <w:tabs>
          <w:tab w:val="left" w:pos="1440"/>
        </w:tabs>
        <w:spacing w:after="0"/>
        <w:jc w:val="both"/>
        <w:rPr>
          <w:rFonts w:hint="eastAsia" w:eastAsia="宋体"/>
          <w:b/>
          <w:lang w:val="en-US" w:eastAsia="zh-CN"/>
        </w:rPr>
      </w:pPr>
      <w:r>
        <w:rPr>
          <w:rFonts w:hint="eastAsia" w:eastAsia="宋体" w:cs="Arial"/>
          <w:bCs/>
          <w:szCs w:val="24"/>
          <w:lang w:val="en-US" w:eastAsia="ja-JP"/>
        </w:rPr>
        <w:t xml:space="preserve">Proposal </w:t>
      </w:r>
      <w:r>
        <w:rPr>
          <w:rFonts w:hint="eastAsia" w:eastAsia="宋体" w:cs="Arial"/>
          <w:bCs/>
          <w:szCs w:val="24"/>
          <w:lang w:val="en-US" w:eastAsia="zh-CN"/>
        </w:rPr>
        <w:t>1</w:t>
      </w:r>
      <w:r>
        <w:rPr>
          <w:rFonts w:hint="eastAsia" w:eastAsia="宋体" w:cs="Arial"/>
          <w:bCs/>
          <w:szCs w:val="24"/>
          <w:lang w:val="en-US" w:eastAsia="ja-JP"/>
        </w:rPr>
        <w:t xml:space="preserve">: </w:t>
      </w:r>
      <w:r>
        <w:rPr>
          <w:rFonts w:hint="eastAsia" w:eastAsia="宋体" w:cs="Arial"/>
          <w:bCs/>
          <w:szCs w:val="24"/>
          <w:lang w:val="en-US" w:eastAsia="zh-CN"/>
        </w:rPr>
        <w:t>DL Tx timing difference between the serving and candidate cells need to be provided to UE</w:t>
      </w:r>
      <w:r>
        <w:rPr>
          <w:rFonts w:hint="eastAsia" w:eastAsia="宋体"/>
          <w:b/>
          <w:lang w:val="en-US" w:eastAsia="zh-CN"/>
        </w:rPr>
        <w:t>.</w:t>
      </w:r>
    </w:p>
    <w:p>
      <w:pPr>
        <w:numPr>
          <w:ilvl w:val="0"/>
          <w:numId w:val="0"/>
        </w:numPr>
        <w:tabs>
          <w:tab w:val="left" w:pos="1440"/>
        </w:tabs>
        <w:spacing w:after="0"/>
        <w:jc w:val="both"/>
        <w:rPr>
          <w:rFonts w:hint="eastAsia" w:eastAsia="宋体" w:cs="Arial"/>
          <w:bCs/>
          <w:szCs w:val="24"/>
          <w:lang w:val="en-US" w:eastAsia="zh-CN"/>
        </w:rPr>
      </w:pPr>
      <w:r>
        <w:rPr>
          <w:rFonts w:hint="eastAsia" w:eastAsia="宋体" w:cs="Arial"/>
          <w:bCs/>
          <w:szCs w:val="24"/>
          <w:lang w:val="en-GB" w:eastAsia="zh-CN"/>
        </w:rPr>
        <w:t xml:space="preserve">Proposal </w:t>
      </w:r>
      <w:r>
        <w:rPr>
          <w:rFonts w:hint="eastAsia" w:eastAsia="宋体" w:cs="Arial"/>
          <w:bCs/>
          <w:szCs w:val="24"/>
          <w:lang w:val="en-US" w:eastAsia="zh-CN"/>
        </w:rPr>
        <w:t>2</w:t>
      </w:r>
      <w:r>
        <w:rPr>
          <w:rFonts w:hint="eastAsia" w:eastAsia="宋体" w:cs="Arial"/>
          <w:bCs/>
          <w:szCs w:val="24"/>
          <w:lang w:val="en-GB" w:eastAsia="zh-CN"/>
        </w:rPr>
        <w:t xml:space="preserve">: </w:t>
      </w:r>
      <w:r>
        <w:rPr>
          <w:rFonts w:hint="eastAsia" w:eastAsia="宋体" w:cs="Arial"/>
          <w:bCs/>
          <w:szCs w:val="24"/>
          <w:lang w:val="en-US" w:eastAsia="zh-CN"/>
        </w:rPr>
        <w:t>For triggering of UE based TA acquisition, gNB can dynamically (de)activate the UE based TA update for a candidate cell via MAC-CE.</w:t>
      </w:r>
    </w:p>
    <w:p>
      <w:pPr>
        <w:numPr>
          <w:ilvl w:val="0"/>
          <w:numId w:val="0"/>
        </w:numPr>
        <w:tabs>
          <w:tab w:val="left" w:pos="1440"/>
        </w:tabs>
        <w:spacing w:after="0"/>
        <w:jc w:val="both"/>
        <w:rPr>
          <w:rFonts w:hint="eastAsia" w:eastAsia="宋体"/>
          <w:b/>
          <w:lang w:val="en-US" w:eastAsia="ja-JP"/>
        </w:rPr>
      </w:pPr>
    </w:p>
    <w:p>
      <w:pPr>
        <w:rPr>
          <w:rFonts w:hint="eastAsia"/>
          <w:b/>
          <w:bCs/>
          <w:i/>
          <w:iCs/>
          <w:lang w:val="en-US" w:eastAsia="zh-CN"/>
        </w:rPr>
      </w:pPr>
    </w:p>
    <w:p>
      <w:pPr>
        <w:pStyle w:val="2"/>
        <w:numPr>
          <w:ilvl w:val="0"/>
          <w:numId w:val="10"/>
        </w:numPr>
        <w:pBdr>
          <w:top w:val="single" w:color="auto" w:sz="12" w:space="1"/>
        </w:pBdr>
        <w:tabs>
          <w:tab w:val="clear" w:pos="0"/>
        </w:tabs>
        <w:autoSpaceDE w:val="0"/>
        <w:autoSpaceDN w:val="0"/>
        <w:adjustRightInd w:val="0"/>
        <w:snapToGrid w:val="0"/>
        <w:spacing w:before="120" w:after="120"/>
        <w:ind w:left="425" w:leftChars="0" w:hanging="425" w:firstLineChars="0"/>
        <w:jc w:val="both"/>
        <w:rPr>
          <w:rFonts w:hint="eastAsia" w:eastAsia="宋体"/>
          <w:b/>
          <w:bCs/>
          <w:kern w:val="0"/>
          <w:szCs w:val="28"/>
          <w:lang w:val="en-US" w:eastAsia="zh-CN"/>
        </w:rPr>
      </w:pPr>
      <w:r>
        <w:rPr>
          <w:rFonts w:hint="eastAsia" w:eastAsia="宋体"/>
          <w:b/>
          <w:bCs/>
          <w:kern w:val="0"/>
          <w:szCs w:val="28"/>
          <w:lang w:val="en-US" w:eastAsia="zh-CN"/>
        </w:rPr>
        <w:t>References</w:t>
      </w:r>
    </w:p>
    <w:p>
      <w:pPr>
        <w:widowControl w:val="0"/>
        <w:numPr>
          <w:ilvl w:val="0"/>
          <w:numId w:val="13"/>
        </w:numPr>
        <w:spacing w:after="120"/>
        <w:jc w:val="both"/>
        <w:rPr>
          <w:szCs w:val="24"/>
          <w:lang w:val="en-US"/>
        </w:rPr>
      </w:pPr>
      <w:r>
        <w:rPr>
          <w:rFonts w:hint="eastAsia" w:eastAsia="宋体"/>
          <w:sz w:val="22"/>
          <w:szCs w:val="22"/>
          <w:lang w:val="en-US" w:eastAsia="zh-CN"/>
        </w:rPr>
        <w:t>Chairman notes of RAN1#1</w:t>
      </w:r>
      <w:r>
        <w:rPr>
          <w:rFonts w:eastAsia="宋体"/>
          <w:sz w:val="22"/>
          <w:szCs w:val="22"/>
          <w:lang w:val="en-US" w:eastAsia="zh-CN"/>
        </w:rPr>
        <w:t>1</w:t>
      </w:r>
      <w:r>
        <w:rPr>
          <w:rFonts w:hint="eastAsia" w:eastAsia="宋体"/>
          <w:sz w:val="22"/>
          <w:szCs w:val="22"/>
          <w:lang w:val="en-US" w:eastAsia="zh-CN"/>
        </w:rPr>
        <w:t>3</w:t>
      </w:r>
    </w:p>
    <w:p>
      <w:pPr>
        <w:widowControl w:val="0"/>
        <w:numPr>
          <w:ilvl w:val="0"/>
          <w:numId w:val="13"/>
        </w:numPr>
        <w:spacing w:after="120"/>
        <w:jc w:val="both"/>
        <w:rPr>
          <w:rFonts w:hint="eastAsia" w:eastAsia="宋体"/>
          <w:sz w:val="22"/>
          <w:szCs w:val="22"/>
          <w:lang w:val="en-US" w:eastAsia="zh-CN"/>
        </w:rPr>
      </w:pPr>
      <w:r>
        <w:rPr>
          <w:rFonts w:hint="eastAsia" w:eastAsia="宋体"/>
          <w:sz w:val="22"/>
          <w:szCs w:val="22"/>
          <w:lang w:val="en-US" w:eastAsia="zh-CN"/>
        </w:rPr>
        <w:t>Chairman notes of RAN2#122</w:t>
      </w:r>
    </w:p>
    <w:sectPr>
      <w:footerReference r:id="rId3" w:type="default"/>
      <w:type w:val="continuous"/>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auto"/>
    <w:pitch w:val="default"/>
    <w:sig w:usb0="00000000" w:usb1="00000000" w:usb2="00000000" w:usb3="00000000" w:csb0="0000019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rPr>
        <w:sz w:val="22"/>
      </w:rPr>
    </w:pPr>
    <w:r>
      <w:rPr>
        <w:rStyle w:val="37"/>
        <w:rFonts w:eastAsia="MS Gothic"/>
      </w:rPr>
      <w:t xml:space="preserve">- </w:t>
    </w:r>
    <w:r>
      <w:rPr>
        <w:rStyle w:val="37"/>
        <w:rFonts w:eastAsia="MS Gothic"/>
      </w:rPr>
      <w:fldChar w:fldCharType="begin"/>
    </w:r>
    <w:r>
      <w:rPr>
        <w:rStyle w:val="37"/>
        <w:rFonts w:eastAsia="MS Gothic"/>
      </w:rPr>
      <w:instrText xml:space="preserve"> PAGE </w:instrText>
    </w:r>
    <w:r>
      <w:rPr>
        <w:rStyle w:val="37"/>
        <w:rFonts w:eastAsia="MS Gothic"/>
      </w:rPr>
      <w:fldChar w:fldCharType="separate"/>
    </w:r>
    <w:r>
      <w:rPr>
        <w:rStyle w:val="37"/>
        <w:rFonts w:eastAsia="MS Gothic"/>
      </w:rPr>
      <w:t>1</w:t>
    </w:r>
    <w:r>
      <w:rPr>
        <w:rStyle w:val="37"/>
        <w:rFonts w:eastAsia="MS Gothic"/>
      </w:rPr>
      <w:fldChar w:fldCharType="end"/>
    </w:r>
    <w:r>
      <w:rPr>
        <w:rStyle w:val="37"/>
        <w:rFonts w:eastAsia="MS Gothic"/>
      </w:rPr>
      <w:t>/</w:t>
    </w:r>
    <w:r>
      <w:rPr>
        <w:rStyle w:val="37"/>
        <w:rFonts w:eastAsia="MS Gothic"/>
      </w:rPr>
      <w:fldChar w:fldCharType="begin"/>
    </w:r>
    <w:r>
      <w:rPr>
        <w:rStyle w:val="37"/>
        <w:rFonts w:eastAsia="MS Gothic"/>
      </w:rPr>
      <w:instrText xml:space="preserve"> NUMPAGES </w:instrText>
    </w:r>
    <w:r>
      <w:rPr>
        <w:rStyle w:val="37"/>
        <w:rFonts w:eastAsia="MS Gothic"/>
      </w:rPr>
      <w:fldChar w:fldCharType="separate"/>
    </w:r>
    <w:r>
      <w:rPr>
        <w:rStyle w:val="37"/>
        <w:rFonts w:eastAsia="MS Gothic"/>
      </w:rPr>
      <w:t>2</w:t>
    </w:r>
    <w:r>
      <w:rPr>
        <w:rStyle w:val="37"/>
        <w:rFonts w:eastAsia="MS Gothic"/>
      </w:rPr>
      <w:fldChar w:fldCharType="end"/>
    </w:r>
    <w:r>
      <w:rPr>
        <w:rStyle w:val="37"/>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D8A74"/>
    <w:multiLevelType w:val="singleLevel"/>
    <w:tmpl w:val="E04D8A74"/>
    <w:lvl w:ilvl="0" w:tentative="0">
      <w:start w:val="1"/>
      <w:numFmt w:val="bullet"/>
      <w:lvlText w:val=""/>
      <w:lvlJc w:val="left"/>
      <w:pPr>
        <w:ind w:left="420" w:hanging="420"/>
      </w:pPr>
      <w:rPr>
        <w:rFonts w:hint="default" w:ascii="Wingdings" w:hAnsi="Wingdings"/>
      </w:rPr>
    </w:lvl>
  </w:abstractNum>
  <w:abstractNum w:abstractNumId="1">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eastAsia="Times New Roman"/>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CD71883"/>
    <w:multiLevelType w:val="multilevel"/>
    <w:tmpl w:val="1CD71883"/>
    <w:lvl w:ilvl="0" w:tentative="0">
      <w:start w:val="1"/>
      <w:numFmt w:val="decimal"/>
      <w:pStyle w:val="116"/>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28F86914"/>
    <w:multiLevelType w:val="multilevel"/>
    <w:tmpl w:val="28F86914"/>
    <w:lvl w:ilvl="0" w:tentative="0">
      <w:start w:val="1"/>
      <w:numFmt w:val="decimal"/>
      <w:lvlText w:val="%1."/>
      <w:lvlJc w:val="left"/>
      <w:pPr>
        <w:ind w:left="425" w:hanging="425"/>
      </w:pPr>
    </w:lvl>
    <w:lvl w:ilvl="1" w:tentative="0">
      <w:start w:val="1"/>
      <w:numFmt w:val="decimal"/>
      <w:pStyle w:val="117"/>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BC72758"/>
    <w:multiLevelType w:val="multilevel"/>
    <w:tmpl w:val="2BC72758"/>
    <w:lvl w:ilvl="0" w:tentative="0">
      <w:start w:val="1"/>
      <w:numFmt w:val="bullet"/>
      <w:lvlText w:val="•"/>
      <w:lvlJc w:val="left"/>
      <w:pPr>
        <w:tabs>
          <w:tab w:val="left" w:pos="720"/>
        </w:tabs>
        <w:ind w:left="720" w:hanging="360"/>
      </w:pPr>
      <w:rPr>
        <w:rFonts w:hint="default" w:ascii="Arial" w:hAnsi="Arial"/>
      </w:rPr>
    </w:lvl>
    <w:lvl w:ilvl="1" w:tentative="0">
      <w:start w:val="8"/>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DDF0E1C"/>
    <w:multiLevelType w:val="multilevel"/>
    <w:tmpl w:val="2DDF0E1C"/>
    <w:lvl w:ilvl="0" w:tentative="0">
      <w:start w:val="1"/>
      <w:numFmt w:val="bullet"/>
      <w:pStyle w:val="87"/>
      <w:lvlText w:val=""/>
      <w:lvlJc w:val="left"/>
      <w:pPr>
        <w:ind w:left="1080" w:hanging="360"/>
      </w:pPr>
      <w:rPr>
        <w:rFonts w:hint="default" w:ascii="Symbol" w:hAnsi="Symbol"/>
      </w:rPr>
    </w:lvl>
    <w:lvl w:ilvl="1" w:tentative="0">
      <w:start w:val="1"/>
      <w:numFmt w:val="bullet"/>
      <w:lvlText w:val="o"/>
      <w:lvlJc w:val="left"/>
      <w:pPr>
        <w:ind w:left="162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31541149"/>
    <w:multiLevelType w:val="multilevel"/>
    <w:tmpl w:val="31541149"/>
    <w:lvl w:ilvl="0" w:tentative="0">
      <w:start w:val="1"/>
      <w:numFmt w:val="bullet"/>
      <w:pStyle w:val="10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34D5045A"/>
    <w:multiLevelType w:val="singleLevel"/>
    <w:tmpl w:val="34D5045A"/>
    <w:lvl w:ilvl="0" w:tentative="0">
      <w:start w:val="1"/>
      <w:numFmt w:val="bullet"/>
      <w:pStyle w:val="51"/>
      <w:lvlText w:val=""/>
      <w:lvlJc w:val="left"/>
      <w:pPr>
        <w:tabs>
          <w:tab w:val="left" w:pos="360"/>
        </w:tabs>
        <w:ind w:left="340" w:hanging="340"/>
      </w:pPr>
      <w:rPr>
        <w:rFonts w:hint="default" w:ascii="Symbol" w:hAnsi="Symbol" w:eastAsia="Times New Roman"/>
        <w:color w:val="auto"/>
      </w:rPr>
    </w:lvl>
  </w:abstractNum>
  <w:abstractNum w:abstractNumId="10">
    <w:nsid w:val="58015A3F"/>
    <w:multiLevelType w:val="multilevel"/>
    <w:tmpl w:val="58015A3F"/>
    <w:lvl w:ilvl="0" w:tentative="0">
      <w:start w:val="1"/>
      <w:numFmt w:val="decimal"/>
      <w:lvlText w:val="%1."/>
      <w:lvlJc w:val="left"/>
      <w:pPr>
        <w:ind w:left="425" w:hanging="425"/>
      </w:pPr>
      <w:rPr>
        <w:b/>
        <w:sz w:val="28"/>
        <w:lang w:val="en-GB"/>
      </w:rPr>
    </w:lvl>
    <w:lvl w:ilvl="1" w:tentative="0">
      <w:start w:val="1"/>
      <w:numFmt w:val="decimal"/>
      <w:lvlText w:val="%1.%2."/>
      <w:lvlJc w:val="left"/>
      <w:pPr>
        <w:ind w:left="567" w:hanging="567"/>
      </w:pPr>
      <w:rPr>
        <w:b/>
        <w:sz w:val="28"/>
      </w:rPr>
    </w:lvl>
    <w:lvl w:ilvl="2" w:tentative="0">
      <w:start w:val="1"/>
      <w:numFmt w:val="decimal"/>
      <w:lvlText w:val="%1.%2.%3."/>
      <w:lvlJc w:val="left"/>
      <w:pPr>
        <w:ind w:left="709" w:hanging="709"/>
      </w:pPr>
      <w:rPr>
        <w:sz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1">
    <w:nsid w:val="64AE27F1"/>
    <w:multiLevelType w:val="singleLevel"/>
    <w:tmpl w:val="64AE27F1"/>
    <w:lvl w:ilvl="0" w:tentative="0">
      <w:start w:val="1"/>
      <w:numFmt w:val="bullet"/>
      <w:pStyle w:val="56"/>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6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9"/>
  </w:num>
  <w:num w:numId="3">
    <w:abstractNumId w:val="11"/>
  </w:num>
  <w:num w:numId="4">
    <w:abstractNumId w:val="12"/>
  </w:num>
  <w:num w:numId="5">
    <w:abstractNumId w:val="7"/>
  </w:num>
  <w:num w:numId="6">
    <w:abstractNumId w:val="2"/>
  </w:num>
  <w:num w:numId="7">
    <w:abstractNumId w:val="8"/>
  </w:num>
  <w:num w:numId="8">
    <w:abstractNumId w:val="3"/>
  </w:num>
  <w:num w:numId="9">
    <w:abstractNumId w:val="5"/>
  </w:num>
  <w:num w:numId="10">
    <w:abstractNumId w:val="10"/>
  </w:num>
  <w:num w:numId="11">
    <w:abstractNumId w:val="6"/>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70"/>
  <w:doNotDisplayPageBoundaries w:val="1"/>
  <w:bordersDoNotSurroundHeader w:val="1"/>
  <w:bordersDoNotSurroundFooter w:val="1"/>
  <w:documentProtection w:enforcement="0"/>
  <w:defaultTabStop w:val="720"/>
  <w:autoHyphenation/>
  <w:doNotHyphenateCaps/>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wZDcxODI4OTllNTdkYWRjYTg2ZjBhYWM0OTc1OT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1B2"/>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24"/>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3A3FCB"/>
    <w:rsid w:val="023D2D25"/>
    <w:rsid w:val="024E06A7"/>
    <w:rsid w:val="0276345F"/>
    <w:rsid w:val="02CE64CE"/>
    <w:rsid w:val="02D07F13"/>
    <w:rsid w:val="036A77C0"/>
    <w:rsid w:val="03E77D65"/>
    <w:rsid w:val="03FB5322"/>
    <w:rsid w:val="04447FB3"/>
    <w:rsid w:val="044625E2"/>
    <w:rsid w:val="04672DEB"/>
    <w:rsid w:val="04C904B8"/>
    <w:rsid w:val="0514633E"/>
    <w:rsid w:val="05212F61"/>
    <w:rsid w:val="052703EA"/>
    <w:rsid w:val="053777EB"/>
    <w:rsid w:val="05510E4A"/>
    <w:rsid w:val="05711D79"/>
    <w:rsid w:val="05804A7D"/>
    <w:rsid w:val="05863534"/>
    <w:rsid w:val="05B66963"/>
    <w:rsid w:val="05FC56D4"/>
    <w:rsid w:val="060C1694"/>
    <w:rsid w:val="06494BD1"/>
    <w:rsid w:val="06711F48"/>
    <w:rsid w:val="06A864A1"/>
    <w:rsid w:val="06AA67BC"/>
    <w:rsid w:val="06EC048E"/>
    <w:rsid w:val="0712543F"/>
    <w:rsid w:val="072E6CF9"/>
    <w:rsid w:val="079808BF"/>
    <w:rsid w:val="07996919"/>
    <w:rsid w:val="07A4199C"/>
    <w:rsid w:val="07F644DE"/>
    <w:rsid w:val="07F87CC2"/>
    <w:rsid w:val="08404F68"/>
    <w:rsid w:val="087B5832"/>
    <w:rsid w:val="08AC6809"/>
    <w:rsid w:val="08B61701"/>
    <w:rsid w:val="08E82C6B"/>
    <w:rsid w:val="09113257"/>
    <w:rsid w:val="09153CCC"/>
    <w:rsid w:val="092063F3"/>
    <w:rsid w:val="09C3197A"/>
    <w:rsid w:val="09E047E1"/>
    <w:rsid w:val="09FD46CD"/>
    <w:rsid w:val="0A3745D2"/>
    <w:rsid w:val="0A4C06DA"/>
    <w:rsid w:val="0A5246D4"/>
    <w:rsid w:val="0A7C629C"/>
    <w:rsid w:val="0AA033ED"/>
    <w:rsid w:val="0AEB5802"/>
    <w:rsid w:val="0B2D1766"/>
    <w:rsid w:val="0B770C66"/>
    <w:rsid w:val="0BA20F08"/>
    <w:rsid w:val="0BA457DB"/>
    <w:rsid w:val="0BA5640E"/>
    <w:rsid w:val="0BE14A8C"/>
    <w:rsid w:val="0C006351"/>
    <w:rsid w:val="0C251FCD"/>
    <w:rsid w:val="0C427F15"/>
    <w:rsid w:val="0C6A07D3"/>
    <w:rsid w:val="0C7C2D33"/>
    <w:rsid w:val="0C9807F7"/>
    <w:rsid w:val="0D0A2EBA"/>
    <w:rsid w:val="0D2616C1"/>
    <w:rsid w:val="0D705BFF"/>
    <w:rsid w:val="0D7B26CB"/>
    <w:rsid w:val="0D942D77"/>
    <w:rsid w:val="0DA51728"/>
    <w:rsid w:val="0E3177FA"/>
    <w:rsid w:val="0E331CFB"/>
    <w:rsid w:val="0E377BE4"/>
    <w:rsid w:val="0E385C3C"/>
    <w:rsid w:val="0E4E2BE0"/>
    <w:rsid w:val="0E83295C"/>
    <w:rsid w:val="0EA41014"/>
    <w:rsid w:val="0ECA0A34"/>
    <w:rsid w:val="0EF41A2A"/>
    <w:rsid w:val="0F0A004B"/>
    <w:rsid w:val="0F5512C6"/>
    <w:rsid w:val="0F8120BC"/>
    <w:rsid w:val="0F8A27A8"/>
    <w:rsid w:val="0F8A35F9"/>
    <w:rsid w:val="0FB57098"/>
    <w:rsid w:val="0FE850F5"/>
    <w:rsid w:val="0FF237B5"/>
    <w:rsid w:val="0FF26B15"/>
    <w:rsid w:val="1009527A"/>
    <w:rsid w:val="100D316A"/>
    <w:rsid w:val="101862CC"/>
    <w:rsid w:val="106D0892"/>
    <w:rsid w:val="1088683B"/>
    <w:rsid w:val="10995894"/>
    <w:rsid w:val="109B5613"/>
    <w:rsid w:val="10BE2E9B"/>
    <w:rsid w:val="10C63350"/>
    <w:rsid w:val="10D6033B"/>
    <w:rsid w:val="10F9180E"/>
    <w:rsid w:val="10FD39C4"/>
    <w:rsid w:val="112B3655"/>
    <w:rsid w:val="11433E31"/>
    <w:rsid w:val="114A5E3E"/>
    <w:rsid w:val="11910865"/>
    <w:rsid w:val="11916802"/>
    <w:rsid w:val="119B346C"/>
    <w:rsid w:val="11A622AD"/>
    <w:rsid w:val="11B86D77"/>
    <w:rsid w:val="11EB4164"/>
    <w:rsid w:val="11F931C0"/>
    <w:rsid w:val="12100EC2"/>
    <w:rsid w:val="123A29F6"/>
    <w:rsid w:val="125A6BF4"/>
    <w:rsid w:val="12AA1929"/>
    <w:rsid w:val="12C1217E"/>
    <w:rsid w:val="12E144B4"/>
    <w:rsid w:val="12ED2E4A"/>
    <w:rsid w:val="131A2D36"/>
    <w:rsid w:val="131C3185"/>
    <w:rsid w:val="132B3D68"/>
    <w:rsid w:val="13435C0C"/>
    <w:rsid w:val="13490E00"/>
    <w:rsid w:val="137F546D"/>
    <w:rsid w:val="138C1126"/>
    <w:rsid w:val="13993AF9"/>
    <w:rsid w:val="13A95894"/>
    <w:rsid w:val="13D12EE6"/>
    <w:rsid w:val="14005579"/>
    <w:rsid w:val="14200447"/>
    <w:rsid w:val="143644A8"/>
    <w:rsid w:val="1494766A"/>
    <w:rsid w:val="14C70C6A"/>
    <w:rsid w:val="1537321C"/>
    <w:rsid w:val="1562480C"/>
    <w:rsid w:val="15677655"/>
    <w:rsid w:val="156C37B3"/>
    <w:rsid w:val="15E9458A"/>
    <w:rsid w:val="15FC2B6A"/>
    <w:rsid w:val="160C4B83"/>
    <w:rsid w:val="165E7F39"/>
    <w:rsid w:val="16C44C57"/>
    <w:rsid w:val="173C4A09"/>
    <w:rsid w:val="17482907"/>
    <w:rsid w:val="17504B03"/>
    <w:rsid w:val="17AC3627"/>
    <w:rsid w:val="17B7023A"/>
    <w:rsid w:val="17B70EE9"/>
    <w:rsid w:val="17CC0594"/>
    <w:rsid w:val="17E07F04"/>
    <w:rsid w:val="17E520D8"/>
    <w:rsid w:val="1800396E"/>
    <w:rsid w:val="181B23C9"/>
    <w:rsid w:val="183A0F20"/>
    <w:rsid w:val="183A54FD"/>
    <w:rsid w:val="18425767"/>
    <w:rsid w:val="18627CDB"/>
    <w:rsid w:val="18BC23B6"/>
    <w:rsid w:val="18E012D2"/>
    <w:rsid w:val="19130410"/>
    <w:rsid w:val="1918405A"/>
    <w:rsid w:val="192A55D1"/>
    <w:rsid w:val="193C22F3"/>
    <w:rsid w:val="19BE0EDD"/>
    <w:rsid w:val="19C36A7C"/>
    <w:rsid w:val="19E6371D"/>
    <w:rsid w:val="19FF69FF"/>
    <w:rsid w:val="1A09162B"/>
    <w:rsid w:val="1A2B30AE"/>
    <w:rsid w:val="1A5C64B4"/>
    <w:rsid w:val="1A5D3725"/>
    <w:rsid w:val="1A732F49"/>
    <w:rsid w:val="1AA03612"/>
    <w:rsid w:val="1AB40623"/>
    <w:rsid w:val="1AE016DA"/>
    <w:rsid w:val="1AE83716"/>
    <w:rsid w:val="1B0A1BA0"/>
    <w:rsid w:val="1B560813"/>
    <w:rsid w:val="1BF71755"/>
    <w:rsid w:val="1C24274C"/>
    <w:rsid w:val="1C8341D4"/>
    <w:rsid w:val="1CD84D20"/>
    <w:rsid w:val="1CF273CD"/>
    <w:rsid w:val="1CF82F2E"/>
    <w:rsid w:val="1D061E52"/>
    <w:rsid w:val="1D311F75"/>
    <w:rsid w:val="1D412E8A"/>
    <w:rsid w:val="1D4D0670"/>
    <w:rsid w:val="1DD66556"/>
    <w:rsid w:val="1DE502B6"/>
    <w:rsid w:val="1DE5707D"/>
    <w:rsid w:val="1E024414"/>
    <w:rsid w:val="1E077FB3"/>
    <w:rsid w:val="1E3742BC"/>
    <w:rsid w:val="1E871D02"/>
    <w:rsid w:val="1EB36047"/>
    <w:rsid w:val="1EBA56E6"/>
    <w:rsid w:val="1EE626C4"/>
    <w:rsid w:val="1EFB303D"/>
    <w:rsid w:val="1EFF00CB"/>
    <w:rsid w:val="1F047B3B"/>
    <w:rsid w:val="1F0E701B"/>
    <w:rsid w:val="1F5C3CDA"/>
    <w:rsid w:val="1F683E9E"/>
    <w:rsid w:val="1F9B7FFA"/>
    <w:rsid w:val="1FCB5873"/>
    <w:rsid w:val="1FEB6843"/>
    <w:rsid w:val="1FF70178"/>
    <w:rsid w:val="200C58F5"/>
    <w:rsid w:val="200D3C50"/>
    <w:rsid w:val="203474F7"/>
    <w:rsid w:val="20686980"/>
    <w:rsid w:val="206C7BC4"/>
    <w:rsid w:val="208512E0"/>
    <w:rsid w:val="20A47CA7"/>
    <w:rsid w:val="20B16579"/>
    <w:rsid w:val="20BD5788"/>
    <w:rsid w:val="2125466E"/>
    <w:rsid w:val="2136082C"/>
    <w:rsid w:val="2155053D"/>
    <w:rsid w:val="21937C58"/>
    <w:rsid w:val="21DE08DE"/>
    <w:rsid w:val="21EA3D31"/>
    <w:rsid w:val="21EF1F19"/>
    <w:rsid w:val="21F051FB"/>
    <w:rsid w:val="21F757DB"/>
    <w:rsid w:val="22244B28"/>
    <w:rsid w:val="22372AAE"/>
    <w:rsid w:val="224C0E5A"/>
    <w:rsid w:val="22D72687"/>
    <w:rsid w:val="22F95FB5"/>
    <w:rsid w:val="23133FE2"/>
    <w:rsid w:val="23235F8B"/>
    <w:rsid w:val="23396EDF"/>
    <w:rsid w:val="23496177"/>
    <w:rsid w:val="237C7701"/>
    <w:rsid w:val="2390103D"/>
    <w:rsid w:val="23DF164F"/>
    <w:rsid w:val="23E20F62"/>
    <w:rsid w:val="23E822B1"/>
    <w:rsid w:val="241906BD"/>
    <w:rsid w:val="2485771A"/>
    <w:rsid w:val="2494332D"/>
    <w:rsid w:val="24D32714"/>
    <w:rsid w:val="24F1682B"/>
    <w:rsid w:val="24FF4FE2"/>
    <w:rsid w:val="252602F8"/>
    <w:rsid w:val="253407F8"/>
    <w:rsid w:val="253A4D8F"/>
    <w:rsid w:val="256516E0"/>
    <w:rsid w:val="25BB0F70"/>
    <w:rsid w:val="25DF392A"/>
    <w:rsid w:val="25F72C80"/>
    <w:rsid w:val="261455E0"/>
    <w:rsid w:val="26585D46"/>
    <w:rsid w:val="26710A6C"/>
    <w:rsid w:val="269404CF"/>
    <w:rsid w:val="269D6AE5"/>
    <w:rsid w:val="26A135E3"/>
    <w:rsid w:val="26C86793"/>
    <w:rsid w:val="26E050F9"/>
    <w:rsid w:val="26FF0871"/>
    <w:rsid w:val="27003DB6"/>
    <w:rsid w:val="27417E9D"/>
    <w:rsid w:val="27475FD7"/>
    <w:rsid w:val="27680553"/>
    <w:rsid w:val="27725822"/>
    <w:rsid w:val="27814EF7"/>
    <w:rsid w:val="278B5D71"/>
    <w:rsid w:val="27A13902"/>
    <w:rsid w:val="27A35D17"/>
    <w:rsid w:val="27C64F3B"/>
    <w:rsid w:val="27D51207"/>
    <w:rsid w:val="282472DA"/>
    <w:rsid w:val="28322F2F"/>
    <w:rsid w:val="28377363"/>
    <w:rsid w:val="2871644D"/>
    <w:rsid w:val="28777213"/>
    <w:rsid w:val="287A36F4"/>
    <w:rsid w:val="287F0D0A"/>
    <w:rsid w:val="28D406FC"/>
    <w:rsid w:val="28FB3ED4"/>
    <w:rsid w:val="294E705B"/>
    <w:rsid w:val="29821AAA"/>
    <w:rsid w:val="29986528"/>
    <w:rsid w:val="29E0316A"/>
    <w:rsid w:val="29EC6874"/>
    <w:rsid w:val="2A0428AB"/>
    <w:rsid w:val="2A1C4C16"/>
    <w:rsid w:val="2A3F69A3"/>
    <w:rsid w:val="2A7F704A"/>
    <w:rsid w:val="2AB53064"/>
    <w:rsid w:val="2AB842F9"/>
    <w:rsid w:val="2AC043CD"/>
    <w:rsid w:val="2AEF2177"/>
    <w:rsid w:val="2B544F76"/>
    <w:rsid w:val="2B5C6C01"/>
    <w:rsid w:val="2B635FB9"/>
    <w:rsid w:val="2B736B52"/>
    <w:rsid w:val="2BB03A5B"/>
    <w:rsid w:val="2BC14310"/>
    <w:rsid w:val="2BCD020C"/>
    <w:rsid w:val="2BD7152E"/>
    <w:rsid w:val="2BE94C4C"/>
    <w:rsid w:val="2C0C1522"/>
    <w:rsid w:val="2C1767F4"/>
    <w:rsid w:val="2C1D619B"/>
    <w:rsid w:val="2C35685B"/>
    <w:rsid w:val="2C3D33DA"/>
    <w:rsid w:val="2C654E9D"/>
    <w:rsid w:val="2C886F04"/>
    <w:rsid w:val="2CC80B4D"/>
    <w:rsid w:val="2CCB451E"/>
    <w:rsid w:val="2CD8175D"/>
    <w:rsid w:val="2CE56933"/>
    <w:rsid w:val="2D1D4C6D"/>
    <w:rsid w:val="2D3327C9"/>
    <w:rsid w:val="2D7F6592"/>
    <w:rsid w:val="2D8C5DFF"/>
    <w:rsid w:val="2DFA635E"/>
    <w:rsid w:val="2E5C248A"/>
    <w:rsid w:val="2E60513A"/>
    <w:rsid w:val="2E6C2E33"/>
    <w:rsid w:val="2E6F2877"/>
    <w:rsid w:val="2E884FDF"/>
    <w:rsid w:val="2E9B1EBF"/>
    <w:rsid w:val="2ED05311"/>
    <w:rsid w:val="2EE44FC3"/>
    <w:rsid w:val="2EF108B8"/>
    <w:rsid w:val="2EFC6592"/>
    <w:rsid w:val="2F2A7C22"/>
    <w:rsid w:val="2F4326D1"/>
    <w:rsid w:val="2F43640B"/>
    <w:rsid w:val="2F45375B"/>
    <w:rsid w:val="2F9E4F07"/>
    <w:rsid w:val="2FAE616D"/>
    <w:rsid w:val="2FB63E6A"/>
    <w:rsid w:val="2FBE036A"/>
    <w:rsid w:val="2FCB3C7C"/>
    <w:rsid w:val="2FCD7F15"/>
    <w:rsid w:val="2FF43EDE"/>
    <w:rsid w:val="301145B7"/>
    <w:rsid w:val="30356292"/>
    <w:rsid w:val="30532D32"/>
    <w:rsid w:val="3063577F"/>
    <w:rsid w:val="306942EA"/>
    <w:rsid w:val="30AA1F60"/>
    <w:rsid w:val="30B57283"/>
    <w:rsid w:val="31997E5F"/>
    <w:rsid w:val="31A17DF8"/>
    <w:rsid w:val="31BC6B2B"/>
    <w:rsid w:val="31C559E0"/>
    <w:rsid w:val="320114F6"/>
    <w:rsid w:val="320449D6"/>
    <w:rsid w:val="322C2339"/>
    <w:rsid w:val="32686602"/>
    <w:rsid w:val="32963B8B"/>
    <w:rsid w:val="32BE0901"/>
    <w:rsid w:val="32C37033"/>
    <w:rsid w:val="33274516"/>
    <w:rsid w:val="332E43B3"/>
    <w:rsid w:val="333F18CD"/>
    <w:rsid w:val="33F11019"/>
    <w:rsid w:val="33F56325"/>
    <w:rsid w:val="33F70D5F"/>
    <w:rsid w:val="340C0F9D"/>
    <w:rsid w:val="341D7398"/>
    <w:rsid w:val="343900D0"/>
    <w:rsid w:val="344A5463"/>
    <w:rsid w:val="34677222"/>
    <w:rsid w:val="346E6803"/>
    <w:rsid w:val="3484217D"/>
    <w:rsid w:val="348C50A8"/>
    <w:rsid w:val="34AB1D13"/>
    <w:rsid w:val="34B00BC9"/>
    <w:rsid w:val="34D04003"/>
    <w:rsid w:val="34F82B28"/>
    <w:rsid w:val="34FD36E3"/>
    <w:rsid w:val="35030C9C"/>
    <w:rsid w:val="35137357"/>
    <w:rsid w:val="351F139A"/>
    <w:rsid w:val="35233293"/>
    <w:rsid w:val="352F5BD7"/>
    <w:rsid w:val="35414D4C"/>
    <w:rsid w:val="355041A2"/>
    <w:rsid w:val="35B43F98"/>
    <w:rsid w:val="35B57921"/>
    <w:rsid w:val="35D11C3B"/>
    <w:rsid w:val="35D37D02"/>
    <w:rsid w:val="35E640AF"/>
    <w:rsid w:val="360B7A4B"/>
    <w:rsid w:val="36172CD9"/>
    <w:rsid w:val="3683176F"/>
    <w:rsid w:val="370300D4"/>
    <w:rsid w:val="37164F30"/>
    <w:rsid w:val="374E3714"/>
    <w:rsid w:val="378808AD"/>
    <w:rsid w:val="37AA00CB"/>
    <w:rsid w:val="37BE3A87"/>
    <w:rsid w:val="37F012DD"/>
    <w:rsid w:val="37F3362B"/>
    <w:rsid w:val="37F45271"/>
    <w:rsid w:val="38324B63"/>
    <w:rsid w:val="38961492"/>
    <w:rsid w:val="38B915EF"/>
    <w:rsid w:val="38C5276A"/>
    <w:rsid w:val="38CF754C"/>
    <w:rsid w:val="38FD48BB"/>
    <w:rsid w:val="391536F1"/>
    <w:rsid w:val="39537D75"/>
    <w:rsid w:val="397005CD"/>
    <w:rsid w:val="39944279"/>
    <w:rsid w:val="39B3630B"/>
    <w:rsid w:val="39F06760"/>
    <w:rsid w:val="3A035551"/>
    <w:rsid w:val="3A0F6392"/>
    <w:rsid w:val="3A1110EC"/>
    <w:rsid w:val="3A273AB1"/>
    <w:rsid w:val="3A405D74"/>
    <w:rsid w:val="3A43603C"/>
    <w:rsid w:val="3A555D6F"/>
    <w:rsid w:val="3A5A3B4E"/>
    <w:rsid w:val="3A7135A5"/>
    <w:rsid w:val="3AA15DE2"/>
    <w:rsid w:val="3AE453B6"/>
    <w:rsid w:val="3AFC0CF3"/>
    <w:rsid w:val="3B0357CB"/>
    <w:rsid w:val="3B0D363F"/>
    <w:rsid w:val="3B3A401C"/>
    <w:rsid w:val="3B3D2A8B"/>
    <w:rsid w:val="3B5A188F"/>
    <w:rsid w:val="3B626FFB"/>
    <w:rsid w:val="3B934DA1"/>
    <w:rsid w:val="3BD8096E"/>
    <w:rsid w:val="3BDF1D94"/>
    <w:rsid w:val="3BE87FAE"/>
    <w:rsid w:val="3BEE647B"/>
    <w:rsid w:val="3C20321B"/>
    <w:rsid w:val="3C6A2144"/>
    <w:rsid w:val="3C6D36A1"/>
    <w:rsid w:val="3C6E335D"/>
    <w:rsid w:val="3CDC4526"/>
    <w:rsid w:val="3CE340BC"/>
    <w:rsid w:val="3CF4186F"/>
    <w:rsid w:val="3D0636F6"/>
    <w:rsid w:val="3D2F2660"/>
    <w:rsid w:val="3D3E1D0B"/>
    <w:rsid w:val="3D493F2D"/>
    <w:rsid w:val="3D9237DD"/>
    <w:rsid w:val="3D933279"/>
    <w:rsid w:val="3D981523"/>
    <w:rsid w:val="3E462EA0"/>
    <w:rsid w:val="3E546A69"/>
    <w:rsid w:val="3E5A3954"/>
    <w:rsid w:val="3E774506"/>
    <w:rsid w:val="3E8C141E"/>
    <w:rsid w:val="3E994EC3"/>
    <w:rsid w:val="3EB13114"/>
    <w:rsid w:val="3F105D1F"/>
    <w:rsid w:val="3F1130D1"/>
    <w:rsid w:val="3F160A16"/>
    <w:rsid w:val="3F1F5A1F"/>
    <w:rsid w:val="40662F3A"/>
    <w:rsid w:val="4069073F"/>
    <w:rsid w:val="407F58F4"/>
    <w:rsid w:val="40CA47E9"/>
    <w:rsid w:val="40CC1756"/>
    <w:rsid w:val="40FA4E7B"/>
    <w:rsid w:val="410D4CAE"/>
    <w:rsid w:val="411061F3"/>
    <w:rsid w:val="4149719B"/>
    <w:rsid w:val="4151103E"/>
    <w:rsid w:val="41605AAF"/>
    <w:rsid w:val="41D261BD"/>
    <w:rsid w:val="41D37CA5"/>
    <w:rsid w:val="41D568D9"/>
    <w:rsid w:val="41F117E6"/>
    <w:rsid w:val="420B2E0D"/>
    <w:rsid w:val="4220200C"/>
    <w:rsid w:val="424262B6"/>
    <w:rsid w:val="429B6EE2"/>
    <w:rsid w:val="42B17019"/>
    <w:rsid w:val="43165DC9"/>
    <w:rsid w:val="432664A5"/>
    <w:rsid w:val="4352109E"/>
    <w:rsid w:val="4354700B"/>
    <w:rsid w:val="4359242C"/>
    <w:rsid w:val="43851473"/>
    <w:rsid w:val="43866F99"/>
    <w:rsid w:val="439C0C1F"/>
    <w:rsid w:val="43C05F91"/>
    <w:rsid w:val="43C304FC"/>
    <w:rsid w:val="43D225A1"/>
    <w:rsid w:val="43E67A78"/>
    <w:rsid w:val="43E87833"/>
    <w:rsid w:val="43F63ADC"/>
    <w:rsid w:val="443D4D9B"/>
    <w:rsid w:val="444906F3"/>
    <w:rsid w:val="446049D8"/>
    <w:rsid w:val="448F704B"/>
    <w:rsid w:val="449D459A"/>
    <w:rsid w:val="44D53D34"/>
    <w:rsid w:val="44DF4BB3"/>
    <w:rsid w:val="44EC107E"/>
    <w:rsid w:val="45625783"/>
    <w:rsid w:val="457C5043"/>
    <w:rsid w:val="457F3E75"/>
    <w:rsid w:val="45D466E2"/>
    <w:rsid w:val="45E7276F"/>
    <w:rsid w:val="463B406B"/>
    <w:rsid w:val="46870A23"/>
    <w:rsid w:val="47262CD6"/>
    <w:rsid w:val="47464845"/>
    <w:rsid w:val="475A49C5"/>
    <w:rsid w:val="475E2070"/>
    <w:rsid w:val="47C86160"/>
    <w:rsid w:val="47EB4EF0"/>
    <w:rsid w:val="48233577"/>
    <w:rsid w:val="48327B3A"/>
    <w:rsid w:val="484D0E76"/>
    <w:rsid w:val="48937494"/>
    <w:rsid w:val="48B03463"/>
    <w:rsid w:val="48CD6EB2"/>
    <w:rsid w:val="48E82C92"/>
    <w:rsid w:val="49752BD5"/>
    <w:rsid w:val="4987709C"/>
    <w:rsid w:val="49A36E30"/>
    <w:rsid w:val="49AD69CA"/>
    <w:rsid w:val="49B254F5"/>
    <w:rsid w:val="49C66341"/>
    <w:rsid w:val="49E3340D"/>
    <w:rsid w:val="49F8034B"/>
    <w:rsid w:val="4A1A6501"/>
    <w:rsid w:val="4A3260A2"/>
    <w:rsid w:val="4A356839"/>
    <w:rsid w:val="4A3F79A2"/>
    <w:rsid w:val="4A531850"/>
    <w:rsid w:val="4A5F6809"/>
    <w:rsid w:val="4A62606A"/>
    <w:rsid w:val="4A683DFA"/>
    <w:rsid w:val="4A713688"/>
    <w:rsid w:val="4A7C3D6C"/>
    <w:rsid w:val="4A932ECE"/>
    <w:rsid w:val="4AB131AC"/>
    <w:rsid w:val="4AC02965"/>
    <w:rsid w:val="4AD7722E"/>
    <w:rsid w:val="4B190EA1"/>
    <w:rsid w:val="4B2F54AA"/>
    <w:rsid w:val="4BA97CC9"/>
    <w:rsid w:val="4BEA65BC"/>
    <w:rsid w:val="4BF303BF"/>
    <w:rsid w:val="4C690CAB"/>
    <w:rsid w:val="4C8A5D4C"/>
    <w:rsid w:val="4C98598E"/>
    <w:rsid w:val="4CC27294"/>
    <w:rsid w:val="4CDD7C2A"/>
    <w:rsid w:val="4CE26757"/>
    <w:rsid w:val="4D0B1159"/>
    <w:rsid w:val="4D234C1C"/>
    <w:rsid w:val="4D316958"/>
    <w:rsid w:val="4D354C0D"/>
    <w:rsid w:val="4D962C9F"/>
    <w:rsid w:val="4DFE736E"/>
    <w:rsid w:val="4E055E24"/>
    <w:rsid w:val="4E1E482A"/>
    <w:rsid w:val="4EA24A37"/>
    <w:rsid w:val="4F15491E"/>
    <w:rsid w:val="4F433E62"/>
    <w:rsid w:val="4F7B197C"/>
    <w:rsid w:val="4F935719"/>
    <w:rsid w:val="4F9A742C"/>
    <w:rsid w:val="4FA77E3A"/>
    <w:rsid w:val="4FA82D75"/>
    <w:rsid w:val="4FE2118B"/>
    <w:rsid w:val="4FE94B38"/>
    <w:rsid w:val="50060512"/>
    <w:rsid w:val="5010224B"/>
    <w:rsid w:val="502142D2"/>
    <w:rsid w:val="502A1285"/>
    <w:rsid w:val="502D2C76"/>
    <w:rsid w:val="508F149E"/>
    <w:rsid w:val="50A373DC"/>
    <w:rsid w:val="50C95F3E"/>
    <w:rsid w:val="50E4544C"/>
    <w:rsid w:val="510345FC"/>
    <w:rsid w:val="51185B96"/>
    <w:rsid w:val="51385D77"/>
    <w:rsid w:val="51542485"/>
    <w:rsid w:val="51850890"/>
    <w:rsid w:val="51903190"/>
    <w:rsid w:val="51A21442"/>
    <w:rsid w:val="51A372AD"/>
    <w:rsid w:val="51D07D5D"/>
    <w:rsid w:val="51D60E71"/>
    <w:rsid w:val="51E95D39"/>
    <w:rsid w:val="52094E68"/>
    <w:rsid w:val="52143C1E"/>
    <w:rsid w:val="52C4514C"/>
    <w:rsid w:val="52CB79FA"/>
    <w:rsid w:val="52CC7C5C"/>
    <w:rsid w:val="52DE6EBE"/>
    <w:rsid w:val="52E107FE"/>
    <w:rsid w:val="53156770"/>
    <w:rsid w:val="53472646"/>
    <w:rsid w:val="53A0594C"/>
    <w:rsid w:val="53BD3DAC"/>
    <w:rsid w:val="53C72F33"/>
    <w:rsid w:val="53E61ABA"/>
    <w:rsid w:val="540A4DD9"/>
    <w:rsid w:val="54462E2F"/>
    <w:rsid w:val="54684787"/>
    <w:rsid w:val="54F73911"/>
    <w:rsid w:val="550A1D23"/>
    <w:rsid w:val="551A1464"/>
    <w:rsid w:val="55397546"/>
    <w:rsid w:val="55410F72"/>
    <w:rsid w:val="55462543"/>
    <w:rsid w:val="55870F5C"/>
    <w:rsid w:val="55A559A5"/>
    <w:rsid w:val="55AF1344"/>
    <w:rsid w:val="560B4AB5"/>
    <w:rsid w:val="5632764D"/>
    <w:rsid w:val="564725B8"/>
    <w:rsid w:val="564E7084"/>
    <w:rsid w:val="56500D4E"/>
    <w:rsid w:val="56810698"/>
    <w:rsid w:val="569577C7"/>
    <w:rsid w:val="56BD4609"/>
    <w:rsid w:val="56D21B7B"/>
    <w:rsid w:val="56D95B38"/>
    <w:rsid w:val="57211BE8"/>
    <w:rsid w:val="57272B15"/>
    <w:rsid w:val="57392849"/>
    <w:rsid w:val="573E602B"/>
    <w:rsid w:val="577950CC"/>
    <w:rsid w:val="578C0FB5"/>
    <w:rsid w:val="57925AB5"/>
    <w:rsid w:val="57B61E86"/>
    <w:rsid w:val="58394ECF"/>
    <w:rsid w:val="58937D37"/>
    <w:rsid w:val="58B442C6"/>
    <w:rsid w:val="58D724E7"/>
    <w:rsid w:val="58D7729E"/>
    <w:rsid w:val="592B0524"/>
    <w:rsid w:val="592B0AFF"/>
    <w:rsid w:val="592F101C"/>
    <w:rsid w:val="59481C91"/>
    <w:rsid w:val="596A70F4"/>
    <w:rsid w:val="599A2990"/>
    <w:rsid w:val="59CF6BF0"/>
    <w:rsid w:val="59D52CBB"/>
    <w:rsid w:val="59D57B1B"/>
    <w:rsid w:val="59F732C6"/>
    <w:rsid w:val="59FB2037"/>
    <w:rsid w:val="5A1166C5"/>
    <w:rsid w:val="5A150D5F"/>
    <w:rsid w:val="5A5D3CB1"/>
    <w:rsid w:val="5A6520C2"/>
    <w:rsid w:val="5AA432EC"/>
    <w:rsid w:val="5AA50F8B"/>
    <w:rsid w:val="5AC9142C"/>
    <w:rsid w:val="5ADD51E9"/>
    <w:rsid w:val="5B331248"/>
    <w:rsid w:val="5B6E518B"/>
    <w:rsid w:val="5B9A056E"/>
    <w:rsid w:val="5B9E29D7"/>
    <w:rsid w:val="5BA005DD"/>
    <w:rsid w:val="5BA72993"/>
    <w:rsid w:val="5BCD34A9"/>
    <w:rsid w:val="5BD364E5"/>
    <w:rsid w:val="5BFB631F"/>
    <w:rsid w:val="5C1178F0"/>
    <w:rsid w:val="5C171BF3"/>
    <w:rsid w:val="5C9E6056"/>
    <w:rsid w:val="5CB46E3B"/>
    <w:rsid w:val="5CD94967"/>
    <w:rsid w:val="5CF95F4C"/>
    <w:rsid w:val="5D273EB7"/>
    <w:rsid w:val="5D602465"/>
    <w:rsid w:val="5D6E4AE7"/>
    <w:rsid w:val="5D9F4BCE"/>
    <w:rsid w:val="5E273386"/>
    <w:rsid w:val="5E483371"/>
    <w:rsid w:val="5E7B54F5"/>
    <w:rsid w:val="5E9F2AEF"/>
    <w:rsid w:val="5EC20109"/>
    <w:rsid w:val="5ECD3FEE"/>
    <w:rsid w:val="5ED62FD5"/>
    <w:rsid w:val="5F3D27AA"/>
    <w:rsid w:val="5F481CA4"/>
    <w:rsid w:val="5F5D7C07"/>
    <w:rsid w:val="5F6F0260"/>
    <w:rsid w:val="5F95561C"/>
    <w:rsid w:val="5FAD5B82"/>
    <w:rsid w:val="5FEE3AFA"/>
    <w:rsid w:val="5FFD6B2F"/>
    <w:rsid w:val="60594EC5"/>
    <w:rsid w:val="60712ED4"/>
    <w:rsid w:val="60780080"/>
    <w:rsid w:val="60BA61D6"/>
    <w:rsid w:val="60D32445"/>
    <w:rsid w:val="60DF594D"/>
    <w:rsid w:val="60E61D3A"/>
    <w:rsid w:val="60FB291D"/>
    <w:rsid w:val="612E6FF4"/>
    <w:rsid w:val="614E2836"/>
    <w:rsid w:val="61565DA5"/>
    <w:rsid w:val="618446C0"/>
    <w:rsid w:val="61850454"/>
    <w:rsid w:val="619018FF"/>
    <w:rsid w:val="619A2136"/>
    <w:rsid w:val="61C30F97"/>
    <w:rsid w:val="61EA10F9"/>
    <w:rsid w:val="62796669"/>
    <w:rsid w:val="62C11704"/>
    <w:rsid w:val="62FB4E56"/>
    <w:rsid w:val="63031A36"/>
    <w:rsid w:val="63041F5D"/>
    <w:rsid w:val="635F1A4F"/>
    <w:rsid w:val="63A73362"/>
    <w:rsid w:val="63CD67F3"/>
    <w:rsid w:val="63CE5BCA"/>
    <w:rsid w:val="63EB132E"/>
    <w:rsid w:val="63EB3254"/>
    <w:rsid w:val="63F253E1"/>
    <w:rsid w:val="640F4EB9"/>
    <w:rsid w:val="641B24FC"/>
    <w:rsid w:val="643C15FF"/>
    <w:rsid w:val="644609F5"/>
    <w:rsid w:val="644C3BBB"/>
    <w:rsid w:val="64940A13"/>
    <w:rsid w:val="64B61202"/>
    <w:rsid w:val="64C9520C"/>
    <w:rsid w:val="64D4595F"/>
    <w:rsid w:val="650F7950"/>
    <w:rsid w:val="6547740B"/>
    <w:rsid w:val="657C0C73"/>
    <w:rsid w:val="659375C8"/>
    <w:rsid w:val="65BD4CF2"/>
    <w:rsid w:val="65C63C2C"/>
    <w:rsid w:val="65CA1BBB"/>
    <w:rsid w:val="667160A2"/>
    <w:rsid w:val="66F6704A"/>
    <w:rsid w:val="671959B6"/>
    <w:rsid w:val="671B3D97"/>
    <w:rsid w:val="671D4B10"/>
    <w:rsid w:val="6744501E"/>
    <w:rsid w:val="674D21F1"/>
    <w:rsid w:val="6759214B"/>
    <w:rsid w:val="679627EA"/>
    <w:rsid w:val="67A32E68"/>
    <w:rsid w:val="67A755AC"/>
    <w:rsid w:val="67B81568"/>
    <w:rsid w:val="67F17377"/>
    <w:rsid w:val="67FF407C"/>
    <w:rsid w:val="6818122E"/>
    <w:rsid w:val="681E719A"/>
    <w:rsid w:val="68224C33"/>
    <w:rsid w:val="68225692"/>
    <w:rsid w:val="682C6086"/>
    <w:rsid w:val="683F59C1"/>
    <w:rsid w:val="68442DFB"/>
    <w:rsid w:val="68AC4D24"/>
    <w:rsid w:val="68DC276A"/>
    <w:rsid w:val="68FD1AE0"/>
    <w:rsid w:val="69050E67"/>
    <w:rsid w:val="690E5C21"/>
    <w:rsid w:val="6915439E"/>
    <w:rsid w:val="69163C64"/>
    <w:rsid w:val="69386CC0"/>
    <w:rsid w:val="694C0149"/>
    <w:rsid w:val="69641BB1"/>
    <w:rsid w:val="69687756"/>
    <w:rsid w:val="696E6382"/>
    <w:rsid w:val="697B244C"/>
    <w:rsid w:val="6986527A"/>
    <w:rsid w:val="69C27D04"/>
    <w:rsid w:val="69CC4766"/>
    <w:rsid w:val="69E4296C"/>
    <w:rsid w:val="69F30635"/>
    <w:rsid w:val="6A31115D"/>
    <w:rsid w:val="6A3A29F9"/>
    <w:rsid w:val="6A531ADF"/>
    <w:rsid w:val="6AC12349"/>
    <w:rsid w:val="6AE9790D"/>
    <w:rsid w:val="6AF5558B"/>
    <w:rsid w:val="6B024D1F"/>
    <w:rsid w:val="6B1A31EF"/>
    <w:rsid w:val="6B431C39"/>
    <w:rsid w:val="6B767770"/>
    <w:rsid w:val="6B772119"/>
    <w:rsid w:val="6BAD1A08"/>
    <w:rsid w:val="6BD4607D"/>
    <w:rsid w:val="6BDA52DC"/>
    <w:rsid w:val="6BE26B9F"/>
    <w:rsid w:val="6C011600"/>
    <w:rsid w:val="6C0A7EB8"/>
    <w:rsid w:val="6C2B67B8"/>
    <w:rsid w:val="6C591C9F"/>
    <w:rsid w:val="6C5A2BED"/>
    <w:rsid w:val="6C772456"/>
    <w:rsid w:val="6CBE7A84"/>
    <w:rsid w:val="6CC954BD"/>
    <w:rsid w:val="6D2E4FC3"/>
    <w:rsid w:val="6D313994"/>
    <w:rsid w:val="6D4C59E2"/>
    <w:rsid w:val="6D8C5298"/>
    <w:rsid w:val="6D8E3127"/>
    <w:rsid w:val="6DB002F1"/>
    <w:rsid w:val="6DC24E74"/>
    <w:rsid w:val="6DC81581"/>
    <w:rsid w:val="6DD32C57"/>
    <w:rsid w:val="6DEF7365"/>
    <w:rsid w:val="6DFB3F5C"/>
    <w:rsid w:val="6E364F94"/>
    <w:rsid w:val="6E507269"/>
    <w:rsid w:val="6E514831"/>
    <w:rsid w:val="6EED6562"/>
    <w:rsid w:val="6F20011E"/>
    <w:rsid w:val="6F282B2F"/>
    <w:rsid w:val="6F2B0871"/>
    <w:rsid w:val="6F44629B"/>
    <w:rsid w:val="6F8566E4"/>
    <w:rsid w:val="6F9F5640"/>
    <w:rsid w:val="6FA353F8"/>
    <w:rsid w:val="6FAF14A2"/>
    <w:rsid w:val="6FB16FDC"/>
    <w:rsid w:val="6FC423B7"/>
    <w:rsid w:val="6FC4769E"/>
    <w:rsid w:val="6FEA201E"/>
    <w:rsid w:val="70425E72"/>
    <w:rsid w:val="70441BEA"/>
    <w:rsid w:val="706E1044"/>
    <w:rsid w:val="70E7549B"/>
    <w:rsid w:val="710810BB"/>
    <w:rsid w:val="71267175"/>
    <w:rsid w:val="7139231A"/>
    <w:rsid w:val="713E488C"/>
    <w:rsid w:val="719F04F7"/>
    <w:rsid w:val="71A62C38"/>
    <w:rsid w:val="71B71FA3"/>
    <w:rsid w:val="71E30AD8"/>
    <w:rsid w:val="72200254"/>
    <w:rsid w:val="72255D29"/>
    <w:rsid w:val="723864E8"/>
    <w:rsid w:val="72504B1E"/>
    <w:rsid w:val="72756FAC"/>
    <w:rsid w:val="72D4065E"/>
    <w:rsid w:val="72FF004B"/>
    <w:rsid w:val="73661CB9"/>
    <w:rsid w:val="736764A6"/>
    <w:rsid w:val="73AB0CF5"/>
    <w:rsid w:val="73B21620"/>
    <w:rsid w:val="73B948C4"/>
    <w:rsid w:val="73F73418"/>
    <w:rsid w:val="740C6EC3"/>
    <w:rsid w:val="74251D33"/>
    <w:rsid w:val="742E2D8F"/>
    <w:rsid w:val="743326A2"/>
    <w:rsid w:val="745373FF"/>
    <w:rsid w:val="74581B12"/>
    <w:rsid w:val="74B20F5A"/>
    <w:rsid w:val="74BD1F6B"/>
    <w:rsid w:val="74D472A7"/>
    <w:rsid w:val="74DB1C50"/>
    <w:rsid w:val="7524023C"/>
    <w:rsid w:val="755E03FA"/>
    <w:rsid w:val="75A82C1C"/>
    <w:rsid w:val="75CB4B5C"/>
    <w:rsid w:val="75D4756D"/>
    <w:rsid w:val="75E13E82"/>
    <w:rsid w:val="76312C11"/>
    <w:rsid w:val="76441E7E"/>
    <w:rsid w:val="765B2B45"/>
    <w:rsid w:val="767B3EE5"/>
    <w:rsid w:val="767E6970"/>
    <w:rsid w:val="768E1B28"/>
    <w:rsid w:val="76C70E7F"/>
    <w:rsid w:val="76F8372F"/>
    <w:rsid w:val="772F3560"/>
    <w:rsid w:val="776F4511"/>
    <w:rsid w:val="778A5732"/>
    <w:rsid w:val="782F4F2E"/>
    <w:rsid w:val="78715547"/>
    <w:rsid w:val="78782475"/>
    <w:rsid w:val="78986AC5"/>
    <w:rsid w:val="78C01DF6"/>
    <w:rsid w:val="790F4D60"/>
    <w:rsid w:val="79216D8B"/>
    <w:rsid w:val="79420C91"/>
    <w:rsid w:val="79616FC2"/>
    <w:rsid w:val="79682D81"/>
    <w:rsid w:val="79F23513"/>
    <w:rsid w:val="7A293F1C"/>
    <w:rsid w:val="7A485A56"/>
    <w:rsid w:val="7A4C1EE2"/>
    <w:rsid w:val="7AA65250"/>
    <w:rsid w:val="7AEF195E"/>
    <w:rsid w:val="7AF1471D"/>
    <w:rsid w:val="7AF83336"/>
    <w:rsid w:val="7B2D7E7A"/>
    <w:rsid w:val="7B8C389A"/>
    <w:rsid w:val="7BB54EE4"/>
    <w:rsid w:val="7BBB41D0"/>
    <w:rsid w:val="7BED703F"/>
    <w:rsid w:val="7C00720D"/>
    <w:rsid w:val="7C0A7B85"/>
    <w:rsid w:val="7C0B4486"/>
    <w:rsid w:val="7C1C7187"/>
    <w:rsid w:val="7C5160EE"/>
    <w:rsid w:val="7C5E11C4"/>
    <w:rsid w:val="7C70219B"/>
    <w:rsid w:val="7C8B2F9C"/>
    <w:rsid w:val="7CA9048E"/>
    <w:rsid w:val="7CE85FF3"/>
    <w:rsid w:val="7CEC5D71"/>
    <w:rsid w:val="7CF57E8B"/>
    <w:rsid w:val="7D2E7117"/>
    <w:rsid w:val="7D4B3385"/>
    <w:rsid w:val="7D4C1700"/>
    <w:rsid w:val="7D5E5262"/>
    <w:rsid w:val="7D737AB6"/>
    <w:rsid w:val="7D777D15"/>
    <w:rsid w:val="7D7A0E04"/>
    <w:rsid w:val="7D8C65CF"/>
    <w:rsid w:val="7DED1B13"/>
    <w:rsid w:val="7E186464"/>
    <w:rsid w:val="7E395515"/>
    <w:rsid w:val="7E49118D"/>
    <w:rsid w:val="7E5576B9"/>
    <w:rsid w:val="7E5B702C"/>
    <w:rsid w:val="7E786F03"/>
    <w:rsid w:val="7E955AEE"/>
    <w:rsid w:val="7EB13CA8"/>
    <w:rsid w:val="7EDA63D7"/>
    <w:rsid w:val="7F841CFF"/>
    <w:rsid w:val="7F843602"/>
    <w:rsid w:val="7FD5285F"/>
    <w:rsid w:val="7FE77F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83"/>
    <w:qFormat/>
    <w:uiPriority w:val="0"/>
    <w:pPr>
      <w:keepNext/>
      <w:tabs>
        <w:tab w:val="left" w:pos="0"/>
      </w:tabs>
      <w:spacing w:before="240" w:after="60"/>
      <w:outlineLvl w:val="0"/>
    </w:pPr>
    <w:rPr>
      <w:rFonts w:ascii="Arial" w:hAnsi="Arial"/>
      <w:kern w:val="28"/>
      <w:sz w:val="28"/>
    </w:rPr>
  </w:style>
  <w:style w:type="paragraph" w:styleId="3">
    <w:name w:val="heading 2"/>
    <w:basedOn w:val="2"/>
    <w:next w:val="1"/>
    <w:link w:val="95"/>
    <w:qFormat/>
    <w:uiPriority w:val="0"/>
    <w:pPr>
      <w:spacing w:line="480" w:lineRule="auto"/>
      <w:outlineLvl w:val="1"/>
    </w:pPr>
  </w:style>
  <w:style w:type="paragraph" w:styleId="4">
    <w:name w:val="heading 3"/>
    <w:basedOn w:val="3"/>
    <w:next w:val="1"/>
    <w:qFormat/>
    <w:uiPriority w:val="0"/>
    <w:pPr>
      <w:outlineLvl w:val="2"/>
    </w:pPr>
  </w:style>
  <w:style w:type="paragraph" w:styleId="5">
    <w:name w:val="heading 4"/>
    <w:basedOn w:val="1"/>
    <w:next w:val="1"/>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110"/>
    <w:qFormat/>
    <w:uiPriority w:val="0"/>
    <w:pPr>
      <w:spacing w:before="120" w:after="120"/>
    </w:pPr>
    <w:rPr>
      <w:b/>
    </w:rPr>
  </w:style>
  <w:style w:type="paragraph" w:styleId="13">
    <w:name w:val="List Bullet"/>
    <w:basedOn w:val="14"/>
    <w:qFormat/>
    <w:uiPriority w:val="0"/>
    <w:pPr>
      <w:numPr>
        <w:ilvl w:val="0"/>
        <w:numId w:val="1"/>
      </w:numPr>
    </w:pPr>
  </w:style>
  <w:style w:type="paragraph" w:styleId="14">
    <w:name w:val="List"/>
    <w:basedOn w:val="1"/>
    <w:qFormat/>
    <w:uiPriority w:val="0"/>
    <w:pPr>
      <w:spacing w:after="180"/>
      <w:ind w:left="568" w:hanging="284"/>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89"/>
    <w:qFormat/>
    <w:uiPriority w:val="99"/>
    <w:rPr>
      <w:sz w:val="20"/>
    </w:rPr>
  </w:style>
  <w:style w:type="paragraph" w:styleId="17">
    <w:name w:val="Body Text 3"/>
    <w:basedOn w:val="1"/>
    <w:qFormat/>
    <w:uiPriority w:val="0"/>
    <w:pPr>
      <w:jc w:val="both"/>
    </w:pPr>
  </w:style>
  <w:style w:type="paragraph" w:styleId="18">
    <w:name w:val="Body Text"/>
    <w:basedOn w:val="1"/>
    <w:qFormat/>
    <w:uiPriority w:val="0"/>
    <w:pPr>
      <w:spacing w:after="120"/>
    </w:pPr>
  </w:style>
  <w:style w:type="paragraph" w:styleId="19">
    <w:name w:val="Body Text Indent"/>
    <w:basedOn w:val="1"/>
    <w:qFormat/>
    <w:uiPriority w:val="0"/>
    <w:pPr>
      <w:ind w:left="360"/>
    </w:pPr>
  </w:style>
  <w:style w:type="paragraph" w:styleId="20">
    <w:name w:val="List 2"/>
    <w:basedOn w:val="14"/>
    <w:qFormat/>
    <w:uiPriority w:val="0"/>
    <w:pPr>
      <w:ind w:left="851"/>
    </w:pPr>
  </w:style>
  <w:style w:type="paragraph" w:styleId="21">
    <w:name w:val="List Bullet 2"/>
    <w:basedOn w:val="13"/>
    <w:qFormat/>
    <w:uiPriority w:val="0"/>
    <w:pPr>
      <w:tabs>
        <w:tab w:val="clear" w:pos="360"/>
      </w:tabs>
      <w:spacing w:after="60"/>
      <w:ind w:left="1080" w:hanging="357"/>
    </w:pPr>
    <w:rPr>
      <w:rFonts w:ascii="Arial" w:hAnsi="Arial"/>
    </w:rPr>
  </w:style>
  <w:style w:type="paragraph" w:styleId="22">
    <w:name w:val="Plain Text"/>
    <w:basedOn w:val="1"/>
    <w:link w:val="85"/>
    <w:qFormat/>
    <w:uiPriority w:val="99"/>
    <w:rPr>
      <w:rFonts w:ascii="Courier New" w:hAnsi="Courier New"/>
    </w:rPr>
  </w:style>
  <w:style w:type="paragraph" w:styleId="23">
    <w:name w:val="Body Text Indent 2"/>
    <w:basedOn w:val="1"/>
    <w:qFormat/>
    <w:uiPriority w:val="0"/>
    <w:pPr>
      <w:widowControl w:val="0"/>
      <w:autoSpaceDE w:val="0"/>
      <w:autoSpaceDN w:val="0"/>
      <w:adjustRightInd w:val="0"/>
      <w:ind w:left="1656"/>
      <w:jc w:val="both"/>
      <w:textAlignment w:val="baseline"/>
    </w:pPr>
    <w:rPr>
      <w:kern w:val="2"/>
    </w:rPr>
  </w:style>
  <w:style w:type="paragraph" w:styleId="24">
    <w:name w:val="Balloon Text"/>
    <w:basedOn w:val="1"/>
    <w:qFormat/>
    <w:uiPriority w:val="0"/>
    <w:rPr>
      <w:rFonts w:ascii="Arial" w:hAnsi="Arial"/>
      <w:sz w:val="18"/>
    </w:rPr>
  </w:style>
  <w:style w:type="paragraph" w:styleId="25">
    <w:name w:val="footer"/>
    <w:basedOn w:val="1"/>
    <w:qFormat/>
    <w:uiPriority w:val="0"/>
    <w:pPr>
      <w:tabs>
        <w:tab w:val="center" w:pos="4536"/>
        <w:tab w:val="right" w:pos="9072"/>
      </w:tabs>
      <w:spacing w:before="120"/>
    </w:pPr>
    <w:rPr>
      <w:lang w:val="de-DE"/>
    </w:rPr>
  </w:style>
  <w:style w:type="paragraph" w:styleId="26">
    <w:name w:val="header"/>
    <w:basedOn w:val="1"/>
    <w:link w:val="75"/>
    <w:qFormat/>
    <w:uiPriority w:val="0"/>
    <w:pPr>
      <w:widowControl w:val="0"/>
    </w:pPr>
    <w:rPr>
      <w:rFonts w:ascii="Arial" w:hAnsi="Arial" w:eastAsia="MS Mincho"/>
      <w:b/>
      <w:sz w:val="18"/>
    </w:rPr>
  </w:style>
  <w:style w:type="paragraph" w:styleId="27">
    <w:name w:val="toc 1"/>
    <w:basedOn w:val="1"/>
    <w:next w:val="1"/>
    <w:semiHidden/>
    <w:qFormat/>
    <w:uiPriority w:val="0"/>
  </w:style>
  <w:style w:type="paragraph" w:styleId="28">
    <w:name w:val="footnote text"/>
    <w:basedOn w:val="1"/>
    <w:semiHidden/>
    <w:qFormat/>
    <w:uiPriority w:val="0"/>
    <w:pPr>
      <w:keepLines/>
      <w:ind w:left="454" w:hanging="454"/>
    </w:pPr>
    <w:rPr>
      <w:sz w:val="16"/>
    </w:rPr>
  </w:style>
  <w:style w:type="paragraph" w:styleId="29">
    <w:name w:val="table of figures"/>
    <w:basedOn w:val="27"/>
    <w:next w:val="1"/>
    <w:semiHidden/>
    <w:qFormat/>
    <w:uiPriority w:val="0"/>
    <w:pPr>
      <w:tabs>
        <w:tab w:val="right" w:leader="dot" w:pos="9360"/>
      </w:tabs>
      <w:spacing w:before="120" w:after="120"/>
    </w:pPr>
    <w:rPr>
      <w:caps/>
    </w:rPr>
  </w:style>
  <w:style w:type="paragraph" w:styleId="30">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1">
    <w:name w:val="Title"/>
    <w:basedOn w:val="1"/>
    <w:qFormat/>
    <w:uiPriority w:val="0"/>
    <w:pPr>
      <w:jc w:val="center"/>
    </w:pPr>
    <w:rPr>
      <w:rFonts w:ascii="Arial" w:hAnsi="Arial"/>
      <w:b/>
    </w:rPr>
  </w:style>
  <w:style w:type="paragraph" w:styleId="32">
    <w:name w:val="annotation subject"/>
    <w:basedOn w:val="16"/>
    <w:next w:val="16"/>
    <w:qFormat/>
    <w:uiPriority w:val="0"/>
    <w:rPr>
      <w:b/>
      <w:sz w:val="24"/>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0"/>
    <w:rPr>
      <w:rFonts w:eastAsia="Times New Roman"/>
      <w:kern w:val="2"/>
      <w:sz w:val="21"/>
      <w:lang w:val="en-GB"/>
    </w:rPr>
  </w:style>
  <w:style w:type="character" w:styleId="38">
    <w:name w:val="FollowedHyperlink"/>
    <w:qFormat/>
    <w:uiPriority w:val="0"/>
    <w:rPr>
      <w:rFonts w:eastAsia="Times New Roman"/>
      <w:color w:val="800080"/>
      <w:kern w:val="2"/>
      <w:sz w:val="21"/>
      <w:u w:val="single"/>
      <w:lang w:val="en-GB"/>
    </w:rPr>
  </w:style>
  <w:style w:type="character" w:styleId="39">
    <w:name w:val="Emphasis"/>
    <w:qFormat/>
    <w:uiPriority w:val="0"/>
    <w:rPr>
      <w:i/>
      <w:iCs/>
    </w:rPr>
  </w:style>
  <w:style w:type="character" w:styleId="40">
    <w:name w:val="Hyperlink"/>
    <w:qFormat/>
    <w:uiPriority w:val="0"/>
    <w:rPr>
      <w:rFonts w:eastAsia="Times New Roman"/>
      <w:color w:val="0000FF"/>
      <w:kern w:val="2"/>
      <w:sz w:val="21"/>
      <w:u w:val="single"/>
      <w:lang w:val="en-GB"/>
    </w:rPr>
  </w:style>
  <w:style w:type="character" w:styleId="41">
    <w:name w:val="annotation reference"/>
    <w:qFormat/>
    <w:uiPriority w:val="0"/>
    <w:rPr>
      <w:rFonts w:eastAsia="Times New Roman"/>
      <w:kern w:val="2"/>
      <w:sz w:val="16"/>
      <w:lang w:val="en-GB"/>
    </w:rPr>
  </w:style>
  <w:style w:type="character" w:styleId="42">
    <w:name w:val="footnote reference"/>
    <w:semiHidden/>
    <w:qFormat/>
    <w:uiPriority w:val="0"/>
    <w:rPr>
      <w:rFonts w:eastAsia="Times New Roman"/>
      <w:b/>
      <w:kern w:val="2"/>
      <w:position w:val="6"/>
      <w:sz w:val="16"/>
      <w:lang w:val="en-GB"/>
    </w:rPr>
  </w:style>
  <w:style w:type="paragraph" w:customStyle="1" w:styleId="43">
    <w:name w:val="Heading 1 unnumbered"/>
    <w:basedOn w:val="2"/>
    <w:next w:val="18"/>
    <w:qFormat/>
    <w:uiPriority w:val="0"/>
    <w:pPr>
      <w:tabs>
        <w:tab w:val="left" w:pos="360"/>
      </w:tabs>
      <w:spacing w:before="360" w:after="240"/>
      <w:ind w:left="360" w:hanging="360"/>
      <w:outlineLvl w:val="9"/>
    </w:pPr>
    <w:rPr>
      <w:rFonts w:ascii="Times New Roman" w:hAnsi="Times New Roman"/>
      <w:sz w:val="32"/>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45">
    <w:name w:val="ZGSM"/>
    <w:qFormat/>
    <w:uiPriority w:val="0"/>
  </w:style>
  <w:style w:type="paragraph" w:customStyle="1" w:styleId="46">
    <w:name w:val="TF"/>
    <w:basedOn w:val="47"/>
    <w:qFormat/>
    <w:uiPriority w:val="0"/>
    <w:pPr>
      <w:keepNext w:val="0"/>
      <w:spacing w:before="0" w:after="240"/>
    </w:pPr>
  </w:style>
  <w:style w:type="paragraph" w:customStyle="1" w:styleId="47">
    <w:name w:val="TH"/>
    <w:basedOn w:val="1"/>
    <w:link w:val="94"/>
    <w:qFormat/>
    <w:uiPriority w:val="0"/>
    <w:pPr>
      <w:keepNext/>
      <w:keepLines/>
      <w:spacing w:before="60" w:after="180"/>
      <w:jc w:val="center"/>
    </w:pPr>
    <w:rPr>
      <w:rFonts w:ascii="Arial" w:hAnsi="Arial"/>
      <w:b/>
    </w:rPr>
  </w:style>
  <w:style w:type="paragraph" w:customStyle="1" w:styleId="48">
    <w:name w:val="B1"/>
    <w:basedOn w:val="14"/>
    <w:link w:val="91"/>
    <w:qFormat/>
    <w:uiPriority w:val="0"/>
  </w:style>
  <w:style w:type="paragraph" w:customStyle="1" w:styleId="49">
    <w:name w:val="EQ"/>
    <w:basedOn w:val="1"/>
    <w:next w:val="1"/>
    <w:qFormat/>
    <w:uiPriority w:val="0"/>
    <w:pPr>
      <w:keepLines/>
      <w:tabs>
        <w:tab w:val="center" w:pos="4536"/>
        <w:tab w:val="right" w:pos="9072"/>
      </w:tabs>
      <w:spacing w:after="180"/>
    </w:pPr>
  </w:style>
  <w:style w:type="paragraph" w:customStyle="1" w:styleId="50">
    <w:name w:val="lˆptext"/>
    <w:basedOn w:val="1"/>
    <w:qFormat/>
    <w:uiPriority w:val="0"/>
    <w:pPr>
      <w:spacing w:before="100" w:after="100"/>
      <w:ind w:left="860"/>
    </w:pPr>
    <w:rPr>
      <w:rFonts w:ascii="Times" w:hAnsi="Times"/>
    </w:rPr>
  </w:style>
  <w:style w:type="paragraph" w:customStyle="1" w:styleId="51">
    <w:name w:val="佐藤２"/>
    <w:basedOn w:val="1"/>
    <w:qFormat/>
    <w:uiPriority w:val="0"/>
    <w:pPr>
      <w:numPr>
        <w:ilvl w:val="0"/>
        <w:numId w:val="2"/>
      </w:numPr>
      <w:spacing w:after="180"/>
    </w:pPr>
  </w:style>
  <w:style w:type="paragraph" w:customStyle="1" w:styleId="52">
    <w:name w:val="List Bullet Last"/>
    <w:basedOn w:val="13"/>
    <w:next w:val="18"/>
    <w:qFormat/>
    <w:uiPriority w:val="0"/>
    <w:pPr>
      <w:tabs>
        <w:tab w:val="clear" w:pos="360"/>
      </w:tabs>
      <w:spacing w:after="240"/>
      <w:ind w:left="714" w:hanging="357"/>
    </w:pPr>
    <w:rPr>
      <w:rFonts w:ascii="Arial" w:hAnsi="Arial"/>
    </w:rPr>
  </w:style>
  <w:style w:type="paragraph" w:customStyle="1" w:styleId="53">
    <w:name w:val="Title Text"/>
    <w:basedOn w:val="1"/>
    <w:next w:val="1"/>
    <w:qFormat/>
    <w:uiPriority w:val="0"/>
    <w:pPr>
      <w:spacing w:after="220"/>
    </w:pPr>
    <w:rPr>
      <w:rFonts w:ascii="Arial" w:hAnsi="Arial"/>
      <w:b/>
      <w:sz w:val="22"/>
    </w:rPr>
  </w:style>
  <w:style w:type="paragraph" w:customStyle="1" w:styleId="54">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55">
    <w:name w:val="text"/>
    <w:basedOn w:val="1"/>
    <w:link w:val="86"/>
    <w:qFormat/>
    <w:uiPriority w:val="0"/>
    <w:pPr>
      <w:spacing w:after="240"/>
      <w:jc w:val="both"/>
    </w:pPr>
    <w:rPr>
      <w:lang w:val="en-US"/>
    </w:rPr>
  </w:style>
  <w:style w:type="paragraph" w:customStyle="1" w:styleId="56">
    <w:name w:val="text intend 1"/>
    <w:basedOn w:val="55"/>
    <w:qFormat/>
    <w:uiPriority w:val="0"/>
    <w:pPr>
      <w:numPr>
        <w:ilvl w:val="0"/>
        <w:numId w:val="3"/>
      </w:numPr>
      <w:spacing w:after="120"/>
    </w:pPr>
  </w:style>
  <w:style w:type="paragraph" w:customStyle="1" w:styleId="57">
    <w:name w:val="shortcode"/>
    <w:basedOn w:val="18"/>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58">
    <w:name w:val="B2"/>
    <w:basedOn w:val="20"/>
    <w:link w:val="101"/>
    <w:qFormat/>
    <w:uiPriority w:val="0"/>
    <w:pPr>
      <w:overflowPunct w:val="0"/>
      <w:autoSpaceDE w:val="0"/>
      <w:autoSpaceDN w:val="0"/>
      <w:adjustRightInd w:val="0"/>
      <w:textAlignment w:val="baseline"/>
    </w:pPr>
  </w:style>
  <w:style w:type="paragraph" w:customStyle="1" w:styleId="59">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0">
    <w:name w:val="Rec_CCITT_#"/>
    <w:basedOn w:val="1"/>
    <w:qFormat/>
    <w:uiPriority w:val="0"/>
    <w:pPr>
      <w:keepNext/>
      <w:keepLines/>
      <w:spacing w:after="180"/>
    </w:pPr>
    <w:rPr>
      <w:b/>
    </w:rPr>
  </w:style>
  <w:style w:type="paragraph" w:customStyle="1" w:styleId="61">
    <w:name w:val="Reference"/>
    <w:basedOn w:val="1"/>
    <w:link w:val="97"/>
    <w:qFormat/>
    <w:uiPriority w:val="0"/>
    <w:pPr>
      <w:widowControl w:val="0"/>
      <w:ind w:left="283" w:hanging="283"/>
      <w:jc w:val="both"/>
    </w:pPr>
    <w:rPr>
      <w:rFonts w:ascii="Arial" w:hAnsi="Arial" w:eastAsia="MS Mincho"/>
      <w:kern w:val="2"/>
      <w:sz w:val="21"/>
      <w:lang w:val="de-DE"/>
    </w:rPr>
  </w:style>
  <w:style w:type="paragraph" w:customStyle="1" w:styleId="6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63">
    <w:name w:val="図表番号 (文字)"/>
    <w:qFormat/>
    <w:uiPriority w:val="0"/>
    <w:rPr>
      <w:rFonts w:eastAsia="MS Gothic"/>
      <w:b/>
      <w:kern w:val="2"/>
      <w:sz w:val="24"/>
      <w:lang w:val="en-GB"/>
    </w:rPr>
  </w:style>
  <w:style w:type="paragraph" w:customStyle="1" w:styleId="6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6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6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TAH"/>
    <w:basedOn w:val="68"/>
    <w:link w:val="72"/>
    <w:qFormat/>
    <w:uiPriority w:val="0"/>
    <w:rPr>
      <w:b/>
    </w:rPr>
  </w:style>
  <w:style w:type="paragraph" w:customStyle="1" w:styleId="68">
    <w:name w:val="TAC"/>
    <w:basedOn w:val="1"/>
    <w:link w:val="7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6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1">
    <w:name w:val="TAC Char"/>
    <w:link w:val="68"/>
    <w:qFormat/>
    <w:uiPriority w:val="0"/>
    <w:rPr>
      <w:rFonts w:ascii="Arial" w:hAnsi="Arial" w:eastAsia="Times New Roman"/>
      <w:sz w:val="18"/>
      <w:lang w:val="en-GB"/>
    </w:rPr>
  </w:style>
  <w:style w:type="character" w:customStyle="1" w:styleId="72">
    <w:name w:val="TAH Car"/>
    <w:link w:val="67"/>
    <w:qFormat/>
    <w:uiPriority w:val="0"/>
    <w:rPr>
      <w:rFonts w:ascii="Arial" w:hAnsi="Arial" w:eastAsia="Times New Roman"/>
      <w:b/>
      <w:sz w:val="18"/>
      <w:lang w:val="en-GB"/>
    </w:rPr>
  </w:style>
  <w:style w:type="paragraph" w:customStyle="1" w:styleId="73">
    <w:name w:val="表 (赤)  81"/>
    <w:basedOn w:val="1"/>
    <w:qFormat/>
    <w:uiPriority w:val="34"/>
    <w:pPr>
      <w:ind w:left="840" w:leftChars="400"/>
    </w:pPr>
    <w:rPr>
      <w:rFonts w:ascii="MS PGothic" w:hAnsi="MS PGothic" w:eastAsia="MS PGothic" w:cs="MS PGothic"/>
      <w:szCs w:val="24"/>
      <w:lang w:val="en-US"/>
    </w:rPr>
  </w:style>
  <w:style w:type="paragraph" w:customStyle="1" w:styleId="74">
    <w:name w:val="表 (赤)  71"/>
    <w:hidden/>
    <w:semiHidden/>
    <w:qFormat/>
    <w:uiPriority w:val="99"/>
    <w:rPr>
      <w:rFonts w:ascii="Times New Roman" w:hAnsi="Times New Roman" w:eastAsia="MS Gothic" w:cs="Times New Roman"/>
      <w:sz w:val="24"/>
      <w:lang w:val="en-GB" w:eastAsia="ja-JP" w:bidi="ar-SA"/>
    </w:rPr>
  </w:style>
  <w:style w:type="character" w:customStyle="1" w:styleId="75">
    <w:name w:val="页眉 字符"/>
    <w:link w:val="26"/>
    <w:qFormat/>
    <w:locked/>
    <w:uiPriority w:val="0"/>
    <w:rPr>
      <w:rFonts w:ascii="Arial" w:hAnsi="Arial"/>
      <w:b/>
      <w:sz w:val="18"/>
      <w:lang w:val="en-GB"/>
    </w:rPr>
  </w:style>
  <w:style w:type="paragraph" w:customStyle="1" w:styleId="76">
    <w:name w:val="修订1"/>
    <w:hidden/>
    <w:semiHidden/>
    <w:qFormat/>
    <w:uiPriority w:val="99"/>
    <w:rPr>
      <w:rFonts w:ascii="Times New Roman" w:hAnsi="Times New Roman" w:eastAsia="MS Gothic" w:cs="Times New Roman"/>
      <w:sz w:val="24"/>
      <w:lang w:val="en-GB" w:eastAsia="ja-JP" w:bidi="ar-SA"/>
    </w:rPr>
  </w:style>
  <w:style w:type="paragraph" w:customStyle="1" w:styleId="77">
    <w:name w:val="Doc-title"/>
    <w:basedOn w:val="1"/>
    <w:next w:val="78"/>
    <w:link w:val="80"/>
    <w:qFormat/>
    <w:uiPriority w:val="0"/>
    <w:pPr>
      <w:ind w:left="1260" w:hanging="1260"/>
    </w:pPr>
    <w:rPr>
      <w:rFonts w:ascii="Arial" w:hAnsi="Arial" w:eastAsia="MS Mincho"/>
      <w:sz w:val="20"/>
      <w:szCs w:val="24"/>
      <w:lang w:eastAsia="en-GB"/>
    </w:rPr>
  </w:style>
  <w:style w:type="paragraph" w:customStyle="1" w:styleId="78">
    <w:name w:val="Doc-text2"/>
    <w:basedOn w:val="1"/>
    <w:link w:val="79"/>
    <w:qFormat/>
    <w:uiPriority w:val="0"/>
    <w:pPr>
      <w:tabs>
        <w:tab w:val="left" w:pos="1622"/>
      </w:tabs>
      <w:ind w:left="1622" w:hanging="363"/>
    </w:pPr>
    <w:rPr>
      <w:rFonts w:ascii="Arial" w:hAnsi="Arial" w:eastAsia="MS Mincho"/>
      <w:sz w:val="20"/>
      <w:szCs w:val="24"/>
      <w:lang w:eastAsia="en-GB"/>
    </w:rPr>
  </w:style>
  <w:style w:type="character" w:customStyle="1" w:styleId="79">
    <w:name w:val="Doc-text2 Char"/>
    <w:link w:val="78"/>
    <w:qFormat/>
    <w:uiPriority w:val="0"/>
    <w:rPr>
      <w:rFonts w:ascii="Arial" w:hAnsi="Arial"/>
      <w:szCs w:val="24"/>
      <w:lang w:val="en-GB" w:eastAsia="en-GB"/>
    </w:rPr>
  </w:style>
  <w:style w:type="character" w:customStyle="1" w:styleId="80">
    <w:name w:val="Doc-title Char"/>
    <w:link w:val="77"/>
    <w:qFormat/>
    <w:uiPriority w:val="0"/>
    <w:rPr>
      <w:rFonts w:ascii="Arial" w:hAnsi="Arial"/>
      <w:szCs w:val="24"/>
      <w:lang w:val="en-GB" w:eastAsia="en-GB"/>
    </w:rPr>
  </w:style>
  <w:style w:type="paragraph" w:styleId="81">
    <w:name w:val="List Paragraph"/>
    <w:basedOn w:val="1"/>
    <w:link w:val="82"/>
    <w:qFormat/>
    <w:uiPriority w:val="34"/>
    <w:pPr>
      <w:ind w:left="840" w:leftChars="400"/>
    </w:pPr>
  </w:style>
  <w:style w:type="character" w:customStyle="1" w:styleId="82">
    <w:name w:val="列表段落 字符"/>
    <w:link w:val="81"/>
    <w:qFormat/>
    <w:uiPriority w:val="34"/>
    <w:rPr>
      <w:rFonts w:ascii="Times New Roman" w:hAnsi="Times New Roman" w:eastAsia="MS Gothic"/>
      <w:sz w:val="24"/>
      <w:lang w:val="en-GB"/>
    </w:rPr>
  </w:style>
  <w:style w:type="character" w:customStyle="1" w:styleId="83">
    <w:name w:val="标题 1 字符"/>
    <w:basedOn w:val="35"/>
    <w:link w:val="2"/>
    <w:qFormat/>
    <w:uiPriority w:val="0"/>
    <w:rPr>
      <w:rFonts w:ascii="Arial" w:hAnsi="Arial" w:eastAsia="MS Gothic"/>
      <w:kern w:val="28"/>
      <w:sz w:val="28"/>
      <w:lang w:val="en-GB"/>
    </w:rPr>
  </w:style>
  <w:style w:type="character" w:styleId="84">
    <w:name w:val="Placeholder Text"/>
    <w:basedOn w:val="35"/>
    <w:semiHidden/>
    <w:qFormat/>
    <w:uiPriority w:val="99"/>
    <w:rPr>
      <w:color w:val="808080"/>
    </w:rPr>
  </w:style>
  <w:style w:type="character" w:customStyle="1" w:styleId="85">
    <w:name w:val="纯文本 字符"/>
    <w:link w:val="22"/>
    <w:qFormat/>
    <w:uiPriority w:val="99"/>
    <w:rPr>
      <w:rFonts w:ascii="Courier New" w:hAnsi="Courier New" w:eastAsia="MS Gothic"/>
      <w:sz w:val="24"/>
      <w:lang w:val="en-GB"/>
    </w:rPr>
  </w:style>
  <w:style w:type="character" w:customStyle="1" w:styleId="86">
    <w:name w:val="text Char"/>
    <w:basedOn w:val="35"/>
    <w:link w:val="55"/>
    <w:qFormat/>
    <w:uiPriority w:val="0"/>
    <w:rPr>
      <w:rFonts w:ascii="Times New Roman" w:hAnsi="Times New Roman" w:eastAsia="MS Gothic"/>
      <w:sz w:val="24"/>
    </w:rPr>
  </w:style>
  <w:style w:type="paragraph" w:customStyle="1" w:styleId="87">
    <w:name w:val="bullet"/>
    <w:basedOn w:val="81"/>
    <w:link w:val="88"/>
    <w:qFormat/>
    <w:uiPriority w:val="0"/>
    <w:pPr>
      <w:widowControl w:val="0"/>
      <w:numPr>
        <w:ilvl w:val="0"/>
        <w:numId w:val="5"/>
      </w:numPr>
      <w:ind w:left="0" w:leftChars="0"/>
      <w:contextualSpacing/>
      <w:jc w:val="both"/>
    </w:pPr>
    <w:rPr>
      <w:rFonts w:ascii="Calibri" w:hAnsi="Calibri" w:eastAsia="Times New Roman"/>
      <w:kern w:val="2"/>
      <w:sz w:val="20"/>
      <w:szCs w:val="24"/>
      <w:lang w:val="en-US" w:eastAsia="zh-CN"/>
    </w:rPr>
  </w:style>
  <w:style w:type="character" w:customStyle="1" w:styleId="88">
    <w:name w:val="bullet Char"/>
    <w:link w:val="87"/>
    <w:qFormat/>
    <w:uiPriority w:val="0"/>
    <w:rPr>
      <w:rFonts w:ascii="Calibri" w:hAnsi="Calibri" w:eastAsia="Times New Roman"/>
      <w:kern w:val="2"/>
      <w:szCs w:val="24"/>
      <w:lang w:eastAsia="zh-CN"/>
    </w:rPr>
  </w:style>
  <w:style w:type="character" w:customStyle="1" w:styleId="89">
    <w:name w:val="批注文字 字符"/>
    <w:link w:val="16"/>
    <w:qFormat/>
    <w:uiPriority w:val="99"/>
    <w:rPr>
      <w:rFonts w:ascii="Times New Roman" w:hAnsi="Times New Roman" w:eastAsia="MS Gothic"/>
      <w:lang w:val="en-GB"/>
    </w:rPr>
  </w:style>
  <w:style w:type="table" w:customStyle="1" w:styleId="90">
    <w:name w:val="网格型1"/>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
    <w:name w:val="B1 Zchn"/>
    <w:link w:val="48"/>
    <w:qFormat/>
    <w:uiPriority w:val="0"/>
    <w:rPr>
      <w:rFonts w:ascii="Times New Roman" w:hAnsi="Times New Roman" w:eastAsia="MS Gothic"/>
      <w:sz w:val="24"/>
      <w:lang w:val="en-GB"/>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93">
    <w:name w:val="PL Char"/>
    <w:link w:val="92"/>
    <w:qFormat/>
    <w:uiPriority w:val="0"/>
    <w:rPr>
      <w:rFonts w:ascii="Courier New" w:hAnsi="Courier New" w:eastAsia="Batang"/>
      <w:sz w:val="16"/>
      <w:shd w:val="clear" w:color="auto" w:fill="E6E6E6"/>
      <w:lang w:val="en-GB" w:eastAsia="sv-SE"/>
    </w:rPr>
  </w:style>
  <w:style w:type="character" w:customStyle="1" w:styleId="94">
    <w:name w:val="TH Char"/>
    <w:link w:val="47"/>
    <w:qFormat/>
    <w:uiPriority w:val="0"/>
    <w:rPr>
      <w:rFonts w:ascii="Arial" w:hAnsi="Arial" w:eastAsia="MS Gothic"/>
      <w:b/>
      <w:sz w:val="24"/>
      <w:lang w:val="en-GB"/>
    </w:rPr>
  </w:style>
  <w:style w:type="character" w:customStyle="1" w:styleId="95">
    <w:name w:val="标题 2 字符"/>
    <w:basedOn w:val="35"/>
    <w:link w:val="3"/>
    <w:qFormat/>
    <w:uiPriority w:val="0"/>
    <w:rPr>
      <w:rFonts w:ascii="Arial" w:hAnsi="Arial" w:eastAsia="MS Gothic"/>
      <w:sz w:val="24"/>
      <w:lang w:val="en-GB"/>
    </w:rPr>
  </w:style>
  <w:style w:type="table" w:customStyle="1" w:styleId="96">
    <w:name w:val="表 (格子)1"/>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Reference Char"/>
    <w:link w:val="61"/>
    <w:qFormat/>
    <w:uiPriority w:val="0"/>
    <w:rPr>
      <w:rFonts w:ascii="Arial" w:hAnsi="Arial"/>
      <w:kern w:val="2"/>
      <w:sz w:val="21"/>
      <w:lang w:val="de-DE"/>
    </w:rPr>
  </w:style>
  <w:style w:type="table" w:customStyle="1" w:styleId="98">
    <w:name w:val="表 (格子)2"/>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References"/>
    <w:basedOn w:val="1"/>
    <w:qFormat/>
    <w:uiPriority w:val="0"/>
    <w:pPr>
      <w:numPr>
        <w:ilvl w:val="2"/>
        <w:numId w:val="6"/>
      </w:numPr>
    </w:pPr>
    <w:rPr>
      <w:rFonts w:eastAsia="Times New Roman"/>
      <w:sz w:val="20"/>
      <w:szCs w:val="24"/>
      <w:lang w:val="en-US" w:eastAsia="en-US"/>
    </w:rPr>
  </w:style>
  <w:style w:type="character" w:customStyle="1" w:styleId="100">
    <w:name w:val="B1 (文字)"/>
    <w:qFormat/>
    <w:locked/>
    <w:uiPriority w:val="99"/>
    <w:rPr>
      <w:rFonts w:ascii="Times New Roman" w:hAnsi="Times New Roman" w:eastAsia="Times New Roman" w:cs="Times New Roman"/>
      <w:kern w:val="0"/>
      <w:sz w:val="20"/>
      <w:szCs w:val="20"/>
      <w:lang w:val="en-GB" w:eastAsia="en-US"/>
    </w:rPr>
  </w:style>
  <w:style w:type="character" w:customStyle="1" w:styleId="101">
    <w:name w:val="B2 Char"/>
    <w:link w:val="58"/>
    <w:qFormat/>
    <w:uiPriority w:val="0"/>
    <w:rPr>
      <w:rFonts w:ascii="Times New Roman" w:hAnsi="Times New Roman" w:eastAsia="MS Gothic"/>
      <w:sz w:val="24"/>
      <w:lang w:val="en-GB"/>
    </w:rPr>
  </w:style>
  <w:style w:type="character" w:customStyle="1" w:styleId="102">
    <w:name w:val="apple-converted-space"/>
    <w:basedOn w:val="35"/>
    <w:qFormat/>
    <w:uiPriority w:val="0"/>
  </w:style>
  <w:style w:type="character" w:customStyle="1" w:styleId="103">
    <w:name w:val="B1 Char1"/>
    <w:qFormat/>
    <w:uiPriority w:val="0"/>
    <w:rPr>
      <w:lang w:val="en-GB" w:eastAsia="en-US"/>
    </w:rPr>
  </w:style>
  <w:style w:type="paragraph" w:customStyle="1" w:styleId="104">
    <w:name w:val="xmsonormal"/>
    <w:basedOn w:val="1"/>
    <w:qFormat/>
    <w:uiPriority w:val="0"/>
    <w:rPr>
      <w:rFonts w:ascii="宋体" w:hAnsi="宋体" w:eastAsia="宋体" w:cs="宋体"/>
      <w:szCs w:val="22"/>
      <w:lang w:val="en-US" w:eastAsia="zh-CN"/>
    </w:rPr>
  </w:style>
  <w:style w:type="character" w:customStyle="1" w:styleId="105">
    <w:name w:val="xapple-converted-space"/>
    <w:qFormat/>
    <w:uiPriority w:val="0"/>
  </w:style>
  <w:style w:type="paragraph" w:customStyle="1" w:styleId="106">
    <w:name w:val="xxmsonormal"/>
    <w:basedOn w:val="1"/>
    <w:qFormat/>
    <w:uiPriority w:val="0"/>
    <w:rPr>
      <w:rFonts w:ascii="Calibri" w:hAnsi="Calibri" w:eastAsia="Calibri" w:cs="Calibri"/>
      <w:sz w:val="22"/>
      <w:szCs w:val="22"/>
      <w:lang w:val="en-US" w:eastAsia="en-US"/>
    </w:rPr>
  </w:style>
  <w:style w:type="paragraph" w:customStyle="1" w:styleId="107">
    <w:name w:val="xxmsolistparagraph"/>
    <w:basedOn w:val="1"/>
    <w:qFormat/>
    <w:uiPriority w:val="0"/>
    <w:rPr>
      <w:rFonts w:ascii="Calibri" w:hAnsi="Calibri" w:eastAsia="Calibri" w:cs="Calibri"/>
      <w:sz w:val="22"/>
      <w:szCs w:val="22"/>
      <w:lang w:val="en-US" w:eastAsia="en-US"/>
    </w:rPr>
  </w:style>
  <w:style w:type="paragraph" w:customStyle="1" w:styleId="108">
    <w:name w:val="3GPP Agreements"/>
    <w:basedOn w:val="13"/>
    <w:link w:val="109"/>
    <w:qFormat/>
    <w:uiPriority w:val="0"/>
    <w:pPr>
      <w:numPr>
        <w:ilvl w:val="0"/>
        <w:numId w:val="7"/>
      </w:numPr>
      <w:autoSpaceDE w:val="0"/>
      <w:autoSpaceDN w:val="0"/>
      <w:adjustRightInd w:val="0"/>
      <w:snapToGrid w:val="0"/>
      <w:spacing w:after="120"/>
      <w:jc w:val="both"/>
    </w:pPr>
    <w:rPr>
      <w:rFonts w:eastAsia="宋体"/>
      <w:sz w:val="22"/>
      <w:szCs w:val="22"/>
      <w:lang w:val="en-US" w:eastAsia="en-US"/>
    </w:rPr>
  </w:style>
  <w:style w:type="character" w:customStyle="1" w:styleId="109">
    <w:name w:val="3GPP Agreements Char"/>
    <w:link w:val="108"/>
    <w:qFormat/>
    <w:uiPriority w:val="0"/>
    <w:rPr>
      <w:rFonts w:ascii="Times New Roman" w:hAnsi="Times New Roman" w:eastAsia="宋体"/>
      <w:sz w:val="22"/>
      <w:szCs w:val="22"/>
      <w:lang w:eastAsia="en-US"/>
    </w:rPr>
  </w:style>
  <w:style w:type="character" w:customStyle="1" w:styleId="110">
    <w:name w:val="题注 字符"/>
    <w:link w:val="12"/>
    <w:qFormat/>
    <w:uiPriority w:val="0"/>
    <w:rPr>
      <w:rFonts w:ascii="Times New Roman" w:hAnsi="Times New Roman" w:eastAsia="MS Gothic"/>
      <w:b/>
      <w:sz w:val="24"/>
      <w:lang w:val="en-GB"/>
    </w:rPr>
  </w:style>
  <w:style w:type="paragraph" w:customStyle="1" w:styleId="111">
    <w:name w:val="00_Text"/>
    <w:basedOn w:val="1"/>
    <w:link w:val="112"/>
    <w:qFormat/>
    <w:uiPriority w:val="0"/>
    <w:pPr>
      <w:spacing w:before="120" w:after="120" w:line="264" w:lineRule="auto"/>
      <w:jc w:val="both"/>
    </w:pPr>
    <w:rPr>
      <w:rFonts w:eastAsia="宋体"/>
      <w:sz w:val="20"/>
      <w:szCs w:val="24"/>
      <w:lang w:val="en-US" w:eastAsia="zh-CN"/>
    </w:rPr>
  </w:style>
  <w:style w:type="character" w:customStyle="1" w:styleId="112">
    <w:name w:val="00_Text Char"/>
    <w:basedOn w:val="35"/>
    <w:link w:val="111"/>
    <w:qFormat/>
    <w:uiPriority w:val="0"/>
    <w:rPr>
      <w:rFonts w:ascii="Times New Roman" w:hAnsi="Times New Roman" w:eastAsia="宋体"/>
      <w:szCs w:val="24"/>
      <w:lang w:eastAsia="zh-CN"/>
    </w:rPr>
  </w:style>
  <w:style w:type="paragraph" w:customStyle="1" w:styleId="113">
    <w:name w:val="ordinary-output"/>
    <w:basedOn w:val="1"/>
    <w:qFormat/>
    <w:uiPriority w:val="0"/>
    <w:pPr>
      <w:spacing w:before="100" w:beforeAutospacing="1" w:after="100" w:afterAutospacing="1" w:line="219" w:lineRule="atLeast"/>
    </w:pPr>
    <w:rPr>
      <w:rFonts w:ascii="宋体" w:hAnsi="宋体" w:eastAsia="宋体" w:cs="宋体"/>
      <w:color w:val="333333"/>
      <w:sz w:val="18"/>
      <w:szCs w:val="18"/>
      <w:lang w:val="en-US" w:eastAsia="zh-CN"/>
    </w:rPr>
  </w:style>
  <w:style w:type="paragraph" w:customStyle="1" w:styleId="114">
    <w:name w:val="3GPP Text"/>
    <w:basedOn w:val="1"/>
    <w:qFormat/>
    <w:uiPriority w:val="0"/>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115">
    <w:name w:val="Proposal"/>
    <w:basedOn w:val="18"/>
    <w:qFormat/>
    <w:uiPriority w:val="0"/>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 w:type="paragraph" w:customStyle="1" w:styleId="116">
    <w:name w:val="proposal"/>
    <w:basedOn w:val="18"/>
    <w:next w:val="1"/>
    <w:qFormat/>
    <w:uiPriority w:val="0"/>
    <w:pPr>
      <w:numPr>
        <w:ilvl w:val="0"/>
        <w:numId w:val="8"/>
      </w:numPr>
      <w:spacing w:before="120" w:beforeLines="50" w:afterLines="50"/>
      <w:ind w:left="1134" w:hanging="1134"/>
    </w:pPr>
    <w:rPr>
      <w:rFonts w:eastAsia="宋体"/>
      <w:b/>
      <w:szCs w:val="20"/>
      <w:lang w:eastAsia="zh-CN"/>
    </w:rPr>
  </w:style>
  <w:style w:type="paragraph" w:customStyle="1" w:styleId="117">
    <w:name w:val="title 2"/>
    <w:basedOn w:val="3"/>
    <w:next w:val="1"/>
    <w:qFormat/>
    <w:uiPriority w:val="0"/>
    <w:pPr>
      <w:numPr>
        <w:ilvl w:val="1"/>
        <w:numId w:val="9"/>
      </w:numPr>
      <w:ind w:left="0" w:firstLine="0"/>
    </w:pPr>
    <w:rPr>
      <w:rFonts w:eastAsia="Arial"/>
      <w:sz w:val="28"/>
    </w:rPr>
  </w:style>
  <w:style w:type="paragraph" w:customStyle="1" w:styleId="118">
    <w:name w:val="000_proposal"/>
    <w:basedOn w:val="111"/>
    <w:qFormat/>
    <w:uiPriority w:val="0"/>
    <w:rPr>
      <w:b/>
      <w:bCs/>
      <w:i/>
      <w:i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datastoreItem>
</file>

<file path=customXml/itemProps2.xml><?xml version="1.0" encoding="utf-8"?>
<ds:datastoreItem xmlns:ds="http://schemas.openxmlformats.org/officeDocument/2006/customXml" ds:itemID="{6A518860-A4C7-4D09-BF88-16B5A9C7C9D9}">
  <ds:schemaRefs/>
</ds:datastoreItem>
</file>

<file path=customXml/itemProps3.xml><?xml version="1.0" encoding="utf-8"?>
<ds:datastoreItem xmlns:ds="http://schemas.openxmlformats.org/officeDocument/2006/customXml" ds:itemID="{15828077-65C7-4442-9A1A-3EF62AEC8510}">
  <ds:schemaRefs/>
</ds:datastoreItem>
</file>

<file path=customXml/itemProps4.xml><?xml version="1.0" encoding="utf-8"?>
<ds:datastoreItem xmlns:ds="http://schemas.openxmlformats.org/officeDocument/2006/customXml" ds:itemID="{83D5052F-E700-46DB-9E72-5A15979793C9}">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Pages>
  <Words>1432</Words>
  <Characters>6902</Characters>
  <Lines>59</Lines>
  <Paragraphs>16</Paragraphs>
  <TotalTime>0</TotalTime>
  <ScaleCrop>false</ScaleCrop>
  <LinksUpToDate>false</LinksUpToDate>
  <CharactersWithSpaces>8351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2021-08-06T01:30:00Z</dcterms:created>
  <dc:creator>USUDA</dc:creator>
  <cp:lastModifiedBy>exata</cp:lastModifiedBy>
  <cp:lastPrinted>2016-09-21T11:03:00Z</cp:lastPrinted>
  <dcterms:modified xsi:type="dcterms:W3CDTF">2023-11-03T09:47:00Z</dcterms:modified>
  <dc:title>TSG-RAN Working Group 1 Meeting #26</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2052-12.1.0.15374</vt:lpwstr>
  </property>
  <property fmtid="{D5CDD505-2E9C-101B-9397-08002B2CF9AE}" pid="4" name="ICV">
    <vt:lpwstr>C849CF23662F41E29F109540CFAC3E7B_13</vt:lpwstr>
  </property>
  <property fmtid="{D5CDD505-2E9C-101B-9397-08002B2CF9AE}" pid="5" name="commondata">
    <vt:lpwstr>eyJoZGlkIjoiNzViZjM3YTY3ZWVhZWNkYmYyN2U2ZGVlOTlhMjJiNzMifQ==</vt:lpwstr>
  </property>
</Properties>
</file>