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2CC33F82"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2D69F5">
        <w:rPr>
          <w:rFonts w:ascii="Arial" w:hAnsi="Arial" w:cs="Arial"/>
          <w:b/>
          <w:bCs/>
          <w:lang w:val="de-DE"/>
        </w:rPr>
        <w:t>5</w:t>
      </w:r>
      <w:r w:rsidRPr="001A3D5B">
        <w:rPr>
          <w:rFonts w:ascii="Arial" w:hAnsi="Arial" w:cs="Arial"/>
          <w:b/>
          <w:lang w:val="de-DE"/>
        </w:rPr>
        <w:tab/>
      </w:r>
      <w:r w:rsidRPr="001A3D5B">
        <w:rPr>
          <w:rFonts w:ascii="Arial" w:hAnsi="Arial" w:cs="Arial"/>
          <w:b/>
          <w:lang w:val="de-DE"/>
        </w:rPr>
        <w:tab/>
      </w:r>
      <w:r w:rsidR="00A72B43" w:rsidRPr="00A72B43">
        <w:rPr>
          <w:rFonts w:ascii="Arial" w:hAnsi="Arial" w:cs="Arial"/>
          <w:b/>
          <w:color w:val="000000" w:themeColor="text1"/>
          <w:lang w:val="de-DE"/>
        </w:rPr>
        <w:t>R1-2311693</w:t>
      </w:r>
    </w:p>
    <w:p w14:paraId="5F6E8522" w14:textId="2DE49F4E" w:rsidR="00EB38B6" w:rsidRDefault="0084083C" w:rsidP="00ED780E">
      <w:pPr>
        <w:tabs>
          <w:tab w:val="left" w:pos="1985"/>
        </w:tabs>
        <w:jc w:val="both"/>
        <w:rPr>
          <w:rFonts w:ascii="Arial" w:hAnsi="Arial" w:cs="Arial"/>
          <w:b/>
          <w:lang w:val="de-DE"/>
        </w:rPr>
      </w:pPr>
      <w:r w:rsidRPr="00D94C37">
        <w:rPr>
          <w:rFonts w:ascii="Arial" w:hAnsi="Arial" w:cs="Arial"/>
          <w:b/>
          <w:lang w:val="de-DE"/>
        </w:rPr>
        <w:t>Chicago, USA, November 13</w:t>
      </w:r>
      <w:r w:rsidRPr="00D94C37">
        <w:rPr>
          <w:rFonts w:ascii="Arial" w:hAnsi="Arial" w:cs="Arial"/>
          <w:b/>
          <w:vertAlign w:val="superscript"/>
          <w:lang w:val="de-DE"/>
        </w:rPr>
        <w:t>th</w:t>
      </w:r>
      <w:r w:rsidRPr="00D94C37">
        <w:rPr>
          <w:rFonts w:ascii="Arial" w:hAnsi="Arial" w:cs="Arial"/>
          <w:b/>
          <w:lang w:val="de-DE"/>
        </w:rPr>
        <w:t xml:space="preserve"> – November 17</w:t>
      </w:r>
      <w:r w:rsidRPr="00D94C37">
        <w:rPr>
          <w:rFonts w:ascii="Arial" w:hAnsi="Arial" w:cs="Arial"/>
          <w:b/>
          <w:vertAlign w:val="superscript"/>
          <w:lang w:val="de-DE"/>
        </w:rPr>
        <w:t>th</w:t>
      </w:r>
      <w:r w:rsidRPr="00D94C37">
        <w:rPr>
          <w:rFonts w:ascii="Arial" w:hAnsi="Arial" w:cs="Arial"/>
          <w:b/>
          <w:lang w:val="de-DE"/>
        </w:rPr>
        <w:t>, 2023</w:t>
      </w:r>
    </w:p>
    <w:p w14:paraId="4005AFC1" w14:textId="77777777" w:rsidR="0084083C" w:rsidRDefault="0084083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0A51A595"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204E12" w:rsidRPr="00204E12">
        <w:rPr>
          <w:rFonts w:ascii="Arial" w:hAnsi="Arial" w:cs="Arial"/>
          <w:b/>
        </w:rPr>
        <w:t>Timing advance management for L1/L2 Mobility</w:t>
      </w:r>
    </w:p>
    <w:p w14:paraId="7B288F5E" w14:textId="1760264E"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1B15D6">
        <w:rPr>
          <w:rFonts w:ascii="Arial" w:hAnsi="Arial" w:cs="Arial"/>
          <w:b/>
        </w:rPr>
        <w:t>8</w:t>
      </w:r>
      <w:r w:rsidR="00CD5559">
        <w:rPr>
          <w:rFonts w:ascii="Arial" w:hAnsi="Arial" w:cs="Arial"/>
          <w:b/>
        </w:rPr>
        <w:t>.</w:t>
      </w:r>
      <w:r w:rsidR="001B15D6">
        <w:rPr>
          <w:rFonts w:ascii="Arial" w:hAnsi="Arial" w:cs="Arial"/>
          <w:b/>
        </w:rPr>
        <w:t>7</w:t>
      </w:r>
      <w:r w:rsidR="00E9699B">
        <w:rPr>
          <w:rFonts w:ascii="Arial" w:hAnsi="Arial" w:cs="Arial"/>
          <w:b/>
        </w:rPr>
        <w:t>.</w:t>
      </w:r>
      <w:r w:rsidR="00A27709">
        <w:rPr>
          <w:rFonts w:ascii="Arial" w:hAnsi="Arial" w:cs="Arial"/>
          <w:b/>
        </w:rPr>
        <w:t>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D48F8B4" w14:textId="77777777" w:rsidR="00A27709" w:rsidRPr="00A27709" w:rsidRDefault="00A27709" w:rsidP="00A27709">
      <w:pPr>
        <w:spacing w:before="120"/>
        <w:jc w:val="both"/>
        <w:rPr>
          <w:rFonts w:ascii="Arial" w:hAnsi="Arial" w:cs="Arial"/>
          <w:sz w:val="21"/>
          <w:szCs w:val="21"/>
        </w:rPr>
      </w:pPr>
      <w:r w:rsidRPr="00A27709">
        <w:rPr>
          <w:rFonts w:ascii="Arial" w:hAnsi="Arial" w:cs="Arial"/>
          <w:sz w:val="21"/>
          <w:szCs w:val="21"/>
        </w:rPr>
        <w:t xml:space="preserve">One of design goals for Rel-18 L1/L2-triggered Mobility WI is to minimize the cell-switch latency [1]: </w:t>
      </w:r>
    </w:p>
    <w:tbl>
      <w:tblPr>
        <w:tblStyle w:val="TableGrid"/>
        <w:tblW w:w="0" w:type="auto"/>
        <w:tblLook w:val="04A0" w:firstRow="1" w:lastRow="0" w:firstColumn="1" w:lastColumn="0" w:noHBand="0" w:noVBand="1"/>
      </w:tblPr>
      <w:tblGrid>
        <w:gridCol w:w="9962"/>
      </w:tblGrid>
      <w:tr w:rsidR="00A27709" w:rsidRPr="00A27709" w14:paraId="0A56DE06" w14:textId="77777777" w:rsidTr="00336CE3">
        <w:tc>
          <w:tcPr>
            <w:tcW w:w="9962" w:type="dxa"/>
          </w:tcPr>
          <w:p w14:paraId="5379F7E4" w14:textId="77777777" w:rsidR="00A27709" w:rsidRPr="00A27709" w:rsidRDefault="00A27709" w:rsidP="00A27709">
            <w:pPr>
              <w:numPr>
                <w:ilvl w:val="0"/>
                <w:numId w:val="41"/>
              </w:numPr>
              <w:overflowPunct w:val="0"/>
              <w:autoSpaceDE w:val="0"/>
              <w:autoSpaceDN w:val="0"/>
              <w:adjustRightInd w:val="0"/>
              <w:jc w:val="both"/>
              <w:textAlignment w:val="baseline"/>
              <w:rPr>
                <w:rFonts w:ascii="Arial" w:hAnsi="Arial" w:cs="Arial"/>
                <w:bCs/>
                <w:sz w:val="21"/>
                <w:szCs w:val="21"/>
              </w:rPr>
            </w:pPr>
            <w:r w:rsidRPr="00A27709">
              <w:rPr>
                <w:rFonts w:ascii="Arial" w:hAnsi="Arial" w:cs="Arial"/>
                <w:bCs/>
                <w:sz w:val="21"/>
                <w:szCs w:val="21"/>
              </w:rPr>
              <w:t>To specify mechanism and procedures of L1/L2 based inter-cell mobility for mobility latency reduction:</w:t>
            </w:r>
          </w:p>
          <w:p w14:paraId="0927D241" w14:textId="77777777" w:rsidR="00A27709" w:rsidRPr="00A27709" w:rsidRDefault="00A27709" w:rsidP="00A27709">
            <w:pPr>
              <w:numPr>
                <w:ilvl w:val="0"/>
                <w:numId w:val="42"/>
              </w:numPr>
              <w:overflowPunct w:val="0"/>
              <w:autoSpaceDE w:val="0"/>
              <w:autoSpaceDN w:val="0"/>
              <w:adjustRightInd w:val="0"/>
              <w:jc w:val="both"/>
              <w:textAlignment w:val="baseline"/>
              <w:rPr>
                <w:rFonts w:ascii="Arial" w:hAnsi="Arial" w:cs="Arial"/>
                <w:bCs/>
                <w:sz w:val="21"/>
                <w:szCs w:val="21"/>
              </w:rPr>
            </w:pPr>
            <w:r w:rsidRPr="00A27709">
              <w:rPr>
                <w:rFonts w:ascii="Arial" w:hAnsi="Arial" w:cs="Arial"/>
                <w:bCs/>
                <w:sz w:val="21"/>
                <w:szCs w:val="21"/>
              </w:rPr>
              <w:t>….</w:t>
            </w:r>
          </w:p>
          <w:p w14:paraId="57B9B4B8" w14:textId="77777777" w:rsidR="00A27709" w:rsidRPr="00A27709" w:rsidRDefault="00A27709" w:rsidP="00A27709">
            <w:pPr>
              <w:numPr>
                <w:ilvl w:val="0"/>
                <w:numId w:val="42"/>
              </w:numPr>
              <w:overflowPunct w:val="0"/>
              <w:autoSpaceDE w:val="0"/>
              <w:autoSpaceDN w:val="0"/>
              <w:adjustRightInd w:val="0"/>
              <w:spacing w:after="120"/>
              <w:ind w:left="1138" w:hanging="418"/>
              <w:jc w:val="both"/>
              <w:textAlignment w:val="baseline"/>
              <w:rPr>
                <w:bCs/>
                <w:sz w:val="21"/>
                <w:szCs w:val="21"/>
              </w:rPr>
            </w:pPr>
            <w:r w:rsidRPr="00A27709">
              <w:rPr>
                <w:rFonts w:ascii="Arial" w:hAnsi="Arial" w:cs="Arial"/>
                <w:bCs/>
                <w:sz w:val="21"/>
                <w:szCs w:val="21"/>
              </w:rPr>
              <w:t>Timing Advance management [RAN1, RAN2]</w:t>
            </w:r>
          </w:p>
        </w:tc>
      </w:tr>
    </w:tbl>
    <w:p w14:paraId="4190443A" w14:textId="1DFCFB85" w:rsidR="00A27709" w:rsidRPr="00FC452B" w:rsidRDefault="00A27709" w:rsidP="00A27709">
      <w:pPr>
        <w:spacing w:before="120"/>
        <w:jc w:val="both"/>
        <w:rPr>
          <w:rFonts w:ascii="Arial" w:hAnsi="Arial" w:cs="Arial"/>
          <w:sz w:val="20"/>
          <w:szCs w:val="20"/>
        </w:rPr>
      </w:pPr>
      <w:r w:rsidRPr="00FC452B">
        <w:rPr>
          <w:rFonts w:ascii="Arial" w:hAnsi="Arial" w:cs="Arial"/>
          <w:sz w:val="20"/>
          <w:szCs w:val="20"/>
        </w:rPr>
        <w:t>In RAN 11</w:t>
      </w:r>
      <w:r w:rsidR="001B15D6">
        <w:rPr>
          <w:rFonts w:ascii="Arial" w:hAnsi="Arial" w:cs="Arial"/>
          <w:sz w:val="20"/>
          <w:szCs w:val="20"/>
        </w:rPr>
        <w:t>4</w:t>
      </w:r>
      <w:r w:rsidR="008D5AD6">
        <w:rPr>
          <w:rFonts w:ascii="Arial" w:hAnsi="Arial" w:cs="Arial"/>
          <w:sz w:val="20"/>
          <w:szCs w:val="20"/>
        </w:rPr>
        <w:t>bis</w:t>
      </w:r>
      <w:r w:rsidRPr="00FC452B">
        <w:rPr>
          <w:rFonts w:ascii="Arial" w:hAnsi="Arial" w:cs="Arial"/>
          <w:sz w:val="20"/>
          <w:szCs w:val="20"/>
        </w:rPr>
        <w:t xml:space="preserve"> meeting, a pretty good progress was made for the timing advance management to reduce latency of LTM operation [2]. </w:t>
      </w:r>
    </w:p>
    <w:p w14:paraId="569639D0" w14:textId="77777777" w:rsidR="00A27709" w:rsidRPr="00FC452B" w:rsidRDefault="00A27709" w:rsidP="00A27709">
      <w:pPr>
        <w:spacing w:before="120"/>
        <w:jc w:val="both"/>
        <w:rPr>
          <w:rFonts w:ascii="Arial" w:hAnsi="Arial" w:cs="Arial"/>
          <w:sz w:val="20"/>
          <w:szCs w:val="20"/>
        </w:rPr>
      </w:pPr>
      <w:r w:rsidRPr="00FC452B">
        <w:rPr>
          <w:rFonts w:ascii="Arial" w:hAnsi="Arial" w:cs="Arial"/>
          <w:sz w:val="20"/>
          <w:szCs w:val="20"/>
        </w:rPr>
        <w:t xml:space="preserve">This contribution presents our views on the remaining TA management issues to enable L1/L2-trigger mobility (LTM) in accordance with the latest progress. </w:t>
      </w:r>
    </w:p>
    <w:p w14:paraId="064AC5A7" w14:textId="77777777" w:rsidR="00EB38B6" w:rsidRPr="00792A33" w:rsidRDefault="00EB38B6" w:rsidP="006A7A09">
      <w:pPr>
        <w:jc w:val="both"/>
        <w:rPr>
          <w:rFonts w:ascii="Arial" w:hAnsi="Arial" w:cs="Arial"/>
          <w:sz w:val="20"/>
          <w:szCs w:val="20"/>
        </w:rPr>
      </w:pPr>
    </w:p>
    <w:p w14:paraId="093FC70E" w14:textId="0A61A727" w:rsidR="00FC16CA"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F26A80">
        <w:rPr>
          <w:rFonts w:cs="Arial"/>
          <w:lang w:val="en-US"/>
        </w:rPr>
        <w:t>PDCCH Ordered RACH for LTM</w:t>
      </w:r>
      <w:r w:rsidR="00A84556">
        <w:rPr>
          <w:rFonts w:cs="Arial"/>
          <w:lang w:val="en-US"/>
        </w:rPr>
        <w:t xml:space="preserve"> and mDCI mTRP use case</w:t>
      </w:r>
    </w:p>
    <w:p w14:paraId="22DF02DF" w14:textId="77777777" w:rsidR="00F26A80" w:rsidRPr="00F26A80" w:rsidRDefault="00F26A80" w:rsidP="00F26A80">
      <w:pPr>
        <w:spacing w:line="259" w:lineRule="auto"/>
        <w:jc w:val="both"/>
        <w:rPr>
          <w:rFonts w:ascii="Arial" w:eastAsia="DengXian" w:hAnsi="Arial" w:cs="Arial"/>
          <w:i/>
          <w:iCs/>
          <w:sz w:val="20"/>
          <w:szCs w:val="20"/>
        </w:rPr>
      </w:pPr>
      <w:r>
        <w:rPr>
          <w:rFonts w:ascii="Arial" w:eastAsia="DengXian" w:hAnsi="Arial" w:cs="Arial"/>
          <w:sz w:val="20"/>
          <w:szCs w:val="20"/>
        </w:rPr>
        <w:t xml:space="preserve">The following was agreed in RAN1 114bis meeting for PDCCH ordered PRACH transmission: </w:t>
      </w:r>
    </w:p>
    <w:tbl>
      <w:tblPr>
        <w:tblStyle w:val="TableGrid"/>
        <w:tblW w:w="0" w:type="auto"/>
        <w:tblLook w:val="04A0" w:firstRow="1" w:lastRow="0" w:firstColumn="1" w:lastColumn="0" w:noHBand="0" w:noVBand="1"/>
      </w:tblPr>
      <w:tblGrid>
        <w:gridCol w:w="9962"/>
      </w:tblGrid>
      <w:tr w:rsidR="00F26A80" w14:paraId="7CF307C7" w14:textId="77777777" w:rsidTr="00F26A80">
        <w:tc>
          <w:tcPr>
            <w:tcW w:w="9962" w:type="dxa"/>
          </w:tcPr>
          <w:p w14:paraId="36B10FF3" w14:textId="77777777" w:rsidR="00A84556" w:rsidRPr="00531C26" w:rsidRDefault="00A84556" w:rsidP="00A84556">
            <w:pPr>
              <w:rPr>
                <w:rFonts w:ascii="Arial" w:hAnsi="Arial" w:cs="Arial"/>
                <w:b/>
                <w:bCs/>
                <w:sz w:val="20"/>
                <w:szCs w:val="20"/>
                <w:highlight w:val="green"/>
                <w:lang w:eastAsia="x-none"/>
              </w:rPr>
            </w:pPr>
            <w:r w:rsidRPr="00531C26">
              <w:rPr>
                <w:rFonts w:ascii="Arial" w:hAnsi="Arial" w:cs="Arial"/>
                <w:b/>
                <w:bCs/>
                <w:sz w:val="20"/>
                <w:szCs w:val="20"/>
                <w:highlight w:val="green"/>
                <w:lang w:eastAsia="x-none"/>
              </w:rPr>
              <w:t>Agreement</w:t>
            </w:r>
          </w:p>
          <w:p w14:paraId="41BDC042" w14:textId="77777777" w:rsidR="00A84556" w:rsidRPr="00531C26" w:rsidRDefault="00A84556" w:rsidP="00A84556">
            <w:pPr>
              <w:rPr>
                <w:rStyle w:val="Emphasis"/>
                <w:rFonts w:ascii="Arial" w:hAnsi="Arial" w:cs="Arial"/>
                <w:i w:val="0"/>
                <w:iCs w:val="0"/>
                <w:sz w:val="20"/>
                <w:szCs w:val="20"/>
              </w:rPr>
            </w:pPr>
            <w:r w:rsidRPr="00531C26">
              <w:rPr>
                <w:rStyle w:val="Emphasis"/>
                <w:rFonts w:ascii="Arial" w:hAnsi="Arial" w:cs="Arial"/>
                <w:i w:val="0"/>
                <w:iCs w:val="0"/>
                <w:sz w:val="20"/>
                <w:szCs w:val="20"/>
              </w:rPr>
              <w:t xml:space="preserve">When a UE is configured with both the inter-cell multi-DCI based Multi-TRP operation with two TAs and Rel-18 LTM features, </w:t>
            </w:r>
          </w:p>
          <w:p w14:paraId="4AC20F32" w14:textId="77777777" w:rsidR="00F26A80" w:rsidRPr="00A84556" w:rsidRDefault="00A84556" w:rsidP="00A84556">
            <w:pPr>
              <w:pStyle w:val="ListParagraph"/>
              <w:numPr>
                <w:ilvl w:val="0"/>
                <w:numId w:val="65"/>
              </w:numPr>
              <w:spacing w:line="259" w:lineRule="auto"/>
              <w:jc w:val="both"/>
              <w:rPr>
                <w:rStyle w:val="Emphasis"/>
                <w:rFonts w:ascii="Arial" w:hAnsi="Arial" w:cs="Arial"/>
                <w:i w:val="0"/>
                <w:iCs w:val="0"/>
                <w:sz w:val="20"/>
                <w:szCs w:val="20"/>
              </w:rPr>
            </w:pPr>
            <w:r w:rsidRPr="00A84556">
              <w:rPr>
                <w:rStyle w:val="Emphasis"/>
                <w:rFonts w:ascii="Arial" w:hAnsi="Arial" w:cs="Arial"/>
                <w:i w:val="0"/>
                <w:iCs w:val="0"/>
                <w:sz w:val="20"/>
                <w:szCs w:val="20"/>
              </w:rPr>
              <w:t>Alt 1:  separate fields are used to indicate additionalPCI (for inter-cell mTRP) and to indicate cell indicator field (for Rel-18 LTM)</w:t>
            </w:r>
          </w:p>
          <w:p w14:paraId="2CABBC56" w14:textId="77777777" w:rsidR="00A84556" w:rsidRDefault="00A84556" w:rsidP="00A84556">
            <w:pPr>
              <w:spacing w:line="259" w:lineRule="auto"/>
              <w:jc w:val="both"/>
              <w:rPr>
                <w:rFonts w:ascii="Arial" w:eastAsia="DengXian" w:hAnsi="Arial" w:cs="Arial"/>
                <w:sz w:val="20"/>
                <w:szCs w:val="20"/>
              </w:rPr>
            </w:pPr>
          </w:p>
          <w:p w14:paraId="7520729A" w14:textId="77777777" w:rsidR="00A84556" w:rsidRPr="00531C26" w:rsidRDefault="00A84556" w:rsidP="00A84556">
            <w:pPr>
              <w:rPr>
                <w:rFonts w:ascii="Arial" w:hAnsi="Arial" w:cs="Arial"/>
                <w:b/>
                <w:bCs/>
                <w:sz w:val="20"/>
                <w:szCs w:val="20"/>
                <w:highlight w:val="green"/>
                <w:lang w:eastAsia="x-none"/>
              </w:rPr>
            </w:pPr>
            <w:r w:rsidRPr="00531C26">
              <w:rPr>
                <w:rFonts w:ascii="Arial" w:hAnsi="Arial" w:cs="Arial"/>
                <w:b/>
                <w:bCs/>
                <w:sz w:val="20"/>
                <w:szCs w:val="20"/>
                <w:highlight w:val="green"/>
                <w:lang w:eastAsia="x-none"/>
              </w:rPr>
              <w:t>Agreement</w:t>
            </w:r>
          </w:p>
          <w:p w14:paraId="78D96245" w14:textId="77777777" w:rsidR="00A84556" w:rsidRPr="00531C26" w:rsidRDefault="00A84556" w:rsidP="00A84556">
            <w:pPr>
              <w:suppressAutoHyphens/>
              <w:rPr>
                <w:rFonts w:ascii="Arial" w:eastAsia="PMingLiU" w:hAnsi="Arial" w:cs="Arial"/>
                <w:sz w:val="20"/>
                <w:szCs w:val="20"/>
                <w:lang w:eastAsia="zh-TW"/>
              </w:rPr>
            </w:pPr>
            <w:r w:rsidRPr="00531C26">
              <w:rPr>
                <w:rFonts w:ascii="Arial" w:eastAsia="PMingLiU" w:hAnsi="Arial" w:cs="Arial"/>
                <w:sz w:val="20"/>
                <w:szCs w:val="20"/>
                <w:lang w:eastAsia="zh-TW"/>
              </w:rPr>
              <w:t xml:space="preserve">For inter-cell multi-DCI based Multi-TRP operation with two TA enhancement, 1 bit is supported for indicating active additionalPCI in the PDCCH order </w:t>
            </w:r>
          </w:p>
          <w:p w14:paraId="469BF9A9" w14:textId="77777777" w:rsidR="00A84556" w:rsidRPr="00531C26" w:rsidRDefault="00A84556" w:rsidP="00A84556">
            <w:pPr>
              <w:pStyle w:val="NormalWeb"/>
              <w:numPr>
                <w:ilvl w:val="0"/>
                <w:numId w:val="66"/>
              </w:numPr>
              <w:spacing w:before="0" w:beforeAutospacing="0" w:after="0" w:afterAutospacing="0"/>
              <w:rPr>
                <w:rStyle w:val="Emphasis"/>
                <w:rFonts w:ascii="Arial" w:hAnsi="Arial" w:cs="Arial"/>
                <w:sz w:val="20"/>
                <w:szCs w:val="20"/>
              </w:rPr>
            </w:pPr>
            <w:r w:rsidRPr="00531C26">
              <w:rPr>
                <w:rStyle w:val="Emphasis"/>
                <w:rFonts w:ascii="Arial" w:hAnsi="Arial" w:cs="Arial"/>
                <w:sz w:val="20"/>
                <w:szCs w:val="20"/>
              </w:rPr>
              <w:t>the single bit in the PDCCH order indicates if the PRACH triggering is towards servingCell PCI or active additional PCI</w:t>
            </w:r>
          </w:p>
          <w:p w14:paraId="5B08D57D" w14:textId="7AFCD219" w:rsidR="00A84556" w:rsidRPr="00A84556" w:rsidRDefault="00A84556" w:rsidP="00A84556">
            <w:pPr>
              <w:rPr>
                <w:rFonts w:ascii="Arial" w:eastAsia="PMingLiU" w:hAnsi="Arial" w:cs="Arial"/>
                <w:sz w:val="20"/>
                <w:szCs w:val="20"/>
                <w:lang w:eastAsia="zh-TW"/>
              </w:rPr>
            </w:pPr>
            <w:r w:rsidRPr="00531C26">
              <w:rPr>
                <w:rFonts w:ascii="Arial" w:eastAsia="PMingLiU" w:hAnsi="Arial" w:cs="Arial"/>
                <w:sz w:val="20"/>
                <w:szCs w:val="20"/>
                <w:lang w:eastAsia="zh-TW"/>
              </w:rPr>
              <w:t>Note: This has no impact on whether common or separate field with cell indication in LTM is used</w:t>
            </w:r>
          </w:p>
        </w:tc>
      </w:tr>
    </w:tbl>
    <w:p w14:paraId="52262649" w14:textId="77777777" w:rsidR="00A84556" w:rsidRDefault="00A84556" w:rsidP="00F26A80">
      <w:pPr>
        <w:spacing w:line="259" w:lineRule="auto"/>
        <w:jc w:val="both"/>
        <w:rPr>
          <w:rFonts w:ascii="Arial" w:eastAsia="DengXian" w:hAnsi="Arial" w:cs="Arial"/>
          <w:i/>
          <w:iCs/>
          <w:sz w:val="20"/>
          <w:szCs w:val="20"/>
        </w:rPr>
      </w:pPr>
    </w:p>
    <w:p w14:paraId="4C754F87" w14:textId="77777777" w:rsidR="00A84556" w:rsidRDefault="00A84556" w:rsidP="00A84556">
      <w:pPr>
        <w:jc w:val="both"/>
        <w:rPr>
          <w:rStyle w:val="Emphasis"/>
          <w:rFonts w:ascii="Arial" w:hAnsi="Arial" w:cs="Arial"/>
          <w:i w:val="0"/>
          <w:iCs w:val="0"/>
          <w:sz w:val="20"/>
          <w:szCs w:val="20"/>
        </w:rPr>
      </w:pPr>
    </w:p>
    <w:p w14:paraId="1E08DCB4" w14:textId="179BBB83" w:rsidR="00A84556" w:rsidRDefault="00A84556" w:rsidP="00A84556">
      <w:pPr>
        <w:jc w:val="both"/>
        <w:rPr>
          <w:rStyle w:val="Emphasis"/>
          <w:rFonts w:ascii="Arial" w:hAnsi="Arial" w:cs="Arial"/>
          <w:i w:val="0"/>
          <w:iCs w:val="0"/>
          <w:sz w:val="20"/>
          <w:szCs w:val="20"/>
        </w:rPr>
      </w:pPr>
      <w:r>
        <w:rPr>
          <w:rStyle w:val="Emphasis"/>
          <w:rFonts w:ascii="Arial" w:hAnsi="Arial" w:cs="Arial"/>
          <w:i w:val="0"/>
          <w:iCs w:val="0"/>
          <w:sz w:val="20"/>
          <w:szCs w:val="20"/>
        </w:rPr>
        <w:t xml:space="preserve">In addition, the following was agreed for PDCCH-order CFRA used for LTM procedure [1]: </w:t>
      </w:r>
    </w:p>
    <w:tbl>
      <w:tblPr>
        <w:tblStyle w:val="TableGrid"/>
        <w:tblW w:w="0" w:type="auto"/>
        <w:tblLook w:val="04A0" w:firstRow="1" w:lastRow="0" w:firstColumn="1" w:lastColumn="0" w:noHBand="0" w:noVBand="1"/>
      </w:tblPr>
      <w:tblGrid>
        <w:gridCol w:w="9962"/>
      </w:tblGrid>
      <w:tr w:rsidR="00A84556" w14:paraId="59A7300C" w14:textId="77777777" w:rsidTr="002255D5">
        <w:tc>
          <w:tcPr>
            <w:tcW w:w="9962" w:type="dxa"/>
          </w:tcPr>
          <w:p w14:paraId="55079BDD" w14:textId="77777777" w:rsidR="00A84556" w:rsidRPr="00833179" w:rsidRDefault="00A84556" w:rsidP="002255D5">
            <w:pPr>
              <w:rPr>
                <w:rFonts w:ascii="Arial" w:eastAsia="DengXian" w:hAnsi="Arial" w:cs="Arial"/>
                <w:color w:val="000000"/>
                <w:sz w:val="20"/>
                <w:szCs w:val="20"/>
                <w:highlight w:val="green"/>
              </w:rPr>
            </w:pPr>
            <w:r w:rsidRPr="00833179">
              <w:rPr>
                <w:rFonts w:ascii="Arial" w:eastAsia="DengXian" w:hAnsi="Arial" w:cs="Arial"/>
                <w:b/>
                <w:color w:val="000000"/>
                <w:sz w:val="20"/>
                <w:szCs w:val="20"/>
                <w:highlight w:val="green"/>
              </w:rPr>
              <w:t>Agreement</w:t>
            </w:r>
          </w:p>
          <w:p w14:paraId="1FF34926" w14:textId="77777777" w:rsidR="00A84556" w:rsidRPr="00833179" w:rsidRDefault="00A84556" w:rsidP="002255D5">
            <w:pPr>
              <w:rPr>
                <w:rFonts w:ascii="Arial" w:eastAsia="DengXian" w:hAnsi="Arial" w:cs="Arial"/>
                <w:color w:val="000000"/>
                <w:sz w:val="20"/>
                <w:szCs w:val="20"/>
              </w:rPr>
            </w:pPr>
            <w:r w:rsidRPr="00833179">
              <w:rPr>
                <w:rFonts w:ascii="Arial" w:eastAsia="DengXian" w:hAnsi="Arial" w:cs="Arial"/>
                <w:color w:val="000000"/>
                <w:sz w:val="20"/>
                <w:szCs w:val="20"/>
              </w:rPr>
              <w:t>The bit field codepoint ‘0’ of cell indicator field in PDCCH order indicates PRACH for current serving cell, the rest bit field codepoints are mapped to candidate cells configured with EarlyUlSyncConfig-r18.</w:t>
            </w:r>
          </w:p>
          <w:p w14:paraId="534A04CE" w14:textId="77777777" w:rsidR="00A84556" w:rsidRPr="00833179" w:rsidRDefault="00A84556" w:rsidP="00A84556">
            <w:pPr>
              <w:pStyle w:val="ListParagraph"/>
              <w:numPr>
                <w:ilvl w:val="0"/>
                <w:numId w:val="67"/>
              </w:numPr>
              <w:spacing w:after="160" w:line="259" w:lineRule="auto"/>
              <w:ind w:left="360"/>
              <w:rPr>
                <w:rStyle w:val="Emphasis"/>
                <w:rFonts w:eastAsia="DengXian"/>
                <w:i w:val="0"/>
                <w:iCs w:val="0"/>
                <w:color w:val="000000"/>
              </w:rPr>
            </w:pPr>
            <w:r w:rsidRPr="00833179">
              <w:rPr>
                <w:rFonts w:ascii="Arial" w:eastAsia="DengXian" w:hAnsi="Arial" w:cs="Arial"/>
                <w:color w:val="000000"/>
                <w:sz w:val="20"/>
                <w:szCs w:val="20"/>
              </w:rPr>
              <w:t>One-to-one mapping between bit field codepoint from 1 to C to candidate cell IDs in an ascending order</w:t>
            </w:r>
          </w:p>
        </w:tc>
      </w:tr>
    </w:tbl>
    <w:p w14:paraId="74F34557" w14:textId="624CF96D" w:rsidR="00704F1E" w:rsidRDefault="00704F1E" w:rsidP="00B05A1D">
      <w:pPr>
        <w:spacing w:before="120"/>
        <w:rPr>
          <w:rFonts w:ascii="Arial" w:hAnsi="Arial" w:cs="Arial"/>
          <w:sz w:val="20"/>
          <w:szCs w:val="20"/>
        </w:rPr>
      </w:pPr>
    </w:p>
    <w:p w14:paraId="153234A0" w14:textId="63CBD2EE" w:rsidR="00A84556" w:rsidRDefault="00A84556" w:rsidP="00B05A1D">
      <w:pPr>
        <w:spacing w:before="120"/>
        <w:rPr>
          <w:rFonts w:ascii="Arial" w:hAnsi="Arial" w:cs="Arial"/>
          <w:sz w:val="20"/>
          <w:szCs w:val="20"/>
        </w:rPr>
      </w:pPr>
      <w:r>
        <w:rPr>
          <w:rFonts w:ascii="Arial" w:hAnsi="Arial" w:cs="Arial"/>
          <w:sz w:val="20"/>
          <w:szCs w:val="20"/>
        </w:rPr>
        <w:t xml:space="preserve">LTM and inter-cell mDCI mTRP are independent Rel-18 features and can be configured simutaneously for a UE. One PDCCH order can trigger a CFRA procedure for one purpose. Considering the agreements made in MIMIO and LTM agendas, the following procedure should be used by UE to determine the use case of detected PDCCH order DCI: </w:t>
      </w:r>
    </w:p>
    <w:p w14:paraId="32B86DC4" w14:textId="6F755B85" w:rsidR="00A84556" w:rsidRDefault="00A84556" w:rsidP="00A84556">
      <w:pPr>
        <w:pStyle w:val="ListParagraph"/>
        <w:numPr>
          <w:ilvl w:val="0"/>
          <w:numId w:val="65"/>
        </w:numPr>
        <w:spacing w:before="120"/>
        <w:rPr>
          <w:rFonts w:ascii="Arial" w:hAnsi="Arial" w:cs="Arial"/>
          <w:sz w:val="20"/>
          <w:szCs w:val="20"/>
        </w:rPr>
      </w:pPr>
      <w:r>
        <w:rPr>
          <w:rFonts w:ascii="Arial" w:hAnsi="Arial" w:cs="Arial"/>
          <w:sz w:val="20"/>
          <w:szCs w:val="20"/>
        </w:rPr>
        <w:t>UE checks the codepoint of ‘</w:t>
      </w:r>
      <w:r w:rsidRPr="00833179">
        <w:rPr>
          <w:rFonts w:ascii="Arial" w:eastAsia="DengXian" w:hAnsi="Arial" w:cs="Arial"/>
          <w:color w:val="000000"/>
          <w:sz w:val="20"/>
          <w:szCs w:val="20"/>
        </w:rPr>
        <w:t>cell indicator field</w:t>
      </w:r>
      <w:r>
        <w:rPr>
          <w:rFonts w:ascii="Arial" w:hAnsi="Arial" w:cs="Arial"/>
          <w:sz w:val="20"/>
          <w:szCs w:val="20"/>
        </w:rPr>
        <w:t xml:space="preserve">’ after receiving the PDCCH order DCI. </w:t>
      </w:r>
    </w:p>
    <w:p w14:paraId="52C14F70" w14:textId="1A13C711" w:rsidR="00A84556" w:rsidRDefault="00A84556" w:rsidP="00A84556">
      <w:pPr>
        <w:pStyle w:val="ListParagraph"/>
        <w:numPr>
          <w:ilvl w:val="1"/>
          <w:numId w:val="66"/>
        </w:numPr>
        <w:jc w:val="both"/>
        <w:rPr>
          <w:rStyle w:val="Emphasis"/>
          <w:rFonts w:ascii="Arial" w:hAnsi="Arial" w:cs="Arial"/>
          <w:i w:val="0"/>
          <w:iCs w:val="0"/>
          <w:sz w:val="20"/>
          <w:szCs w:val="20"/>
        </w:rPr>
      </w:pPr>
      <w:r>
        <w:rPr>
          <w:rStyle w:val="Emphasis"/>
          <w:rFonts w:ascii="Arial" w:hAnsi="Arial" w:cs="Arial"/>
          <w:i w:val="0"/>
          <w:iCs w:val="0"/>
          <w:sz w:val="20"/>
          <w:szCs w:val="20"/>
        </w:rPr>
        <w:lastRenderedPageBreak/>
        <w:t>I</w:t>
      </w:r>
      <w:r w:rsidRPr="00713A0B">
        <w:rPr>
          <w:rStyle w:val="Emphasis"/>
          <w:rFonts w:ascii="Arial" w:hAnsi="Arial" w:cs="Arial"/>
          <w:i w:val="0"/>
          <w:iCs w:val="0"/>
          <w:sz w:val="20"/>
          <w:szCs w:val="20"/>
        </w:rPr>
        <w:t xml:space="preserve">f the ‘cell indicator field’ in a PDCCH order is </w:t>
      </w:r>
      <w:r>
        <w:rPr>
          <w:rStyle w:val="Emphasis"/>
          <w:rFonts w:ascii="Arial" w:hAnsi="Arial" w:cs="Arial"/>
          <w:i w:val="0"/>
          <w:iCs w:val="0"/>
          <w:sz w:val="20"/>
          <w:szCs w:val="20"/>
        </w:rPr>
        <w:t>set to ‘000’</w:t>
      </w:r>
    </w:p>
    <w:p w14:paraId="5D11682F" w14:textId="77777777" w:rsidR="00A84556" w:rsidRDefault="00A84556" w:rsidP="00A84556">
      <w:pPr>
        <w:pStyle w:val="ListParagraph"/>
        <w:numPr>
          <w:ilvl w:val="2"/>
          <w:numId w:val="66"/>
        </w:numPr>
        <w:jc w:val="both"/>
        <w:rPr>
          <w:rStyle w:val="Emphasis"/>
          <w:rFonts w:ascii="Arial" w:hAnsi="Arial" w:cs="Arial"/>
          <w:i w:val="0"/>
          <w:iCs w:val="0"/>
          <w:sz w:val="20"/>
          <w:szCs w:val="20"/>
        </w:rPr>
      </w:pPr>
      <w:r>
        <w:rPr>
          <w:rStyle w:val="Emphasis"/>
          <w:rFonts w:ascii="Arial" w:hAnsi="Arial" w:cs="Arial"/>
          <w:i w:val="0"/>
          <w:iCs w:val="0"/>
          <w:sz w:val="20"/>
          <w:szCs w:val="20"/>
        </w:rPr>
        <w:t xml:space="preserve">If the ‘PCI indiction’ field is set to ‘0’,the PDCCH orders indicates PRACH for current serving cell;  </w:t>
      </w:r>
    </w:p>
    <w:p w14:paraId="7FD6AD82" w14:textId="77777777" w:rsidR="00A84556" w:rsidRDefault="00A84556" w:rsidP="00A84556">
      <w:pPr>
        <w:pStyle w:val="ListParagraph"/>
        <w:numPr>
          <w:ilvl w:val="2"/>
          <w:numId w:val="66"/>
        </w:numPr>
        <w:jc w:val="both"/>
        <w:rPr>
          <w:rStyle w:val="Emphasis"/>
          <w:rFonts w:ascii="Arial" w:hAnsi="Arial" w:cs="Arial"/>
          <w:i w:val="0"/>
          <w:iCs w:val="0"/>
          <w:sz w:val="20"/>
          <w:szCs w:val="20"/>
        </w:rPr>
      </w:pPr>
      <w:r>
        <w:rPr>
          <w:rStyle w:val="Emphasis"/>
          <w:rFonts w:ascii="Arial" w:hAnsi="Arial" w:cs="Arial"/>
          <w:i w:val="0"/>
          <w:iCs w:val="0"/>
          <w:sz w:val="20"/>
          <w:szCs w:val="20"/>
        </w:rPr>
        <w:t xml:space="preserve">Otherwise, the PDCCH orders indicates PRACH for additional PCI. </w:t>
      </w:r>
    </w:p>
    <w:p w14:paraId="69CB5DA5" w14:textId="77777777" w:rsidR="00A84556" w:rsidRDefault="00A84556" w:rsidP="00A84556">
      <w:pPr>
        <w:pStyle w:val="ListParagraph"/>
        <w:numPr>
          <w:ilvl w:val="1"/>
          <w:numId w:val="66"/>
        </w:numPr>
        <w:jc w:val="both"/>
        <w:rPr>
          <w:rStyle w:val="Emphasis"/>
          <w:rFonts w:ascii="Arial" w:hAnsi="Arial" w:cs="Arial"/>
          <w:i w:val="0"/>
          <w:iCs w:val="0"/>
          <w:sz w:val="20"/>
          <w:szCs w:val="20"/>
        </w:rPr>
      </w:pPr>
      <w:r>
        <w:rPr>
          <w:rStyle w:val="Emphasis"/>
          <w:rFonts w:ascii="Arial" w:hAnsi="Arial" w:cs="Arial"/>
          <w:i w:val="0"/>
          <w:iCs w:val="0"/>
          <w:sz w:val="20"/>
          <w:szCs w:val="20"/>
        </w:rPr>
        <w:t>Otherwise,</w:t>
      </w:r>
    </w:p>
    <w:p w14:paraId="74AA6846" w14:textId="2F5824D3" w:rsidR="00A84556" w:rsidRPr="00A84556" w:rsidRDefault="00A84556" w:rsidP="00A84556">
      <w:pPr>
        <w:pStyle w:val="ListParagraph"/>
        <w:numPr>
          <w:ilvl w:val="2"/>
          <w:numId w:val="66"/>
        </w:numPr>
        <w:jc w:val="both"/>
        <w:rPr>
          <w:rFonts w:ascii="Arial" w:hAnsi="Arial" w:cs="Arial"/>
          <w:sz w:val="20"/>
          <w:szCs w:val="20"/>
        </w:rPr>
      </w:pPr>
      <w:r>
        <w:rPr>
          <w:rStyle w:val="Emphasis"/>
          <w:rFonts w:ascii="Arial" w:hAnsi="Arial" w:cs="Arial"/>
          <w:i w:val="0"/>
          <w:iCs w:val="0"/>
          <w:sz w:val="20"/>
          <w:szCs w:val="20"/>
        </w:rPr>
        <w:t>The PDCCH order triggers PRACH for LTM feature, where the targeted candidate cell is indicated by the ‘</w:t>
      </w:r>
      <w:r w:rsidRPr="00713A0B">
        <w:rPr>
          <w:rStyle w:val="Emphasis"/>
          <w:rFonts w:ascii="Arial" w:hAnsi="Arial" w:cs="Arial"/>
          <w:i w:val="0"/>
          <w:iCs w:val="0"/>
          <w:sz w:val="20"/>
          <w:szCs w:val="20"/>
        </w:rPr>
        <w:t>cell indicator field</w:t>
      </w:r>
      <w:r>
        <w:rPr>
          <w:rStyle w:val="Emphasis"/>
          <w:rFonts w:ascii="Arial" w:hAnsi="Arial" w:cs="Arial"/>
          <w:i w:val="0"/>
          <w:iCs w:val="0"/>
          <w:sz w:val="20"/>
          <w:szCs w:val="20"/>
        </w:rPr>
        <w:t xml:space="preserve">’. </w:t>
      </w:r>
    </w:p>
    <w:p w14:paraId="246E238E" w14:textId="77777777" w:rsidR="009B2914" w:rsidRDefault="009B2914" w:rsidP="0084083C">
      <w:pPr>
        <w:spacing w:before="120"/>
        <w:rPr>
          <w:rFonts w:ascii="Arial" w:hAnsi="Arial" w:cs="Arial"/>
          <w:sz w:val="20"/>
          <w:szCs w:val="20"/>
        </w:rPr>
      </w:pPr>
    </w:p>
    <w:p w14:paraId="0BE4B1BE" w14:textId="5840F16B" w:rsidR="00A84556" w:rsidRDefault="00A84556" w:rsidP="00A84556">
      <w:pPr>
        <w:spacing w:after="120"/>
        <w:rPr>
          <w:rFonts w:ascii="Arial" w:hAnsi="Arial" w:cs="Arial"/>
          <w:b/>
          <w:bCs/>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7F4328">
        <w:rPr>
          <w:rFonts w:ascii="Arial" w:hAnsi="Arial" w:cs="Arial"/>
          <w:b/>
          <w:bCs/>
          <w:sz w:val="20"/>
          <w:szCs w:val="20"/>
          <w:lang w:eastAsia="ja-JP"/>
        </w:rPr>
        <w:t>:</w:t>
      </w:r>
      <w:r>
        <w:rPr>
          <w:rFonts w:ascii="Arial" w:hAnsi="Arial" w:cs="Arial"/>
          <w:b/>
          <w:bCs/>
          <w:sz w:val="20"/>
          <w:szCs w:val="20"/>
          <w:lang w:eastAsia="ja-JP"/>
        </w:rPr>
        <w:t xml:space="preserve"> </w:t>
      </w:r>
    </w:p>
    <w:p w14:paraId="5F837FB7" w14:textId="77777777" w:rsidR="00A84556" w:rsidRDefault="00A84556" w:rsidP="00A84556">
      <w:pPr>
        <w:pStyle w:val="ListParagraph"/>
        <w:numPr>
          <w:ilvl w:val="0"/>
          <w:numId w:val="68"/>
        </w:numPr>
        <w:spacing w:after="120"/>
        <w:rPr>
          <w:rStyle w:val="Emphasis"/>
          <w:rFonts w:ascii="Arial" w:hAnsi="Arial" w:cs="Arial"/>
          <w:sz w:val="20"/>
          <w:szCs w:val="20"/>
        </w:rPr>
      </w:pPr>
      <w:r w:rsidRPr="00C11C38">
        <w:rPr>
          <w:rStyle w:val="Emphasis"/>
          <w:rFonts w:ascii="Arial" w:hAnsi="Arial" w:cs="Arial"/>
          <w:sz w:val="20"/>
          <w:szCs w:val="20"/>
        </w:rPr>
        <w:t xml:space="preserve">When a UE is configured with both the inter-cell multi-DCI based Multi-TRP operation with two TAs and Rel-18 LTM features, UE checks the two fields to determine the usage of </w:t>
      </w:r>
      <w:r>
        <w:rPr>
          <w:rStyle w:val="Emphasis"/>
          <w:rFonts w:ascii="Arial" w:hAnsi="Arial" w:cs="Arial"/>
          <w:sz w:val="20"/>
          <w:szCs w:val="20"/>
        </w:rPr>
        <w:t xml:space="preserve">the detected </w:t>
      </w:r>
      <w:r w:rsidRPr="00C11C38">
        <w:rPr>
          <w:rStyle w:val="Emphasis"/>
          <w:rFonts w:ascii="Arial" w:hAnsi="Arial" w:cs="Arial"/>
          <w:sz w:val="20"/>
          <w:szCs w:val="20"/>
        </w:rPr>
        <w:t>PDCCH order DCI:</w:t>
      </w:r>
    </w:p>
    <w:p w14:paraId="52C78A70" w14:textId="77777777" w:rsidR="00A84556" w:rsidRDefault="00A84556" w:rsidP="00A84556">
      <w:pPr>
        <w:pStyle w:val="ListParagraph"/>
        <w:numPr>
          <w:ilvl w:val="1"/>
          <w:numId w:val="68"/>
        </w:numPr>
        <w:spacing w:after="120"/>
        <w:ind w:left="810"/>
        <w:rPr>
          <w:rStyle w:val="Emphasis"/>
          <w:rFonts w:ascii="Arial" w:hAnsi="Arial" w:cs="Arial"/>
          <w:sz w:val="20"/>
          <w:szCs w:val="20"/>
        </w:rPr>
      </w:pPr>
      <w:r w:rsidRPr="00C11C38">
        <w:rPr>
          <w:rStyle w:val="Emphasis"/>
          <w:rFonts w:ascii="Arial" w:hAnsi="Arial" w:cs="Arial"/>
          <w:sz w:val="20"/>
          <w:szCs w:val="20"/>
        </w:rPr>
        <w:t>If the ‘cell indicator field’ in a PDCCH order is set to ‘000’</w:t>
      </w:r>
      <w:r>
        <w:rPr>
          <w:rStyle w:val="Emphasis"/>
          <w:rFonts w:ascii="Arial" w:hAnsi="Arial" w:cs="Arial"/>
          <w:sz w:val="20"/>
          <w:szCs w:val="20"/>
        </w:rPr>
        <w:t>, the PDCCH order is used for two TAs with mDCI mTRP.</w:t>
      </w:r>
    </w:p>
    <w:p w14:paraId="4C16C74C" w14:textId="77777777" w:rsidR="00A84556" w:rsidRPr="00C11C38" w:rsidRDefault="00A84556" w:rsidP="00A84556">
      <w:pPr>
        <w:pStyle w:val="ListParagraph"/>
        <w:numPr>
          <w:ilvl w:val="2"/>
          <w:numId w:val="68"/>
        </w:numPr>
        <w:spacing w:after="120"/>
        <w:ind w:left="1080" w:hanging="270"/>
        <w:rPr>
          <w:rStyle w:val="Emphasis"/>
          <w:rFonts w:ascii="Arial" w:hAnsi="Arial" w:cs="Arial"/>
          <w:sz w:val="20"/>
          <w:szCs w:val="20"/>
        </w:rPr>
      </w:pPr>
      <w:r w:rsidRPr="00C11C38">
        <w:rPr>
          <w:rStyle w:val="Emphasis"/>
          <w:rFonts w:ascii="Arial" w:hAnsi="Arial" w:cs="Arial"/>
          <w:sz w:val="20"/>
          <w:szCs w:val="20"/>
        </w:rPr>
        <w:t xml:space="preserve">If the ‘PCI indiction’ field is set to ‘0’,the PDCCH orders indicates PRACH for current serving cell;  </w:t>
      </w:r>
    </w:p>
    <w:p w14:paraId="20E89BEF" w14:textId="77777777" w:rsidR="00A84556" w:rsidRPr="00C11C38" w:rsidRDefault="00A84556" w:rsidP="00A84556">
      <w:pPr>
        <w:pStyle w:val="ListParagraph"/>
        <w:numPr>
          <w:ilvl w:val="2"/>
          <w:numId w:val="68"/>
        </w:numPr>
        <w:spacing w:after="120"/>
        <w:ind w:left="1080" w:hanging="270"/>
        <w:rPr>
          <w:rStyle w:val="Emphasis"/>
          <w:rFonts w:ascii="Arial" w:hAnsi="Arial" w:cs="Arial"/>
          <w:sz w:val="20"/>
          <w:szCs w:val="20"/>
        </w:rPr>
      </w:pPr>
      <w:r w:rsidRPr="00C11C38">
        <w:rPr>
          <w:rStyle w:val="Emphasis"/>
          <w:rFonts w:ascii="Arial" w:hAnsi="Arial" w:cs="Arial"/>
          <w:sz w:val="20"/>
          <w:szCs w:val="20"/>
        </w:rPr>
        <w:t xml:space="preserve">Otherwise, the PDCCH orders indicates PRACH for additional PCI. </w:t>
      </w:r>
    </w:p>
    <w:p w14:paraId="620FD37B" w14:textId="3801784D" w:rsidR="00A84556" w:rsidRPr="008D5F20" w:rsidRDefault="00A84556" w:rsidP="008D5F20">
      <w:pPr>
        <w:pStyle w:val="ListParagraph"/>
        <w:numPr>
          <w:ilvl w:val="1"/>
          <w:numId w:val="68"/>
        </w:numPr>
        <w:spacing w:after="120"/>
        <w:ind w:left="720" w:hanging="270"/>
        <w:rPr>
          <w:rFonts w:ascii="Arial" w:hAnsi="Arial" w:cs="Arial"/>
          <w:i/>
          <w:iCs/>
          <w:sz w:val="20"/>
          <w:szCs w:val="20"/>
        </w:rPr>
      </w:pPr>
      <w:r w:rsidRPr="00C11C38">
        <w:rPr>
          <w:rStyle w:val="Emphasis"/>
          <w:rFonts w:ascii="Arial" w:hAnsi="Arial" w:cs="Arial"/>
          <w:sz w:val="20"/>
          <w:szCs w:val="20"/>
        </w:rPr>
        <w:t xml:space="preserve">Otherwise, The PDCCH order triggers PRACH for LTM feature, where the targeted candidate cell is indicated by the ‘cell indicator field’. </w:t>
      </w:r>
    </w:p>
    <w:p w14:paraId="1988D034" w14:textId="16971636" w:rsidR="00706467" w:rsidRDefault="00706467" w:rsidP="00706467">
      <w:pPr>
        <w:pStyle w:val="Heading1"/>
        <w:ind w:left="1140" w:hanging="1140"/>
        <w:jc w:val="both"/>
        <w:rPr>
          <w:rFonts w:cs="Arial"/>
          <w:lang w:val="en-US"/>
        </w:rPr>
      </w:pPr>
      <w:r>
        <w:rPr>
          <w:rFonts w:cs="Arial"/>
          <w:lang w:val="en-US"/>
        </w:rPr>
        <w:t>3</w:t>
      </w:r>
      <w:r w:rsidRPr="00D145E6">
        <w:rPr>
          <w:rFonts w:cs="Arial"/>
          <w:lang w:val="en-US"/>
        </w:rPr>
        <w:t>.</w:t>
      </w:r>
      <w:r w:rsidRPr="00507777">
        <w:rPr>
          <w:rFonts w:cs="Arial"/>
          <w:lang w:val="en-US"/>
        </w:rPr>
        <w:t xml:space="preserve"> </w:t>
      </w:r>
      <w:r>
        <w:rPr>
          <w:rFonts w:cs="Arial"/>
          <w:lang w:val="en-US"/>
        </w:rPr>
        <w:t xml:space="preserve"> Others</w:t>
      </w:r>
      <w:r w:rsidR="00676DB3">
        <w:rPr>
          <w:rFonts w:cs="Arial"/>
          <w:lang w:val="en-US"/>
        </w:rPr>
        <w:t xml:space="preserve"> Aspects</w:t>
      </w:r>
    </w:p>
    <w:p w14:paraId="5DBA129E" w14:textId="75F554E0" w:rsidR="00152784" w:rsidRDefault="00276B9F" w:rsidP="00B32677">
      <w:pPr>
        <w:spacing w:before="120"/>
        <w:jc w:val="both"/>
        <w:rPr>
          <w:rFonts w:ascii="Arial" w:hAnsi="Arial" w:cs="Arial"/>
          <w:sz w:val="20"/>
          <w:szCs w:val="20"/>
        </w:rPr>
      </w:pPr>
      <w:r>
        <w:rPr>
          <w:rFonts w:ascii="Arial" w:hAnsi="Arial" w:cs="Arial"/>
          <w:sz w:val="20"/>
          <w:szCs w:val="20"/>
        </w:rPr>
        <w:t xml:space="preserve">In RAN1 </w:t>
      </w:r>
      <w:r w:rsidR="00A27B9A">
        <w:rPr>
          <w:rFonts w:ascii="Arial" w:hAnsi="Arial" w:cs="Arial"/>
          <w:sz w:val="20"/>
          <w:szCs w:val="20"/>
        </w:rPr>
        <w:t xml:space="preserve">114 meeting, one issue was brough up for discussion regarding whether and how to indicate the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TA_offset</m:t>
            </m:r>
          </m:sub>
        </m:sSub>
      </m:oMath>
      <w:r w:rsidR="00A27B9A">
        <w:rPr>
          <w:rFonts w:ascii="Arial" w:hAnsi="Arial" w:cs="Arial"/>
          <w:sz w:val="20"/>
          <w:szCs w:val="20"/>
        </w:rPr>
        <w:t xml:space="preserve"> for target cell [3].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TA_offset</m:t>
            </m:r>
          </m:sub>
        </m:sSub>
      </m:oMath>
      <w:r w:rsidR="00A27B9A">
        <w:rPr>
          <w:rFonts w:ascii="Arial" w:hAnsi="Arial" w:cs="Arial"/>
          <w:sz w:val="20"/>
          <w:szCs w:val="20"/>
        </w:rPr>
        <w:t xml:space="preserve"> is applied for both FDD and TDD when deployments do not involve LTE, which either acounts for the base station transmitter activation delay (e.g, TDD system) or ensure the uplink timing synchronization for TDD/FDD CA case. </w:t>
      </w:r>
      <w:r w:rsidR="00DB1C42">
        <w:rPr>
          <w:rFonts w:ascii="Arial" w:hAnsi="Arial" w:cs="Arial"/>
          <w:sz w:val="20"/>
          <w:szCs w:val="20"/>
        </w:rPr>
        <w:t>Three values</w:t>
      </w:r>
      <w:r w:rsidR="00A27B9A">
        <w:rPr>
          <w:rFonts w:ascii="Arial" w:hAnsi="Arial" w:cs="Arial"/>
          <w:sz w:val="20"/>
          <w:szCs w:val="20"/>
        </w:rPr>
        <w:t xml:space="preserve"> are supported</w:t>
      </w:r>
      <w:r w:rsidR="001E2E97">
        <w:rPr>
          <w:rFonts w:ascii="Arial" w:hAnsi="Arial" w:cs="Arial"/>
          <w:sz w:val="20"/>
          <w:szCs w:val="20"/>
        </w:rPr>
        <w:t xml:space="preserve"> for </w:t>
      </w:r>
      <w:r w:rsidR="00DB1C42">
        <w:rPr>
          <w:rFonts w:ascii="Arial" w:hAnsi="Arial" w:cs="Arial"/>
          <w:sz w:val="20"/>
          <w:szCs w:val="20"/>
        </w:rPr>
        <w:t>FR1</w:t>
      </w:r>
      <w:r w:rsidR="001E2E97">
        <w:rPr>
          <w:rFonts w:ascii="Arial" w:hAnsi="Arial" w:cs="Arial"/>
          <w:sz w:val="20"/>
          <w:szCs w:val="20"/>
        </w:rPr>
        <w:t>,</w:t>
      </w:r>
      <w:r w:rsidR="00A27B9A">
        <w:rPr>
          <w:rFonts w:ascii="Arial" w:hAnsi="Arial" w:cs="Arial"/>
          <w:sz w:val="20"/>
          <w:szCs w:val="20"/>
        </w:rPr>
        <w:t xml:space="preserve"> i.e., </w:t>
      </w:r>
      <w:r w:rsidR="001E2E97">
        <w:rPr>
          <w:rFonts w:ascii="Arial" w:hAnsi="Arial" w:cs="Arial"/>
          <w:sz w:val="20"/>
          <w:szCs w:val="20"/>
        </w:rPr>
        <w:t>0/</w:t>
      </w:r>
      <w:r w:rsidR="00A27B9A">
        <w:rPr>
          <w:rFonts w:ascii="Arial" w:hAnsi="Arial" w:cs="Arial"/>
          <w:sz w:val="20"/>
          <w:szCs w:val="20"/>
        </w:rPr>
        <w:t>25600</w:t>
      </w:r>
      <w:r w:rsidR="001E2E97">
        <w:rPr>
          <w:rFonts w:ascii="Arial" w:hAnsi="Arial" w:cs="Arial"/>
          <w:sz w:val="20"/>
          <w:szCs w:val="20"/>
        </w:rPr>
        <w:t xml:space="preserve">/39936 in different use cases. For FR2, a single value is supported i.e., n13792 and hence no need to indicate the value. </w:t>
      </w:r>
      <w:r w:rsidR="00DB1C42">
        <w:rPr>
          <w:rFonts w:ascii="Arial" w:hAnsi="Arial" w:cs="Arial"/>
          <w:sz w:val="20"/>
          <w:szCs w:val="20"/>
        </w:rPr>
        <w:t xml:space="preserve">For FR1, a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TA_offset</m:t>
            </m:r>
          </m:sub>
        </m:sSub>
      </m:oMath>
      <w:r w:rsidR="00DB1C42">
        <w:rPr>
          <w:rFonts w:ascii="Arial" w:hAnsi="Arial" w:cs="Arial"/>
          <w:sz w:val="20"/>
          <w:szCs w:val="20"/>
        </w:rPr>
        <w:t xml:space="preserve"> value is either indicated in SIB1 (for PCell) or ‘servingCellConfigCommon’ IE (for SCell). </w:t>
      </w:r>
    </w:p>
    <w:p w14:paraId="4BB851A3" w14:textId="4ED103F6" w:rsidR="00DB1C42" w:rsidRDefault="00000000" w:rsidP="00B32677">
      <w:pPr>
        <w:spacing w:before="120"/>
        <w:jc w:val="both"/>
        <w:rPr>
          <w:rFonts w:ascii="Arial" w:hAnsi="Arial" w:cs="Arial"/>
          <w:sz w:val="20"/>
          <w:szCs w:val="20"/>
        </w:rPr>
      </w:pP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TA_offset</m:t>
            </m:r>
          </m:sub>
        </m:sSub>
      </m:oMath>
      <w:r w:rsidR="00312F09">
        <w:rPr>
          <w:rFonts w:ascii="Arial" w:hAnsi="Arial" w:cs="Arial"/>
          <w:sz w:val="20"/>
          <w:szCs w:val="20"/>
        </w:rPr>
        <w:t xml:space="preserve"> value is up to 20us for FR1 TDD band with LTE-NR co-existence scneairo. For the early UL sync procedure trigger by PDCCH-order before cell-switch command or CBRA procedure after cell-switching comand, it is imporant to apply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TA_offset</m:t>
            </m:r>
          </m:sub>
        </m:sSub>
      </m:oMath>
      <w:r w:rsidR="00312F09">
        <w:rPr>
          <w:rFonts w:ascii="Arial" w:hAnsi="Arial" w:cs="Arial"/>
          <w:sz w:val="20"/>
          <w:szCs w:val="20"/>
        </w:rPr>
        <w:t xml:space="preserve"> for the PRACH and Msg3 to avoid the interference on UL transmissons from other UEs of the target cell.  </w:t>
      </w:r>
    </w:p>
    <w:p w14:paraId="350A2AF9" w14:textId="77777777" w:rsidR="008D5F20" w:rsidRDefault="008D5F20" w:rsidP="006B7BEA">
      <w:pPr>
        <w:spacing w:before="120" w:after="120"/>
        <w:rPr>
          <w:rFonts w:ascii="Arial" w:hAnsi="Arial" w:cs="Arial"/>
          <w:sz w:val="20"/>
          <w:szCs w:val="20"/>
        </w:rPr>
      </w:pPr>
    </w:p>
    <w:p w14:paraId="0E4BDA52" w14:textId="1FBD1CE4" w:rsidR="006B7BEA" w:rsidRDefault="006B7BEA" w:rsidP="006B7BEA">
      <w:pPr>
        <w:spacing w:before="120" w:after="120"/>
        <w:rPr>
          <w:rFonts w:ascii="Arial" w:hAnsi="Arial" w:cs="Arial"/>
          <w:sz w:val="20"/>
          <w:szCs w:val="20"/>
        </w:rPr>
      </w:pPr>
      <w:r>
        <w:rPr>
          <w:rFonts w:ascii="Arial" w:hAnsi="Arial" w:cs="Arial"/>
          <w:sz w:val="20"/>
          <w:szCs w:val="20"/>
        </w:rPr>
        <w:t xml:space="preserve">We therefore propose the following: </w:t>
      </w:r>
    </w:p>
    <w:p w14:paraId="36B4BE95" w14:textId="4C3D6721" w:rsidR="00A84556" w:rsidRPr="008D5F20" w:rsidRDefault="006B7BEA" w:rsidP="008D5F20">
      <w:pPr>
        <w:spacing w:after="120"/>
        <w:rPr>
          <w:rFonts w:ascii="Arial" w:hAnsi="Arial" w:cs="Arial"/>
          <w:b/>
          <w:bCs/>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2</w:t>
      </w:r>
      <w:r w:rsidRPr="007F4328">
        <w:rPr>
          <w:rFonts w:ascii="Arial" w:hAnsi="Arial" w:cs="Arial"/>
          <w:b/>
          <w:bCs/>
          <w:sz w:val="20"/>
          <w:szCs w:val="20"/>
          <w:lang w:eastAsia="ja-JP"/>
        </w:rPr>
        <w:t>:</w:t>
      </w:r>
      <w:r>
        <w:rPr>
          <w:rFonts w:ascii="Arial" w:hAnsi="Arial" w:cs="Arial"/>
          <w:b/>
          <w:bCs/>
          <w:sz w:val="20"/>
          <w:szCs w:val="20"/>
          <w:lang w:eastAsia="ja-JP"/>
        </w:rPr>
        <w:t xml:space="preserve"> </w:t>
      </w:r>
      <w:r w:rsidR="00B32677" w:rsidRPr="008D5F20">
        <w:rPr>
          <w:rFonts w:ascii="Arial" w:hAnsi="Arial" w:cs="Arial"/>
          <w:sz w:val="20"/>
          <w:szCs w:val="20"/>
        </w:rPr>
        <w:t xml:space="preserve"> </w:t>
      </w:r>
      <m:oMath>
        <m:sSub>
          <m:sSubPr>
            <m:ctrlPr>
              <w:rPr>
                <w:rFonts w:ascii="Cambria Math" w:hAnsi="Cambria Math" w:cs="Arial"/>
                <w:b/>
                <w:bCs/>
                <w:iCs/>
                <w:sz w:val="20"/>
                <w:szCs w:val="20"/>
              </w:rPr>
            </m:ctrlPr>
          </m:sSubPr>
          <m:e>
            <m:r>
              <m:rPr>
                <m:sty m:val="b"/>
              </m:rPr>
              <w:rPr>
                <w:rFonts w:ascii="Cambria Math" w:hAnsi="Cambria Math" w:cs="Arial"/>
                <w:sz w:val="20"/>
                <w:szCs w:val="20"/>
              </w:rPr>
              <m:t>N</m:t>
            </m:r>
          </m:e>
          <m:sub>
            <m:r>
              <m:rPr>
                <m:sty m:val="b"/>
              </m:rPr>
              <w:rPr>
                <w:rFonts w:ascii="Cambria Math" w:hAnsi="Cambria Math" w:cs="Arial"/>
                <w:sz w:val="20"/>
                <w:szCs w:val="20"/>
              </w:rPr>
              <m:t>TA_offset</m:t>
            </m:r>
          </m:sub>
        </m:sSub>
      </m:oMath>
      <w:r w:rsidR="00B32677" w:rsidRPr="008D5F20">
        <w:rPr>
          <w:rFonts w:ascii="Arial" w:hAnsi="Arial" w:cs="Arial"/>
          <w:b/>
          <w:bCs/>
          <w:iCs/>
          <w:sz w:val="20"/>
          <w:szCs w:val="20"/>
        </w:rPr>
        <w:t xml:space="preserve"> is pre-configured to UE for each candidate cell on FR1.</w:t>
      </w:r>
      <w:r w:rsidR="00B32677" w:rsidRPr="008D5F20">
        <w:rPr>
          <w:rFonts w:ascii="Arial" w:hAnsi="Arial" w:cs="Arial"/>
          <w:i/>
          <w:iCs/>
          <w:sz w:val="20"/>
          <w:szCs w:val="20"/>
        </w:rPr>
        <w:t xml:space="preserve"> </w:t>
      </w:r>
    </w:p>
    <w:p w14:paraId="40028204" w14:textId="3CC34B2E" w:rsidR="006E2C0F" w:rsidRPr="00404C4B" w:rsidRDefault="00676DB3" w:rsidP="006E2C0F">
      <w:pPr>
        <w:pStyle w:val="Heading1"/>
        <w:rPr>
          <w:rFonts w:cs="Arial"/>
          <w:lang w:val="en-US" w:eastAsia="zh-CN"/>
        </w:rPr>
      </w:pPr>
      <w:r>
        <w:rPr>
          <w:rFonts w:cs="Arial"/>
          <w:lang w:val="en-US"/>
        </w:rPr>
        <w:t>4</w:t>
      </w:r>
      <w:r w:rsidR="006E2C0F" w:rsidRPr="00404C4B">
        <w:rPr>
          <w:rFonts w:cs="Arial"/>
          <w:lang w:val="en-US"/>
        </w:rPr>
        <w:t>. C</w:t>
      </w:r>
      <w:r w:rsidR="006E2C0F" w:rsidRPr="00404C4B">
        <w:rPr>
          <w:rFonts w:cs="Arial"/>
          <w:lang w:val="en-US" w:eastAsia="zh-CN"/>
        </w:rPr>
        <w:t xml:space="preserve">onclusion </w:t>
      </w:r>
    </w:p>
    <w:p w14:paraId="70216408" w14:textId="176FAF0E" w:rsidR="00FC452B" w:rsidRDefault="00DE21E8" w:rsidP="00A27709">
      <w:pPr>
        <w:rPr>
          <w:rFonts w:ascii="Arial" w:hAnsi="Arial" w:cs="Arial"/>
          <w:sz w:val="20"/>
          <w:szCs w:val="20"/>
        </w:rPr>
      </w:pPr>
      <w:r w:rsidRPr="00C73E11">
        <w:rPr>
          <w:rFonts w:ascii="Arial" w:hAnsi="Arial" w:cs="Arial"/>
          <w:sz w:val="20"/>
          <w:szCs w:val="20"/>
        </w:rPr>
        <w:t>In this contribution, w</w:t>
      </w:r>
      <w:r w:rsidR="00FC452B">
        <w:rPr>
          <w:rFonts w:ascii="Arial" w:hAnsi="Arial" w:cs="Arial"/>
          <w:sz w:val="20"/>
          <w:szCs w:val="20"/>
        </w:rPr>
        <w:t xml:space="preserve">e provided </w:t>
      </w:r>
      <w:r w:rsidR="008F087B">
        <w:rPr>
          <w:rFonts w:ascii="Arial" w:hAnsi="Arial" w:cs="Arial"/>
          <w:sz w:val="20"/>
          <w:szCs w:val="20"/>
        </w:rPr>
        <w:t xml:space="preserve">our views on </w:t>
      </w:r>
      <w:r w:rsidR="00FC452B">
        <w:rPr>
          <w:rFonts w:ascii="Arial" w:hAnsi="Arial" w:cs="Arial"/>
          <w:sz w:val="20"/>
          <w:szCs w:val="20"/>
        </w:rPr>
        <w:t xml:space="preserve">various open issues. Based on the discussions, we proposed the following: </w:t>
      </w:r>
    </w:p>
    <w:p w14:paraId="425A54D4" w14:textId="77777777" w:rsidR="00317C96" w:rsidRDefault="00317C96" w:rsidP="00A27709">
      <w:pPr>
        <w:rPr>
          <w:rFonts w:ascii="Arial" w:hAnsi="Arial" w:cs="Arial"/>
          <w:sz w:val="20"/>
          <w:szCs w:val="20"/>
        </w:rPr>
      </w:pPr>
    </w:p>
    <w:p w14:paraId="60465739" w14:textId="77777777" w:rsidR="008D5F20" w:rsidRDefault="008D5F20" w:rsidP="008D5F20">
      <w:pPr>
        <w:spacing w:after="120"/>
        <w:rPr>
          <w:rFonts w:ascii="Arial" w:hAnsi="Arial" w:cs="Arial"/>
          <w:b/>
          <w:bCs/>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7F4328">
        <w:rPr>
          <w:rFonts w:ascii="Arial" w:hAnsi="Arial" w:cs="Arial"/>
          <w:b/>
          <w:bCs/>
          <w:sz w:val="20"/>
          <w:szCs w:val="20"/>
          <w:lang w:eastAsia="ja-JP"/>
        </w:rPr>
        <w:t>:</w:t>
      </w:r>
      <w:r>
        <w:rPr>
          <w:rFonts w:ascii="Arial" w:hAnsi="Arial" w:cs="Arial"/>
          <w:b/>
          <w:bCs/>
          <w:sz w:val="20"/>
          <w:szCs w:val="20"/>
          <w:lang w:eastAsia="ja-JP"/>
        </w:rPr>
        <w:t xml:space="preserve"> </w:t>
      </w:r>
    </w:p>
    <w:p w14:paraId="058D0F0F" w14:textId="77777777" w:rsidR="008D5F20" w:rsidRDefault="008D5F20" w:rsidP="008D5F20">
      <w:pPr>
        <w:pStyle w:val="ListParagraph"/>
        <w:numPr>
          <w:ilvl w:val="0"/>
          <w:numId w:val="68"/>
        </w:numPr>
        <w:spacing w:after="120"/>
        <w:rPr>
          <w:rStyle w:val="Emphasis"/>
          <w:rFonts w:ascii="Arial" w:hAnsi="Arial" w:cs="Arial"/>
          <w:sz w:val="20"/>
          <w:szCs w:val="20"/>
        </w:rPr>
      </w:pPr>
      <w:r w:rsidRPr="00C11C38">
        <w:rPr>
          <w:rStyle w:val="Emphasis"/>
          <w:rFonts w:ascii="Arial" w:hAnsi="Arial" w:cs="Arial"/>
          <w:sz w:val="20"/>
          <w:szCs w:val="20"/>
        </w:rPr>
        <w:t xml:space="preserve">When a UE is configured with both the inter-cell multi-DCI based Multi-TRP operation with two TAs and Rel-18 LTM features, UE checks the two fields to determine the usage of </w:t>
      </w:r>
      <w:r>
        <w:rPr>
          <w:rStyle w:val="Emphasis"/>
          <w:rFonts w:ascii="Arial" w:hAnsi="Arial" w:cs="Arial"/>
          <w:sz w:val="20"/>
          <w:szCs w:val="20"/>
        </w:rPr>
        <w:t xml:space="preserve">the detected </w:t>
      </w:r>
      <w:r w:rsidRPr="00C11C38">
        <w:rPr>
          <w:rStyle w:val="Emphasis"/>
          <w:rFonts w:ascii="Arial" w:hAnsi="Arial" w:cs="Arial"/>
          <w:sz w:val="20"/>
          <w:szCs w:val="20"/>
        </w:rPr>
        <w:t>PDCCH order DCI:</w:t>
      </w:r>
    </w:p>
    <w:p w14:paraId="0F8774C4" w14:textId="77777777" w:rsidR="008D5F20" w:rsidRDefault="008D5F20" w:rsidP="008D5F20">
      <w:pPr>
        <w:pStyle w:val="ListParagraph"/>
        <w:numPr>
          <w:ilvl w:val="1"/>
          <w:numId w:val="68"/>
        </w:numPr>
        <w:spacing w:after="120"/>
        <w:ind w:left="810"/>
        <w:rPr>
          <w:rStyle w:val="Emphasis"/>
          <w:rFonts w:ascii="Arial" w:hAnsi="Arial" w:cs="Arial"/>
          <w:sz w:val="20"/>
          <w:szCs w:val="20"/>
        </w:rPr>
      </w:pPr>
      <w:r w:rsidRPr="00C11C38">
        <w:rPr>
          <w:rStyle w:val="Emphasis"/>
          <w:rFonts w:ascii="Arial" w:hAnsi="Arial" w:cs="Arial"/>
          <w:sz w:val="20"/>
          <w:szCs w:val="20"/>
        </w:rPr>
        <w:t>If the ‘cell indicator field’ in a PDCCH order is set to ‘000’</w:t>
      </w:r>
      <w:r>
        <w:rPr>
          <w:rStyle w:val="Emphasis"/>
          <w:rFonts w:ascii="Arial" w:hAnsi="Arial" w:cs="Arial"/>
          <w:sz w:val="20"/>
          <w:szCs w:val="20"/>
        </w:rPr>
        <w:t>, the PDCCH order is used for two TAs with mDCI mTRP.</w:t>
      </w:r>
    </w:p>
    <w:p w14:paraId="5A972D29" w14:textId="77777777" w:rsidR="008D5F20" w:rsidRPr="00C11C38" w:rsidRDefault="008D5F20" w:rsidP="008D5F20">
      <w:pPr>
        <w:pStyle w:val="ListParagraph"/>
        <w:numPr>
          <w:ilvl w:val="2"/>
          <w:numId w:val="68"/>
        </w:numPr>
        <w:spacing w:after="120"/>
        <w:ind w:left="1080" w:hanging="270"/>
        <w:rPr>
          <w:rStyle w:val="Emphasis"/>
          <w:rFonts w:ascii="Arial" w:hAnsi="Arial" w:cs="Arial"/>
          <w:sz w:val="20"/>
          <w:szCs w:val="20"/>
        </w:rPr>
      </w:pPr>
      <w:r w:rsidRPr="00C11C38">
        <w:rPr>
          <w:rStyle w:val="Emphasis"/>
          <w:rFonts w:ascii="Arial" w:hAnsi="Arial" w:cs="Arial"/>
          <w:sz w:val="20"/>
          <w:szCs w:val="20"/>
        </w:rPr>
        <w:t xml:space="preserve">If the ‘PCI indiction’ field is set to ‘0’,the PDCCH orders indicates PRACH for current serving cell;  </w:t>
      </w:r>
    </w:p>
    <w:p w14:paraId="74AC734E" w14:textId="77777777" w:rsidR="008D5F20" w:rsidRPr="00C11C38" w:rsidRDefault="008D5F20" w:rsidP="008D5F20">
      <w:pPr>
        <w:pStyle w:val="ListParagraph"/>
        <w:numPr>
          <w:ilvl w:val="2"/>
          <w:numId w:val="68"/>
        </w:numPr>
        <w:spacing w:after="120"/>
        <w:ind w:left="1080" w:hanging="270"/>
        <w:rPr>
          <w:rStyle w:val="Emphasis"/>
          <w:rFonts w:ascii="Arial" w:hAnsi="Arial" w:cs="Arial"/>
          <w:sz w:val="20"/>
          <w:szCs w:val="20"/>
        </w:rPr>
      </w:pPr>
      <w:r w:rsidRPr="00C11C38">
        <w:rPr>
          <w:rStyle w:val="Emphasis"/>
          <w:rFonts w:ascii="Arial" w:hAnsi="Arial" w:cs="Arial"/>
          <w:sz w:val="20"/>
          <w:szCs w:val="20"/>
        </w:rPr>
        <w:t xml:space="preserve">Otherwise, the PDCCH orders indicates PRACH for additional PCI. </w:t>
      </w:r>
    </w:p>
    <w:p w14:paraId="16D06961" w14:textId="77777777" w:rsidR="008D5F20" w:rsidRPr="00C11C38" w:rsidRDefault="008D5F20" w:rsidP="008D5F20">
      <w:pPr>
        <w:pStyle w:val="ListParagraph"/>
        <w:numPr>
          <w:ilvl w:val="1"/>
          <w:numId w:val="68"/>
        </w:numPr>
        <w:spacing w:after="120"/>
        <w:ind w:left="720" w:hanging="270"/>
        <w:rPr>
          <w:rStyle w:val="Emphasis"/>
          <w:rFonts w:ascii="Arial" w:hAnsi="Arial" w:cs="Arial"/>
          <w:sz w:val="20"/>
          <w:szCs w:val="20"/>
        </w:rPr>
      </w:pPr>
      <w:r w:rsidRPr="00C11C38">
        <w:rPr>
          <w:rStyle w:val="Emphasis"/>
          <w:rFonts w:ascii="Arial" w:hAnsi="Arial" w:cs="Arial"/>
          <w:sz w:val="20"/>
          <w:szCs w:val="20"/>
        </w:rPr>
        <w:t xml:space="preserve">Otherwise, The PDCCH order triggers PRACH for LTM feature, where the targeted candidate cell is indicated by the ‘cell indicator field’. </w:t>
      </w:r>
    </w:p>
    <w:p w14:paraId="4229FFC7" w14:textId="77777777" w:rsidR="008D5F20" w:rsidRDefault="008D5F20" w:rsidP="00A27709">
      <w:pPr>
        <w:rPr>
          <w:rFonts w:ascii="Arial" w:hAnsi="Arial" w:cs="Arial"/>
          <w:sz w:val="20"/>
          <w:szCs w:val="20"/>
        </w:rPr>
      </w:pPr>
    </w:p>
    <w:p w14:paraId="3C8C49AD" w14:textId="2B70EFC0" w:rsidR="00317C96" w:rsidRPr="008D5F20" w:rsidRDefault="008D5F20" w:rsidP="008D5F20">
      <w:pPr>
        <w:spacing w:after="120"/>
        <w:rPr>
          <w:rFonts w:ascii="Arial" w:hAnsi="Arial" w:cs="Arial"/>
          <w:b/>
          <w:bCs/>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2</w:t>
      </w:r>
      <w:r w:rsidRPr="007F4328">
        <w:rPr>
          <w:rFonts w:ascii="Arial" w:hAnsi="Arial" w:cs="Arial"/>
          <w:b/>
          <w:bCs/>
          <w:sz w:val="20"/>
          <w:szCs w:val="20"/>
          <w:lang w:eastAsia="ja-JP"/>
        </w:rPr>
        <w:t>:</w:t>
      </w:r>
      <w:r>
        <w:rPr>
          <w:rFonts w:ascii="Arial" w:hAnsi="Arial" w:cs="Arial"/>
          <w:b/>
          <w:bCs/>
          <w:sz w:val="20"/>
          <w:szCs w:val="20"/>
          <w:lang w:eastAsia="ja-JP"/>
        </w:rPr>
        <w:t xml:space="preserve"> </w:t>
      </w:r>
      <w:r w:rsidRPr="008D5F20">
        <w:rPr>
          <w:rFonts w:ascii="Arial" w:hAnsi="Arial" w:cs="Arial"/>
          <w:sz w:val="20"/>
          <w:szCs w:val="20"/>
        </w:rPr>
        <w:t xml:space="preserve"> </w:t>
      </w:r>
      <m:oMath>
        <m:sSub>
          <m:sSubPr>
            <m:ctrlPr>
              <w:rPr>
                <w:rFonts w:ascii="Cambria Math" w:hAnsi="Cambria Math" w:cs="Arial"/>
                <w:b/>
                <w:bCs/>
                <w:iCs/>
                <w:sz w:val="20"/>
                <w:szCs w:val="20"/>
              </w:rPr>
            </m:ctrlPr>
          </m:sSubPr>
          <m:e>
            <m:r>
              <m:rPr>
                <m:sty m:val="b"/>
              </m:rPr>
              <w:rPr>
                <w:rFonts w:ascii="Cambria Math" w:hAnsi="Cambria Math" w:cs="Arial"/>
                <w:sz w:val="20"/>
                <w:szCs w:val="20"/>
              </w:rPr>
              <m:t>N</m:t>
            </m:r>
          </m:e>
          <m:sub>
            <m:r>
              <m:rPr>
                <m:sty m:val="b"/>
              </m:rPr>
              <w:rPr>
                <w:rFonts w:ascii="Cambria Math" w:hAnsi="Cambria Math" w:cs="Arial"/>
                <w:sz w:val="20"/>
                <w:szCs w:val="20"/>
              </w:rPr>
              <m:t>TA_offset</m:t>
            </m:r>
          </m:sub>
        </m:sSub>
      </m:oMath>
      <w:r w:rsidRPr="008D5F20">
        <w:rPr>
          <w:rFonts w:ascii="Arial" w:hAnsi="Arial" w:cs="Arial"/>
          <w:b/>
          <w:bCs/>
          <w:iCs/>
          <w:sz w:val="20"/>
          <w:szCs w:val="20"/>
        </w:rPr>
        <w:t xml:space="preserve"> is pre-configured to UE for each candidate cell on FR1.</w:t>
      </w:r>
      <w:r w:rsidRPr="008D5F20">
        <w:rPr>
          <w:rFonts w:ascii="Arial" w:hAnsi="Arial" w:cs="Arial"/>
          <w:i/>
          <w:iCs/>
          <w:sz w:val="20"/>
          <w:szCs w:val="20"/>
        </w:rPr>
        <w:t xml:space="preserve"> </w:t>
      </w:r>
    </w:p>
    <w:p w14:paraId="69293581" w14:textId="2E823400" w:rsidR="007A7D4E" w:rsidRDefault="006E2C0F" w:rsidP="008D5F20">
      <w:pPr>
        <w:pStyle w:val="Heading1"/>
        <w:pBdr>
          <w:top w:val="single" w:sz="12" w:space="4" w:color="auto"/>
        </w:pBdr>
        <w:tabs>
          <w:tab w:val="left" w:pos="720"/>
          <w:tab w:val="left" w:pos="1440"/>
          <w:tab w:val="left" w:pos="2160"/>
          <w:tab w:val="center" w:pos="4986"/>
        </w:tabs>
        <w:ind w:left="0" w:firstLine="0"/>
        <w:rPr>
          <w:rFonts w:cs="Arial"/>
          <w:lang w:val="en-US"/>
        </w:rPr>
      </w:pPr>
      <w:r w:rsidRPr="00404C4B">
        <w:rPr>
          <w:rFonts w:cs="Arial"/>
          <w:lang w:val="en-US"/>
        </w:rPr>
        <w:lastRenderedPageBreak/>
        <w:t>References</w:t>
      </w:r>
      <w:r w:rsidR="00B26360" w:rsidRPr="00CD48C4">
        <w:rPr>
          <w:rFonts w:cs="Arial"/>
          <w:lang w:val="en-US" w:eastAsia="zh-CN"/>
        </w:rPr>
        <w:tab/>
      </w:r>
      <w:r w:rsidR="008D5F20">
        <w:rPr>
          <w:rFonts w:cs="Arial"/>
          <w:lang w:val="en-US" w:eastAsia="zh-CN"/>
        </w:rPr>
        <w:tab/>
      </w:r>
    </w:p>
    <w:p w14:paraId="0DB4BEA1" w14:textId="77777777" w:rsidR="00DE21E8" w:rsidRPr="00C73E11" w:rsidRDefault="00DE21E8" w:rsidP="00DE21E8">
      <w:pPr>
        <w:numPr>
          <w:ilvl w:val="0"/>
          <w:numId w:val="1"/>
        </w:numPr>
        <w:jc w:val="both"/>
        <w:rPr>
          <w:rFonts w:ascii="Arial" w:hAnsi="Arial" w:cs="Arial"/>
          <w:sz w:val="20"/>
          <w:szCs w:val="20"/>
        </w:rPr>
      </w:pPr>
      <w:bookmarkStart w:id="2" w:name="_Ref114816142"/>
      <w:r w:rsidRPr="00C73E11">
        <w:rPr>
          <w:rFonts w:ascii="Arial" w:hAnsi="Arial" w:cs="Arial"/>
          <w:sz w:val="20"/>
          <w:szCs w:val="20"/>
        </w:rPr>
        <w:t>RP-213565, New WID on Further NR mobility enhancements, MediaTek, RAN#94e, December 2021</w:t>
      </w:r>
      <w:bookmarkEnd w:id="2"/>
    </w:p>
    <w:p w14:paraId="25DCABF6" w14:textId="77777777" w:rsidR="00A27B9A" w:rsidRDefault="00850AA0" w:rsidP="00A27B9A">
      <w:pPr>
        <w:numPr>
          <w:ilvl w:val="0"/>
          <w:numId w:val="1"/>
        </w:numPr>
        <w:jc w:val="both"/>
        <w:rPr>
          <w:rFonts w:ascii="Arial" w:hAnsi="Arial" w:cs="Arial"/>
          <w:sz w:val="20"/>
          <w:szCs w:val="20"/>
        </w:rPr>
      </w:pPr>
      <w:r w:rsidRPr="00C73E11">
        <w:rPr>
          <w:rFonts w:ascii="Arial" w:hAnsi="Arial" w:cs="Arial"/>
          <w:sz w:val="20"/>
          <w:szCs w:val="20"/>
        </w:rPr>
        <w:t>RAN1 11</w:t>
      </w:r>
      <w:r w:rsidR="001B15D6">
        <w:rPr>
          <w:rFonts w:ascii="Arial" w:hAnsi="Arial" w:cs="Arial"/>
          <w:sz w:val="20"/>
          <w:szCs w:val="20"/>
        </w:rPr>
        <w:t>4</w:t>
      </w:r>
      <w:r w:rsidR="0084083C">
        <w:rPr>
          <w:rFonts w:ascii="Arial" w:hAnsi="Arial" w:cs="Arial"/>
          <w:sz w:val="20"/>
          <w:szCs w:val="20"/>
        </w:rPr>
        <w:t>bis</w:t>
      </w:r>
      <w:r w:rsidRPr="00C73E11">
        <w:rPr>
          <w:rFonts w:ascii="Arial" w:hAnsi="Arial" w:cs="Arial"/>
          <w:sz w:val="20"/>
          <w:szCs w:val="20"/>
        </w:rPr>
        <w:t xml:space="preserve"> Meeting Chairman notes</w:t>
      </w:r>
    </w:p>
    <w:p w14:paraId="0AE5721F" w14:textId="382768CB" w:rsidR="00A27B9A" w:rsidRPr="008D5F20" w:rsidRDefault="00A27B9A" w:rsidP="008D5F20">
      <w:pPr>
        <w:numPr>
          <w:ilvl w:val="0"/>
          <w:numId w:val="1"/>
        </w:numPr>
        <w:jc w:val="both"/>
        <w:rPr>
          <w:rFonts w:ascii="Arial" w:hAnsi="Arial" w:cs="Arial"/>
          <w:sz w:val="20"/>
          <w:szCs w:val="20"/>
        </w:rPr>
      </w:pPr>
      <w:r w:rsidRPr="00A27B9A">
        <w:rPr>
          <w:rFonts w:ascii="Arial" w:hAnsi="Arial" w:cs="Arial"/>
          <w:sz w:val="20"/>
          <w:szCs w:val="20"/>
        </w:rPr>
        <w:t>R1-23</w:t>
      </w:r>
      <w:r w:rsidRPr="00A27B9A">
        <w:rPr>
          <w:rFonts w:ascii="Arial" w:hAnsi="Arial" w:cs="Arial" w:hint="eastAsia"/>
          <w:sz w:val="20"/>
          <w:szCs w:val="20"/>
        </w:rPr>
        <w:t>1</w:t>
      </w:r>
      <w:r w:rsidRPr="00A27B9A">
        <w:rPr>
          <w:rFonts w:ascii="Arial" w:hAnsi="Arial" w:cs="Arial"/>
          <w:sz w:val="20"/>
          <w:szCs w:val="20"/>
        </w:rPr>
        <w:t xml:space="preserve">0506 Moderator summary </w:t>
      </w:r>
      <w:r w:rsidRPr="00A27B9A">
        <w:rPr>
          <w:rFonts w:ascii="Arial" w:hAnsi="Arial" w:cs="Arial" w:hint="eastAsia"/>
          <w:sz w:val="20"/>
          <w:szCs w:val="20"/>
        </w:rPr>
        <w:t>o</w:t>
      </w:r>
      <w:r w:rsidRPr="00A27B9A">
        <w:rPr>
          <w:rFonts w:ascii="Arial" w:hAnsi="Arial" w:cs="Arial"/>
          <w:sz w:val="20"/>
          <w:szCs w:val="20"/>
        </w:rPr>
        <w:t xml:space="preserve">n </w:t>
      </w:r>
      <w:r w:rsidRPr="00A27B9A">
        <w:rPr>
          <w:rFonts w:ascii="Arial" w:hAnsi="Arial" w:cs="Arial" w:hint="eastAsia"/>
          <w:sz w:val="20"/>
          <w:szCs w:val="20"/>
        </w:rPr>
        <w:t>timing advance management for LTM</w:t>
      </w:r>
      <w:r w:rsidRPr="00A27B9A">
        <w:rPr>
          <w:rFonts w:ascii="Arial" w:hAnsi="Arial" w:cs="Arial"/>
          <w:sz w:val="20"/>
          <w:szCs w:val="20"/>
        </w:rPr>
        <w:t>: Round 3</w:t>
      </w:r>
      <w:r w:rsidRPr="00A27B9A">
        <w:rPr>
          <w:rFonts w:ascii="Arial" w:hAnsi="Arial" w:cs="Arial"/>
          <w:sz w:val="20"/>
          <w:szCs w:val="20"/>
        </w:rPr>
        <w:tab/>
        <w:t>Moderator (CATT)</w:t>
      </w:r>
    </w:p>
    <w:p w14:paraId="21438B96" w14:textId="6CD20CC7" w:rsidR="001F014A" w:rsidRPr="001B15D6" w:rsidRDefault="001F014A" w:rsidP="005A43F9">
      <w:pPr>
        <w:jc w:val="both"/>
        <w:rPr>
          <w:rFonts w:ascii="Arial" w:hAnsi="Arial" w:cs="Arial"/>
          <w:sz w:val="20"/>
          <w:szCs w:val="20"/>
        </w:rPr>
      </w:pPr>
    </w:p>
    <w:sectPr w:rsidR="001F014A" w:rsidRPr="001B15D6"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C01FB" w14:textId="77777777" w:rsidR="004C1702" w:rsidRDefault="004C1702">
      <w:r>
        <w:separator/>
      </w:r>
    </w:p>
  </w:endnote>
  <w:endnote w:type="continuationSeparator" w:id="0">
    <w:p w14:paraId="38A47F9E" w14:textId="77777777" w:rsidR="004C1702" w:rsidRDefault="004C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F6685" w14:textId="77777777" w:rsidR="004C1702" w:rsidRDefault="004C1702">
      <w:r>
        <w:separator/>
      </w:r>
    </w:p>
  </w:footnote>
  <w:footnote w:type="continuationSeparator" w:id="0">
    <w:p w14:paraId="1CBA5656" w14:textId="77777777" w:rsidR="004C1702" w:rsidRDefault="004C1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5313A6"/>
    <w:multiLevelType w:val="hybridMultilevel"/>
    <w:tmpl w:val="57E0857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400308"/>
    <w:multiLevelType w:val="hybridMultilevel"/>
    <w:tmpl w:val="0DF6EA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F00FCC"/>
    <w:multiLevelType w:val="hybridMultilevel"/>
    <w:tmpl w:val="60FE804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B415BC5"/>
    <w:multiLevelType w:val="hybridMultilevel"/>
    <w:tmpl w:val="B238A26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0DDF4FA7"/>
    <w:multiLevelType w:val="hybridMultilevel"/>
    <w:tmpl w:val="33CEB3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BE6A6B"/>
    <w:multiLevelType w:val="hybridMultilevel"/>
    <w:tmpl w:val="C466FD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54A5C03"/>
    <w:multiLevelType w:val="hybridMultilevel"/>
    <w:tmpl w:val="63005612"/>
    <w:lvl w:ilvl="0" w:tplc="04090003">
      <w:start w:val="1"/>
      <w:numFmt w:val="bullet"/>
      <w:lvlText w:val="o"/>
      <w:lvlJc w:val="left"/>
      <w:pPr>
        <w:ind w:left="776" w:hanging="360"/>
      </w:pPr>
      <w:rPr>
        <w:rFonts w:ascii="Courier New" w:hAnsi="Courier New" w:cs="Courier New"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9"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A400B11"/>
    <w:multiLevelType w:val="hybridMultilevel"/>
    <w:tmpl w:val="7E7A88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C41067F"/>
    <w:multiLevelType w:val="hybridMultilevel"/>
    <w:tmpl w:val="42005B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2A2F07"/>
    <w:multiLevelType w:val="hybridMultilevel"/>
    <w:tmpl w:val="C70A6794"/>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11A5676"/>
    <w:multiLevelType w:val="hybridMultilevel"/>
    <w:tmpl w:val="C308B7DA"/>
    <w:lvl w:ilvl="0" w:tplc="A41EA31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9EA6495"/>
    <w:multiLevelType w:val="hybridMultilevel"/>
    <w:tmpl w:val="34E498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40"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 w15:restartNumberingAfterBreak="0">
    <w:nsid w:val="636847E7"/>
    <w:multiLevelType w:val="hybridMultilevel"/>
    <w:tmpl w:val="4EBA8CD4"/>
    <w:lvl w:ilvl="0" w:tplc="B5A8667A">
      <w:numFmt w:val="bullet"/>
      <w:lvlText w:val="-"/>
      <w:lvlJc w:val="left"/>
      <w:pPr>
        <w:ind w:left="540" w:hanging="420"/>
      </w:pPr>
      <w:rPr>
        <w:rFonts w:ascii="Times" w:eastAsia="Batang" w:hAnsi="Times" w:cs="Time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53"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BA02A14"/>
    <w:multiLevelType w:val="hybridMultilevel"/>
    <w:tmpl w:val="61149D0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9" w15:restartNumberingAfterBreak="0">
    <w:nsid w:val="6FD46A40"/>
    <w:multiLevelType w:val="hybridMultilevel"/>
    <w:tmpl w:val="5F165E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0146DC0"/>
    <w:multiLevelType w:val="hybridMultilevel"/>
    <w:tmpl w:val="BD980D64"/>
    <w:lvl w:ilvl="0" w:tplc="32E4AD60">
      <w:start w:val="1"/>
      <w:numFmt w:val="bullet"/>
      <w:pStyle w:val="Agreement"/>
      <w:lvlText w:val=""/>
      <w:lvlJc w:val="left"/>
      <w:pPr>
        <w:tabs>
          <w:tab w:val="num" w:pos="-1796"/>
        </w:tabs>
        <w:ind w:left="-1796" w:hanging="360"/>
      </w:pPr>
      <w:rPr>
        <w:rFonts w:ascii="Symbol" w:hAnsi="Symbol" w:hint="default"/>
        <w:b/>
        <w:i w:val="0"/>
        <w:color w:val="auto"/>
        <w:sz w:val="22"/>
        <w:lang w:val="en-US"/>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6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3472A02"/>
    <w:multiLevelType w:val="hybridMultilevel"/>
    <w:tmpl w:val="985EE8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6126E5A"/>
    <w:multiLevelType w:val="hybridMultilevel"/>
    <w:tmpl w:val="98EAB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320B4F"/>
    <w:multiLevelType w:val="hybridMultilevel"/>
    <w:tmpl w:val="33A6E6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047AEA"/>
    <w:multiLevelType w:val="hybridMultilevel"/>
    <w:tmpl w:val="48DEE2E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1409599">
    <w:abstractNumId w:val="49"/>
  </w:num>
  <w:num w:numId="2" w16cid:durableId="775950945">
    <w:abstractNumId w:val="37"/>
  </w:num>
  <w:num w:numId="3" w16cid:durableId="1829443946">
    <w:abstractNumId w:val="12"/>
  </w:num>
  <w:num w:numId="4" w16cid:durableId="774908576">
    <w:abstractNumId w:val="60"/>
  </w:num>
  <w:num w:numId="5" w16cid:durableId="1080978509">
    <w:abstractNumId w:val="9"/>
  </w:num>
  <w:num w:numId="6" w16cid:durableId="1963072101">
    <w:abstractNumId w:val="58"/>
  </w:num>
  <w:num w:numId="7" w16cid:durableId="5251911">
    <w:abstractNumId w:val="45"/>
  </w:num>
  <w:num w:numId="8" w16cid:durableId="468136793">
    <w:abstractNumId w:val="5"/>
  </w:num>
  <w:num w:numId="9" w16cid:durableId="955254518">
    <w:abstractNumId w:val="27"/>
  </w:num>
  <w:num w:numId="10" w16cid:durableId="1102454232">
    <w:abstractNumId w:val="34"/>
  </w:num>
  <w:num w:numId="11" w16cid:durableId="249388093">
    <w:abstractNumId w:val="42"/>
  </w:num>
  <w:num w:numId="12" w16cid:durableId="1617564302">
    <w:abstractNumId w:val="40"/>
  </w:num>
  <w:num w:numId="13" w16cid:durableId="774445314">
    <w:abstractNumId w:val="22"/>
  </w:num>
  <w:num w:numId="14" w16cid:durableId="1478840111">
    <w:abstractNumId w:val="15"/>
  </w:num>
  <w:num w:numId="15" w16cid:durableId="523714013">
    <w:abstractNumId w:val="43"/>
  </w:num>
  <w:num w:numId="16" w16cid:durableId="2131432209">
    <w:abstractNumId w:val="28"/>
  </w:num>
  <w:num w:numId="17" w16cid:durableId="30425370">
    <w:abstractNumId w:val="63"/>
  </w:num>
  <w:num w:numId="18" w16cid:durableId="857357148">
    <w:abstractNumId w:val="50"/>
  </w:num>
  <w:num w:numId="19" w16cid:durableId="1185168470">
    <w:abstractNumId w:val="4"/>
  </w:num>
  <w:num w:numId="20" w16cid:durableId="572620473">
    <w:abstractNumId w:val="16"/>
  </w:num>
  <w:num w:numId="21" w16cid:durableId="1696540518">
    <w:abstractNumId w:val="0"/>
  </w:num>
  <w:num w:numId="22" w16cid:durableId="561990774">
    <w:abstractNumId w:val="48"/>
  </w:num>
  <w:num w:numId="23" w16cid:durableId="1321424776">
    <w:abstractNumId w:val="26"/>
  </w:num>
  <w:num w:numId="24" w16cid:durableId="642588540">
    <w:abstractNumId w:val="21"/>
  </w:num>
  <w:num w:numId="25" w16cid:durableId="227309444">
    <w:abstractNumId w:val="38"/>
  </w:num>
  <w:num w:numId="26" w16cid:durableId="721289497">
    <w:abstractNumId w:val="32"/>
  </w:num>
  <w:num w:numId="27" w16cid:durableId="411045378">
    <w:abstractNumId w:val="20"/>
  </w:num>
  <w:num w:numId="28" w16cid:durableId="1573344447">
    <w:abstractNumId w:val="23"/>
  </w:num>
  <w:num w:numId="29" w16cid:durableId="204371133">
    <w:abstractNumId w:val="31"/>
  </w:num>
  <w:num w:numId="30" w16cid:durableId="402263810">
    <w:abstractNumId w:val="57"/>
  </w:num>
  <w:num w:numId="31" w16cid:durableId="510224783">
    <w:abstractNumId w:val="46"/>
  </w:num>
  <w:num w:numId="32" w16cid:durableId="853501122">
    <w:abstractNumId w:val="44"/>
  </w:num>
  <w:num w:numId="33" w16cid:durableId="1195923195">
    <w:abstractNumId w:val="53"/>
  </w:num>
  <w:num w:numId="34" w16cid:durableId="47609914">
    <w:abstractNumId w:val="19"/>
  </w:num>
  <w:num w:numId="35" w16cid:durableId="1210724604">
    <w:abstractNumId w:val="2"/>
  </w:num>
  <w:num w:numId="36" w16cid:durableId="1607225224">
    <w:abstractNumId w:val="48"/>
  </w:num>
  <w:num w:numId="37" w16cid:durableId="2025937412">
    <w:abstractNumId w:val="35"/>
  </w:num>
  <w:num w:numId="38" w16cid:durableId="1630889743">
    <w:abstractNumId w:val="8"/>
  </w:num>
  <w:num w:numId="39" w16cid:durableId="1112554586">
    <w:abstractNumId w:val="6"/>
  </w:num>
  <w:num w:numId="40" w16cid:durableId="1116800964">
    <w:abstractNumId w:val="47"/>
  </w:num>
  <w:num w:numId="41" w16cid:durableId="90509814">
    <w:abstractNumId w:val="41"/>
  </w:num>
  <w:num w:numId="42" w16cid:durableId="778448089">
    <w:abstractNumId w:val="13"/>
  </w:num>
  <w:num w:numId="43" w16cid:durableId="1002781161">
    <w:abstractNumId w:val="54"/>
  </w:num>
  <w:num w:numId="44" w16cid:durableId="735934694">
    <w:abstractNumId w:val="51"/>
  </w:num>
  <w:num w:numId="45" w16cid:durableId="1123573242">
    <w:abstractNumId w:val="17"/>
  </w:num>
  <w:num w:numId="46" w16cid:durableId="794130822">
    <w:abstractNumId w:val="61"/>
  </w:num>
  <w:num w:numId="47" w16cid:durableId="381053737">
    <w:abstractNumId w:val="67"/>
  </w:num>
  <w:num w:numId="48" w16cid:durableId="1203711148">
    <w:abstractNumId w:val="65"/>
  </w:num>
  <w:num w:numId="49" w16cid:durableId="1383865704">
    <w:abstractNumId w:val="29"/>
  </w:num>
  <w:num w:numId="50" w16cid:durableId="377248047">
    <w:abstractNumId w:val="25"/>
  </w:num>
  <w:num w:numId="51" w16cid:durableId="918712431">
    <w:abstractNumId w:val="14"/>
  </w:num>
  <w:num w:numId="52" w16cid:durableId="1828865285">
    <w:abstractNumId w:val="3"/>
  </w:num>
  <w:num w:numId="53" w16cid:durableId="43599916">
    <w:abstractNumId w:val="11"/>
  </w:num>
  <w:num w:numId="54" w16cid:durableId="1487746427">
    <w:abstractNumId w:val="55"/>
  </w:num>
  <w:num w:numId="55" w16cid:durableId="123084634">
    <w:abstractNumId w:val="33"/>
  </w:num>
  <w:num w:numId="56" w16cid:durableId="1353414788">
    <w:abstractNumId w:val="59"/>
  </w:num>
  <w:num w:numId="57" w16cid:durableId="905333732">
    <w:abstractNumId w:val="56"/>
  </w:num>
  <w:num w:numId="58" w16cid:durableId="1271427325">
    <w:abstractNumId w:val="39"/>
  </w:num>
  <w:num w:numId="59" w16cid:durableId="1623880761">
    <w:abstractNumId w:val="10"/>
  </w:num>
  <w:num w:numId="60" w16cid:durableId="1371876075">
    <w:abstractNumId w:val="30"/>
  </w:num>
  <w:num w:numId="61" w16cid:durableId="911160478">
    <w:abstractNumId w:val="36"/>
  </w:num>
  <w:num w:numId="62" w16cid:durableId="820847821">
    <w:abstractNumId w:val="18"/>
  </w:num>
  <w:num w:numId="63" w16cid:durableId="580986324">
    <w:abstractNumId w:val="66"/>
  </w:num>
  <w:num w:numId="64" w16cid:durableId="1169713261">
    <w:abstractNumId w:val="62"/>
  </w:num>
  <w:num w:numId="65" w16cid:durableId="1661301934">
    <w:abstractNumId w:val="1"/>
  </w:num>
  <w:num w:numId="66" w16cid:durableId="1894580914">
    <w:abstractNumId w:val="64"/>
  </w:num>
  <w:num w:numId="67" w16cid:durableId="148401969">
    <w:abstractNumId w:val="52"/>
  </w:num>
  <w:num w:numId="68" w16cid:durableId="1522010193">
    <w:abstractNumId w:val="24"/>
  </w:num>
  <w:num w:numId="69" w16cid:durableId="43112354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595E"/>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2E5A"/>
    <w:rsid w:val="00043671"/>
    <w:rsid w:val="00043EA5"/>
    <w:rsid w:val="000457C9"/>
    <w:rsid w:val="00046713"/>
    <w:rsid w:val="00046814"/>
    <w:rsid w:val="0005095F"/>
    <w:rsid w:val="00050CC7"/>
    <w:rsid w:val="00052BCB"/>
    <w:rsid w:val="00054944"/>
    <w:rsid w:val="00054A17"/>
    <w:rsid w:val="0005558B"/>
    <w:rsid w:val="00055D9E"/>
    <w:rsid w:val="00057030"/>
    <w:rsid w:val="000602C9"/>
    <w:rsid w:val="000617C2"/>
    <w:rsid w:val="0006202F"/>
    <w:rsid w:val="00062579"/>
    <w:rsid w:val="00062A03"/>
    <w:rsid w:val="00063FE0"/>
    <w:rsid w:val="00064278"/>
    <w:rsid w:val="00064366"/>
    <w:rsid w:val="00065514"/>
    <w:rsid w:val="0006735F"/>
    <w:rsid w:val="00067A06"/>
    <w:rsid w:val="00067F48"/>
    <w:rsid w:val="00067FD7"/>
    <w:rsid w:val="00070448"/>
    <w:rsid w:val="00070B61"/>
    <w:rsid w:val="000722C9"/>
    <w:rsid w:val="000729CD"/>
    <w:rsid w:val="000729E2"/>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41DE"/>
    <w:rsid w:val="000B658A"/>
    <w:rsid w:val="000C0C40"/>
    <w:rsid w:val="000C1200"/>
    <w:rsid w:val="000C1F78"/>
    <w:rsid w:val="000C2B74"/>
    <w:rsid w:val="000C2C4D"/>
    <w:rsid w:val="000C62FE"/>
    <w:rsid w:val="000C641D"/>
    <w:rsid w:val="000C689C"/>
    <w:rsid w:val="000D16AA"/>
    <w:rsid w:val="000D274E"/>
    <w:rsid w:val="000D479C"/>
    <w:rsid w:val="000D4897"/>
    <w:rsid w:val="000D65F9"/>
    <w:rsid w:val="000D7ED1"/>
    <w:rsid w:val="000E190D"/>
    <w:rsid w:val="000E2B11"/>
    <w:rsid w:val="000E2C66"/>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3E3"/>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125"/>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056C"/>
    <w:rsid w:val="0015173E"/>
    <w:rsid w:val="00152571"/>
    <w:rsid w:val="00152784"/>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777"/>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4D4"/>
    <w:rsid w:val="00182661"/>
    <w:rsid w:val="00182FDB"/>
    <w:rsid w:val="00183D1D"/>
    <w:rsid w:val="00184909"/>
    <w:rsid w:val="00185856"/>
    <w:rsid w:val="00185D56"/>
    <w:rsid w:val="00187556"/>
    <w:rsid w:val="001910D7"/>
    <w:rsid w:val="00191450"/>
    <w:rsid w:val="001916DC"/>
    <w:rsid w:val="001917E6"/>
    <w:rsid w:val="00192292"/>
    <w:rsid w:val="00192DAB"/>
    <w:rsid w:val="001932A5"/>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5D6"/>
    <w:rsid w:val="001B179E"/>
    <w:rsid w:val="001B1900"/>
    <w:rsid w:val="001B61D1"/>
    <w:rsid w:val="001B7CEB"/>
    <w:rsid w:val="001C09E0"/>
    <w:rsid w:val="001C0DA0"/>
    <w:rsid w:val="001C1841"/>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2338"/>
    <w:rsid w:val="001E2E97"/>
    <w:rsid w:val="001E418A"/>
    <w:rsid w:val="001E53B7"/>
    <w:rsid w:val="001E5686"/>
    <w:rsid w:val="001E7186"/>
    <w:rsid w:val="001F014A"/>
    <w:rsid w:val="001F0B33"/>
    <w:rsid w:val="001F0DAD"/>
    <w:rsid w:val="001F20D8"/>
    <w:rsid w:val="001F26A1"/>
    <w:rsid w:val="001F2DB1"/>
    <w:rsid w:val="001F4FB6"/>
    <w:rsid w:val="001F6C99"/>
    <w:rsid w:val="001F7067"/>
    <w:rsid w:val="002002D4"/>
    <w:rsid w:val="00201F95"/>
    <w:rsid w:val="002028B1"/>
    <w:rsid w:val="00203A90"/>
    <w:rsid w:val="00204D5B"/>
    <w:rsid w:val="00204E12"/>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BB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8EA"/>
    <w:rsid w:val="00246987"/>
    <w:rsid w:val="00246D79"/>
    <w:rsid w:val="002472CD"/>
    <w:rsid w:val="00250593"/>
    <w:rsid w:val="00251C1D"/>
    <w:rsid w:val="00251D91"/>
    <w:rsid w:val="002527A7"/>
    <w:rsid w:val="0025345C"/>
    <w:rsid w:val="00254B2F"/>
    <w:rsid w:val="002555E0"/>
    <w:rsid w:val="002575CE"/>
    <w:rsid w:val="002576AC"/>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6B9F"/>
    <w:rsid w:val="00277E08"/>
    <w:rsid w:val="00280EE1"/>
    <w:rsid w:val="002821AD"/>
    <w:rsid w:val="00282444"/>
    <w:rsid w:val="00284187"/>
    <w:rsid w:val="00284A29"/>
    <w:rsid w:val="0028649D"/>
    <w:rsid w:val="00287670"/>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9F5"/>
    <w:rsid w:val="002D6ACE"/>
    <w:rsid w:val="002D7EE6"/>
    <w:rsid w:val="002E03C7"/>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2F09"/>
    <w:rsid w:val="0031323F"/>
    <w:rsid w:val="003138E5"/>
    <w:rsid w:val="00313D23"/>
    <w:rsid w:val="0031486F"/>
    <w:rsid w:val="003151A7"/>
    <w:rsid w:val="00315D38"/>
    <w:rsid w:val="0031614D"/>
    <w:rsid w:val="00317BCE"/>
    <w:rsid w:val="00317C96"/>
    <w:rsid w:val="00320679"/>
    <w:rsid w:val="00322045"/>
    <w:rsid w:val="003248B1"/>
    <w:rsid w:val="003250E2"/>
    <w:rsid w:val="003250F7"/>
    <w:rsid w:val="00325359"/>
    <w:rsid w:val="00326838"/>
    <w:rsid w:val="00327A0E"/>
    <w:rsid w:val="0033036B"/>
    <w:rsid w:val="00330585"/>
    <w:rsid w:val="0033094F"/>
    <w:rsid w:val="003320C1"/>
    <w:rsid w:val="0033210C"/>
    <w:rsid w:val="0033211D"/>
    <w:rsid w:val="00334B81"/>
    <w:rsid w:val="00334BE9"/>
    <w:rsid w:val="0033685C"/>
    <w:rsid w:val="00337727"/>
    <w:rsid w:val="003410D4"/>
    <w:rsid w:val="003411B4"/>
    <w:rsid w:val="003412CB"/>
    <w:rsid w:val="003419D5"/>
    <w:rsid w:val="00344210"/>
    <w:rsid w:val="00344ACC"/>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62C"/>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6AC9"/>
    <w:rsid w:val="003A7842"/>
    <w:rsid w:val="003A7EF8"/>
    <w:rsid w:val="003B03BE"/>
    <w:rsid w:val="003B0E02"/>
    <w:rsid w:val="003B30E4"/>
    <w:rsid w:val="003B3132"/>
    <w:rsid w:val="003B32E0"/>
    <w:rsid w:val="003B38EA"/>
    <w:rsid w:val="003B3CDC"/>
    <w:rsid w:val="003B62F0"/>
    <w:rsid w:val="003B6437"/>
    <w:rsid w:val="003B6CDF"/>
    <w:rsid w:val="003B7BE8"/>
    <w:rsid w:val="003C32A6"/>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9A5"/>
    <w:rsid w:val="003E3B46"/>
    <w:rsid w:val="003E4C42"/>
    <w:rsid w:val="003E5619"/>
    <w:rsid w:val="003E59A3"/>
    <w:rsid w:val="003E603B"/>
    <w:rsid w:val="003E639D"/>
    <w:rsid w:val="003E6AE1"/>
    <w:rsid w:val="003F0EA8"/>
    <w:rsid w:val="003F112A"/>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254"/>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6A2"/>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4CEF"/>
    <w:rsid w:val="00485C82"/>
    <w:rsid w:val="0048742C"/>
    <w:rsid w:val="00492E26"/>
    <w:rsid w:val="00493105"/>
    <w:rsid w:val="00493F74"/>
    <w:rsid w:val="004947CB"/>
    <w:rsid w:val="0049534F"/>
    <w:rsid w:val="0049619C"/>
    <w:rsid w:val="004A044E"/>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B7D41"/>
    <w:rsid w:val="004C01A0"/>
    <w:rsid w:val="004C0437"/>
    <w:rsid w:val="004C1702"/>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A46"/>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1DF2"/>
    <w:rsid w:val="005324DC"/>
    <w:rsid w:val="00532C35"/>
    <w:rsid w:val="00534AE9"/>
    <w:rsid w:val="00534EA2"/>
    <w:rsid w:val="00535CEC"/>
    <w:rsid w:val="00535EF4"/>
    <w:rsid w:val="00537476"/>
    <w:rsid w:val="00540A66"/>
    <w:rsid w:val="0054284B"/>
    <w:rsid w:val="00543C26"/>
    <w:rsid w:val="00544BEC"/>
    <w:rsid w:val="00545457"/>
    <w:rsid w:val="0054632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139"/>
    <w:rsid w:val="00583C0C"/>
    <w:rsid w:val="00591A47"/>
    <w:rsid w:val="00593B39"/>
    <w:rsid w:val="0059418E"/>
    <w:rsid w:val="005970B6"/>
    <w:rsid w:val="005A2578"/>
    <w:rsid w:val="005A29B3"/>
    <w:rsid w:val="005A3B69"/>
    <w:rsid w:val="005A4056"/>
    <w:rsid w:val="005A40CA"/>
    <w:rsid w:val="005A43F9"/>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36"/>
    <w:rsid w:val="005D4FB0"/>
    <w:rsid w:val="005D79A4"/>
    <w:rsid w:val="005D7A48"/>
    <w:rsid w:val="005E0E1C"/>
    <w:rsid w:val="005E148B"/>
    <w:rsid w:val="005E185A"/>
    <w:rsid w:val="005E3610"/>
    <w:rsid w:val="005E3FB2"/>
    <w:rsid w:val="005E4196"/>
    <w:rsid w:val="005E4217"/>
    <w:rsid w:val="005E44EC"/>
    <w:rsid w:val="005E4C99"/>
    <w:rsid w:val="005E4FF5"/>
    <w:rsid w:val="005E502F"/>
    <w:rsid w:val="005E6175"/>
    <w:rsid w:val="005E64A8"/>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267"/>
    <w:rsid w:val="00607423"/>
    <w:rsid w:val="006079D2"/>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26C44"/>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47E8C"/>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DC4"/>
    <w:rsid w:val="00665B7C"/>
    <w:rsid w:val="00667384"/>
    <w:rsid w:val="0067092D"/>
    <w:rsid w:val="0067188D"/>
    <w:rsid w:val="00673060"/>
    <w:rsid w:val="006749E4"/>
    <w:rsid w:val="00674D73"/>
    <w:rsid w:val="0067541B"/>
    <w:rsid w:val="00676CA6"/>
    <w:rsid w:val="00676DB3"/>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3E52"/>
    <w:rsid w:val="006946A4"/>
    <w:rsid w:val="006969D1"/>
    <w:rsid w:val="00697031"/>
    <w:rsid w:val="00697204"/>
    <w:rsid w:val="00697B95"/>
    <w:rsid w:val="006A1820"/>
    <w:rsid w:val="006A2559"/>
    <w:rsid w:val="006A2D3B"/>
    <w:rsid w:val="006A2EE3"/>
    <w:rsid w:val="006A31A3"/>
    <w:rsid w:val="006A41BA"/>
    <w:rsid w:val="006A43FB"/>
    <w:rsid w:val="006A5D78"/>
    <w:rsid w:val="006A6391"/>
    <w:rsid w:val="006A63A1"/>
    <w:rsid w:val="006A742B"/>
    <w:rsid w:val="006A765C"/>
    <w:rsid w:val="006A7A09"/>
    <w:rsid w:val="006B021B"/>
    <w:rsid w:val="006B110E"/>
    <w:rsid w:val="006B3317"/>
    <w:rsid w:val="006B5F85"/>
    <w:rsid w:val="006B68FD"/>
    <w:rsid w:val="006B794A"/>
    <w:rsid w:val="006B7BE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4F1E"/>
    <w:rsid w:val="00706467"/>
    <w:rsid w:val="007069CA"/>
    <w:rsid w:val="00707377"/>
    <w:rsid w:val="00707874"/>
    <w:rsid w:val="00710A93"/>
    <w:rsid w:val="00710CDF"/>
    <w:rsid w:val="00711464"/>
    <w:rsid w:val="00711B48"/>
    <w:rsid w:val="00711EFE"/>
    <w:rsid w:val="0071248E"/>
    <w:rsid w:val="00713626"/>
    <w:rsid w:val="00714277"/>
    <w:rsid w:val="00714F3F"/>
    <w:rsid w:val="00715014"/>
    <w:rsid w:val="00715177"/>
    <w:rsid w:val="0071632E"/>
    <w:rsid w:val="0071667D"/>
    <w:rsid w:val="00716951"/>
    <w:rsid w:val="00720763"/>
    <w:rsid w:val="00721FAD"/>
    <w:rsid w:val="00722D5D"/>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14DD"/>
    <w:rsid w:val="00782321"/>
    <w:rsid w:val="00782E13"/>
    <w:rsid w:val="00782F04"/>
    <w:rsid w:val="00783147"/>
    <w:rsid w:val="007834C8"/>
    <w:rsid w:val="0078417B"/>
    <w:rsid w:val="00786F91"/>
    <w:rsid w:val="0078731C"/>
    <w:rsid w:val="00787DF3"/>
    <w:rsid w:val="00790A71"/>
    <w:rsid w:val="00790F4B"/>
    <w:rsid w:val="007912AE"/>
    <w:rsid w:val="007913D8"/>
    <w:rsid w:val="00792A33"/>
    <w:rsid w:val="007942C4"/>
    <w:rsid w:val="00794BD9"/>
    <w:rsid w:val="00795072"/>
    <w:rsid w:val="0079526C"/>
    <w:rsid w:val="007953B0"/>
    <w:rsid w:val="007A1147"/>
    <w:rsid w:val="007A17EA"/>
    <w:rsid w:val="007A2149"/>
    <w:rsid w:val="007A2C43"/>
    <w:rsid w:val="007A4497"/>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3B1D"/>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7F77FF"/>
    <w:rsid w:val="00800159"/>
    <w:rsid w:val="00800BED"/>
    <w:rsid w:val="00800F68"/>
    <w:rsid w:val="00801639"/>
    <w:rsid w:val="00803DB8"/>
    <w:rsid w:val="00804EF1"/>
    <w:rsid w:val="00805243"/>
    <w:rsid w:val="00807DA8"/>
    <w:rsid w:val="00807ED8"/>
    <w:rsid w:val="00811235"/>
    <w:rsid w:val="0081131F"/>
    <w:rsid w:val="0081172B"/>
    <w:rsid w:val="00813070"/>
    <w:rsid w:val="008148D7"/>
    <w:rsid w:val="00814B06"/>
    <w:rsid w:val="00815C15"/>
    <w:rsid w:val="00816571"/>
    <w:rsid w:val="00816C5C"/>
    <w:rsid w:val="00817F95"/>
    <w:rsid w:val="00820183"/>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083C"/>
    <w:rsid w:val="00840964"/>
    <w:rsid w:val="00841102"/>
    <w:rsid w:val="00842535"/>
    <w:rsid w:val="00842EB6"/>
    <w:rsid w:val="00843156"/>
    <w:rsid w:val="00843184"/>
    <w:rsid w:val="0084450C"/>
    <w:rsid w:val="00845276"/>
    <w:rsid w:val="00845654"/>
    <w:rsid w:val="00850AA0"/>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77FD4"/>
    <w:rsid w:val="00880BB4"/>
    <w:rsid w:val="008814A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3BCF"/>
    <w:rsid w:val="008B512E"/>
    <w:rsid w:val="008B7A33"/>
    <w:rsid w:val="008C021C"/>
    <w:rsid w:val="008C0231"/>
    <w:rsid w:val="008C251B"/>
    <w:rsid w:val="008C3BED"/>
    <w:rsid w:val="008C3E1C"/>
    <w:rsid w:val="008C4BF6"/>
    <w:rsid w:val="008C5085"/>
    <w:rsid w:val="008C508A"/>
    <w:rsid w:val="008C557A"/>
    <w:rsid w:val="008C5E12"/>
    <w:rsid w:val="008C6433"/>
    <w:rsid w:val="008D0E42"/>
    <w:rsid w:val="008D0FBE"/>
    <w:rsid w:val="008D1D46"/>
    <w:rsid w:val="008D2666"/>
    <w:rsid w:val="008D2CDB"/>
    <w:rsid w:val="008D2E69"/>
    <w:rsid w:val="008D3320"/>
    <w:rsid w:val="008D3473"/>
    <w:rsid w:val="008D5AD6"/>
    <w:rsid w:val="008D5F20"/>
    <w:rsid w:val="008D690D"/>
    <w:rsid w:val="008D6A8B"/>
    <w:rsid w:val="008D6D5F"/>
    <w:rsid w:val="008D7057"/>
    <w:rsid w:val="008D7BFC"/>
    <w:rsid w:val="008E0BFA"/>
    <w:rsid w:val="008E361D"/>
    <w:rsid w:val="008E4304"/>
    <w:rsid w:val="008E4B3E"/>
    <w:rsid w:val="008E628D"/>
    <w:rsid w:val="008E6E8F"/>
    <w:rsid w:val="008E6FCF"/>
    <w:rsid w:val="008F0805"/>
    <w:rsid w:val="008F087B"/>
    <w:rsid w:val="008F0CD3"/>
    <w:rsid w:val="008F2A4F"/>
    <w:rsid w:val="008F34D5"/>
    <w:rsid w:val="008F44DA"/>
    <w:rsid w:val="008F4DCB"/>
    <w:rsid w:val="008F4FEB"/>
    <w:rsid w:val="008F5F51"/>
    <w:rsid w:val="008F65AF"/>
    <w:rsid w:val="008F6C71"/>
    <w:rsid w:val="008F7CBE"/>
    <w:rsid w:val="00901A73"/>
    <w:rsid w:val="009023FC"/>
    <w:rsid w:val="00904B19"/>
    <w:rsid w:val="00906300"/>
    <w:rsid w:val="00906EA2"/>
    <w:rsid w:val="009141AD"/>
    <w:rsid w:val="00917072"/>
    <w:rsid w:val="009208A2"/>
    <w:rsid w:val="00920B08"/>
    <w:rsid w:val="009247E1"/>
    <w:rsid w:val="00924ECE"/>
    <w:rsid w:val="009252A8"/>
    <w:rsid w:val="00925EF8"/>
    <w:rsid w:val="00926599"/>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2881"/>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2914"/>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27709"/>
    <w:rsid w:val="00A27B9A"/>
    <w:rsid w:val="00A30C8A"/>
    <w:rsid w:val="00A30D03"/>
    <w:rsid w:val="00A317C0"/>
    <w:rsid w:val="00A32601"/>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2958"/>
    <w:rsid w:val="00A63C67"/>
    <w:rsid w:val="00A63DB4"/>
    <w:rsid w:val="00A63E85"/>
    <w:rsid w:val="00A640FA"/>
    <w:rsid w:val="00A64B38"/>
    <w:rsid w:val="00A663E9"/>
    <w:rsid w:val="00A66714"/>
    <w:rsid w:val="00A70495"/>
    <w:rsid w:val="00A70943"/>
    <w:rsid w:val="00A7104D"/>
    <w:rsid w:val="00A718B7"/>
    <w:rsid w:val="00A721E2"/>
    <w:rsid w:val="00A72B43"/>
    <w:rsid w:val="00A7396F"/>
    <w:rsid w:val="00A73D97"/>
    <w:rsid w:val="00A74E19"/>
    <w:rsid w:val="00A753BF"/>
    <w:rsid w:val="00A75941"/>
    <w:rsid w:val="00A772B1"/>
    <w:rsid w:val="00A8107C"/>
    <w:rsid w:val="00A81160"/>
    <w:rsid w:val="00A8116F"/>
    <w:rsid w:val="00A83C36"/>
    <w:rsid w:val="00A83C97"/>
    <w:rsid w:val="00A84556"/>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1EA6"/>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8AD"/>
    <w:rsid w:val="00AF3B80"/>
    <w:rsid w:val="00AF441C"/>
    <w:rsid w:val="00AF5099"/>
    <w:rsid w:val="00AF5BAF"/>
    <w:rsid w:val="00AF5F11"/>
    <w:rsid w:val="00AF62A7"/>
    <w:rsid w:val="00B00563"/>
    <w:rsid w:val="00B00E51"/>
    <w:rsid w:val="00B01562"/>
    <w:rsid w:val="00B02E7D"/>
    <w:rsid w:val="00B03FD4"/>
    <w:rsid w:val="00B04A51"/>
    <w:rsid w:val="00B05A1D"/>
    <w:rsid w:val="00B06301"/>
    <w:rsid w:val="00B07045"/>
    <w:rsid w:val="00B07467"/>
    <w:rsid w:val="00B1026D"/>
    <w:rsid w:val="00B1148C"/>
    <w:rsid w:val="00B1196F"/>
    <w:rsid w:val="00B122EE"/>
    <w:rsid w:val="00B126A6"/>
    <w:rsid w:val="00B12CCF"/>
    <w:rsid w:val="00B13776"/>
    <w:rsid w:val="00B13A50"/>
    <w:rsid w:val="00B147AE"/>
    <w:rsid w:val="00B17075"/>
    <w:rsid w:val="00B17669"/>
    <w:rsid w:val="00B22079"/>
    <w:rsid w:val="00B23332"/>
    <w:rsid w:val="00B23412"/>
    <w:rsid w:val="00B23E3B"/>
    <w:rsid w:val="00B26360"/>
    <w:rsid w:val="00B26B6B"/>
    <w:rsid w:val="00B300B9"/>
    <w:rsid w:val="00B317F3"/>
    <w:rsid w:val="00B31D0B"/>
    <w:rsid w:val="00B31E27"/>
    <w:rsid w:val="00B32677"/>
    <w:rsid w:val="00B33A1E"/>
    <w:rsid w:val="00B36B38"/>
    <w:rsid w:val="00B37937"/>
    <w:rsid w:val="00B40E2D"/>
    <w:rsid w:val="00B40F7F"/>
    <w:rsid w:val="00B41933"/>
    <w:rsid w:val="00B45008"/>
    <w:rsid w:val="00B50E54"/>
    <w:rsid w:val="00B51519"/>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C547D"/>
    <w:rsid w:val="00BD3904"/>
    <w:rsid w:val="00BD43E0"/>
    <w:rsid w:val="00BD4BCB"/>
    <w:rsid w:val="00BD516A"/>
    <w:rsid w:val="00BD51F5"/>
    <w:rsid w:val="00BD57DE"/>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3ADA"/>
    <w:rsid w:val="00BF4808"/>
    <w:rsid w:val="00BF6F96"/>
    <w:rsid w:val="00C005B5"/>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26CD"/>
    <w:rsid w:val="00C14696"/>
    <w:rsid w:val="00C16998"/>
    <w:rsid w:val="00C23D66"/>
    <w:rsid w:val="00C24439"/>
    <w:rsid w:val="00C273F8"/>
    <w:rsid w:val="00C3095C"/>
    <w:rsid w:val="00C3157B"/>
    <w:rsid w:val="00C326D6"/>
    <w:rsid w:val="00C32B8D"/>
    <w:rsid w:val="00C353FF"/>
    <w:rsid w:val="00C36014"/>
    <w:rsid w:val="00C37B72"/>
    <w:rsid w:val="00C4000E"/>
    <w:rsid w:val="00C40A47"/>
    <w:rsid w:val="00C40F39"/>
    <w:rsid w:val="00C42271"/>
    <w:rsid w:val="00C42B4A"/>
    <w:rsid w:val="00C42B91"/>
    <w:rsid w:val="00C4605C"/>
    <w:rsid w:val="00C461DB"/>
    <w:rsid w:val="00C504E5"/>
    <w:rsid w:val="00C52531"/>
    <w:rsid w:val="00C5261A"/>
    <w:rsid w:val="00C53F64"/>
    <w:rsid w:val="00C54279"/>
    <w:rsid w:val="00C54F24"/>
    <w:rsid w:val="00C5563C"/>
    <w:rsid w:val="00C56535"/>
    <w:rsid w:val="00C60A87"/>
    <w:rsid w:val="00C62312"/>
    <w:rsid w:val="00C64C60"/>
    <w:rsid w:val="00C64D4D"/>
    <w:rsid w:val="00C668E3"/>
    <w:rsid w:val="00C67171"/>
    <w:rsid w:val="00C70484"/>
    <w:rsid w:val="00C71168"/>
    <w:rsid w:val="00C73521"/>
    <w:rsid w:val="00C760A7"/>
    <w:rsid w:val="00C7610E"/>
    <w:rsid w:val="00C7697F"/>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5ECA"/>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1244"/>
    <w:rsid w:val="00CE1B17"/>
    <w:rsid w:val="00CE289D"/>
    <w:rsid w:val="00CE2FDF"/>
    <w:rsid w:val="00CE3700"/>
    <w:rsid w:val="00CE37EB"/>
    <w:rsid w:val="00CE4770"/>
    <w:rsid w:val="00CE53FA"/>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63F8"/>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EC1"/>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65BE"/>
    <w:rsid w:val="00D57448"/>
    <w:rsid w:val="00D5793E"/>
    <w:rsid w:val="00D6173B"/>
    <w:rsid w:val="00D621A4"/>
    <w:rsid w:val="00D62B8B"/>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42"/>
    <w:rsid w:val="00DB1CD2"/>
    <w:rsid w:val="00DB46BD"/>
    <w:rsid w:val="00DB49C2"/>
    <w:rsid w:val="00DB5407"/>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21E8"/>
    <w:rsid w:val="00DE3814"/>
    <w:rsid w:val="00DE58D4"/>
    <w:rsid w:val="00DE64F3"/>
    <w:rsid w:val="00DE66A5"/>
    <w:rsid w:val="00DE6AAB"/>
    <w:rsid w:val="00DF232C"/>
    <w:rsid w:val="00DF3FC2"/>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772"/>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4B71"/>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34"/>
    <w:rsid w:val="00E70A81"/>
    <w:rsid w:val="00E70ECF"/>
    <w:rsid w:val="00E71760"/>
    <w:rsid w:val="00E71A85"/>
    <w:rsid w:val="00E71A98"/>
    <w:rsid w:val="00E72B9D"/>
    <w:rsid w:val="00E74FD7"/>
    <w:rsid w:val="00E75501"/>
    <w:rsid w:val="00E75DD1"/>
    <w:rsid w:val="00E76B91"/>
    <w:rsid w:val="00E81C21"/>
    <w:rsid w:val="00E82182"/>
    <w:rsid w:val="00E82C6B"/>
    <w:rsid w:val="00E830AE"/>
    <w:rsid w:val="00E84146"/>
    <w:rsid w:val="00E85042"/>
    <w:rsid w:val="00E85206"/>
    <w:rsid w:val="00E856C7"/>
    <w:rsid w:val="00E85A8D"/>
    <w:rsid w:val="00E876D5"/>
    <w:rsid w:val="00E91832"/>
    <w:rsid w:val="00E92552"/>
    <w:rsid w:val="00E93299"/>
    <w:rsid w:val="00E93D35"/>
    <w:rsid w:val="00E93DAD"/>
    <w:rsid w:val="00E93E52"/>
    <w:rsid w:val="00E96998"/>
    <w:rsid w:val="00E9699B"/>
    <w:rsid w:val="00E97808"/>
    <w:rsid w:val="00EA0CED"/>
    <w:rsid w:val="00EA0E12"/>
    <w:rsid w:val="00EA2856"/>
    <w:rsid w:val="00EA4955"/>
    <w:rsid w:val="00EA51EB"/>
    <w:rsid w:val="00EA559B"/>
    <w:rsid w:val="00EA6807"/>
    <w:rsid w:val="00EA70B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87C"/>
    <w:rsid w:val="00EF6B87"/>
    <w:rsid w:val="00EF7A24"/>
    <w:rsid w:val="00EF7FF6"/>
    <w:rsid w:val="00F01655"/>
    <w:rsid w:val="00F028C6"/>
    <w:rsid w:val="00F0432F"/>
    <w:rsid w:val="00F05EBF"/>
    <w:rsid w:val="00F06984"/>
    <w:rsid w:val="00F12E55"/>
    <w:rsid w:val="00F1413B"/>
    <w:rsid w:val="00F15E4B"/>
    <w:rsid w:val="00F1601C"/>
    <w:rsid w:val="00F16864"/>
    <w:rsid w:val="00F16BE5"/>
    <w:rsid w:val="00F16DC7"/>
    <w:rsid w:val="00F17820"/>
    <w:rsid w:val="00F202A6"/>
    <w:rsid w:val="00F20322"/>
    <w:rsid w:val="00F22F47"/>
    <w:rsid w:val="00F23128"/>
    <w:rsid w:val="00F26A80"/>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0A85"/>
    <w:rsid w:val="00F81B17"/>
    <w:rsid w:val="00F820B6"/>
    <w:rsid w:val="00F825A1"/>
    <w:rsid w:val="00F825E6"/>
    <w:rsid w:val="00F826A1"/>
    <w:rsid w:val="00F82CE2"/>
    <w:rsid w:val="00F82EF6"/>
    <w:rsid w:val="00F8312C"/>
    <w:rsid w:val="00F842A8"/>
    <w:rsid w:val="00F8597E"/>
    <w:rsid w:val="00F85C3B"/>
    <w:rsid w:val="00F87539"/>
    <w:rsid w:val="00F91023"/>
    <w:rsid w:val="00F924B2"/>
    <w:rsid w:val="00F95251"/>
    <w:rsid w:val="00F96E89"/>
    <w:rsid w:val="00FA1355"/>
    <w:rsid w:val="00FA210D"/>
    <w:rsid w:val="00FA253D"/>
    <w:rsid w:val="00FA3C18"/>
    <w:rsid w:val="00FA417B"/>
    <w:rsid w:val="00FA44AB"/>
    <w:rsid w:val="00FA4CF3"/>
    <w:rsid w:val="00FA570E"/>
    <w:rsid w:val="00FA59AE"/>
    <w:rsid w:val="00FA5EAC"/>
    <w:rsid w:val="00FA5F93"/>
    <w:rsid w:val="00FA6B60"/>
    <w:rsid w:val="00FB0183"/>
    <w:rsid w:val="00FB0B18"/>
    <w:rsid w:val="00FB1816"/>
    <w:rsid w:val="00FB1E95"/>
    <w:rsid w:val="00FB37BC"/>
    <w:rsid w:val="00FB3F35"/>
    <w:rsid w:val="00FB45AE"/>
    <w:rsid w:val="00FB5E47"/>
    <w:rsid w:val="00FB643E"/>
    <w:rsid w:val="00FB78E1"/>
    <w:rsid w:val="00FC02E3"/>
    <w:rsid w:val="00FC0A91"/>
    <w:rsid w:val="00FC1498"/>
    <w:rsid w:val="00FC16CA"/>
    <w:rsid w:val="00FC24A4"/>
    <w:rsid w:val="00FC44AE"/>
    <w:rsid w:val="00FC452B"/>
    <w:rsid w:val="00FC46CB"/>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39A"/>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62C"/>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uiPriority w:val="99"/>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57043503">
      <w:bodyDiv w:val="1"/>
      <w:marLeft w:val="0"/>
      <w:marRight w:val="0"/>
      <w:marTop w:val="0"/>
      <w:marBottom w:val="0"/>
      <w:divBdr>
        <w:top w:val="none" w:sz="0" w:space="0" w:color="auto"/>
        <w:left w:val="none" w:sz="0" w:space="0" w:color="auto"/>
        <w:bottom w:val="none" w:sz="0" w:space="0" w:color="auto"/>
        <w:right w:val="none" w:sz="0" w:space="0" w:color="auto"/>
      </w:divBdr>
      <w:divsChild>
        <w:div w:id="644240430">
          <w:marLeft w:val="0"/>
          <w:marRight w:val="0"/>
          <w:marTop w:val="0"/>
          <w:marBottom w:val="0"/>
          <w:divBdr>
            <w:top w:val="none" w:sz="0" w:space="0" w:color="auto"/>
            <w:left w:val="none" w:sz="0" w:space="0" w:color="auto"/>
            <w:bottom w:val="none" w:sz="0" w:space="0" w:color="auto"/>
            <w:right w:val="none" w:sz="0" w:space="0" w:color="auto"/>
          </w:divBdr>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439438">
      <w:bodyDiv w:val="1"/>
      <w:marLeft w:val="0"/>
      <w:marRight w:val="0"/>
      <w:marTop w:val="0"/>
      <w:marBottom w:val="0"/>
      <w:divBdr>
        <w:top w:val="none" w:sz="0" w:space="0" w:color="auto"/>
        <w:left w:val="none" w:sz="0" w:space="0" w:color="auto"/>
        <w:bottom w:val="none" w:sz="0" w:space="0" w:color="auto"/>
        <w:right w:val="none" w:sz="0" w:space="0" w:color="auto"/>
      </w:divBdr>
      <w:divsChild>
        <w:div w:id="295721915">
          <w:marLeft w:val="0"/>
          <w:marRight w:val="0"/>
          <w:marTop w:val="0"/>
          <w:marBottom w:val="0"/>
          <w:divBdr>
            <w:top w:val="none" w:sz="0" w:space="0" w:color="auto"/>
            <w:left w:val="none" w:sz="0" w:space="0" w:color="auto"/>
            <w:bottom w:val="none" w:sz="0" w:space="0" w:color="auto"/>
            <w:right w:val="none" w:sz="0" w:space="0" w:color="auto"/>
          </w:divBdr>
        </w:div>
        <w:div w:id="834610938">
          <w:marLeft w:val="0"/>
          <w:marRight w:val="0"/>
          <w:marTop w:val="0"/>
          <w:marBottom w:val="0"/>
          <w:divBdr>
            <w:top w:val="none" w:sz="0" w:space="0" w:color="auto"/>
            <w:left w:val="none" w:sz="0" w:space="0" w:color="auto"/>
            <w:bottom w:val="none" w:sz="0" w:space="0" w:color="auto"/>
            <w:right w:val="none" w:sz="0" w:space="0" w:color="auto"/>
          </w:divBdr>
        </w:div>
        <w:div w:id="1701737764">
          <w:marLeft w:val="0"/>
          <w:marRight w:val="0"/>
          <w:marTop w:val="0"/>
          <w:marBottom w:val="0"/>
          <w:divBdr>
            <w:top w:val="none" w:sz="0" w:space="0" w:color="auto"/>
            <w:left w:val="none" w:sz="0" w:space="0" w:color="auto"/>
            <w:bottom w:val="none" w:sz="0" w:space="0" w:color="auto"/>
            <w:right w:val="none" w:sz="0" w:space="0" w:color="auto"/>
          </w:divBdr>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057346">
      <w:bodyDiv w:val="1"/>
      <w:marLeft w:val="0"/>
      <w:marRight w:val="0"/>
      <w:marTop w:val="0"/>
      <w:marBottom w:val="0"/>
      <w:divBdr>
        <w:top w:val="none" w:sz="0" w:space="0" w:color="auto"/>
        <w:left w:val="none" w:sz="0" w:space="0" w:color="auto"/>
        <w:bottom w:val="none" w:sz="0" w:space="0" w:color="auto"/>
        <w:right w:val="none" w:sz="0" w:space="0" w:color="auto"/>
      </w:divBdr>
      <w:divsChild>
        <w:div w:id="1012878712">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18802628">
      <w:bodyDiv w:val="1"/>
      <w:marLeft w:val="0"/>
      <w:marRight w:val="0"/>
      <w:marTop w:val="0"/>
      <w:marBottom w:val="0"/>
      <w:divBdr>
        <w:top w:val="none" w:sz="0" w:space="0" w:color="auto"/>
        <w:left w:val="none" w:sz="0" w:space="0" w:color="auto"/>
        <w:bottom w:val="none" w:sz="0" w:space="0" w:color="auto"/>
        <w:right w:val="none" w:sz="0" w:space="0" w:color="auto"/>
      </w:divBdr>
      <w:divsChild>
        <w:div w:id="1832788021">
          <w:marLeft w:val="0"/>
          <w:marRight w:val="0"/>
          <w:marTop w:val="0"/>
          <w:marBottom w:val="0"/>
          <w:divBdr>
            <w:top w:val="none" w:sz="0" w:space="0" w:color="auto"/>
            <w:left w:val="none" w:sz="0" w:space="0" w:color="auto"/>
            <w:bottom w:val="none" w:sz="0" w:space="0" w:color="auto"/>
            <w:right w:val="none" w:sz="0" w:space="0" w:color="auto"/>
          </w:divBdr>
        </w:div>
        <w:div w:id="800879325">
          <w:marLeft w:val="0"/>
          <w:marRight w:val="0"/>
          <w:marTop w:val="0"/>
          <w:marBottom w:val="0"/>
          <w:divBdr>
            <w:top w:val="none" w:sz="0" w:space="0" w:color="auto"/>
            <w:left w:val="none" w:sz="0" w:space="0" w:color="auto"/>
            <w:bottom w:val="none" w:sz="0" w:space="0" w:color="auto"/>
            <w:right w:val="none" w:sz="0" w:space="0" w:color="auto"/>
          </w:divBdr>
        </w:div>
        <w:div w:id="969869873">
          <w:marLeft w:val="0"/>
          <w:marRight w:val="0"/>
          <w:marTop w:val="0"/>
          <w:marBottom w:val="0"/>
          <w:divBdr>
            <w:top w:val="none" w:sz="0" w:space="0" w:color="auto"/>
            <w:left w:val="none" w:sz="0" w:space="0" w:color="auto"/>
            <w:bottom w:val="none" w:sz="0" w:space="0" w:color="auto"/>
            <w:right w:val="none" w:sz="0" w:space="0" w:color="auto"/>
          </w:divBdr>
        </w:div>
        <w:div w:id="240600042">
          <w:marLeft w:val="0"/>
          <w:marRight w:val="0"/>
          <w:marTop w:val="0"/>
          <w:marBottom w:val="0"/>
          <w:divBdr>
            <w:top w:val="none" w:sz="0" w:space="0" w:color="auto"/>
            <w:left w:val="none" w:sz="0" w:space="0" w:color="auto"/>
            <w:bottom w:val="none" w:sz="0" w:space="0" w:color="auto"/>
            <w:right w:val="none" w:sz="0" w:space="0" w:color="auto"/>
          </w:divBdr>
        </w:div>
        <w:div w:id="2073581527">
          <w:marLeft w:val="0"/>
          <w:marRight w:val="0"/>
          <w:marTop w:val="0"/>
          <w:marBottom w:val="0"/>
          <w:divBdr>
            <w:top w:val="none" w:sz="0" w:space="0" w:color="auto"/>
            <w:left w:val="none" w:sz="0" w:space="0" w:color="auto"/>
            <w:bottom w:val="none" w:sz="0" w:space="0" w:color="auto"/>
            <w:right w:val="none" w:sz="0" w:space="0" w:color="auto"/>
          </w:divBdr>
        </w:div>
        <w:div w:id="1809394290">
          <w:marLeft w:val="0"/>
          <w:marRight w:val="0"/>
          <w:marTop w:val="0"/>
          <w:marBottom w:val="0"/>
          <w:divBdr>
            <w:top w:val="none" w:sz="0" w:space="0" w:color="auto"/>
            <w:left w:val="none" w:sz="0" w:space="0" w:color="auto"/>
            <w:bottom w:val="none" w:sz="0" w:space="0" w:color="auto"/>
            <w:right w:val="none" w:sz="0" w:space="0" w:color="auto"/>
          </w:divBdr>
        </w:div>
        <w:div w:id="1576822101">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2460045">
      <w:bodyDiv w:val="1"/>
      <w:marLeft w:val="0"/>
      <w:marRight w:val="0"/>
      <w:marTop w:val="0"/>
      <w:marBottom w:val="0"/>
      <w:divBdr>
        <w:top w:val="none" w:sz="0" w:space="0" w:color="auto"/>
        <w:left w:val="none" w:sz="0" w:space="0" w:color="auto"/>
        <w:bottom w:val="none" w:sz="0" w:space="0" w:color="auto"/>
        <w:right w:val="none" w:sz="0" w:space="0" w:color="auto"/>
      </w:divBdr>
      <w:divsChild>
        <w:div w:id="1827429116">
          <w:marLeft w:val="0"/>
          <w:marRight w:val="0"/>
          <w:marTop w:val="0"/>
          <w:marBottom w:val="0"/>
          <w:divBdr>
            <w:top w:val="none" w:sz="0" w:space="0" w:color="auto"/>
            <w:left w:val="none" w:sz="0" w:space="0" w:color="auto"/>
            <w:bottom w:val="none" w:sz="0" w:space="0" w:color="auto"/>
            <w:right w:val="none" w:sz="0" w:space="0" w:color="auto"/>
          </w:divBdr>
        </w:div>
      </w:divsChild>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47507337">
      <w:bodyDiv w:val="1"/>
      <w:marLeft w:val="0"/>
      <w:marRight w:val="0"/>
      <w:marTop w:val="0"/>
      <w:marBottom w:val="0"/>
      <w:divBdr>
        <w:top w:val="none" w:sz="0" w:space="0" w:color="auto"/>
        <w:left w:val="none" w:sz="0" w:space="0" w:color="auto"/>
        <w:bottom w:val="none" w:sz="0" w:space="0" w:color="auto"/>
        <w:right w:val="none" w:sz="0" w:space="0" w:color="auto"/>
      </w:divBdr>
      <w:divsChild>
        <w:div w:id="1000810923">
          <w:marLeft w:val="0"/>
          <w:marRight w:val="0"/>
          <w:marTop w:val="0"/>
          <w:marBottom w:val="0"/>
          <w:divBdr>
            <w:top w:val="none" w:sz="0" w:space="0" w:color="auto"/>
            <w:left w:val="none" w:sz="0" w:space="0" w:color="auto"/>
            <w:bottom w:val="none" w:sz="0" w:space="0" w:color="auto"/>
            <w:right w:val="none" w:sz="0" w:space="0" w:color="auto"/>
          </w:divBdr>
        </w:div>
      </w:divsChild>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798303473">
      <w:bodyDiv w:val="1"/>
      <w:marLeft w:val="0"/>
      <w:marRight w:val="0"/>
      <w:marTop w:val="0"/>
      <w:marBottom w:val="0"/>
      <w:divBdr>
        <w:top w:val="none" w:sz="0" w:space="0" w:color="auto"/>
        <w:left w:val="none" w:sz="0" w:space="0" w:color="auto"/>
        <w:bottom w:val="none" w:sz="0" w:space="0" w:color="auto"/>
        <w:right w:val="none" w:sz="0" w:space="0" w:color="auto"/>
      </w:divBdr>
      <w:divsChild>
        <w:div w:id="1405108513">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46872769">
      <w:bodyDiv w:val="1"/>
      <w:marLeft w:val="0"/>
      <w:marRight w:val="0"/>
      <w:marTop w:val="0"/>
      <w:marBottom w:val="0"/>
      <w:divBdr>
        <w:top w:val="none" w:sz="0" w:space="0" w:color="auto"/>
        <w:left w:val="none" w:sz="0" w:space="0" w:color="auto"/>
        <w:bottom w:val="none" w:sz="0" w:space="0" w:color="auto"/>
        <w:right w:val="none" w:sz="0" w:space="0" w:color="auto"/>
      </w:divBdr>
      <w:divsChild>
        <w:div w:id="2083485736">
          <w:marLeft w:val="0"/>
          <w:marRight w:val="0"/>
          <w:marTop w:val="0"/>
          <w:marBottom w:val="0"/>
          <w:divBdr>
            <w:top w:val="none" w:sz="0" w:space="0" w:color="auto"/>
            <w:left w:val="none" w:sz="0" w:space="0" w:color="auto"/>
            <w:bottom w:val="none" w:sz="0" w:space="0" w:color="auto"/>
            <w:right w:val="none" w:sz="0" w:space="0" w:color="auto"/>
          </w:divBdr>
        </w:div>
      </w:divsChild>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821310">
      <w:bodyDiv w:val="1"/>
      <w:marLeft w:val="0"/>
      <w:marRight w:val="0"/>
      <w:marTop w:val="0"/>
      <w:marBottom w:val="0"/>
      <w:divBdr>
        <w:top w:val="none" w:sz="0" w:space="0" w:color="auto"/>
        <w:left w:val="none" w:sz="0" w:space="0" w:color="auto"/>
        <w:bottom w:val="none" w:sz="0" w:space="0" w:color="auto"/>
        <w:right w:val="none" w:sz="0" w:space="0" w:color="auto"/>
      </w:divBdr>
      <w:divsChild>
        <w:div w:id="273559600">
          <w:marLeft w:val="0"/>
          <w:marRight w:val="0"/>
          <w:marTop w:val="0"/>
          <w:marBottom w:val="0"/>
          <w:divBdr>
            <w:top w:val="none" w:sz="0" w:space="0" w:color="auto"/>
            <w:left w:val="none" w:sz="0" w:space="0" w:color="auto"/>
            <w:bottom w:val="none" w:sz="0" w:space="0" w:color="auto"/>
            <w:right w:val="none" w:sz="0" w:space="0" w:color="auto"/>
          </w:divBdr>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657063">
      <w:bodyDiv w:val="1"/>
      <w:marLeft w:val="0"/>
      <w:marRight w:val="0"/>
      <w:marTop w:val="0"/>
      <w:marBottom w:val="0"/>
      <w:divBdr>
        <w:top w:val="none" w:sz="0" w:space="0" w:color="auto"/>
        <w:left w:val="none" w:sz="0" w:space="0" w:color="auto"/>
        <w:bottom w:val="none" w:sz="0" w:space="0" w:color="auto"/>
        <w:right w:val="none" w:sz="0" w:space="0" w:color="auto"/>
      </w:divBdr>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92210641">
      <w:bodyDiv w:val="1"/>
      <w:marLeft w:val="0"/>
      <w:marRight w:val="0"/>
      <w:marTop w:val="0"/>
      <w:marBottom w:val="0"/>
      <w:divBdr>
        <w:top w:val="none" w:sz="0" w:space="0" w:color="auto"/>
        <w:left w:val="none" w:sz="0" w:space="0" w:color="auto"/>
        <w:bottom w:val="none" w:sz="0" w:space="0" w:color="auto"/>
        <w:right w:val="none" w:sz="0" w:space="0" w:color="auto"/>
      </w:divBdr>
      <w:divsChild>
        <w:div w:id="2016221995">
          <w:marLeft w:val="0"/>
          <w:marRight w:val="0"/>
          <w:marTop w:val="0"/>
          <w:marBottom w:val="0"/>
          <w:divBdr>
            <w:top w:val="none" w:sz="0" w:space="0" w:color="auto"/>
            <w:left w:val="none" w:sz="0" w:space="0" w:color="auto"/>
            <w:bottom w:val="none" w:sz="0" w:space="0" w:color="auto"/>
            <w:right w:val="none" w:sz="0" w:space="0" w:color="auto"/>
          </w:divBdr>
        </w:div>
      </w:divsChild>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781901">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047871">
      <w:bodyDiv w:val="1"/>
      <w:marLeft w:val="0"/>
      <w:marRight w:val="0"/>
      <w:marTop w:val="0"/>
      <w:marBottom w:val="0"/>
      <w:divBdr>
        <w:top w:val="none" w:sz="0" w:space="0" w:color="auto"/>
        <w:left w:val="none" w:sz="0" w:space="0" w:color="auto"/>
        <w:bottom w:val="none" w:sz="0" w:space="0" w:color="auto"/>
        <w:right w:val="none" w:sz="0" w:space="0" w:color="auto"/>
      </w:divBdr>
      <w:divsChild>
        <w:div w:id="547575800">
          <w:marLeft w:val="0"/>
          <w:marRight w:val="0"/>
          <w:marTop w:val="0"/>
          <w:marBottom w:val="0"/>
          <w:divBdr>
            <w:top w:val="none" w:sz="0" w:space="0" w:color="auto"/>
            <w:left w:val="none" w:sz="0" w:space="0" w:color="auto"/>
            <w:bottom w:val="none" w:sz="0" w:space="0" w:color="auto"/>
            <w:right w:val="none" w:sz="0" w:space="0" w:color="auto"/>
          </w:divBdr>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9687</TotalTime>
  <Pages>3</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733</cp:revision>
  <cp:lastPrinted>2022-11-05T23:23:00Z</cp:lastPrinted>
  <dcterms:created xsi:type="dcterms:W3CDTF">2020-08-06T15:21:00Z</dcterms:created>
  <dcterms:modified xsi:type="dcterms:W3CDTF">2023-11-03T20:55:00Z</dcterms:modified>
</cp:coreProperties>
</file>