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4B36200"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8F7CBE" w:rsidRPr="008F7CBE">
        <w:rPr>
          <w:rFonts w:ascii="Arial" w:hAnsi="Arial" w:cs="Arial"/>
          <w:b/>
          <w:color w:val="000000" w:themeColor="text1"/>
          <w:lang w:val="de-DE"/>
        </w:rPr>
        <w:t>R1-2307298</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4A044E">
        <w:rPr>
          <w:rFonts w:ascii="Arial" w:hAnsi="Arial" w:cs="Arial"/>
          <w:b/>
          <w:vertAlign w:val="superscript"/>
          <w:lang w:val="de-DE"/>
        </w:rPr>
        <w:t>st</w:t>
      </w:r>
      <w:r w:rsidRPr="00EB38B6">
        <w:rPr>
          <w:rFonts w:ascii="Arial" w:hAnsi="Arial" w:cs="Arial"/>
          <w:b/>
          <w:lang w:val="de-DE"/>
        </w:rPr>
        <w:t xml:space="preserve"> – August 25</w:t>
      </w:r>
      <w:r w:rsidRPr="004A044E">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2DD8380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A27709" w:rsidRPr="00A27709">
        <w:rPr>
          <w:rFonts w:ascii="Arial" w:hAnsi="Arial" w:cs="Arial"/>
          <w:b/>
        </w:rPr>
        <w:t>Timing advance management for L1/L2 Mobility</w:t>
      </w:r>
    </w:p>
    <w:p w14:paraId="7B288F5E" w14:textId="03A5C7D7"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E9699B">
        <w:rPr>
          <w:rFonts w:ascii="Arial" w:hAnsi="Arial" w:cs="Arial"/>
          <w:b/>
        </w:rPr>
        <w:t>1</w:t>
      </w:r>
      <w:r w:rsidR="004A044E">
        <w:rPr>
          <w:rFonts w:ascii="Arial" w:hAnsi="Arial" w:cs="Arial"/>
          <w:b/>
        </w:rPr>
        <w:t>0</w:t>
      </w:r>
      <w:r w:rsidR="00E9699B">
        <w:rPr>
          <w:rFonts w:ascii="Arial" w:hAnsi="Arial" w:cs="Arial"/>
          <w:b/>
        </w:rPr>
        <w:t>.</w:t>
      </w:r>
      <w:r w:rsidR="00A27709">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D48F8B4" w14:textId="77777777" w:rsidR="00A27709" w:rsidRPr="00A27709" w:rsidRDefault="00A27709" w:rsidP="00A27709">
      <w:pPr>
        <w:spacing w:before="120"/>
        <w:jc w:val="both"/>
        <w:rPr>
          <w:rFonts w:ascii="Arial" w:hAnsi="Arial" w:cs="Arial"/>
          <w:sz w:val="21"/>
          <w:szCs w:val="21"/>
        </w:rPr>
      </w:pPr>
      <w:r w:rsidRPr="00A27709">
        <w:rPr>
          <w:rFonts w:ascii="Arial" w:hAnsi="Arial" w:cs="Arial"/>
          <w:sz w:val="21"/>
          <w:szCs w:val="21"/>
        </w:rPr>
        <w:t xml:space="preserve">One of design goals for Rel-18 L1/L2-triggered Mobility WI is to minimize the cell-switch latency [1]: </w:t>
      </w:r>
    </w:p>
    <w:tbl>
      <w:tblPr>
        <w:tblStyle w:val="TableGrid"/>
        <w:tblW w:w="0" w:type="auto"/>
        <w:tblLook w:val="04A0" w:firstRow="1" w:lastRow="0" w:firstColumn="1" w:lastColumn="0" w:noHBand="0" w:noVBand="1"/>
      </w:tblPr>
      <w:tblGrid>
        <w:gridCol w:w="9962"/>
      </w:tblGrid>
      <w:tr w:rsidR="00A27709" w:rsidRPr="00A27709" w14:paraId="0A56DE06" w14:textId="77777777" w:rsidTr="00336CE3">
        <w:tc>
          <w:tcPr>
            <w:tcW w:w="9962" w:type="dxa"/>
          </w:tcPr>
          <w:p w14:paraId="5379F7E4" w14:textId="77777777" w:rsidR="00A27709" w:rsidRPr="00A27709" w:rsidRDefault="00A27709" w:rsidP="00A27709">
            <w:pPr>
              <w:numPr>
                <w:ilvl w:val="0"/>
                <w:numId w:val="41"/>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To specify mechanism and procedures of L1/L2 based inter-cell mobility for mobility latency reduction:</w:t>
            </w:r>
          </w:p>
          <w:p w14:paraId="0927D241" w14:textId="77777777" w:rsidR="00A27709" w:rsidRPr="00A27709" w:rsidRDefault="00A27709" w:rsidP="00A27709">
            <w:pPr>
              <w:numPr>
                <w:ilvl w:val="0"/>
                <w:numId w:val="42"/>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w:t>
            </w:r>
          </w:p>
          <w:p w14:paraId="57B9B4B8" w14:textId="77777777" w:rsidR="00A27709" w:rsidRPr="00A27709" w:rsidRDefault="00A27709" w:rsidP="00A27709">
            <w:pPr>
              <w:numPr>
                <w:ilvl w:val="0"/>
                <w:numId w:val="42"/>
              </w:numPr>
              <w:overflowPunct w:val="0"/>
              <w:autoSpaceDE w:val="0"/>
              <w:autoSpaceDN w:val="0"/>
              <w:adjustRightInd w:val="0"/>
              <w:spacing w:after="120"/>
              <w:ind w:left="1138" w:hanging="418"/>
              <w:jc w:val="both"/>
              <w:textAlignment w:val="baseline"/>
              <w:rPr>
                <w:bCs/>
                <w:sz w:val="21"/>
                <w:szCs w:val="21"/>
              </w:rPr>
            </w:pPr>
            <w:r w:rsidRPr="00A27709">
              <w:rPr>
                <w:rFonts w:ascii="Arial" w:hAnsi="Arial" w:cs="Arial"/>
                <w:bCs/>
                <w:sz w:val="21"/>
                <w:szCs w:val="21"/>
              </w:rPr>
              <w:t>Timing Advance management [RAN1, RAN2]</w:t>
            </w:r>
          </w:p>
        </w:tc>
      </w:tr>
    </w:tbl>
    <w:p w14:paraId="4190443A" w14:textId="2A67D758"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 xml:space="preserve">In RAN 113 meeting, a pretty good progress was made for the timing advance management to reduce latency of LTM operation [2]. </w:t>
      </w:r>
    </w:p>
    <w:p w14:paraId="569639D0" w14:textId="77777777"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 xml:space="preserve">This contribution presents our views on the remaining TA management issues to enable L1/L2-trigger mobility (LTM) in accordance with the latest progress. </w:t>
      </w:r>
    </w:p>
    <w:p w14:paraId="064AC5A7" w14:textId="77777777" w:rsidR="00EB38B6" w:rsidRPr="00792A33" w:rsidRDefault="00EB38B6" w:rsidP="006A7A09">
      <w:pPr>
        <w:jc w:val="both"/>
        <w:rPr>
          <w:rFonts w:ascii="Arial" w:hAnsi="Arial" w:cs="Arial"/>
          <w:sz w:val="20"/>
          <w:szCs w:val="20"/>
        </w:rPr>
      </w:pPr>
    </w:p>
    <w:p w14:paraId="093FC70E" w14:textId="77777777" w:rsidR="00FC16CA"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C16CA">
        <w:rPr>
          <w:rFonts w:cs="Arial"/>
          <w:lang w:val="en-US"/>
        </w:rPr>
        <w:t>PDCCH ordered RACH without RAR</w:t>
      </w:r>
    </w:p>
    <w:p w14:paraId="0ACA9283" w14:textId="6508031C" w:rsidR="00EB38B6" w:rsidRPr="00FC16CA" w:rsidRDefault="00FC16CA" w:rsidP="00DF3FC2">
      <w:pPr>
        <w:spacing w:after="120"/>
        <w:rPr>
          <w:rFonts w:ascii="Arial" w:hAnsi="Arial" w:cs="Arial"/>
          <w:sz w:val="20"/>
          <w:szCs w:val="20"/>
        </w:rPr>
      </w:pPr>
      <w:r w:rsidRPr="00FC16CA">
        <w:rPr>
          <w:rFonts w:ascii="Arial" w:hAnsi="Arial" w:cs="Arial"/>
          <w:sz w:val="20"/>
          <w:szCs w:val="20"/>
        </w:rPr>
        <w:t xml:space="preserve">The </w:t>
      </w:r>
      <w:r>
        <w:rPr>
          <w:rFonts w:ascii="Arial" w:hAnsi="Arial" w:cs="Arial"/>
          <w:sz w:val="20"/>
          <w:szCs w:val="20"/>
        </w:rPr>
        <w:t xml:space="preserve">following was agreed in RAN1 113 meeting for PDCCH-ordered CFRA without RAR [2]: </w:t>
      </w:r>
    </w:p>
    <w:tbl>
      <w:tblPr>
        <w:tblStyle w:val="TableGrid"/>
        <w:tblW w:w="0" w:type="auto"/>
        <w:tblLook w:val="04A0" w:firstRow="1" w:lastRow="0" w:firstColumn="1" w:lastColumn="0" w:noHBand="0" w:noVBand="1"/>
      </w:tblPr>
      <w:tblGrid>
        <w:gridCol w:w="9962"/>
      </w:tblGrid>
      <w:tr w:rsidR="00FC16CA" w14:paraId="26C5B343" w14:textId="77777777" w:rsidTr="00FC16CA">
        <w:tc>
          <w:tcPr>
            <w:tcW w:w="9962" w:type="dxa"/>
          </w:tcPr>
          <w:p w14:paraId="1A5EF24F" w14:textId="77777777" w:rsidR="00DF3FC2" w:rsidRPr="00DF3FC2" w:rsidRDefault="00DF3FC2" w:rsidP="00DF3FC2">
            <w:pPr>
              <w:spacing w:before="120"/>
              <w:jc w:val="both"/>
              <w:rPr>
                <w:rFonts w:ascii="Arial" w:hAnsi="Arial" w:cs="Arial"/>
                <w:color w:val="1F497D"/>
                <w:sz w:val="20"/>
                <w:szCs w:val="20"/>
                <w:highlight w:val="green"/>
              </w:rPr>
            </w:pPr>
            <w:r w:rsidRPr="00DF3FC2">
              <w:rPr>
                <w:rFonts w:ascii="Arial" w:hAnsi="Arial" w:cs="Arial"/>
                <w:b/>
                <w:sz w:val="20"/>
                <w:szCs w:val="20"/>
                <w:highlight w:val="green"/>
              </w:rPr>
              <w:t>Agreement</w:t>
            </w:r>
          </w:p>
          <w:p w14:paraId="47827320" w14:textId="0A9EA909" w:rsidR="00DF3FC2" w:rsidRPr="00DF3FC2" w:rsidRDefault="00DF3FC2" w:rsidP="00DF3FC2">
            <w:pPr>
              <w:jc w:val="both"/>
              <w:rPr>
                <w:rFonts w:ascii="Arial" w:eastAsia="DengXian" w:hAnsi="Arial" w:cs="Arial"/>
                <w:sz w:val="20"/>
                <w:szCs w:val="20"/>
              </w:rPr>
            </w:pPr>
            <w:r w:rsidRPr="00DF3FC2">
              <w:rPr>
                <w:rFonts w:ascii="Arial" w:eastAsia="DengXian" w:hAnsi="Arial" w:cs="Arial"/>
                <w:sz w:val="20"/>
                <w:szCs w:val="20"/>
              </w:rPr>
              <w:t>On the determination of the PRACH transmission power when reception of RAR is not configured, a</w:t>
            </w:r>
            <w:r w:rsidRPr="00DF3FC2">
              <w:rPr>
                <w:rFonts w:ascii="Arial" w:eastAsia="DengXian" w:hAnsi="Arial" w:cs="Arial"/>
                <w:color w:val="FF0000"/>
                <w:sz w:val="20"/>
                <w:szCs w:val="20"/>
              </w:rPr>
              <w:t xml:space="preserve"> </w:t>
            </w:r>
            <w:r w:rsidRPr="00DF3FC2">
              <w:rPr>
                <w:rFonts w:ascii="Arial" w:eastAsia="DengXian" w:hAnsi="Arial" w:cs="Arial"/>
                <w:sz w:val="20"/>
                <w:szCs w:val="20"/>
              </w:rPr>
              <w:t>1-bit field in PDCCH order explicitly indicating initial transmission or retransmission of PRACH,</w:t>
            </w:r>
            <w:r>
              <w:rPr>
                <w:rFonts w:ascii="Arial" w:eastAsia="DengXian" w:hAnsi="Arial" w:cs="Arial"/>
                <w:sz w:val="20"/>
                <w:szCs w:val="20"/>
              </w:rPr>
              <w:t xml:space="preserve"> </w:t>
            </w:r>
            <w:r w:rsidRPr="00DF3FC2">
              <w:rPr>
                <w:rFonts w:ascii="Arial" w:eastAsia="DengXian" w:hAnsi="Arial" w:cs="Arial"/>
                <w:sz w:val="20"/>
                <w:szCs w:val="20"/>
                <w:highlight w:val="yellow"/>
              </w:rPr>
              <w:t>FFS</w:t>
            </w:r>
          </w:p>
          <w:p w14:paraId="728775D4" w14:textId="77777777" w:rsidR="00DF3FC2" w:rsidRPr="00DF3FC2" w:rsidRDefault="00DF3FC2" w:rsidP="00DF3FC2">
            <w:pPr>
              <w:pStyle w:val="ListParagraph"/>
              <w:numPr>
                <w:ilvl w:val="0"/>
                <w:numId w:val="60"/>
              </w:numPr>
              <w:spacing w:after="160" w:line="259" w:lineRule="auto"/>
              <w:jc w:val="both"/>
              <w:rPr>
                <w:rFonts w:ascii="Arial" w:eastAsia="DengXian" w:hAnsi="Arial" w:cs="Arial"/>
                <w:sz w:val="20"/>
                <w:szCs w:val="20"/>
              </w:rPr>
            </w:pPr>
            <w:r w:rsidRPr="00DF3FC2">
              <w:rPr>
                <w:rFonts w:ascii="Arial" w:eastAsia="DengXian" w:hAnsi="Arial" w:cs="Arial"/>
                <w:sz w:val="20"/>
                <w:szCs w:val="20"/>
              </w:rPr>
              <w:t>UE will increase the power with the value of power ramping configuration if it is indicated as re-transmission, unless the max allowed power is achieved</w:t>
            </w:r>
          </w:p>
          <w:p w14:paraId="72BBB96E" w14:textId="2D6BC257" w:rsidR="00FC16CA" w:rsidRPr="00DF3FC2" w:rsidRDefault="00DF3FC2" w:rsidP="00DF3FC2">
            <w:pPr>
              <w:pStyle w:val="ListParagraph"/>
              <w:numPr>
                <w:ilvl w:val="0"/>
                <w:numId w:val="60"/>
              </w:numPr>
              <w:spacing w:after="160" w:line="259" w:lineRule="auto"/>
              <w:jc w:val="both"/>
              <w:rPr>
                <w:rFonts w:ascii="Arial" w:eastAsia="DengXian" w:hAnsi="Arial" w:cs="Arial"/>
                <w:sz w:val="20"/>
                <w:szCs w:val="20"/>
              </w:rPr>
            </w:pPr>
            <w:r w:rsidRPr="00DF3FC2">
              <w:rPr>
                <w:rFonts w:ascii="Arial" w:eastAsia="DengXian" w:hAnsi="Arial" w:cs="Arial"/>
                <w:sz w:val="20"/>
                <w:szCs w:val="20"/>
              </w:rPr>
              <w:t>whether/how to reset the counter</w:t>
            </w:r>
          </w:p>
        </w:tc>
      </w:tr>
    </w:tbl>
    <w:p w14:paraId="58168A32" w14:textId="529EDEAF" w:rsidR="00607267" w:rsidRDefault="00B36B38" w:rsidP="00B05A1D">
      <w:pPr>
        <w:spacing w:before="120"/>
        <w:rPr>
          <w:rFonts w:ascii="Arial" w:hAnsi="Arial" w:cs="Arial"/>
          <w:sz w:val="20"/>
          <w:szCs w:val="20"/>
        </w:rPr>
      </w:pPr>
      <w:r>
        <w:rPr>
          <w:rFonts w:ascii="Arial" w:hAnsi="Arial" w:cs="Arial"/>
          <w:sz w:val="20"/>
          <w:szCs w:val="20"/>
        </w:rPr>
        <w:t>Typically</w:t>
      </w:r>
      <w:r w:rsidR="00534EA2">
        <w:rPr>
          <w:rFonts w:ascii="Arial" w:hAnsi="Arial" w:cs="Arial"/>
          <w:sz w:val="20"/>
          <w:szCs w:val="20"/>
        </w:rPr>
        <w:t xml:space="preserve">, </w:t>
      </w:r>
      <w:r>
        <w:rPr>
          <w:rFonts w:ascii="Arial" w:hAnsi="Arial" w:cs="Arial"/>
          <w:sz w:val="20"/>
          <w:szCs w:val="20"/>
        </w:rPr>
        <w:t xml:space="preserve">PDCCH order DCI reception should be assumed to be high reliable due to a relatively smaller payload size and NW have a full control on the aggregation levels to transmit the PDCCH order DCI. In addition, </w:t>
      </w:r>
      <w:r w:rsidR="000D4897">
        <w:rPr>
          <w:rFonts w:ascii="Arial" w:hAnsi="Arial" w:cs="Arial"/>
          <w:sz w:val="20"/>
          <w:szCs w:val="20"/>
        </w:rPr>
        <w:t>in our view</w:t>
      </w:r>
      <w:r w:rsidR="00607267">
        <w:rPr>
          <w:rFonts w:ascii="Arial" w:hAnsi="Arial" w:cs="Arial"/>
          <w:sz w:val="20"/>
          <w:szCs w:val="20"/>
        </w:rPr>
        <w:t>, if PDCCH order miss detection is taken into account,</w:t>
      </w:r>
      <w:r w:rsidR="000D4897">
        <w:rPr>
          <w:rFonts w:ascii="Arial" w:hAnsi="Arial" w:cs="Arial"/>
          <w:sz w:val="20"/>
          <w:szCs w:val="20"/>
        </w:rPr>
        <w:t xml:space="preserve"> the design would be quite complicated and</w:t>
      </w:r>
      <w:r w:rsidR="0006202F">
        <w:rPr>
          <w:rFonts w:ascii="Arial" w:hAnsi="Arial" w:cs="Arial"/>
          <w:sz w:val="20"/>
          <w:szCs w:val="20"/>
        </w:rPr>
        <w:t xml:space="preserve"> it is</w:t>
      </w:r>
      <w:r w:rsidR="000D4897">
        <w:rPr>
          <w:rFonts w:ascii="Arial" w:hAnsi="Arial" w:cs="Arial"/>
          <w:sz w:val="20"/>
          <w:szCs w:val="20"/>
        </w:rPr>
        <w:t xml:space="preserve"> </w:t>
      </w:r>
      <w:r w:rsidR="00607267">
        <w:rPr>
          <w:rFonts w:ascii="Arial" w:hAnsi="Arial" w:cs="Arial"/>
          <w:sz w:val="20"/>
          <w:szCs w:val="20"/>
        </w:rPr>
        <w:t>almost impossible to define a unified behavior</w:t>
      </w:r>
      <w:r w:rsidR="0006202F">
        <w:rPr>
          <w:rFonts w:ascii="Arial" w:hAnsi="Arial" w:cs="Arial"/>
          <w:sz w:val="20"/>
          <w:szCs w:val="20"/>
        </w:rPr>
        <w:t xml:space="preserve"> that is optimal</w:t>
      </w:r>
      <w:r w:rsidR="00607267">
        <w:rPr>
          <w:rFonts w:ascii="Arial" w:hAnsi="Arial" w:cs="Arial"/>
          <w:sz w:val="20"/>
          <w:szCs w:val="20"/>
        </w:rPr>
        <w:t xml:space="preserve"> for all possible cases. </w:t>
      </w:r>
    </w:p>
    <w:p w14:paraId="7C88102F" w14:textId="2C129734" w:rsidR="00E82182" w:rsidRDefault="00E85A8D" w:rsidP="00E82182">
      <w:pPr>
        <w:spacing w:before="120"/>
        <w:jc w:val="center"/>
        <w:rPr>
          <w:rFonts w:ascii="Arial" w:hAnsi="Arial" w:cs="Arial"/>
          <w:sz w:val="20"/>
          <w:szCs w:val="20"/>
        </w:rPr>
      </w:pPr>
      <w:r>
        <w:rPr>
          <w:rFonts w:ascii="Arial" w:hAnsi="Arial" w:cs="Arial"/>
          <w:noProof/>
          <w:sz w:val="20"/>
          <w:szCs w:val="20"/>
        </w:rPr>
        <w:drawing>
          <wp:inline distT="0" distB="0" distL="0" distR="0" wp14:anchorId="603F7EAE" wp14:editId="3BF7268B">
            <wp:extent cx="6332220" cy="1111885"/>
            <wp:effectExtent l="0" t="0" r="5080" b="5715"/>
            <wp:docPr id="1368622058" name="Picture 3"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622058" name="Picture 3" descr="A close-up of a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52815" cy="1115501"/>
                    </a:xfrm>
                    <a:prstGeom prst="rect">
                      <a:avLst/>
                    </a:prstGeom>
                  </pic:spPr>
                </pic:pic>
              </a:graphicData>
            </a:graphic>
          </wp:inline>
        </w:drawing>
      </w:r>
    </w:p>
    <w:p w14:paraId="69B90E4D" w14:textId="36DA3630" w:rsidR="00E82182" w:rsidRPr="00E82182" w:rsidRDefault="00E82182" w:rsidP="00E82182">
      <w:pPr>
        <w:spacing w:before="120"/>
        <w:jc w:val="center"/>
        <w:rPr>
          <w:rFonts w:ascii="Arial" w:hAnsi="Arial" w:cs="Arial"/>
          <w:b/>
          <w:bCs/>
          <w:sz w:val="20"/>
          <w:szCs w:val="20"/>
        </w:rPr>
      </w:pPr>
      <w:r w:rsidRPr="00E82182">
        <w:rPr>
          <w:rFonts w:ascii="Arial" w:hAnsi="Arial" w:cs="Arial"/>
          <w:b/>
          <w:bCs/>
          <w:sz w:val="20"/>
          <w:szCs w:val="20"/>
        </w:rPr>
        <w:t xml:space="preserve">Figure 1: </w:t>
      </w:r>
      <w:r w:rsidR="00721FAD">
        <w:rPr>
          <w:rFonts w:ascii="Arial" w:hAnsi="Arial" w:cs="Arial"/>
          <w:b/>
          <w:bCs/>
          <w:sz w:val="20"/>
          <w:szCs w:val="20"/>
        </w:rPr>
        <w:t>Different miss detection cases for PDCCH order DCI.</w:t>
      </w:r>
    </w:p>
    <w:p w14:paraId="4E001B0C" w14:textId="77777777" w:rsidR="00790A71" w:rsidRDefault="00607267" w:rsidP="00B05A1D">
      <w:pPr>
        <w:spacing w:before="120"/>
        <w:rPr>
          <w:rFonts w:ascii="Arial" w:hAnsi="Arial" w:cs="Arial"/>
          <w:sz w:val="20"/>
          <w:szCs w:val="20"/>
        </w:rPr>
      </w:pPr>
      <w:r>
        <w:rPr>
          <w:rFonts w:ascii="Arial" w:hAnsi="Arial" w:cs="Arial"/>
          <w:sz w:val="20"/>
          <w:szCs w:val="20"/>
        </w:rPr>
        <w:t xml:space="preserve">Figure 1 listed </w:t>
      </w:r>
      <w:r w:rsidR="00E85A8D">
        <w:rPr>
          <w:rFonts w:ascii="Arial" w:hAnsi="Arial" w:cs="Arial"/>
          <w:sz w:val="20"/>
          <w:szCs w:val="20"/>
        </w:rPr>
        <w:t>two</w:t>
      </w:r>
      <w:r>
        <w:rPr>
          <w:rFonts w:ascii="Arial" w:hAnsi="Arial" w:cs="Arial"/>
          <w:sz w:val="20"/>
          <w:szCs w:val="20"/>
        </w:rPr>
        <w:t xml:space="preserve"> cases </w:t>
      </w:r>
      <w:r w:rsidR="00E85A8D">
        <w:rPr>
          <w:rFonts w:ascii="Arial" w:hAnsi="Arial" w:cs="Arial"/>
          <w:sz w:val="20"/>
          <w:szCs w:val="20"/>
        </w:rPr>
        <w:t xml:space="preserve">where UE can not differentiate between the Case 1a and Case 1b as well as Case 2a and Case 2b. We believe it is sufficient to </w:t>
      </w:r>
      <w:r w:rsidR="00790A71">
        <w:rPr>
          <w:rFonts w:ascii="Arial" w:hAnsi="Arial" w:cs="Arial"/>
          <w:sz w:val="20"/>
          <w:szCs w:val="20"/>
        </w:rPr>
        <w:t>leave it for NW implementation to ensure</w:t>
      </w:r>
      <w:r w:rsidR="00E85A8D">
        <w:rPr>
          <w:rFonts w:ascii="Arial" w:hAnsi="Arial" w:cs="Arial"/>
          <w:sz w:val="20"/>
          <w:szCs w:val="20"/>
        </w:rPr>
        <w:t xml:space="preserve"> the reliability of PDCCH-order DCI reception</w:t>
      </w:r>
      <w:r w:rsidR="00790A71">
        <w:rPr>
          <w:rFonts w:ascii="Arial" w:hAnsi="Arial" w:cs="Arial"/>
          <w:sz w:val="20"/>
          <w:szCs w:val="20"/>
        </w:rPr>
        <w:t xml:space="preserve"> e.g., using larger aggregation levels for DCI transmission. </w:t>
      </w:r>
    </w:p>
    <w:p w14:paraId="5EB6490D" w14:textId="1B7B48FB" w:rsidR="00790A71" w:rsidRDefault="00790A71" w:rsidP="00B05A1D">
      <w:pPr>
        <w:spacing w:before="120"/>
        <w:rPr>
          <w:rFonts w:ascii="Arial" w:hAnsi="Arial" w:cs="Arial"/>
          <w:sz w:val="20"/>
          <w:szCs w:val="20"/>
        </w:rPr>
      </w:pPr>
      <w:r>
        <w:rPr>
          <w:rFonts w:ascii="Arial" w:hAnsi="Arial" w:cs="Arial"/>
          <w:sz w:val="20"/>
          <w:szCs w:val="20"/>
        </w:rPr>
        <w:t xml:space="preserve">One case was raised to reset the counter is when the SSB indicated in PDCCH order DCI is changed e.g., NW triggers the CFRA RACH retransmission towards another candidate cell. Again, assuming the sufficient reliability </w:t>
      </w:r>
      <w:r>
        <w:rPr>
          <w:rFonts w:ascii="Arial" w:hAnsi="Arial" w:cs="Arial"/>
          <w:sz w:val="20"/>
          <w:szCs w:val="20"/>
        </w:rPr>
        <w:lastRenderedPageBreak/>
        <w:t xml:space="preserve">of initial PDCCH order, the UE resets the counter to ‘0’ already once receiving the initial PRACH triggering and therefore no need to reset to </w:t>
      </w:r>
      <w:r w:rsidR="00840964">
        <w:rPr>
          <w:rFonts w:ascii="Arial" w:hAnsi="Arial" w:cs="Arial"/>
          <w:sz w:val="20"/>
          <w:szCs w:val="20"/>
        </w:rPr>
        <w:t>‘0’</w:t>
      </w:r>
      <w:r>
        <w:rPr>
          <w:rFonts w:ascii="Arial" w:hAnsi="Arial" w:cs="Arial"/>
          <w:sz w:val="20"/>
          <w:szCs w:val="20"/>
        </w:rPr>
        <w:t xml:space="preserve"> when receiving PDCCH order for retransmission. </w:t>
      </w:r>
    </w:p>
    <w:p w14:paraId="36639616" w14:textId="747C8616" w:rsidR="00B36B38" w:rsidRDefault="00790A71" w:rsidP="00B05A1D">
      <w:pPr>
        <w:spacing w:before="120"/>
        <w:rPr>
          <w:rFonts w:ascii="Arial" w:hAnsi="Arial" w:cs="Arial"/>
          <w:sz w:val="20"/>
          <w:szCs w:val="20"/>
        </w:rPr>
      </w:pPr>
      <w:r>
        <w:rPr>
          <w:rFonts w:ascii="Arial" w:hAnsi="Arial" w:cs="Arial"/>
          <w:sz w:val="20"/>
          <w:szCs w:val="20"/>
        </w:rPr>
        <w:t>We therefore make the following proposal:</w:t>
      </w:r>
      <w:r w:rsidR="00E85A8D">
        <w:rPr>
          <w:rFonts w:ascii="Arial" w:hAnsi="Arial" w:cs="Arial"/>
          <w:sz w:val="20"/>
          <w:szCs w:val="20"/>
        </w:rPr>
        <w:t xml:space="preserve">  </w:t>
      </w:r>
      <w:r w:rsidR="00607267">
        <w:rPr>
          <w:rFonts w:ascii="Arial" w:hAnsi="Arial" w:cs="Arial"/>
          <w:sz w:val="20"/>
          <w:szCs w:val="20"/>
        </w:rPr>
        <w:t xml:space="preserve"> </w:t>
      </w:r>
    </w:p>
    <w:p w14:paraId="7682F60F" w14:textId="77777777" w:rsidR="00B36B38" w:rsidRDefault="00B36B38" w:rsidP="00B05A1D">
      <w:pPr>
        <w:spacing w:before="120"/>
        <w:rPr>
          <w:rFonts w:ascii="Arial" w:hAnsi="Arial" w:cs="Arial"/>
          <w:sz w:val="20"/>
          <w:szCs w:val="20"/>
        </w:rPr>
      </w:pPr>
    </w:p>
    <w:p w14:paraId="776E2DE2" w14:textId="5914A89F" w:rsidR="00534EA2" w:rsidRPr="00A27709" w:rsidRDefault="00534EA2" w:rsidP="00534EA2">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1</w:t>
      </w:r>
      <w:r w:rsidRPr="00A27709">
        <w:rPr>
          <w:rFonts w:ascii="Arial" w:hAnsi="Arial" w:cs="Arial"/>
          <w:sz w:val="20"/>
          <w:szCs w:val="20"/>
        </w:rPr>
        <w:t xml:space="preserve">: </w:t>
      </w:r>
    </w:p>
    <w:p w14:paraId="318DE592" w14:textId="558542BB" w:rsidR="00790A71" w:rsidRDefault="00790A71" w:rsidP="00790A71">
      <w:pPr>
        <w:pStyle w:val="ListParagraph"/>
        <w:numPr>
          <w:ilvl w:val="0"/>
          <w:numId w:val="61"/>
        </w:numPr>
        <w:spacing w:after="160" w:line="259" w:lineRule="auto"/>
        <w:jc w:val="both"/>
        <w:rPr>
          <w:rFonts w:ascii="Arial" w:eastAsia="DengXian" w:hAnsi="Arial" w:cs="Arial"/>
          <w:i/>
          <w:iCs/>
          <w:sz w:val="20"/>
          <w:szCs w:val="20"/>
        </w:rPr>
      </w:pPr>
      <w:r>
        <w:rPr>
          <w:rFonts w:ascii="Arial" w:eastAsia="DengXian" w:hAnsi="Arial" w:cs="Arial"/>
          <w:i/>
          <w:iCs/>
          <w:sz w:val="20"/>
          <w:szCs w:val="20"/>
        </w:rPr>
        <w:t xml:space="preserve">A </w:t>
      </w:r>
      <w:r w:rsidRPr="00790A71">
        <w:rPr>
          <w:rFonts w:ascii="Arial" w:eastAsia="DengXian" w:hAnsi="Arial" w:cs="Arial"/>
          <w:i/>
          <w:iCs/>
          <w:sz w:val="20"/>
          <w:szCs w:val="20"/>
        </w:rPr>
        <w:t>UE will increase the power with the value of power ramping configuration if it is indicated as re-transmission, unless the max allowed power is achieved</w:t>
      </w:r>
      <w:r>
        <w:rPr>
          <w:rFonts w:ascii="Arial" w:eastAsia="DengXian" w:hAnsi="Arial" w:cs="Arial"/>
          <w:i/>
          <w:iCs/>
          <w:sz w:val="20"/>
          <w:szCs w:val="20"/>
        </w:rPr>
        <w:t xml:space="preserve">. </w:t>
      </w:r>
    </w:p>
    <w:p w14:paraId="687DE342" w14:textId="4157628C" w:rsidR="00790A71" w:rsidRDefault="00790A71" w:rsidP="00790A71">
      <w:pPr>
        <w:pStyle w:val="ListParagraph"/>
        <w:numPr>
          <w:ilvl w:val="0"/>
          <w:numId w:val="61"/>
        </w:numPr>
        <w:spacing w:after="160" w:line="259" w:lineRule="auto"/>
        <w:jc w:val="both"/>
        <w:rPr>
          <w:rFonts w:ascii="Arial" w:eastAsia="DengXian" w:hAnsi="Arial" w:cs="Arial"/>
          <w:i/>
          <w:iCs/>
          <w:sz w:val="20"/>
          <w:szCs w:val="20"/>
        </w:rPr>
      </w:pPr>
      <w:r>
        <w:rPr>
          <w:rFonts w:ascii="Arial" w:eastAsia="DengXian" w:hAnsi="Arial" w:cs="Arial"/>
          <w:i/>
          <w:iCs/>
          <w:sz w:val="20"/>
          <w:szCs w:val="20"/>
        </w:rPr>
        <w:t xml:space="preserve">The counter is reset to ‘0’ only when the PDCCH order </w:t>
      </w:r>
      <w:r w:rsidRPr="00790A71">
        <w:rPr>
          <w:rFonts w:ascii="Arial" w:eastAsia="DengXian" w:hAnsi="Arial" w:cs="Arial"/>
          <w:i/>
          <w:iCs/>
          <w:sz w:val="20"/>
          <w:szCs w:val="20"/>
        </w:rPr>
        <w:t>indicating initial transmission</w:t>
      </w:r>
      <w:r>
        <w:rPr>
          <w:rFonts w:ascii="Arial" w:eastAsia="DengXian" w:hAnsi="Arial" w:cs="Arial"/>
          <w:i/>
          <w:iCs/>
          <w:sz w:val="20"/>
          <w:szCs w:val="20"/>
        </w:rPr>
        <w:t xml:space="preserve">. </w:t>
      </w:r>
    </w:p>
    <w:p w14:paraId="64D75BC0" w14:textId="6D7479A1" w:rsidR="00693E52" w:rsidRDefault="00693E52" w:rsidP="00790A71">
      <w:pPr>
        <w:spacing w:after="160" w:line="259" w:lineRule="auto"/>
        <w:jc w:val="both"/>
        <w:rPr>
          <w:rFonts w:ascii="Arial" w:eastAsia="DengXian" w:hAnsi="Arial" w:cs="Arial"/>
          <w:sz w:val="20"/>
          <w:szCs w:val="20"/>
        </w:rPr>
      </w:pPr>
    </w:p>
    <w:p w14:paraId="5A35627E" w14:textId="67295ED0" w:rsidR="0006202F" w:rsidRDefault="00693E52" w:rsidP="00693E52">
      <w:pPr>
        <w:spacing w:line="259" w:lineRule="auto"/>
        <w:jc w:val="both"/>
        <w:rPr>
          <w:rFonts w:ascii="Arial" w:eastAsia="DengXian" w:hAnsi="Arial" w:cs="Arial"/>
          <w:sz w:val="20"/>
          <w:szCs w:val="20"/>
        </w:rPr>
      </w:pPr>
      <w:r>
        <w:rPr>
          <w:rFonts w:ascii="Arial" w:eastAsia="DengXian" w:hAnsi="Arial" w:cs="Arial"/>
          <w:sz w:val="20"/>
          <w:szCs w:val="20"/>
        </w:rPr>
        <w:t>RAN1 agreed the details regarding how to support PDCCH-order CFRA procedure before receiving the cell switch command</w:t>
      </w:r>
      <w:r w:rsidR="0006202F">
        <w:rPr>
          <w:rFonts w:ascii="Arial" w:eastAsia="DengXian" w:hAnsi="Arial" w:cs="Arial"/>
          <w:sz w:val="20"/>
          <w:szCs w:val="20"/>
        </w:rPr>
        <w:t xml:space="preserve"> (CSC)</w:t>
      </w:r>
      <w:r>
        <w:rPr>
          <w:rFonts w:ascii="Arial" w:eastAsia="DengXian" w:hAnsi="Arial" w:cs="Arial"/>
          <w:sz w:val="20"/>
          <w:szCs w:val="20"/>
        </w:rPr>
        <w:t xml:space="preserve">. However, before receiving cell-switch command and executing cell switch operation, UE keeps the connection with serving cell. Support PDCCH-order preamble transmission before cell switch command requires UE to handle the overlapping between PRACH on a candidate cell and UL transmission on serving cells, resulting in extra complexity. It is of imporance to support PDCCH-ordered CFRA procedure which starts after receiving the </w:t>
      </w:r>
      <w:r w:rsidR="0006202F">
        <w:rPr>
          <w:rFonts w:ascii="Arial" w:eastAsia="DengXian" w:hAnsi="Arial" w:cs="Arial"/>
          <w:sz w:val="20"/>
          <w:szCs w:val="20"/>
        </w:rPr>
        <w:t>CSC MAC-CE</w:t>
      </w:r>
      <w:r>
        <w:rPr>
          <w:rFonts w:ascii="Arial" w:eastAsia="DengXian" w:hAnsi="Arial" w:cs="Arial"/>
          <w:sz w:val="20"/>
          <w:szCs w:val="20"/>
        </w:rPr>
        <w:t xml:space="preserve">, which </w:t>
      </w:r>
      <w:r w:rsidR="0006202F">
        <w:rPr>
          <w:rFonts w:ascii="Arial" w:eastAsia="DengXian" w:hAnsi="Arial" w:cs="Arial"/>
          <w:sz w:val="20"/>
          <w:szCs w:val="20"/>
        </w:rPr>
        <w:t>provides some</w:t>
      </w:r>
      <w:r>
        <w:rPr>
          <w:rFonts w:ascii="Arial" w:eastAsia="DengXian" w:hAnsi="Arial" w:cs="Arial"/>
          <w:sz w:val="20"/>
          <w:szCs w:val="20"/>
        </w:rPr>
        <w:t xml:space="preserve"> </w:t>
      </w:r>
      <w:r w:rsidR="0006202F">
        <w:rPr>
          <w:rFonts w:ascii="Arial" w:eastAsia="DengXian" w:hAnsi="Arial" w:cs="Arial"/>
          <w:sz w:val="20"/>
          <w:szCs w:val="20"/>
        </w:rPr>
        <w:t xml:space="preserve">flexibility in the UE implementation. </w:t>
      </w:r>
    </w:p>
    <w:p w14:paraId="05739EF7" w14:textId="77777777" w:rsidR="0006202F" w:rsidRDefault="0006202F" w:rsidP="00693E52">
      <w:pPr>
        <w:spacing w:line="259" w:lineRule="auto"/>
        <w:jc w:val="both"/>
        <w:rPr>
          <w:rFonts w:ascii="Arial" w:eastAsia="DengXian" w:hAnsi="Arial" w:cs="Arial"/>
          <w:sz w:val="20"/>
          <w:szCs w:val="20"/>
        </w:rPr>
      </w:pPr>
    </w:p>
    <w:p w14:paraId="28099E6E" w14:textId="7CDC7329" w:rsidR="003F112A" w:rsidRDefault="0006202F" w:rsidP="00693E52">
      <w:pPr>
        <w:spacing w:line="259" w:lineRule="auto"/>
        <w:jc w:val="both"/>
        <w:rPr>
          <w:rFonts w:ascii="Arial" w:eastAsia="DengXian" w:hAnsi="Arial" w:cs="Arial"/>
          <w:sz w:val="20"/>
          <w:szCs w:val="20"/>
        </w:rPr>
      </w:pPr>
      <w:r>
        <w:rPr>
          <w:rFonts w:ascii="Arial" w:eastAsia="DengXian" w:hAnsi="Arial" w:cs="Arial"/>
          <w:sz w:val="20"/>
          <w:szCs w:val="20"/>
        </w:rPr>
        <w:t xml:space="preserve">A straightforward way is to provide necessary fields carried by the PDCCH-order DCI into the </w:t>
      </w:r>
      <w:r w:rsidR="003F112A">
        <w:rPr>
          <w:rFonts w:ascii="Arial" w:eastAsia="DengXian" w:hAnsi="Arial" w:cs="Arial"/>
          <w:sz w:val="20"/>
          <w:szCs w:val="20"/>
        </w:rPr>
        <w:t>CSC MAC-CE</w:t>
      </w:r>
      <w:r>
        <w:rPr>
          <w:rFonts w:ascii="Arial" w:eastAsia="DengXian" w:hAnsi="Arial" w:cs="Arial"/>
          <w:sz w:val="20"/>
          <w:szCs w:val="20"/>
        </w:rPr>
        <w:t xml:space="preserve"> i.e., 6-bit SSB index and 6-bit CFRA preamble index. To </w:t>
      </w:r>
      <w:r w:rsidR="003F112A">
        <w:rPr>
          <w:rFonts w:ascii="Arial" w:eastAsia="DengXian" w:hAnsi="Arial" w:cs="Arial"/>
          <w:sz w:val="20"/>
          <w:szCs w:val="20"/>
        </w:rPr>
        <w:t xml:space="preserve">avoid </w:t>
      </w:r>
      <w:r>
        <w:rPr>
          <w:rFonts w:ascii="Arial" w:eastAsia="DengXian" w:hAnsi="Arial" w:cs="Arial"/>
          <w:sz w:val="20"/>
          <w:szCs w:val="20"/>
        </w:rPr>
        <w:t xml:space="preserve">the CSC </w:t>
      </w:r>
      <w:r w:rsidR="003F112A">
        <w:rPr>
          <w:rFonts w:ascii="Arial" w:eastAsia="DengXian" w:hAnsi="Arial" w:cs="Arial"/>
          <w:sz w:val="20"/>
          <w:szCs w:val="20"/>
        </w:rPr>
        <w:t>MAC-CE overhead increase, 12-bit TA field can be repurosed and split to ‘6+6’ bits where the first is used to indicate SSB index and the second is used to indicate the preamble index. Furthermore, a 1-bit</w:t>
      </w:r>
      <w:r w:rsidR="000E2C66">
        <w:rPr>
          <w:rFonts w:ascii="Arial" w:eastAsia="DengXian" w:hAnsi="Arial" w:cs="Arial"/>
          <w:sz w:val="20"/>
          <w:szCs w:val="20"/>
        </w:rPr>
        <w:t xml:space="preserve"> TA field indictor (TFI)</w:t>
      </w:r>
      <w:r w:rsidR="003F112A">
        <w:rPr>
          <w:rFonts w:ascii="Arial" w:eastAsia="DengXian" w:hAnsi="Arial" w:cs="Arial"/>
          <w:sz w:val="20"/>
          <w:szCs w:val="20"/>
        </w:rPr>
        <w:t xml:space="preserve"> field maybe added into CSC MAC-CE to indicate the field usage i.e., TA or ‘SSB + Preamble index’. </w:t>
      </w:r>
    </w:p>
    <w:p w14:paraId="50A0D7DB" w14:textId="16E80575" w:rsidR="003F112A" w:rsidRDefault="003F112A" w:rsidP="003F112A">
      <w:pPr>
        <w:spacing w:line="259" w:lineRule="auto"/>
        <w:jc w:val="center"/>
        <w:rPr>
          <w:rFonts w:ascii="Arial" w:eastAsia="DengXian" w:hAnsi="Arial" w:cs="Arial"/>
          <w:sz w:val="20"/>
          <w:szCs w:val="20"/>
        </w:rPr>
      </w:pPr>
    </w:p>
    <w:p w14:paraId="14F62D38" w14:textId="77777777" w:rsidR="003F112A" w:rsidRDefault="003F112A" w:rsidP="00693E52">
      <w:pPr>
        <w:spacing w:line="259" w:lineRule="auto"/>
        <w:jc w:val="both"/>
        <w:rPr>
          <w:rFonts w:ascii="Arial" w:eastAsia="DengXian" w:hAnsi="Arial" w:cs="Arial"/>
          <w:sz w:val="20"/>
          <w:szCs w:val="20"/>
        </w:rPr>
      </w:pPr>
      <w:r>
        <w:rPr>
          <w:rFonts w:ascii="Arial" w:eastAsia="DengXian" w:hAnsi="Arial" w:cs="Arial"/>
          <w:sz w:val="20"/>
          <w:szCs w:val="20"/>
        </w:rPr>
        <w:t xml:space="preserve">Figure 2 provides a conceputal example to depict the indication of ‘SSB + CFRA preamble index’ using the 12-bit TA field. </w:t>
      </w:r>
    </w:p>
    <w:p w14:paraId="58C10C20" w14:textId="301F517F" w:rsidR="003F112A" w:rsidRDefault="003F112A" w:rsidP="003F112A">
      <w:pPr>
        <w:spacing w:line="259" w:lineRule="auto"/>
        <w:jc w:val="center"/>
        <w:rPr>
          <w:rFonts w:ascii="Arial" w:eastAsia="DengXian" w:hAnsi="Arial" w:cs="Arial"/>
          <w:sz w:val="20"/>
          <w:szCs w:val="20"/>
        </w:rPr>
      </w:pPr>
      <w:r>
        <w:rPr>
          <w:rFonts w:ascii="Arial" w:eastAsia="DengXian" w:hAnsi="Arial" w:cs="Arial"/>
          <w:noProof/>
          <w:sz w:val="20"/>
          <w:szCs w:val="20"/>
        </w:rPr>
        <w:drawing>
          <wp:inline distT="0" distB="0" distL="0" distR="0" wp14:anchorId="3C863BB8" wp14:editId="04ADDFBC">
            <wp:extent cx="4669276" cy="1258919"/>
            <wp:effectExtent l="0" t="0" r="4445" b="0"/>
            <wp:docPr id="3322009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200911" name="Picture 1" descr="A screenshot of a compu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682650" cy="1262525"/>
                    </a:xfrm>
                    <a:prstGeom prst="rect">
                      <a:avLst/>
                    </a:prstGeom>
                  </pic:spPr>
                </pic:pic>
              </a:graphicData>
            </a:graphic>
          </wp:inline>
        </w:drawing>
      </w:r>
    </w:p>
    <w:p w14:paraId="015FF077" w14:textId="28072EC7" w:rsidR="003F112A" w:rsidRDefault="003F112A" w:rsidP="003F112A">
      <w:pPr>
        <w:spacing w:line="259" w:lineRule="auto"/>
        <w:jc w:val="center"/>
        <w:rPr>
          <w:rFonts w:ascii="Arial" w:eastAsia="DengXian" w:hAnsi="Arial" w:cs="Arial"/>
          <w:b/>
          <w:bCs/>
          <w:sz w:val="20"/>
          <w:szCs w:val="20"/>
        </w:rPr>
      </w:pPr>
      <w:r w:rsidRPr="003F112A">
        <w:rPr>
          <w:rFonts w:ascii="Arial" w:eastAsia="DengXian" w:hAnsi="Arial" w:cs="Arial"/>
          <w:b/>
          <w:bCs/>
          <w:sz w:val="20"/>
          <w:szCs w:val="20"/>
        </w:rPr>
        <w:t>Figure 2: Indication of ‘SSB + preamble index’ in CSC MAC-CE for CFRA after CSC command</w:t>
      </w:r>
    </w:p>
    <w:p w14:paraId="41B4C3F5" w14:textId="77777777" w:rsidR="00FC452B" w:rsidRPr="003F112A" w:rsidRDefault="00FC452B" w:rsidP="003F112A">
      <w:pPr>
        <w:spacing w:line="259" w:lineRule="auto"/>
        <w:jc w:val="center"/>
        <w:rPr>
          <w:rFonts w:ascii="Arial" w:eastAsia="DengXian" w:hAnsi="Arial" w:cs="Arial"/>
          <w:b/>
          <w:bCs/>
          <w:sz w:val="20"/>
          <w:szCs w:val="20"/>
        </w:rPr>
      </w:pPr>
    </w:p>
    <w:p w14:paraId="183CF27E" w14:textId="4CD4BABE" w:rsidR="003F112A" w:rsidRPr="00A27709" w:rsidRDefault="003F112A" w:rsidP="003F112A">
      <w:pPr>
        <w:rPr>
          <w:rFonts w:ascii="Arial" w:hAnsi="Arial" w:cs="Arial"/>
          <w:sz w:val="20"/>
          <w:szCs w:val="20"/>
        </w:rPr>
      </w:pPr>
      <w:r>
        <w:rPr>
          <w:rFonts w:ascii="Arial" w:eastAsia="DengXian" w:hAnsi="Arial" w:cs="Arial"/>
          <w:sz w:val="20"/>
          <w:szCs w:val="20"/>
        </w:rPr>
        <w:t xml:space="preserve">  </w:t>
      </w:r>
      <w:r w:rsidRPr="00A27709">
        <w:rPr>
          <w:rFonts w:ascii="Arial" w:hAnsi="Arial" w:cs="Arial"/>
          <w:b/>
          <w:bCs/>
          <w:sz w:val="20"/>
          <w:szCs w:val="20"/>
        </w:rPr>
        <w:t xml:space="preserve">Proposal </w:t>
      </w:r>
      <w:r>
        <w:rPr>
          <w:rFonts w:ascii="Arial" w:hAnsi="Arial" w:cs="Arial"/>
          <w:b/>
          <w:bCs/>
          <w:sz w:val="20"/>
          <w:szCs w:val="20"/>
        </w:rPr>
        <w:t>2</w:t>
      </w:r>
      <w:r w:rsidRPr="00A27709">
        <w:rPr>
          <w:rFonts w:ascii="Arial" w:hAnsi="Arial" w:cs="Arial"/>
          <w:sz w:val="20"/>
          <w:szCs w:val="20"/>
        </w:rPr>
        <w:t xml:space="preserve">: </w:t>
      </w:r>
    </w:p>
    <w:p w14:paraId="055DC0B6" w14:textId="5FE4AA6D" w:rsidR="003F112A" w:rsidRPr="003F112A" w:rsidRDefault="003F112A" w:rsidP="003F112A">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Introduce a 1-bit </w:t>
      </w:r>
      <w:r w:rsidR="000E2C66">
        <w:rPr>
          <w:rFonts w:ascii="Arial" w:eastAsia="DengXian" w:hAnsi="Arial" w:cs="Arial"/>
          <w:i/>
          <w:iCs/>
          <w:sz w:val="20"/>
          <w:szCs w:val="20"/>
        </w:rPr>
        <w:t xml:space="preserve">‘TA field indicator’ (TAF) </w:t>
      </w:r>
      <w:r>
        <w:rPr>
          <w:rFonts w:ascii="Arial" w:eastAsia="DengXian" w:hAnsi="Arial" w:cs="Arial"/>
          <w:i/>
          <w:iCs/>
          <w:sz w:val="20"/>
          <w:szCs w:val="20"/>
        </w:rPr>
        <w:t xml:space="preserve">field in CSC MAC-CE to indicate the 12-bits field usage i.e., it is used to indicate TA value or providing CFRA resource i.e., SSB and the corresponding PRACH index. </w:t>
      </w:r>
    </w:p>
    <w:p w14:paraId="7BCFE190" w14:textId="4074AEAF" w:rsidR="00721FAD" w:rsidRPr="000E2C66" w:rsidRDefault="000E2C66" w:rsidP="000E2C66">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When 1-bit TAF field is set as ‘1’, the 12-bit TA field is split into 6-bits SSB index and 6-bits PRACH index field and UE performs CFRA procedure based on the indicated SSB and PRACH resource. </w:t>
      </w:r>
      <w:r w:rsidR="003F112A" w:rsidRPr="000E2C66">
        <w:rPr>
          <w:rFonts w:ascii="Arial" w:eastAsia="DengXian" w:hAnsi="Arial" w:cs="Arial"/>
          <w:i/>
          <w:iCs/>
          <w:sz w:val="20"/>
          <w:szCs w:val="20"/>
        </w:rPr>
        <w:t xml:space="preserve"> </w:t>
      </w:r>
    </w:p>
    <w:p w14:paraId="0C10D1F0" w14:textId="77777777" w:rsidR="000E2C66" w:rsidRPr="000E2C66" w:rsidRDefault="000E2C66" w:rsidP="000E2C66">
      <w:pPr>
        <w:spacing w:line="259" w:lineRule="auto"/>
        <w:jc w:val="both"/>
        <w:rPr>
          <w:rFonts w:ascii="Arial" w:eastAsia="DengXian" w:hAnsi="Arial" w:cs="Arial"/>
          <w:sz w:val="20"/>
          <w:szCs w:val="20"/>
        </w:rPr>
      </w:pPr>
    </w:p>
    <w:p w14:paraId="49259492" w14:textId="3FCA54BB" w:rsidR="00FC16CA" w:rsidRDefault="00FC16CA" w:rsidP="00FC16CA">
      <w:pPr>
        <w:pStyle w:val="Heading1"/>
        <w:ind w:left="1140" w:hanging="1140"/>
        <w:jc w:val="both"/>
        <w:rPr>
          <w:rFonts w:cs="Arial"/>
          <w:lang w:val="en-US"/>
        </w:rPr>
      </w:pPr>
      <w:r>
        <w:rPr>
          <w:rFonts w:cs="Arial"/>
          <w:lang w:val="en-US"/>
        </w:rPr>
        <w:t>3</w:t>
      </w:r>
      <w:r w:rsidRPr="00D145E6">
        <w:rPr>
          <w:rFonts w:cs="Arial"/>
          <w:lang w:val="en-US"/>
        </w:rPr>
        <w:t>.</w:t>
      </w:r>
      <w:r w:rsidRPr="00507777">
        <w:rPr>
          <w:rFonts w:cs="Arial"/>
          <w:lang w:val="en-US"/>
        </w:rPr>
        <w:t xml:space="preserve"> </w:t>
      </w:r>
      <w:r>
        <w:rPr>
          <w:rFonts w:cs="Arial"/>
          <w:lang w:val="en-US"/>
        </w:rPr>
        <w:t xml:space="preserve"> Handling of Overlapping UL Tranamissions </w:t>
      </w:r>
    </w:p>
    <w:p w14:paraId="49BBCC51" w14:textId="502166C5" w:rsidR="00A27709" w:rsidRPr="00A27709" w:rsidRDefault="003C32A6" w:rsidP="00FC16CA">
      <w:pPr>
        <w:spacing w:before="120"/>
        <w:rPr>
          <w:rFonts w:ascii="Arial" w:hAnsi="Arial" w:cs="Arial"/>
          <w:sz w:val="20"/>
          <w:szCs w:val="20"/>
        </w:rPr>
      </w:pPr>
      <w:r>
        <w:rPr>
          <w:rFonts w:ascii="Arial" w:hAnsi="Arial" w:cs="Arial"/>
          <w:sz w:val="20"/>
          <w:szCs w:val="20"/>
        </w:rPr>
        <w:t xml:space="preserve"> </w:t>
      </w:r>
      <w:r w:rsidR="00A27709" w:rsidRPr="00A27709">
        <w:rPr>
          <w:rFonts w:ascii="Arial" w:hAnsi="Arial" w:cs="Arial"/>
          <w:sz w:val="20"/>
          <w:szCs w:val="20"/>
        </w:rPr>
        <w:t>In RAN1 11</w:t>
      </w:r>
      <w:r w:rsidR="00A27709">
        <w:rPr>
          <w:rFonts w:ascii="Arial" w:hAnsi="Arial" w:cs="Arial"/>
          <w:sz w:val="20"/>
          <w:szCs w:val="20"/>
        </w:rPr>
        <w:t>3</w:t>
      </w:r>
      <w:r w:rsidR="00A27709" w:rsidRPr="00A27709">
        <w:rPr>
          <w:rFonts w:ascii="Arial" w:hAnsi="Arial" w:cs="Arial"/>
          <w:sz w:val="20"/>
          <w:szCs w:val="20"/>
        </w:rPr>
        <w:t xml:space="preserve"> meeting, the following was agreed for further study for overlapping between PRACH transmission towards a candidate cell and the uplink transmission on serving cells [2]:  </w:t>
      </w:r>
    </w:p>
    <w:p w14:paraId="449A094E" w14:textId="77777777" w:rsidR="00A27709" w:rsidRPr="00A27709" w:rsidRDefault="00A27709" w:rsidP="00A27709">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A27709" w:rsidRPr="00A27709" w14:paraId="3DB59DE3" w14:textId="77777777" w:rsidTr="00336CE3">
        <w:tc>
          <w:tcPr>
            <w:tcW w:w="9962" w:type="dxa"/>
          </w:tcPr>
          <w:p w14:paraId="7F59EBA0" w14:textId="77777777" w:rsidR="00A27709" w:rsidRPr="00A27709" w:rsidRDefault="00A27709" w:rsidP="00A27709">
            <w:pPr>
              <w:snapToGrid w:val="0"/>
              <w:jc w:val="both"/>
              <w:rPr>
                <w:rFonts w:ascii="Arial" w:eastAsia="DengXian" w:hAnsi="Arial" w:cs="Arial"/>
                <w:b/>
                <w:sz w:val="20"/>
                <w:szCs w:val="20"/>
                <w:highlight w:val="green"/>
              </w:rPr>
            </w:pPr>
            <w:r w:rsidRPr="00A27709">
              <w:rPr>
                <w:rFonts w:ascii="Arial" w:hAnsi="Arial" w:cs="Arial"/>
                <w:b/>
                <w:sz w:val="20"/>
                <w:szCs w:val="20"/>
                <w:highlight w:val="green"/>
              </w:rPr>
              <w:t>Agreement</w:t>
            </w:r>
          </w:p>
          <w:p w14:paraId="37B15BBA" w14:textId="77777777" w:rsidR="00A27709" w:rsidRPr="00A27709" w:rsidRDefault="00A27709" w:rsidP="00A27709">
            <w:pPr>
              <w:numPr>
                <w:ilvl w:val="0"/>
                <w:numId w:val="59"/>
              </w:numPr>
              <w:snapToGrid w:val="0"/>
              <w:jc w:val="both"/>
              <w:rPr>
                <w:rFonts w:ascii="Arial" w:eastAsia="DengXian" w:hAnsi="Arial" w:cs="Arial"/>
                <w:sz w:val="20"/>
                <w:szCs w:val="20"/>
              </w:rPr>
            </w:pPr>
            <w:r w:rsidRPr="00A27709">
              <w:rPr>
                <w:rFonts w:ascii="Arial" w:eastAsia="DengXian" w:hAnsi="Arial" w:cs="Arial"/>
                <w:sz w:val="20"/>
                <w:szCs w:val="20"/>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w:t>
            </w:r>
            <w:r w:rsidRPr="00A27709">
              <w:rPr>
                <w:rFonts w:ascii="Arial" w:eastAsia="DengXian" w:hAnsi="Arial" w:cs="Arial"/>
                <w:sz w:val="20"/>
                <w:szCs w:val="20"/>
              </w:rPr>
              <w:lastRenderedPageBreak/>
              <w:t>one or more symbols or have a time gap below a certain threshold (e.g., N symbols, FFS: the value of N) with following UL transmission to one of the serving cells</w:t>
            </w:r>
          </w:p>
          <w:p w14:paraId="2A18B920" w14:textId="77777777"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ascii="Arial" w:eastAsia="DengXian" w:hAnsi="Arial" w:cs="Arial"/>
                <w:sz w:val="20"/>
                <w:szCs w:val="20"/>
              </w:rPr>
            </w:pPr>
            <w:r w:rsidRPr="00A27709">
              <w:rPr>
                <w:rFonts w:ascii="Arial" w:eastAsia="DengXian" w:hAnsi="Arial" w:cs="Arial"/>
                <w:sz w:val="20"/>
                <w:szCs w:val="20"/>
              </w:rPr>
              <w:t xml:space="preserve">PRACH transmission </w:t>
            </w:r>
          </w:p>
          <w:p w14:paraId="1182D034" w14:textId="77777777"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ascii="Arial" w:eastAsia="DengXian" w:hAnsi="Arial" w:cs="Arial"/>
                <w:sz w:val="20"/>
                <w:szCs w:val="20"/>
              </w:rPr>
            </w:pPr>
            <w:r w:rsidRPr="00A27709">
              <w:rPr>
                <w:rFonts w:ascii="Arial" w:eastAsia="DengXian" w:hAnsi="Arial" w:cs="Arial"/>
                <w:sz w:val="20"/>
                <w:szCs w:val="20"/>
              </w:rPr>
              <w:t xml:space="preserve">PUCCH/PUSCH transmission carrying HARQ-ACK, SR, P/SP CSI, aperiodic CSI </w:t>
            </w:r>
          </w:p>
          <w:p w14:paraId="627A0A9E" w14:textId="77777777"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ascii="Arial" w:eastAsia="DengXian" w:hAnsi="Arial" w:cs="Arial"/>
                <w:sz w:val="20"/>
                <w:szCs w:val="20"/>
              </w:rPr>
            </w:pPr>
            <w:r w:rsidRPr="00A27709">
              <w:rPr>
                <w:rFonts w:ascii="Arial" w:eastAsia="DengXian" w:hAnsi="Arial" w:cs="Arial"/>
                <w:sz w:val="20"/>
                <w:szCs w:val="20"/>
              </w:rPr>
              <w:t>SRS transmission</w:t>
            </w:r>
          </w:p>
          <w:p w14:paraId="7EF64448" w14:textId="77777777"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ascii="Arial" w:eastAsia="DengXian" w:hAnsi="Arial" w:cs="Arial"/>
                <w:sz w:val="20"/>
                <w:szCs w:val="20"/>
              </w:rPr>
            </w:pPr>
            <w:r w:rsidRPr="00A27709">
              <w:rPr>
                <w:rFonts w:ascii="Arial" w:eastAsia="DengXian" w:hAnsi="Arial" w:cs="Arial"/>
                <w:sz w:val="20"/>
                <w:szCs w:val="20"/>
              </w:rPr>
              <w:t>Any other PUCCH/PUSCH transmission</w:t>
            </w:r>
          </w:p>
          <w:p w14:paraId="48A68C25" w14:textId="77777777" w:rsidR="00A27709" w:rsidRPr="00A27709" w:rsidRDefault="00A27709" w:rsidP="00A27709">
            <w:pPr>
              <w:numPr>
                <w:ilvl w:val="0"/>
                <w:numId w:val="59"/>
              </w:numPr>
              <w:snapToGrid w:val="0"/>
              <w:jc w:val="both"/>
              <w:rPr>
                <w:rFonts w:ascii="Arial" w:eastAsia="DengXian" w:hAnsi="Arial" w:cs="Arial"/>
                <w:sz w:val="20"/>
                <w:szCs w:val="20"/>
              </w:rPr>
            </w:pPr>
            <w:r w:rsidRPr="00A27709">
              <w:rPr>
                <w:rFonts w:ascii="Arial" w:eastAsia="DengXian" w:hAnsi="Arial" w:cs="Arial"/>
                <w:sz w:val="20"/>
                <w:szCs w:val="20"/>
              </w:rPr>
              <w:t>Down-select the UE behavior in this case</w:t>
            </w:r>
          </w:p>
          <w:p w14:paraId="385B4960" w14:textId="77777777"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ascii="Arial" w:eastAsia="DengXian" w:hAnsi="Arial" w:cs="Arial"/>
                <w:sz w:val="20"/>
                <w:szCs w:val="20"/>
              </w:rPr>
            </w:pPr>
            <w:r w:rsidRPr="00A27709">
              <w:rPr>
                <w:rFonts w:ascii="Arial" w:eastAsia="DengXian" w:hAnsi="Arial" w:cs="Arial"/>
                <w:sz w:val="20"/>
                <w:szCs w:val="20"/>
              </w:rPr>
              <w:t xml:space="preserve">Alt 1: Dropping rule is needed </w:t>
            </w:r>
          </w:p>
          <w:p w14:paraId="48FA199E" w14:textId="25973FB8" w:rsidR="00A27709" w:rsidRPr="00A27709" w:rsidRDefault="00A27709" w:rsidP="00A27709">
            <w:pPr>
              <w:pStyle w:val="ListParagraph"/>
              <w:widowControl w:val="0"/>
              <w:numPr>
                <w:ilvl w:val="0"/>
                <w:numId w:val="58"/>
              </w:numPr>
              <w:overflowPunct w:val="0"/>
              <w:autoSpaceDE w:val="0"/>
              <w:autoSpaceDN w:val="0"/>
              <w:adjustRightInd w:val="0"/>
              <w:spacing w:line="259" w:lineRule="auto"/>
              <w:ind w:left="360" w:firstLine="66"/>
              <w:jc w:val="both"/>
              <w:textAlignment w:val="baseline"/>
              <w:rPr>
                <w:rFonts w:eastAsia="DengXian"/>
                <w:sz w:val="18"/>
                <w:szCs w:val="18"/>
              </w:rPr>
            </w:pPr>
            <w:r w:rsidRPr="00A27709">
              <w:rPr>
                <w:rFonts w:ascii="Arial" w:eastAsia="DengXian" w:hAnsi="Arial" w:cs="Arial"/>
                <w:sz w:val="20"/>
                <w:szCs w:val="20"/>
              </w:rPr>
              <w:t xml:space="preserve">Alt 2: up to UE implementation </w:t>
            </w:r>
          </w:p>
        </w:tc>
      </w:tr>
    </w:tbl>
    <w:p w14:paraId="7B76DEFC" w14:textId="77777777" w:rsidR="00A27709" w:rsidRDefault="00A27709" w:rsidP="00A27709">
      <w:pPr>
        <w:jc w:val="both"/>
        <w:rPr>
          <w:rFonts w:ascii="Arial" w:hAnsi="Arial" w:cs="Arial"/>
          <w:sz w:val="20"/>
          <w:szCs w:val="20"/>
        </w:rPr>
      </w:pPr>
    </w:p>
    <w:p w14:paraId="0A51D561" w14:textId="77777777" w:rsidR="00A27709" w:rsidRPr="00A27709" w:rsidRDefault="00A27709" w:rsidP="00A27709">
      <w:pPr>
        <w:jc w:val="both"/>
        <w:rPr>
          <w:rFonts w:ascii="Arial" w:hAnsi="Arial" w:cs="Arial"/>
          <w:sz w:val="20"/>
          <w:szCs w:val="20"/>
        </w:rPr>
      </w:pPr>
    </w:p>
    <w:p w14:paraId="1A555B5E" w14:textId="77777777" w:rsidR="00A27709" w:rsidRPr="00A27709" w:rsidRDefault="00A27709" w:rsidP="00A27709">
      <w:pPr>
        <w:jc w:val="center"/>
        <w:rPr>
          <w:rFonts w:ascii="Arial" w:hAnsi="Arial" w:cs="Arial"/>
          <w:sz w:val="20"/>
          <w:szCs w:val="20"/>
        </w:rPr>
      </w:pPr>
      <w:r w:rsidRPr="00A27709">
        <w:rPr>
          <w:rFonts w:ascii="Arial" w:hAnsi="Arial" w:cs="Arial"/>
          <w:noProof/>
          <w:sz w:val="20"/>
          <w:szCs w:val="20"/>
        </w:rPr>
        <w:drawing>
          <wp:inline distT="0" distB="0" distL="0" distR="0" wp14:anchorId="24301E85" wp14:editId="650F8C49">
            <wp:extent cx="6145381" cy="1482730"/>
            <wp:effectExtent l="0" t="0" r="1905" b="3175"/>
            <wp:docPr id="1496397336" name="Picture 2" descr="A picture containing diagram, line, tex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397336" name="Picture 2" descr="A picture containing diagram, line, text, desig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68825" cy="1488386"/>
                    </a:xfrm>
                    <a:prstGeom prst="rect">
                      <a:avLst/>
                    </a:prstGeom>
                  </pic:spPr>
                </pic:pic>
              </a:graphicData>
            </a:graphic>
          </wp:inline>
        </w:drawing>
      </w:r>
    </w:p>
    <w:p w14:paraId="579ED554" w14:textId="3A965AB2" w:rsidR="00A27709" w:rsidRPr="00A27709" w:rsidRDefault="00A27709" w:rsidP="00A27709">
      <w:pPr>
        <w:rPr>
          <w:rFonts w:ascii="Arial" w:hAnsi="Arial" w:cs="Arial"/>
          <w:b/>
          <w:bCs/>
          <w:sz w:val="20"/>
          <w:szCs w:val="20"/>
        </w:rPr>
      </w:pPr>
      <w:r w:rsidRPr="00A27709">
        <w:rPr>
          <w:rFonts w:ascii="Arial" w:hAnsi="Arial" w:cs="Arial"/>
          <w:b/>
          <w:bCs/>
          <w:sz w:val="20"/>
          <w:szCs w:val="20"/>
        </w:rPr>
        <w:t xml:space="preserve">                                     (</w:t>
      </w:r>
      <w:r w:rsidR="00B36B38">
        <w:rPr>
          <w:rFonts w:ascii="Arial" w:hAnsi="Arial" w:cs="Arial"/>
          <w:b/>
          <w:bCs/>
          <w:sz w:val="20"/>
          <w:szCs w:val="20"/>
        </w:rPr>
        <w:t>3</w:t>
      </w:r>
      <w:r w:rsidRPr="00A27709">
        <w:rPr>
          <w:rFonts w:ascii="Arial" w:hAnsi="Arial" w:cs="Arial"/>
          <w:b/>
          <w:bCs/>
          <w:sz w:val="20"/>
          <w:szCs w:val="20"/>
        </w:rPr>
        <w:t>A)                                                                                      (</w:t>
      </w:r>
      <w:r w:rsidR="00B36B38">
        <w:rPr>
          <w:rFonts w:ascii="Arial" w:hAnsi="Arial" w:cs="Arial"/>
          <w:b/>
          <w:bCs/>
          <w:sz w:val="20"/>
          <w:szCs w:val="20"/>
        </w:rPr>
        <w:t>3</w:t>
      </w:r>
      <w:r w:rsidRPr="00A27709">
        <w:rPr>
          <w:rFonts w:ascii="Arial" w:hAnsi="Arial" w:cs="Arial"/>
          <w:b/>
          <w:bCs/>
          <w:sz w:val="20"/>
          <w:szCs w:val="20"/>
        </w:rPr>
        <w:t>B)</w:t>
      </w:r>
    </w:p>
    <w:p w14:paraId="036AC97E" w14:textId="7C6B83B4" w:rsidR="00A27709" w:rsidRPr="00A27709" w:rsidRDefault="00A27709" w:rsidP="00A27709">
      <w:pPr>
        <w:spacing w:before="120"/>
        <w:jc w:val="center"/>
        <w:rPr>
          <w:rFonts w:ascii="Arial" w:hAnsi="Arial" w:cs="Arial"/>
          <w:b/>
          <w:bCs/>
          <w:sz w:val="20"/>
          <w:szCs w:val="20"/>
        </w:rPr>
      </w:pPr>
      <w:r w:rsidRPr="00A27709">
        <w:rPr>
          <w:rFonts w:ascii="Arial" w:hAnsi="Arial" w:cs="Arial"/>
          <w:b/>
          <w:bCs/>
          <w:sz w:val="20"/>
          <w:szCs w:val="20"/>
        </w:rPr>
        <w:t xml:space="preserve">Figure </w:t>
      </w:r>
      <w:r w:rsidR="00B36B38">
        <w:rPr>
          <w:rFonts w:ascii="Arial" w:hAnsi="Arial" w:cs="Arial"/>
          <w:b/>
          <w:bCs/>
          <w:sz w:val="20"/>
          <w:szCs w:val="20"/>
        </w:rPr>
        <w:t>3</w:t>
      </w:r>
      <w:r w:rsidRPr="00A27709">
        <w:rPr>
          <w:rFonts w:ascii="Arial" w:hAnsi="Arial" w:cs="Arial"/>
          <w:b/>
          <w:bCs/>
          <w:sz w:val="20"/>
          <w:szCs w:val="20"/>
        </w:rPr>
        <w:t xml:space="preserve">: Overlapping cases between PRACH to a candidate cell and UL transmission on a serving cell.  </w:t>
      </w:r>
    </w:p>
    <w:p w14:paraId="32C08F50" w14:textId="77777777" w:rsidR="00A27709" w:rsidRPr="00A27709" w:rsidRDefault="00A27709" w:rsidP="00A27709">
      <w:pPr>
        <w:jc w:val="both"/>
        <w:rPr>
          <w:rFonts w:ascii="Arial" w:hAnsi="Arial" w:cs="Arial"/>
          <w:sz w:val="20"/>
          <w:szCs w:val="20"/>
        </w:rPr>
      </w:pPr>
    </w:p>
    <w:p w14:paraId="2046ADCE" w14:textId="77777777" w:rsidR="00A27709" w:rsidRPr="00A27709" w:rsidRDefault="00A27709" w:rsidP="00A27709">
      <w:pPr>
        <w:jc w:val="both"/>
        <w:rPr>
          <w:rFonts w:ascii="Arial" w:hAnsi="Arial" w:cs="Arial"/>
          <w:sz w:val="20"/>
          <w:szCs w:val="20"/>
        </w:rPr>
      </w:pPr>
    </w:p>
    <w:p w14:paraId="52868516" w14:textId="7C45D0BB" w:rsidR="00A27709" w:rsidRPr="00A27709" w:rsidRDefault="00A27709" w:rsidP="00A27709">
      <w:pPr>
        <w:jc w:val="both"/>
        <w:rPr>
          <w:rFonts w:ascii="Arial" w:hAnsi="Arial" w:cs="Arial"/>
          <w:sz w:val="20"/>
          <w:szCs w:val="20"/>
        </w:rPr>
      </w:pPr>
      <w:r>
        <w:rPr>
          <w:rFonts w:ascii="Arial" w:hAnsi="Arial" w:cs="Arial"/>
          <w:sz w:val="20"/>
          <w:szCs w:val="20"/>
        </w:rPr>
        <w:t xml:space="preserve">There were two use cases disucssed in the RAN1 113 meeting. </w:t>
      </w:r>
      <w:r w:rsidRPr="00A27709">
        <w:rPr>
          <w:rFonts w:ascii="Arial" w:hAnsi="Arial" w:cs="Arial"/>
          <w:sz w:val="20"/>
          <w:szCs w:val="20"/>
        </w:rPr>
        <w:t>On the 1</w:t>
      </w:r>
      <w:r w:rsidRPr="00A27709">
        <w:rPr>
          <w:rFonts w:ascii="Arial" w:hAnsi="Arial" w:cs="Arial"/>
          <w:sz w:val="20"/>
          <w:szCs w:val="20"/>
          <w:vertAlign w:val="superscript"/>
        </w:rPr>
        <w:t>st</w:t>
      </w:r>
      <w:r w:rsidRPr="00A27709">
        <w:rPr>
          <w:rFonts w:ascii="Arial" w:hAnsi="Arial" w:cs="Arial"/>
          <w:sz w:val="20"/>
          <w:szCs w:val="20"/>
        </w:rPr>
        <w:t xml:space="preserve"> use case, as illustrated in FIG.3A, we assume it refers to a CA case where PRACH transmission to a LTM candidate cell and overlapped UL transmissions on serving cell are in different frequencies</w:t>
      </w:r>
      <w:r w:rsidR="007A4497">
        <w:rPr>
          <w:rFonts w:ascii="Arial" w:hAnsi="Arial" w:cs="Arial"/>
          <w:sz w:val="20"/>
          <w:szCs w:val="20"/>
        </w:rPr>
        <w:t xml:space="preserve"> (i.e.,</w:t>
      </w:r>
      <w:r w:rsidR="00C005B5">
        <w:rPr>
          <w:rFonts w:ascii="Arial" w:hAnsi="Arial" w:cs="Arial"/>
          <w:sz w:val="20"/>
          <w:szCs w:val="20"/>
        </w:rPr>
        <w:t xml:space="preserve"> the</w:t>
      </w:r>
      <w:r w:rsidR="007A4497">
        <w:rPr>
          <w:rFonts w:ascii="Arial" w:hAnsi="Arial" w:cs="Arial"/>
          <w:sz w:val="20"/>
          <w:szCs w:val="20"/>
        </w:rPr>
        <w:t xml:space="preserve"> issue 1-8 in [3])</w:t>
      </w:r>
      <w:r w:rsidRPr="00A27709">
        <w:rPr>
          <w:rFonts w:ascii="Arial" w:hAnsi="Arial" w:cs="Arial"/>
          <w:sz w:val="20"/>
          <w:szCs w:val="20"/>
        </w:rPr>
        <w:t xml:space="preserve">. We believe the PRACH transmission should be prioritized over the other overlapped transmission such that the truly time-sensitive cell switch operation is not impacted. The UL overlapping transmission on the serving cell can be still exploited if there is leftover power at the UE side.   </w:t>
      </w:r>
    </w:p>
    <w:p w14:paraId="0DAC8140" w14:textId="77777777" w:rsidR="00A27709" w:rsidRPr="00A27709" w:rsidRDefault="00A27709" w:rsidP="00A27709">
      <w:pPr>
        <w:rPr>
          <w:rFonts w:ascii="Arial" w:hAnsi="Arial" w:cs="Arial"/>
          <w:sz w:val="20"/>
          <w:szCs w:val="20"/>
        </w:rPr>
      </w:pPr>
    </w:p>
    <w:p w14:paraId="2DE72913" w14:textId="261F234B" w:rsidR="00A27709" w:rsidRPr="00A27709" w:rsidRDefault="00A27709" w:rsidP="00A27709">
      <w:pPr>
        <w:rPr>
          <w:rFonts w:ascii="Arial" w:hAnsi="Arial" w:cs="Arial"/>
          <w:sz w:val="20"/>
          <w:szCs w:val="20"/>
        </w:rPr>
      </w:pPr>
      <w:r w:rsidRPr="00A27709">
        <w:rPr>
          <w:rFonts w:ascii="Arial" w:hAnsi="Arial" w:cs="Arial"/>
          <w:b/>
          <w:bCs/>
          <w:sz w:val="20"/>
          <w:szCs w:val="20"/>
        </w:rPr>
        <w:t xml:space="preserve">Proposal </w:t>
      </w:r>
      <w:r w:rsidR="00790A71">
        <w:rPr>
          <w:rFonts w:ascii="Arial" w:hAnsi="Arial" w:cs="Arial"/>
          <w:b/>
          <w:bCs/>
          <w:sz w:val="20"/>
          <w:szCs w:val="20"/>
        </w:rPr>
        <w:t>3</w:t>
      </w:r>
      <w:r w:rsidRPr="00A27709">
        <w:rPr>
          <w:rFonts w:ascii="Arial" w:hAnsi="Arial" w:cs="Arial"/>
          <w:sz w:val="20"/>
          <w:szCs w:val="20"/>
        </w:rPr>
        <w:t xml:space="preserve">: </w:t>
      </w:r>
    </w:p>
    <w:p w14:paraId="181F99EB" w14:textId="77777777" w:rsidR="00A27709" w:rsidRPr="00A27709" w:rsidRDefault="00A27709" w:rsidP="00A27709">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t xml:space="preserve">Prioritize the transmission power of a PRACH to a LTM candidate cell when it is overlapped in time domain with UL transmissions on serving cells.  </w:t>
      </w:r>
    </w:p>
    <w:p w14:paraId="0F6081F3" w14:textId="77777777" w:rsidR="00A27709" w:rsidRPr="00A27709" w:rsidRDefault="00A27709" w:rsidP="00A27709">
      <w:pPr>
        <w:rPr>
          <w:rFonts w:ascii="Arial" w:hAnsi="Arial" w:cs="Arial"/>
          <w:sz w:val="20"/>
          <w:szCs w:val="20"/>
        </w:rPr>
      </w:pPr>
    </w:p>
    <w:p w14:paraId="0465F5E3" w14:textId="77777777" w:rsidR="00A27709" w:rsidRPr="00A27709" w:rsidRDefault="00A27709" w:rsidP="00A27709">
      <w:pPr>
        <w:rPr>
          <w:rFonts w:ascii="Arial" w:hAnsi="Arial" w:cs="Arial"/>
          <w:sz w:val="20"/>
          <w:szCs w:val="20"/>
        </w:rPr>
      </w:pPr>
    </w:p>
    <w:p w14:paraId="5696B831" w14:textId="18A5646A" w:rsidR="00A27709" w:rsidRPr="00A27709" w:rsidRDefault="00A27709" w:rsidP="00A27709">
      <w:pPr>
        <w:jc w:val="both"/>
        <w:rPr>
          <w:rFonts w:ascii="Arial" w:hAnsi="Arial" w:cs="Arial"/>
          <w:sz w:val="20"/>
          <w:szCs w:val="20"/>
        </w:rPr>
      </w:pPr>
      <w:r w:rsidRPr="00A27709">
        <w:rPr>
          <w:rFonts w:ascii="Arial" w:hAnsi="Arial" w:cs="Arial"/>
          <w:sz w:val="20"/>
          <w:szCs w:val="20"/>
        </w:rPr>
        <w:t>For the 2</w:t>
      </w:r>
      <w:r w:rsidRPr="00A27709">
        <w:rPr>
          <w:rFonts w:ascii="Arial" w:hAnsi="Arial" w:cs="Arial"/>
          <w:sz w:val="20"/>
          <w:szCs w:val="20"/>
          <w:vertAlign w:val="superscript"/>
        </w:rPr>
        <w:t>nd</w:t>
      </w:r>
      <w:r w:rsidRPr="00A27709">
        <w:rPr>
          <w:rFonts w:ascii="Arial" w:hAnsi="Arial" w:cs="Arial"/>
          <w:sz w:val="20"/>
          <w:szCs w:val="20"/>
        </w:rPr>
        <w:t xml:space="preserve"> use case depicted in FIG.3b (i.e., intra-frequency overlapping transmissions in time between a CFRA PRACH towards a candidate cell and other UL transmissions to serving cell that is dynamically scheduled</w:t>
      </w:r>
      <w:r w:rsidR="007A4497">
        <w:rPr>
          <w:rFonts w:ascii="Arial" w:hAnsi="Arial" w:cs="Arial"/>
          <w:sz w:val="20"/>
          <w:szCs w:val="20"/>
        </w:rPr>
        <w:t>, issue 1-7 in [3]</w:t>
      </w:r>
      <w:r w:rsidRPr="00A27709">
        <w:rPr>
          <w:rFonts w:ascii="Arial" w:hAnsi="Arial" w:cs="Arial"/>
          <w:sz w:val="20"/>
          <w:szCs w:val="20"/>
        </w:rPr>
        <w:t xml:space="preserve">), it should be avoided by a NW scheduler if UE indicates that it is incapable of STxMP transmission. This is an easy task for NW as LTM UE is in RRC-CONNECTED mode and already reports its capability. In addition, both CFRA PRACH and dynamic UL transmissions were triggered/scheduled by DCIs that are fully controlled by NW. </w:t>
      </w:r>
    </w:p>
    <w:p w14:paraId="6F250883" w14:textId="77777777" w:rsidR="00A27709" w:rsidRPr="00A27709" w:rsidRDefault="00A27709" w:rsidP="00A27709">
      <w:pPr>
        <w:rPr>
          <w:rFonts w:ascii="Arial" w:hAnsi="Arial" w:cs="Arial"/>
          <w:sz w:val="20"/>
          <w:szCs w:val="20"/>
        </w:rPr>
      </w:pPr>
    </w:p>
    <w:p w14:paraId="7AC48C30" w14:textId="77777777" w:rsidR="00A27709" w:rsidRDefault="00A27709" w:rsidP="00A27709">
      <w:pPr>
        <w:jc w:val="both"/>
        <w:rPr>
          <w:rFonts w:ascii="Arial" w:hAnsi="Arial" w:cs="Arial"/>
          <w:sz w:val="20"/>
          <w:szCs w:val="20"/>
        </w:rPr>
      </w:pPr>
      <w:r w:rsidRPr="00A27709">
        <w:rPr>
          <w:rFonts w:ascii="Arial" w:hAnsi="Arial" w:cs="Arial"/>
          <w:sz w:val="20"/>
          <w:szCs w:val="20"/>
        </w:rPr>
        <w:t xml:space="preserve">One exceptional case is the CG-PUSCHs or RRC-configured UL transmissions (e.g., periodic CSI and SRS) on intra-frequency serving cell. To keep the same degree of flexibility for serving cell as in legacy, from signalling perspective, the overlapping in time and frequency can be allowed between a PARCH transmission to a LTM candidate cell and a CG-PUSCH or RRC-configured UL transmission on a serving cell. If it occurs, a UE simply drops the overlapped transmission on the serving cell and prioritize the PRACH transmission towards a LTM candidate cell. </w:t>
      </w:r>
    </w:p>
    <w:p w14:paraId="29F91A1A" w14:textId="77777777" w:rsidR="00A27709" w:rsidRDefault="00A27709" w:rsidP="00A27709">
      <w:pPr>
        <w:jc w:val="both"/>
        <w:rPr>
          <w:rFonts w:ascii="Arial" w:hAnsi="Arial" w:cs="Arial"/>
          <w:sz w:val="20"/>
          <w:szCs w:val="20"/>
        </w:rPr>
      </w:pPr>
    </w:p>
    <w:p w14:paraId="790DF29F" w14:textId="4DC22784" w:rsidR="00A27709" w:rsidRPr="00A27709" w:rsidRDefault="007A4497" w:rsidP="00A27709">
      <w:pPr>
        <w:jc w:val="both"/>
        <w:rPr>
          <w:rFonts w:ascii="Arial" w:hAnsi="Arial" w:cs="Arial"/>
          <w:sz w:val="20"/>
          <w:szCs w:val="20"/>
        </w:rPr>
      </w:pPr>
      <w:r>
        <w:rPr>
          <w:rFonts w:ascii="Arial" w:hAnsi="Arial" w:cs="Arial"/>
          <w:sz w:val="20"/>
          <w:szCs w:val="20"/>
        </w:rPr>
        <w:t>In RAN1 113 meeting, some concerns were raised to prioritize the PRACH towards candidate cell over the PRACH transmitted on PCell. It should be noted that LTM procedure is typically triggered by NW</w:t>
      </w:r>
      <w:r w:rsidR="00C7697F">
        <w:rPr>
          <w:rFonts w:ascii="Arial" w:hAnsi="Arial" w:cs="Arial"/>
          <w:sz w:val="20"/>
          <w:szCs w:val="20"/>
        </w:rPr>
        <w:t xml:space="preserve"> based on the L1-RSRP report e.g., L1-RSRP of candidate cell is X-dB better than serving cell. In other words, NW intends to switch the UE from current serving cell to the target cell. Hence, it is benefical from performance perspective to continue </w:t>
      </w:r>
      <w:r w:rsidR="00C7697F">
        <w:rPr>
          <w:rFonts w:ascii="Arial" w:hAnsi="Arial" w:cs="Arial"/>
          <w:sz w:val="20"/>
          <w:szCs w:val="20"/>
        </w:rPr>
        <w:lastRenderedPageBreak/>
        <w:t xml:space="preserve">PRACH procedure to candiadte cell, instead of prioritizing the PRACH on PCell, even it is used for beam failure recovery procedure. </w:t>
      </w:r>
    </w:p>
    <w:p w14:paraId="6142FE5A" w14:textId="77777777" w:rsidR="00A27709" w:rsidRPr="00A27709" w:rsidRDefault="00A27709" w:rsidP="00A27709">
      <w:pPr>
        <w:rPr>
          <w:rFonts w:ascii="Arial" w:hAnsi="Arial" w:cs="Arial"/>
          <w:sz w:val="20"/>
          <w:szCs w:val="20"/>
        </w:rPr>
      </w:pPr>
    </w:p>
    <w:p w14:paraId="6224B8B5" w14:textId="0CEEA5E7" w:rsidR="00A27709" w:rsidRPr="00A27709" w:rsidRDefault="00A27709" w:rsidP="00A27709">
      <w:pPr>
        <w:rPr>
          <w:rFonts w:ascii="Arial" w:hAnsi="Arial" w:cs="Arial"/>
          <w:sz w:val="20"/>
          <w:szCs w:val="20"/>
        </w:rPr>
      </w:pPr>
      <w:r w:rsidRPr="00A27709">
        <w:rPr>
          <w:rFonts w:ascii="Arial" w:hAnsi="Arial" w:cs="Arial"/>
          <w:b/>
          <w:bCs/>
          <w:sz w:val="20"/>
          <w:szCs w:val="20"/>
        </w:rPr>
        <w:t xml:space="preserve">Proposal </w:t>
      </w:r>
      <w:r w:rsidR="00790A71">
        <w:rPr>
          <w:rFonts w:ascii="Arial" w:hAnsi="Arial" w:cs="Arial"/>
          <w:b/>
          <w:bCs/>
          <w:sz w:val="20"/>
          <w:szCs w:val="20"/>
        </w:rPr>
        <w:t>4</w:t>
      </w:r>
      <w:r w:rsidRPr="00A27709">
        <w:rPr>
          <w:rFonts w:ascii="Arial" w:hAnsi="Arial" w:cs="Arial"/>
          <w:sz w:val="20"/>
          <w:szCs w:val="20"/>
        </w:rPr>
        <w:t xml:space="preserve">: </w:t>
      </w:r>
    </w:p>
    <w:p w14:paraId="35CED4D1" w14:textId="77777777" w:rsidR="00A27709" w:rsidRPr="00A27709" w:rsidRDefault="00A27709" w:rsidP="00A27709">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t xml:space="preserve">The overlapping in time and frequency is allowed for a PARCH transmission to a LTM candidate cell and a CG-PUSCH/RRC-configured UL transmission on serving cell. </w:t>
      </w:r>
    </w:p>
    <w:p w14:paraId="5AC72054" w14:textId="77777777" w:rsidR="00A27709" w:rsidRPr="00A27709" w:rsidRDefault="00A27709" w:rsidP="00A27709">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t xml:space="preserve">For a UE that is incapable of STxMP, the PRACH transmission is prioritized and the overlapped CG-PUSCH /RRC-configured UL transmission on serving cell is dropped.  </w:t>
      </w:r>
      <w:r w:rsidRPr="00A27709">
        <w:rPr>
          <w:rFonts w:ascii="Arial" w:hAnsi="Arial" w:cs="Arial"/>
          <w:sz w:val="20"/>
          <w:szCs w:val="20"/>
        </w:rPr>
        <w:t xml:space="preserve">     </w:t>
      </w:r>
    </w:p>
    <w:p w14:paraId="777DB1EA" w14:textId="4AEEEB80" w:rsidR="005D4F36" w:rsidRDefault="005D4F36" w:rsidP="00B05A1D">
      <w:pPr>
        <w:spacing w:before="120"/>
        <w:rPr>
          <w:rFonts w:ascii="Arial" w:hAnsi="Arial" w:cs="Arial"/>
          <w:sz w:val="20"/>
          <w:szCs w:val="20"/>
        </w:rPr>
      </w:pPr>
    </w:p>
    <w:p w14:paraId="1C87829C" w14:textId="15E4DF89" w:rsidR="00FC16CA" w:rsidRDefault="00FC16CA" w:rsidP="00FC16CA">
      <w:pPr>
        <w:pStyle w:val="Heading1"/>
        <w:ind w:left="1140" w:hanging="1140"/>
        <w:jc w:val="both"/>
        <w:rPr>
          <w:rFonts w:cs="Arial"/>
          <w:lang w:val="en-US"/>
        </w:rPr>
      </w:pPr>
      <w:r>
        <w:rPr>
          <w:rFonts w:cs="Arial"/>
          <w:lang w:val="en-US"/>
        </w:rPr>
        <w:t>3</w:t>
      </w:r>
      <w:r w:rsidRPr="00D145E6">
        <w:rPr>
          <w:rFonts w:cs="Arial"/>
          <w:lang w:val="en-US"/>
        </w:rPr>
        <w:t>.</w:t>
      </w:r>
      <w:r w:rsidRPr="00507777">
        <w:rPr>
          <w:rFonts w:cs="Arial"/>
          <w:lang w:val="en-US"/>
        </w:rPr>
        <w:t xml:space="preserve"> </w:t>
      </w:r>
      <w:r>
        <w:rPr>
          <w:rFonts w:cs="Arial"/>
          <w:lang w:val="en-US"/>
        </w:rPr>
        <w:t xml:space="preserve"> RRC Paramters for TA Management </w:t>
      </w:r>
    </w:p>
    <w:p w14:paraId="0AB9FF65" w14:textId="2B067E68" w:rsidR="00FC16CA" w:rsidRDefault="000E2C66" w:rsidP="000E2C66">
      <w:pPr>
        <w:spacing w:before="120" w:after="120"/>
        <w:rPr>
          <w:rFonts w:ascii="Arial" w:hAnsi="Arial" w:cs="Arial"/>
          <w:sz w:val="20"/>
          <w:szCs w:val="20"/>
        </w:rPr>
      </w:pPr>
      <w:r>
        <w:rPr>
          <w:rFonts w:ascii="Arial" w:hAnsi="Arial" w:cs="Arial"/>
          <w:sz w:val="20"/>
          <w:szCs w:val="20"/>
        </w:rPr>
        <w:t xml:space="preserve">For </w:t>
      </w:r>
      <w:r w:rsidR="00D62B8B">
        <w:rPr>
          <w:rFonts w:ascii="Arial" w:hAnsi="Arial" w:cs="Arial"/>
          <w:sz w:val="20"/>
          <w:szCs w:val="20"/>
        </w:rPr>
        <w:t xml:space="preserve">early </w:t>
      </w:r>
      <w:r>
        <w:rPr>
          <w:rFonts w:ascii="Arial" w:hAnsi="Arial" w:cs="Arial"/>
          <w:sz w:val="20"/>
          <w:szCs w:val="20"/>
        </w:rPr>
        <w:t xml:space="preserve">TA </w:t>
      </w:r>
      <w:r w:rsidR="00D62B8B">
        <w:rPr>
          <w:rFonts w:ascii="Arial" w:hAnsi="Arial" w:cs="Arial"/>
          <w:sz w:val="20"/>
          <w:szCs w:val="20"/>
        </w:rPr>
        <w:t xml:space="preserve">acquistion </w:t>
      </w:r>
      <w:r>
        <w:rPr>
          <w:rFonts w:ascii="Arial" w:hAnsi="Arial" w:cs="Arial"/>
          <w:sz w:val="20"/>
          <w:szCs w:val="20"/>
        </w:rPr>
        <w:t>operation of LTM, the following RAN2 agreement was informed in [4]</w:t>
      </w:r>
    </w:p>
    <w:tbl>
      <w:tblPr>
        <w:tblStyle w:val="TableGrid"/>
        <w:tblW w:w="0" w:type="auto"/>
        <w:tblLook w:val="04A0" w:firstRow="1" w:lastRow="0" w:firstColumn="1" w:lastColumn="0" w:noHBand="0" w:noVBand="1"/>
      </w:tblPr>
      <w:tblGrid>
        <w:gridCol w:w="9962"/>
      </w:tblGrid>
      <w:tr w:rsidR="000E2C66" w14:paraId="6A5BBBAB" w14:textId="77777777" w:rsidTr="000E2C66">
        <w:tc>
          <w:tcPr>
            <w:tcW w:w="9962" w:type="dxa"/>
          </w:tcPr>
          <w:p w14:paraId="7CBC998D" w14:textId="6397A975" w:rsidR="000E2C66" w:rsidRPr="00D62B8B" w:rsidRDefault="00D62B8B" w:rsidP="00D62B8B">
            <w:pPr>
              <w:pStyle w:val="Agreement"/>
              <w:tabs>
                <w:tab w:val="clear" w:pos="360"/>
                <w:tab w:val="num" w:pos="619"/>
              </w:tabs>
              <w:ind w:leftChars="129" w:left="670"/>
              <w:rPr>
                <w:b w:val="0"/>
                <w:bCs/>
                <w:sz w:val="20"/>
                <w:szCs w:val="20"/>
              </w:rPr>
            </w:pPr>
            <w:r w:rsidRPr="00D62B8B">
              <w:rPr>
                <w:b w:val="0"/>
                <w:bCs/>
                <w:sz w:val="20"/>
                <w:szCs w:val="20"/>
              </w:rP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74494570" w14:textId="307CDA7D" w:rsidR="00790A71" w:rsidRDefault="00D62B8B" w:rsidP="00B05A1D">
      <w:pPr>
        <w:spacing w:before="120"/>
        <w:rPr>
          <w:rFonts w:ascii="Arial" w:hAnsi="Arial" w:cs="Arial"/>
          <w:sz w:val="20"/>
          <w:szCs w:val="20"/>
        </w:rPr>
      </w:pPr>
      <w:r>
        <w:rPr>
          <w:rFonts w:ascii="Arial" w:hAnsi="Arial" w:cs="Arial"/>
          <w:sz w:val="20"/>
          <w:szCs w:val="20"/>
        </w:rPr>
        <w:t xml:space="preserve">In additon, the following was informed in [5]: </w:t>
      </w:r>
    </w:p>
    <w:tbl>
      <w:tblPr>
        <w:tblStyle w:val="TableGrid"/>
        <w:tblW w:w="0" w:type="auto"/>
        <w:tblLook w:val="04A0" w:firstRow="1" w:lastRow="0" w:firstColumn="1" w:lastColumn="0" w:noHBand="0" w:noVBand="1"/>
      </w:tblPr>
      <w:tblGrid>
        <w:gridCol w:w="9962"/>
      </w:tblGrid>
      <w:tr w:rsidR="008814A4" w14:paraId="053A7F45" w14:textId="77777777" w:rsidTr="008814A4">
        <w:tc>
          <w:tcPr>
            <w:tcW w:w="9962" w:type="dxa"/>
          </w:tcPr>
          <w:p w14:paraId="642F4A19" w14:textId="3E6F6ADB" w:rsidR="008814A4" w:rsidRPr="008814A4" w:rsidRDefault="008814A4" w:rsidP="008814A4">
            <w:pPr>
              <w:pStyle w:val="Agreement"/>
              <w:rPr>
                <w:b w:val="0"/>
                <w:bCs/>
                <w:sz w:val="20"/>
                <w:szCs w:val="20"/>
              </w:rPr>
            </w:pPr>
            <w:r w:rsidRPr="008814A4">
              <w:rPr>
                <w:b w:val="0"/>
                <w:bCs/>
                <w:sz w:val="20"/>
                <w:szCs w:val="20"/>
              </w:rPr>
              <w:t xml:space="preserve">RAN2 doesn’t see a need for a solution with RAR in for Rel-18. </w:t>
            </w:r>
          </w:p>
        </w:tc>
      </w:tr>
    </w:tbl>
    <w:p w14:paraId="1644D225" w14:textId="77777777" w:rsidR="00F82CE2" w:rsidRDefault="00F82CE2" w:rsidP="00B05A1D">
      <w:pPr>
        <w:spacing w:before="120"/>
        <w:rPr>
          <w:rFonts w:ascii="Arial" w:hAnsi="Arial" w:cs="Arial"/>
          <w:sz w:val="20"/>
          <w:szCs w:val="20"/>
        </w:rPr>
      </w:pPr>
    </w:p>
    <w:p w14:paraId="2395B480" w14:textId="5463DDE7" w:rsidR="00F82CE2" w:rsidRDefault="00F82CE2" w:rsidP="00B05A1D">
      <w:pPr>
        <w:spacing w:before="120"/>
        <w:rPr>
          <w:rFonts w:ascii="Arial" w:hAnsi="Arial" w:cs="Arial"/>
          <w:sz w:val="20"/>
          <w:szCs w:val="20"/>
        </w:rPr>
      </w:pPr>
      <w:r>
        <w:rPr>
          <w:rFonts w:ascii="Arial" w:hAnsi="Arial" w:cs="Arial"/>
          <w:sz w:val="20"/>
          <w:szCs w:val="20"/>
        </w:rPr>
        <w:t xml:space="preserve">In the post-meeting RAN2 running CR, the following ASN.1 structure was implemented to indicate the RACH resource for early TA acqusition procedure: </w:t>
      </w:r>
    </w:p>
    <w:tbl>
      <w:tblPr>
        <w:tblStyle w:val="TableGrid"/>
        <w:tblW w:w="0" w:type="auto"/>
        <w:tblLook w:val="04A0" w:firstRow="1" w:lastRow="0" w:firstColumn="1" w:lastColumn="0" w:noHBand="0" w:noVBand="1"/>
      </w:tblPr>
      <w:tblGrid>
        <w:gridCol w:w="9962"/>
      </w:tblGrid>
      <w:tr w:rsidR="00F82CE2" w14:paraId="30344633" w14:textId="77777777" w:rsidTr="00F82CE2">
        <w:tc>
          <w:tcPr>
            <w:tcW w:w="9962" w:type="dxa"/>
          </w:tcPr>
          <w:p w14:paraId="7E5F7C66" w14:textId="0572B597" w:rsidR="00F82CE2" w:rsidRDefault="00F82CE2" w:rsidP="00B05A1D">
            <w:pPr>
              <w:spacing w:before="120"/>
              <w:rPr>
                <w:rFonts w:ascii="Arial" w:hAnsi="Arial" w:cs="Arial"/>
                <w:sz w:val="20"/>
                <w:szCs w:val="20"/>
              </w:rPr>
            </w:pPr>
            <w:r>
              <w:rPr>
                <w:rFonts w:ascii="Arial" w:hAnsi="Arial" w:cs="Arial"/>
                <w:noProof/>
                <w:sz w:val="20"/>
                <w:szCs w:val="20"/>
              </w:rPr>
              <w:drawing>
                <wp:inline distT="0" distB="0" distL="0" distR="0" wp14:anchorId="1CAD1F86" wp14:editId="2E33095E">
                  <wp:extent cx="5888052" cy="2175840"/>
                  <wp:effectExtent l="0" t="0" r="5080" b="0"/>
                  <wp:docPr id="1378925803"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25803" name="Picture 1" descr="A close-up of a computer scree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98339" cy="2179642"/>
                          </a:xfrm>
                          <a:prstGeom prst="rect">
                            <a:avLst/>
                          </a:prstGeom>
                        </pic:spPr>
                      </pic:pic>
                    </a:graphicData>
                  </a:graphic>
                </wp:inline>
              </w:drawing>
            </w:r>
          </w:p>
        </w:tc>
      </w:tr>
    </w:tbl>
    <w:p w14:paraId="7E244EA0" w14:textId="77777777" w:rsidR="00F82CE2" w:rsidRDefault="00F82CE2" w:rsidP="00B05A1D">
      <w:pPr>
        <w:spacing w:before="120"/>
        <w:rPr>
          <w:rFonts w:ascii="Arial" w:hAnsi="Arial" w:cs="Arial"/>
          <w:sz w:val="20"/>
          <w:szCs w:val="20"/>
        </w:rPr>
      </w:pPr>
    </w:p>
    <w:p w14:paraId="1EAD15D5" w14:textId="13D00130" w:rsidR="00F82CE2" w:rsidRDefault="00F82CE2" w:rsidP="00B05A1D">
      <w:pPr>
        <w:spacing w:before="120"/>
        <w:rPr>
          <w:rFonts w:ascii="Arial" w:hAnsi="Arial" w:cs="Arial"/>
          <w:sz w:val="20"/>
          <w:szCs w:val="20"/>
        </w:rPr>
      </w:pPr>
      <w:r>
        <w:rPr>
          <w:rFonts w:ascii="Arial" w:hAnsi="Arial" w:cs="Arial"/>
          <w:sz w:val="20"/>
          <w:szCs w:val="20"/>
        </w:rPr>
        <w:t xml:space="preserve">Table 1 provides detailed IEs based on RAN1 agreements to provide more details to RAN2 such that the agreed function in RAN1 can be supported. </w:t>
      </w:r>
    </w:p>
    <w:p w14:paraId="2A9D07CE" w14:textId="16EA6FFD" w:rsidR="00F82CE2" w:rsidRPr="00EA70B7" w:rsidRDefault="00F82CE2" w:rsidP="00F82CE2">
      <w:pPr>
        <w:pStyle w:val="Caption"/>
        <w:rPr>
          <w:lang w:val="en-GB" w:eastAsia="ja-JP"/>
        </w:rPr>
      </w:pPr>
      <w:bookmarkStart w:id="2" w:name="_Ref134949607"/>
      <w:r>
        <w:t xml:space="preserve">Table </w:t>
      </w:r>
      <w:bookmarkEnd w:id="2"/>
      <w:r>
        <w:t xml:space="preserve">1: RRC parameters for LTM TA Management  </w:t>
      </w:r>
    </w:p>
    <w:tbl>
      <w:tblPr>
        <w:tblStyle w:val="TableGrid"/>
        <w:tblW w:w="10165" w:type="dxa"/>
        <w:tblLayout w:type="fixed"/>
        <w:tblLook w:val="04A0" w:firstRow="1" w:lastRow="0" w:firstColumn="1" w:lastColumn="0" w:noHBand="0" w:noVBand="1"/>
      </w:tblPr>
      <w:tblGrid>
        <w:gridCol w:w="1705"/>
        <w:gridCol w:w="1710"/>
        <w:gridCol w:w="1170"/>
        <w:gridCol w:w="2700"/>
        <w:gridCol w:w="2880"/>
      </w:tblGrid>
      <w:tr w:rsidR="00F82CE2" w14:paraId="258A542C" w14:textId="77777777" w:rsidTr="00336CE3">
        <w:tc>
          <w:tcPr>
            <w:tcW w:w="1705" w:type="dxa"/>
            <w:shd w:val="clear" w:color="auto" w:fill="D9D9D9" w:themeFill="background1" w:themeFillShade="D9"/>
          </w:tcPr>
          <w:p w14:paraId="65413942" w14:textId="77777777" w:rsidR="00F82CE2" w:rsidRPr="00C42B4A" w:rsidRDefault="00F82CE2" w:rsidP="00336CE3">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10" w:type="dxa"/>
            <w:shd w:val="clear" w:color="auto" w:fill="D9D9D9" w:themeFill="background1" w:themeFillShade="D9"/>
          </w:tcPr>
          <w:p w14:paraId="123E8780" w14:textId="77777777" w:rsidR="00F82CE2" w:rsidRPr="00C42B4A" w:rsidRDefault="00F82CE2" w:rsidP="00336CE3">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70" w:type="dxa"/>
            <w:shd w:val="clear" w:color="auto" w:fill="D9D9D9" w:themeFill="background1" w:themeFillShade="D9"/>
          </w:tcPr>
          <w:p w14:paraId="03E0E9E8" w14:textId="77777777" w:rsidR="00F82CE2" w:rsidRPr="00C42B4A" w:rsidRDefault="00F82CE2" w:rsidP="00336CE3">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667A29CB" w14:textId="77777777" w:rsidR="00F82CE2" w:rsidRPr="00C42B4A" w:rsidRDefault="00F82CE2" w:rsidP="00336CE3">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77A239A5" w14:textId="77777777" w:rsidR="00F82CE2" w:rsidRPr="00C42B4A" w:rsidRDefault="00F82CE2" w:rsidP="00336CE3">
            <w:pPr>
              <w:rPr>
                <w:rFonts w:ascii="Arial" w:hAnsi="Arial" w:cs="Arial"/>
                <w:sz w:val="20"/>
                <w:szCs w:val="20"/>
                <w:lang w:val="en-GB" w:eastAsia="ja-JP"/>
              </w:rPr>
            </w:pPr>
            <w:r>
              <w:rPr>
                <w:rFonts w:ascii="Arial" w:hAnsi="Arial" w:cs="Arial"/>
                <w:sz w:val="20"/>
                <w:szCs w:val="20"/>
                <w:lang w:val="en-GB" w:eastAsia="ja-JP"/>
              </w:rPr>
              <w:t>Value Range</w:t>
            </w:r>
          </w:p>
        </w:tc>
      </w:tr>
      <w:tr w:rsidR="00F82CE2" w:rsidRPr="00CD73CA" w14:paraId="3F50EC65" w14:textId="77777777" w:rsidTr="00336CE3">
        <w:tc>
          <w:tcPr>
            <w:tcW w:w="1705" w:type="dxa"/>
          </w:tcPr>
          <w:p w14:paraId="46CBDEBF" w14:textId="40FB0AF8" w:rsidR="00F82CE2" w:rsidRPr="00C42B4A" w:rsidRDefault="0033094F" w:rsidP="00336CE3">
            <w:pPr>
              <w:rPr>
                <w:rFonts w:ascii="Arial" w:hAnsi="Arial" w:cs="Arial"/>
                <w:sz w:val="20"/>
                <w:szCs w:val="20"/>
                <w:lang w:val="en-GB" w:eastAsia="ja-JP"/>
              </w:rPr>
            </w:pPr>
            <w:r w:rsidRPr="0033094F">
              <w:rPr>
                <w:rFonts w:ascii="Arial" w:hAnsi="Arial" w:cs="Arial"/>
                <w:sz w:val="20"/>
                <w:szCs w:val="20"/>
                <w:lang w:val="en-GB" w:eastAsia="ja-JP"/>
              </w:rPr>
              <w:t>LTM-Candidate-r18</w:t>
            </w:r>
          </w:p>
        </w:tc>
        <w:tc>
          <w:tcPr>
            <w:tcW w:w="1710" w:type="dxa"/>
          </w:tcPr>
          <w:p w14:paraId="162D1929" w14:textId="46064719" w:rsidR="00F82CE2" w:rsidRPr="00C42B4A" w:rsidRDefault="0033094F" w:rsidP="00336CE3">
            <w:pPr>
              <w:rPr>
                <w:rFonts w:ascii="Arial" w:hAnsi="Arial" w:cs="Arial"/>
                <w:sz w:val="20"/>
                <w:szCs w:val="20"/>
                <w:lang w:val="en-GB" w:eastAsia="ja-JP"/>
              </w:rPr>
            </w:pPr>
            <w:r w:rsidRPr="0033094F">
              <w:rPr>
                <w:rFonts w:ascii="Arial" w:hAnsi="Arial" w:cs="Arial"/>
                <w:sz w:val="20"/>
                <w:szCs w:val="20"/>
                <w:lang w:val="en-GB" w:eastAsia="ja-JP"/>
              </w:rPr>
              <w:t>ltm-EarlyUlSyncConfig-r18</w:t>
            </w:r>
          </w:p>
        </w:tc>
        <w:tc>
          <w:tcPr>
            <w:tcW w:w="1170" w:type="dxa"/>
          </w:tcPr>
          <w:p w14:paraId="5B2AF037" w14:textId="2A21467C" w:rsidR="00F82CE2" w:rsidRPr="00C42B4A" w:rsidRDefault="0033094F"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194E6246" w14:textId="55370D80" w:rsidR="00F82CE2" w:rsidRPr="00FA253D" w:rsidRDefault="0033094F" w:rsidP="00336CE3">
            <w:pPr>
              <w:rPr>
                <w:rFonts w:ascii="Arial" w:hAnsi="Arial" w:cs="Arial"/>
                <w:sz w:val="20"/>
                <w:szCs w:val="20"/>
                <w:lang w:val="en-GB" w:eastAsia="ja-JP"/>
              </w:rPr>
            </w:pPr>
            <w:r w:rsidRPr="0033094F">
              <w:rPr>
                <w:rFonts w:ascii="Arial" w:hAnsi="Arial" w:cs="Arial"/>
                <w:sz w:val="20"/>
                <w:szCs w:val="20"/>
                <w:lang w:val="en-GB" w:eastAsia="ja-JP"/>
              </w:rPr>
              <w:t>Configuration used by the UE to perform the early UL synchronization procedure.</w:t>
            </w:r>
          </w:p>
        </w:tc>
        <w:tc>
          <w:tcPr>
            <w:tcW w:w="2880" w:type="dxa"/>
          </w:tcPr>
          <w:p w14:paraId="7F2B6865" w14:textId="7D18A311" w:rsidR="00F82CE2" w:rsidRPr="00C42B4A" w:rsidRDefault="0033094F" w:rsidP="00336CE3">
            <w:pPr>
              <w:rPr>
                <w:rFonts w:ascii="Arial" w:hAnsi="Arial" w:cs="Arial"/>
                <w:sz w:val="20"/>
                <w:szCs w:val="20"/>
                <w:lang w:val="en-GB" w:eastAsia="ja-JP"/>
              </w:rPr>
            </w:pPr>
            <w:r w:rsidRPr="0033094F">
              <w:rPr>
                <w:rFonts w:ascii="Arial" w:hAnsi="Arial" w:cs="Arial"/>
                <w:sz w:val="20"/>
                <w:szCs w:val="20"/>
                <w:lang w:val="en-GB" w:eastAsia="ja-JP"/>
              </w:rPr>
              <w:t xml:space="preserve">SetupRelease { EarlyUlSyncConfig-r18 }     </w:t>
            </w:r>
          </w:p>
        </w:tc>
      </w:tr>
      <w:tr w:rsidR="0033094F" w:rsidRPr="00CD73CA" w14:paraId="591D1A4C" w14:textId="77777777" w:rsidTr="00336CE3">
        <w:tc>
          <w:tcPr>
            <w:tcW w:w="1705" w:type="dxa"/>
          </w:tcPr>
          <w:p w14:paraId="0E50EF57" w14:textId="11E81CA3"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ltm-EarlyUlSyncConfig-r18</w:t>
            </w:r>
          </w:p>
        </w:tc>
        <w:tc>
          <w:tcPr>
            <w:tcW w:w="1710" w:type="dxa"/>
          </w:tcPr>
          <w:p w14:paraId="51FA9B8B" w14:textId="15728114"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EarlyUlSyncConfig-r18</w:t>
            </w:r>
          </w:p>
        </w:tc>
        <w:tc>
          <w:tcPr>
            <w:tcW w:w="1170" w:type="dxa"/>
          </w:tcPr>
          <w:p w14:paraId="162E1384" w14:textId="23EC531B" w:rsidR="0033094F" w:rsidRDefault="0033094F"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00AF77A3" w14:textId="0FA45864"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Configuration used by the UE to perform the early UL synchronization procedure.</w:t>
            </w:r>
          </w:p>
        </w:tc>
        <w:tc>
          <w:tcPr>
            <w:tcW w:w="2880" w:type="dxa"/>
          </w:tcPr>
          <w:p w14:paraId="73634214" w14:textId="77777777"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 xml:space="preserve">SEQUENCE { </w:t>
            </w:r>
          </w:p>
          <w:p w14:paraId="41EAF8DE" w14:textId="601E1B3E"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rach-ConfigGeneric</w:t>
            </w:r>
            <w:r w:rsidR="00246D79">
              <w:rPr>
                <w:rFonts w:ascii="Arial" w:hAnsi="Arial" w:cs="Arial"/>
                <w:sz w:val="20"/>
                <w:szCs w:val="20"/>
                <w:lang w:val="en-GB" w:eastAsia="ja-JP"/>
              </w:rPr>
              <w:t>-r18</w:t>
            </w:r>
            <w:r w:rsidRPr="0033094F">
              <w:rPr>
                <w:rFonts w:ascii="Arial" w:hAnsi="Arial" w:cs="Arial"/>
                <w:sz w:val="20"/>
                <w:szCs w:val="20"/>
                <w:lang w:val="en-GB" w:eastAsia="ja-JP"/>
              </w:rPr>
              <w:t xml:space="preserve">, </w:t>
            </w:r>
          </w:p>
          <w:p w14:paraId="6E5A435F" w14:textId="77777777"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ssb-perRACH-Occasion,</w:t>
            </w:r>
          </w:p>
          <w:p w14:paraId="668D6308" w14:textId="53226E71"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ra-ssb-OccasionMaskIndex}</w:t>
            </w:r>
          </w:p>
        </w:tc>
      </w:tr>
      <w:tr w:rsidR="0033094F" w:rsidRPr="00CD73CA" w14:paraId="79DB57C7" w14:textId="77777777" w:rsidTr="00336CE3">
        <w:tc>
          <w:tcPr>
            <w:tcW w:w="1705" w:type="dxa"/>
            <w:vMerge w:val="restart"/>
          </w:tcPr>
          <w:p w14:paraId="157A5B12" w14:textId="326ACDD0"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lastRenderedPageBreak/>
              <w:t>EarlyUlSyncConfig-r18</w:t>
            </w:r>
          </w:p>
        </w:tc>
        <w:tc>
          <w:tcPr>
            <w:tcW w:w="1710" w:type="dxa"/>
          </w:tcPr>
          <w:p w14:paraId="12048D25" w14:textId="174DFD30"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preambleReceivedTargetPower</w:t>
            </w:r>
          </w:p>
        </w:tc>
        <w:tc>
          <w:tcPr>
            <w:tcW w:w="1170" w:type="dxa"/>
          </w:tcPr>
          <w:p w14:paraId="53A7827B" w14:textId="0825F818" w:rsidR="0033094F" w:rsidRDefault="0033094F"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5C4591CE" w14:textId="120E0BEA"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The target power level at the network receiver side for candidate cell (see TS 38.213 [13], clause 7.4, TS 38.321 [3], clauses 5.1.2, 5.1.3).</w:t>
            </w:r>
          </w:p>
        </w:tc>
        <w:tc>
          <w:tcPr>
            <w:tcW w:w="2880" w:type="dxa"/>
          </w:tcPr>
          <w:p w14:paraId="73F785F7" w14:textId="451B226B"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INTEGER (-202..-60),</w:t>
            </w:r>
          </w:p>
        </w:tc>
      </w:tr>
      <w:tr w:rsidR="0033094F" w:rsidRPr="00CD73CA" w14:paraId="337C349D" w14:textId="77777777" w:rsidTr="00336CE3">
        <w:tc>
          <w:tcPr>
            <w:tcW w:w="1705" w:type="dxa"/>
            <w:vMerge/>
          </w:tcPr>
          <w:p w14:paraId="5E041AFD" w14:textId="77777777" w:rsidR="0033094F" w:rsidRPr="0033094F" w:rsidRDefault="0033094F" w:rsidP="00336CE3">
            <w:pPr>
              <w:rPr>
                <w:rFonts w:ascii="Arial" w:hAnsi="Arial" w:cs="Arial"/>
                <w:sz w:val="20"/>
                <w:szCs w:val="20"/>
                <w:lang w:val="en-GB" w:eastAsia="ja-JP"/>
              </w:rPr>
            </w:pPr>
          </w:p>
        </w:tc>
        <w:tc>
          <w:tcPr>
            <w:tcW w:w="1710" w:type="dxa"/>
          </w:tcPr>
          <w:p w14:paraId="5E8C4B1A" w14:textId="107A593E"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powerRampingStep</w:t>
            </w:r>
          </w:p>
        </w:tc>
        <w:tc>
          <w:tcPr>
            <w:tcW w:w="1170" w:type="dxa"/>
          </w:tcPr>
          <w:p w14:paraId="472A1390" w14:textId="1FFAE781" w:rsidR="0033094F" w:rsidRDefault="0033094F" w:rsidP="00336CE3">
            <w:pPr>
              <w:rPr>
                <w:rFonts w:ascii="Arial" w:hAnsi="Arial" w:cs="Arial"/>
                <w:sz w:val="20"/>
                <w:szCs w:val="20"/>
                <w:lang w:val="en-GB" w:eastAsia="ja-JP"/>
              </w:rPr>
            </w:pPr>
            <w:r>
              <w:rPr>
                <w:rFonts w:ascii="Arial" w:hAnsi="Arial" w:cs="Arial"/>
                <w:sz w:val="20"/>
                <w:szCs w:val="20"/>
                <w:lang w:val="en-GB" w:eastAsia="ja-JP"/>
              </w:rPr>
              <w:t xml:space="preserve">new </w:t>
            </w:r>
          </w:p>
        </w:tc>
        <w:tc>
          <w:tcPr>
            <w:tcW w:w="2700" w:type="dxa"/>
          </w:tcPr>
          <w:p w14:paraId="343D6377" w14:textId="5D93CED6"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Power ramping steps for PRACH</w:t>
            </w:r>
          </w:p>
        </w:tc>
        <w:tc>
          <w:tcPr>
            <w:tcW w:w="2880" w:type="dxa"/>
          </w:tcPr>
          <w:p w14:paraId="321D9224" w14:textId="7C1A0DE7"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ENUMERATED {dB0, dB2, dB4, dB6},</w:t>
            </w:r>
          </w:p>
        </w:tc>
      </w:tr>
      <w:tr w:rsidR="0033094F" w:rsidRPr="00CD73CA" w14:paraId="2D5D30C1" w14:textId="77777777" w:rsidTr="00336CE3">
        <w:tc>
          <w:tcPr>
            <w:tcW w:w="1705" w:type="dxa"/>
            <w:vMerge/>
          </w:tcPr>
          <w:p w14:paraId="308AFB35" w14:textId="77777777" w:rsidR="0033094F" w:rsidRPr="0033094F" w:rsidRDefault="0033094F" w:rsidP="00336CE3">
            <w:pPr>
              <w:rPr>
                <w:rFonts w:ascii="Arial" w:hAnsi="Arial" w:cs="Arial"/>
                <w:sz w:val="20"/>
                <w:szCs w:val="20"/>
                <w:lang w:val="en-GB" w:eastAsia="ja-JP"/>
              </w:rPr>
            </w:pPr>
          </w:p>
        </w:tc>
        <w:tc>
          <w:tcPr>
            <w:tcW w:w="1710" w:type="dxa"/>
          </w:tcPr>
          <w:p w14:paraId="5ED3FF43" w14:textId="718585C2"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rach-ConfigGeneric</w:t>
            </w:r>
            <w:r w:rsidR="00246D79">
              <w:rPr>
                <w:rFonts w:ascii="Arial" w:hAnsi="Arial" w:cs="Arial"/>
                <w:sz w:val="20"/>
                <w:szCs w:val="20"/>
                <w:lang w:val="en-GB" w:eastAsia="ja-JP"/>
              </w:rPr>
              <w:t>-r18</w:t>
            </w:r>
            <w:r w:rsidRPr="0033094F">
              <w:rPr>
                <w:rFonts w:ascii="Arial" w:hAnsi="Arial" w:cs="Arial"/>
                <w:sz w:val="20"/>
                <w:szCs w:val="20"/>
                <w:lang w:val="en-GB" w:eastAsia="ja-JP"/>
              </w:rPr>
              <w:t xml:space="preserve"> </w:t>
            </w:r>
          </w:p>
        </w:tc>
        <w:tc>
          <w:tcPr>
            <w:tcW w:w="1170" w:type="dxa"/>
          </w:tcPr>
          <w:p w14:paraId="05F49379" w14:textId="5AD6FE70" w:rsidR="0033094F" w:rsidRDefault="00246D79"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12CA2C2D" w14:textId="3372E18B" w:rsidR="0033094F" w:rsidRPr="0033094F" w:rsidRDefault="00B22079" w:rsidP="0033094F">
            <w:pPr>
              <w:rPr>
                <w:rFonts w:ascii="Arial" w:hAnsi="Arial" w:cs="Arial"/>
                <w:sz w:val="20"/>
                <w:szCs w:val="20"/>
                <w:lang w:val="en-GB" w:eastAsia="ja-JP"/>
              </w:rPr>
            </w:pPr>
            <w:r w:rsidRPr="00B22079">
              <w:rPr>
                <w:rFonts w:ascii="Arial" w:hAnsi="Arial" w:cs="Arial"/>
                <w:sz w:val="20"/>
                <w:szCs w:val="20"/>
                <w:lang w:val="en-GB" w:eastAsia="ja-JP"/>
              </w:rPr>
              <w:t>Configuration of contention free random access occasions for CFRA</w:t>
            </w:r>
          </w:p>
        </w:tc>
        <w:tc>
          <w:tcPr>
            <w:tcW w:w="2880" w:type="dxa"/>
          </w:tcPr>
          <w:p w14:paraId="23D74010" w14:textId="77777777" w:rsidR="0033094F" w:rsidRP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 xml:space="preserve">SEQUENCE { </w:t>
            </w:r>
          </w:p>
          <w:p w14:paraId="5CD37521" w14:textId="77777777"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prach-ConfigurationIndex</w:t>
            </w:r>
            <w:r>
              <w:rPr>
                <w:rFonts w:ascii="Arial" w:hAnsi="Arial" w:cs="Arial"/>
                <w:sz w:val="20"/>
                <w:szCs w:val="20"/>
                <w:lang w:val="en-GB" w:eastAsia="ja-JP"/>
              </w:rPr>
              <w:t xml:space="preserve">, </w:t>
            </w:r>
          </w:p>
          <w:p w14:paraId="51A36097" w14:textId="77777777"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msg1-FDM</w:t>
            </w:r>
            <w:r>
              <w:rPr>
                <w:rFonts w:ascii="Arial" w:hAnsi="Arial" w:cs="Arial"/>
                <w:sz w:val="20"/>
                <w:szCs w:val="20"/>
                <w:lang w:val="en-GB" w:eastAsia="ja-JP"/>
              </w:rPr>
              <w:t xml:space="preserve">, </w:t>
            </w:r>
          </w:p>
          <w:p w14:paraId="29918D1C" w14:textId="77777777"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msg1-FrequencyStart</w:t>
            </w:r>
            <w:r>
              <w:rPr>
                <w:rFonts w:ascii="Arial" w:hAnsi="Arial" w:cs="Arial"/>
                <w:sz w:val="20"/>
                <w:szCs w:val="20"/>
                <w:lang w:val="en-GB" w:eastAsia="ja-JP"/>
              </w:rPr>
              <w:t xml:space="preserve">, </w:t>
            </w:r>
          </w:p>
          <w:p w14:paraId="04CE320E" w14:textId="77777777"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zeroCorrelationZoneConfig</w:t>
            </w:r>
            <w:r>
              <w:rPr>
                <w:rFonts w:ascii="Arial" w:hAnsi="Arial" w:cs="Arial"/>
                <w:sz w:val="20"/>
                <w:szCs w:val="20"/>
                <w:lang w:val="en-GB" w:eastAsia="ja-JP"/>
              </w:rPr>
              <w:t>,</w:t>
            </w:r>
          </w:p>
          <w:p w14:paraId="58A58EC6" w14:textId="0E63EF4B"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preambleReceivedTargetPower,</w:t>
            </w:r>
          </w:p>
          <w:p w14:paraId="5278BB63" w14:textId="25CA3024" w:rsidR="0033094F" w:rsidRDefault="0033094F" w:rsidP="0033094F">
            <w:pPr>
              <w:rPr>
                <w:rFonts w:ascii="Arial" w:hAnsi="Arial" w:cs="Arial"/>
                <w:sz w:val="20"/>
                <w:szCs w:val="20"/>
                <w:lang w:val="en-GB" w:eastAsia="ja-JP"/>
              </w:rPr>
            </w:pPr>
            <w:r w:rsidRPr="0033094F">
              <w:rPr>
                <w:rFonts w:ascii="Arial" w:hAnsi="Arial" w:cs="Arial"/>
                <w:sz w:val="20"/>
                <w:szCs w:val="20"/>
                <w:lang w:val="en-GB" w:eastAsia="ja-JP"/>
              </w:rPr>
              <w:t>powerRampingStep,</w:t>
            </w:r>
            <w:r>
              <w:rPr>
                <w:rFonts w:ascii="Arial" w:hAnsi="Arial" w:cs="Arial"/>
                <w:sz w:val="20"/>
                <w:szCs w:val="20"/>
                <w:lang w:val="en-GB" w:eastAsia="ja-JP"/>
              </w:rPr>
              <w:t xml:space="preserve"> </w:t>
            </w:r>
          </w:p>
          <w:p w14:paraId="140711D4" w14:textId="6E43ACD5" w:rsidR="00246D79" w:rsidRDefault="00246D79" w:rsidP="0033094F">
            <w:pPr>
              <w:rPr>
                <w:rFonts w:ascii="Arial" w:hAnsi="Arial" w:cs="Arial"/>
                <w:sz w:val="20"/>
                <w:szCs w:val="20"/>
                <w:lang w:val="en-GB" w:eastAsia="ja-JP"/>
              </w:rPr>
            </w:pPr>
            <w:r>
              <w:rPr>
                <w:rFonts w:ascii="Arial" w:hAnsi="Arial" w:cs="Arial"/>
                <w:sz w:val="20"/>
                <w:szCs w:val="20"/>
                <w:lang w:val="en-GB" w:eastAsia="ja-JP"/>
              </w:rPr>
              <w:t>}</w:t>
            </w:r>
          </w:p>
          <w:p w14:paraId="710D7C0F" w14:textId="1C9DD31A" w:rsidR="0033094F" w:rsidRPr="0033094F" w:rsidRDefault="0033094F" w:rsidP="0033094F">
            <w:pPr>
              <w:rPr>
                <w:rFonts w:ascii="Arial" w:hAnsi="Arial" w:cs="Arial"/>
                <w:sz w:val="20"/>
                <w:szCs w:val="20"/>
                <w:lang w:val="en-GB" w:eastAsia="ja-JP"/>
              </w:rPr>
            </w:pPr>
          </w:p>
        </w:tc>
      </w:tr>
      <w:tr w:rsidR="0033094F" w:rsidRPr="00CD73CA" w14:paraId="497E6793" w14:textId="77777777" w:rsidTr="00336CE3">
        <w:tc>
          <w:tcPr>
            <w:tcW w:w="1705" w:type="dxa"/>
            <w:vMerge/>
          </w:tcPr>
          <w:p w14:paraId="2CA0C08E" w14:textId="77777777" w:rsidR="0033094F" w:rsidRPr="0033094F" w:rsidRDefault="0033094F" w:rsidP="00336CE3">
            <w:pPr>
              <w:rPr>
                <w:rFonts w:ascii="Arial" w:hAnsi="Arial" w:cs="Arial"/>
                <w:sz w:val="20"/>
                <w:szCs w:val="20"/>
                <w:lang w:val="en-GB" w:eastAsia="ja-JP"/>
              </w:rPr>
            </w:pPr>
          </w:p>
        </w:tc>
        <w:tc>
          <w:tcPr>
            <w:tcW w:w="1710" w:type="dxa"/>
          </w:tcPr>
          <w:p w14:paraId="2E07C840" w14:textId="679128CF" w:rsidR="0033094F" w:rsidRPr="0033094F" w:rsidRDefault="0033094F" w:rsidP="00336CE3">
            <w:pPr>
              <w:rPr>
                <w:rFonts w:ascii="Arial" w:hAnsi="Arial" w:cs="Arial"/>
                <w:sz w:val="20"/>
                <w:szCs w:val="20"/>
                <w:lang w:val="en-GB" w:eastAsia="ja-JP"/>
              </w:rPr>
            </w:pPr>
            <w:r w:rsidRPr="0033094F">
              <w:rPr>
                <w:rFonts w:ascii="Arial" w:hAnsi="Arial" w:cs="Arial"/>
                <w:sz w:val="20"/>
                <w:szCs w:val="20"/>
                <w:lang w:val="en-GB" w:eastAsia="ja-JP"/>
              </w:rPr>
              <w:t>ssb-perRACH-Occasion</w:t>
            </w:r>
          </w:p>
        </w:tc>
        <w:tc>
          <w:tcPr>
            <w:tcW w:w="1170" w:type="dxa"/>
          </w:tcPr>
          <w:p w14:paraId="7B9A0FB8" w14:textId="52B7B1ED" w:rsidR="0033094F" w:rsidRDefault="0033094F" w:rsidP="00336CE3">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2700" w:type="dxa"/>
          </w:tcPr>
          <w:p w14:paraId="605A0931" w14:textId="3A3608C4" w:rsidR="0033094F" w:rsidRPr="0033094F" w:rsidRDefault="00B22079" w:rsidP="0033094F">
            <w:pPr>
              <w:rPr>
                <w:rFonts w:ascii="Arial" w:hAnsi="Arial" w:cs="Arial"/>
                <w:sz w:val="20"/>
                <w:szCs w:val="20"/>
                <w:lang w:val="en-GB" w:eastAsia="ja-JP"/>
              </w:rPr>
            </w:pPr>
            <w:r w:rsidRPr="00B22079">
              <w:rPr>
                <w:rFonts w:ascii="Arial" w:hAnsi="Arial" w:cs="Arial"/>
                <w:sz w:val="20"/>
                <w:szCs w:val="20"/>
                <w:lang w:val="en-GB" w:eastAsia="ja-JP"/>
              </w:rPr>
              <w:t>Number of SSBs per RACH occasion.</w:t>
            </w:r>
          </w:p>
        </w:tc>
        <w:tc>
          <w:tcPr>
            <w:tcW w:w="2880" w:type="dxa"/>
          </w:tcPr>
          <w:p w14:paraId="791F86AC" w14:textId="6E43906A" w:rsidR="0033094F" w:rsidRPr="0033094F" w:rsidRDefault="00B22079" w:rsidP="0033094F">
            <w:pPr>
              <w:rPr>
                <w:rFonts w:ascii="Arial" w:hAnsi="Arial" w:cs="Arial"/>
                <w:sz w:val="20"/>
                <w:szCs w:val="20"/>
                <w:lang w:val="en-GB" w:eastAsia="ja-JP"/>
              </w:rPr>
            </w:pPr>
            <w:r w:rsidRPr="00B22079">
              <w:rPr>
                <w:rFonts w:ascii="Arial" w:hAnsi="Arial" w:cs="Arial"/>
                <w:sz w:val="20"/>
                <w:szCs w:val="20"/>
                <w:lang w:val="en-GB" w:eastAsia="ja-JP"/>
              </w:rPr>
              <w:t>ENUMERATED {oneEighth, oneFourth, oneHalf, one, two, four, eight, sixteen}</w:t>
            </w:r>
          </w:p>
        </w:tc>
      </w:tr>
      <w:tr w:rsidR="00BF3ADA" w:rsidRPr="00CD73CA" w14:paraId="4D06A254" w14:textId="77777777" w:rsidTr="00336CE3">
        <w:tc>
          <w:tcPr>
            <w:tcW w:w="1705" w:type="dxa"/>
          </w:tcPr>
          <w:p w14:paraId="1A24EE8D" w14:textId="43855F5D" w:rsidR="00BF3ADA" w:rsidRPr="0033094F" w:rsidRDefault="00BF3ADA" w:rsidP="00336CE3">
            <w:pPr>
              <w:rPr>
                <w:rFonts w:ascii="Arial" w:hAnsi="Arial" w:cs="Arial"/>
                <w:sz w:val="20"/>
                <w:szCs w:val="20"/>
                <w:lang w:val="en-GB" w:eastAsia="ja-JP"/>
              </w:rPr>
            </w:pPr>
            <w:r>
              <w:rPr>
                <w:rFonts w:ascii="Arial" w:hAnsi="Arial" w:cs="Arial"/>
                <w:sz w:val="20"/>
                <w:szCs w:val="20"/>
                <w:lang w:val="en-GB" w:eastAsia="ja-JP"/>
              </w:rPr>
              <w:t>FFS</w:t>
            </w:r>
          </w:p>
        </w:tc>
        <w:tc>
          <w:tcPr>
            <w:tcW w:w="1710" w:type="dxa"/>
          </w:tcPr>
          <w:p w14:paraId="15E06227" w14:textId="21EDDAB9" w:rsidR="00BF3ADA" w:rsidRPr="0033094F" w:rsidRDefault="00BF3ADA" w:rsidP="00336CE3">
            <w:pPr>
              <w:rPr>
                <w:rFonts w:ascii="Arial" w:hAnsi="Arial" w:cs="Arial"/>
                <w:sz w:val="20"/>
                <w:szCs w:val="20"/>
                <w:lang w:val="en-GB" w:eastAsia="ja-JP"/>
              </w:rPr>
            </w:pPr>
            <w:r>
              <w:rPr>
                <w:rFonts w:ascii="Arial" w:hAnsi="Arial" w:cs="Arial"/>
                <w:sz w:val="20"/>
                <w:szCs w:val="20"/>
                <w:lang w:val="en-GB" w:eastAsia="ja-JP"/>
              </w:rPr>
              <w:t>ueMeasuredTA</w:t>
            </w:r>
          </w:p>
        </w:tc>
        <w:tc>
          <w:tcPr>
            <w:tcW w:w="1170" w:type="dxa"/>
          </w:tcPr>
          <w:p w14:paraId="5C223E38" w14:textId="1A47EC48" w:rsidR="00BF3ADA" w:rsidRDefault="00BF3ADA" w:rsidP="00336CE3">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28B9D232" w14:textId="6B36250A" w:rsidR="00BF3ADA" w:rsidRPr="00B22079" w:rsidRDefault="00BF3ADA" w:rsidP="0033094F">
            <w:pPr>
              <w:rPr>
                <w:rFonts w:ascii="Arial" w:hAnsi="Arial" w:cs="Arial"/>
                <w:sz w:val="20"/>
                <w:szCs w:val="20"/>
                <w:lang w:val="en-GB" w:eastAsia="ja-JP"/>
              </w:rPr>
            </w:pPr>
            <w:r>
              <w:rPr>
                <w:rFonts w:ascii="Arial" w:hAnsi="Arial" w:cs="Arial"/>
                <w:sz w:val="20"/>
                <w:szCs w:val="20"/>
                <w:lang w:val="en-GB" w:eastAsia="ja-JP"/>
              </w:rPr>
              <w:t xml:space="preserve">This field indicate the </w:t>
            </w:r>
            <w:r w:rsidRPr="00BF3ADA">
              <w:rPr>
                <w:rFonts w:ascii="Arial" w:hAnsi="Arial" w:cs="Arial"/>
                <w:sz w:val="20"/>
                <w:szCs w:val="20"/>
                <w:lang w:val="en-GB" w:eastAsia="ja-JP"/>
              </w:rPr>
              <w:t>UE-based TA measurement</w:t>
            </w:r>
            <w:r>
              <w:rPr>
                <w:rFonts w:ascii="Arial" w:hAnsi="Arial" w:cs="Arial"/>
                <w:sz w:val="20"/>
                <w:szCs w:val="20"/>
                <w:lang w:val="en-GB" w:eastAsia="ja-JP"/>
              </w:rPr>
              <w:t xml:space="preserve"> is enabled</w:t>
            </w:r>
          </w:p>
        </w:tc>
        <w:tc>
          <w:tcPr>
            <w:tcW w:w="2880" w:type="dxa"/>
          </w:tcPr>
          <w:p w14:paraId="7BC1988F" w14:textId="00043E88" w:rsidR="00BF3ADA" w:rsidRPr="00B22079" w:rsidRDefault="00BF3ADA" w:rsidP="0033094F">
            <w:pPr>
              <w:rPr>
                <w:rFonts w:ascii="Arial" w:hAnsi="Arial" w:cs="Arial"/>
                <w:sz w:val="20"/>
                <w:szCs w:val="20"/>
                <w:lang w:val="en-GB" w:eastAsia="ja-JP"/>
              </w:rPr>
            </w:pPr>
            <w:r w:rsidRPr="00BF3ADA">
              <w:rPr>
                <w:rFonts w:ascii="Arial" w:hAnsi="Arial" w:cs="Arial"/>
                <w:sz w:val="20"/>
                <w:szCs w:val="20"/>
                <w:lang w:val="en-GB" w:eastAsia="ja-JP"/>
              </w:rPr>
              <w:t>ENUMERATED {enabled}</w:t>
            </w:r>
          </w:p>
        </w:tc>
      </w:tr>
    </w:tbl>
    <w:p w14:paraId="2398C662" w14:textId="0869BF8D" w:rsidR="00B22079" w:rsidRDefault="00B22079" w:rsidP="00B05A1D">
      <w:pPr>
        <w:spacing w:before="120"/>
        <w:rPr>
          <w:rFonts w:ascii="Arial" w:hAnsi="Arial" w:cs="Arial"/>
          <w:sz w:val="20"/>
          <w:szCs w:val="20"/>
        </w:rPr>
      </w:pPr>
      <w:r>
        <w:rPr>
          <w:rFonts w:ascii="Arial" w:hAnsi="Arial" w:cs="Arial"/>
          <w:sz w:val="20"/>
          <w:szCs w:val="20"/>
        </w:rPr>
        <w:t>One thing to clarify is that the IE ‘</w:t>
      </w:r>
      <w:r w:rsidRPr="0033094F">
        <w:rPr>
          <w:rFonts w:ascii="Arial" w:hAnsi="Arial" w:cs="Arial"/>
          <w:sz w:val="20"/>
          <w:szCs w:val="20"/>
          <w:lang w:val="en-GB" w:eastAsia="ja-JP"/>
        </w:rPr>
        <w:t>rach-ConfigGeneric</w:t>
      </w:r>
      <w:r>
        <w:rPr>
          <w:rFonts w:ascii="Arial" w:hAnsi="Arial" w:cs="Arial"/>
          <w:sz w:val="20"/>
          <w:szCs w:val="20"/>
        </w:rPr>
        <w:t>’ is marked as ‘new’. The reason is that there are quite a few mandatory IEs in the existing IE ‘</w:t>
      </w:r>
      <w:r w:rsidRPr="0033094F">
        <w:rPr>
          <w:rFonts w:ascii="Arial" w:hAnsi="Arial" w:cs="Arial"/>
          <w:sz w:val="20"/>
          <w:szCs w:val="20"/>
          <w:lang w:val="en-GB" w:eastAsia="ja-JP"/>
        </w:rPr>
        <w:t>rach-ConfigGeneric</w:t>
      </w:r>
      <w:r>
        <w:rPr>
          <w:rFonts w:ascii="Arial" w:hAnsi="Arial" w:cs="Arial"/>
          <w:sz w:val="20"/>
          <w:szCs w:val="20"/>
        </w:rPr>
        <w:t xml:space="preserve">’. </w:t>
      </w:r>
      <w:r w:rsidR="00FC452B">
        <w:rPr>
          <w:rFonts w:ascii="Arial" w:hAnsi="Arial" w:cs="Arial"/>
          <w:sz w:val="20"/>
          <w:szCs w:val="20"/>
        </w:rPr>
        <w:t xml:space="preserve">Mores specifically, </w:t>
      </w:r>
      <w:r>
        <w:rPr>
          <w:rFonts w:ascii="Arial" w:hAnsi="Arial" w:cs="Arial"/>
          <w:sz w:val="20"/>
          <w:szCs w:val="20"/>
        </w:rPr>
        <w:t>mandatory ‘</w:t>
      </w:r>
      <w:r w:rsidRPr="00B22079">
        <w:rPr>
          <w:rFonts w:ascii="Arial" w:hAnsi="Arial" w:cs="Arial"/>
          <w:sz w:val="20"/>
          <w:szCs w:val="20"/>
        </w:rPr>
        <w:t>preambleTransMax</w:t>
      </w:r>
      <w:r>
        <w:rPr>
          <w:rFonts w:ascii="Arial" w:hAnsi="Arial" w:cs="Arial"/>
          <w:sz w:val="20"/>
          <w:szCs w:val="20"/>
        </w:rPr>
        <w:t xml:space="preserve">’ </w:t>
      </w:r>
      <w:r w:rsidR="00FC452B">
        <w:rPr>
          <w:rFonts w:ascii="Arial" w:hAnsi="Arial" w:cs="Arial"/>
          <w:sz w:val="20"/>
          <w:szCs w:val="20"/>
        </w:rPr>
        <w:t xml:space="preserve">IE </w:t>
      </w:r>
      <w:r>
        <w:rPr>
          <w:rFonts w:ascii="Arial" w:hAnsi="Arial" w:cs="Arial"/>
          <w:sz w:val="20"/>
          <w:szCs w:val="20"/>
        </w:rPr>
        <w:t>is NOT needed for CFRA procedure in LTM operation</w:t>
      </w:r>
      <w:r w:rsidR="00FC452B">
        <w:rPr>
          <w:rFonts w:ascii="Arial" w:hAnsi="Arial" w:cs="Arial"/>
          <w:sz w:val="20"/>
          <w:szCs w:val="20"/>
        </w:rPr>
        <w:t xml:space="preserve"> and therefore remove in the ‘</w:t>
      </w:r>
      <w:r w:rsidR="00FC452B" w:rsidRPr="0033094F">
        <w:rPr>
          <w:rFonts w:ascii="Arial" w:hAnsi="Arial" w:cs="Arial"/>
          <w:sz w:val="20"/>
          <w:szCs w:val="20"/>
          <w:lang w:val="en-GB" w:eastAsia="ja-JP"/>
        </w:rPr>
        <w:t>rach-ConfigGeneric</w:t>
      </w:r>
      <w:r w:rsidR="00FC452B">
        <w:rPr>
          <w:rFonts w:ascii="Arial" w:hAnsi="Arial" w:cs="Arial"/>
          <w:sz w:val="20"/>
          <w:szCs w:val="20"/>
          <w:lang w:val="en-GB" w:eastAsia="ja-JP"/>
        </w:rPr>
        <w:t>-r18</w:t>
      </w:r>
      <w:r w:rsidR="00FC452B">
        <w:rPr>
          <w:rFonts w:ascii="Arial" w:hAnsi="Arial" w:cs="Arial"/>
          <w:sz w:val="20"/>
          <w:szCs w:val="20"/>
        </w:rPr>
        <w:t>’</w:t>
      </w:r>
      <w:r>
        <w:rPr>
          <w:rFonts w:ascii="Arial" w:hAnsi="Arial" w:cs="Arial"/>
          <w:sz w:val="20"/>
          <w:szCs w:val="20"/>
        </w:rPr>
        <w:t xml:space="preserve"> </w:t>
      </w:r>
      <w:r w:rsidR="00FC452B">
        <w:rPr>
          <w:rFonts w:ascii="Arial" w:hAnsi="Arial" w:cs="Arial"/>
          <w:sz w:val="20"/>
          <w:szCs w:val="20"/>
        </w:rPr>
        <w:t xml:space="preserve">IE for LTM. </w:t>
      </w:r>
      <w:r>
        <w:rPr>
          <w:rFonts w:ascii="Arial" w:hAnsi="Arial" w:cs="Arial"/>
          <w:sz w:val="20"/>
          <w:szCs w:val="20"/>
        </w:rPr>
        <w:t xml:space="preserve"> </w:t>
      </w:r>
    </w:p>
    <w:p w14:paraId="7F53D8CC" w14:textId="77777777" w:rsidR="008814A4" w:rsidRDefault="008814A4" w:rsidP="00B05A1D">
      <w:pPr>
        <w:spacing w:before="120"/>
        <w:rPr>
          <w:rFonts w:ascii="Arial" w:hAnsi="Arial" w:cs="Arial"/>
          <w:sz w:val="20"/>
          <w:szCs w:val="20"/>
        </w:rPr>
      </w:pPr>
    </w:p>
    <w:p w14:paraId="40028204" w14:textId="55439A9D" w:rsidR="006E2C0F" w:rsidRPr="00404C4B" w:rsidRDefault="00FC16CA"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70216408" w14:textId="0C7148B7" w:rsidR="00FC452B" w:rsidRDefault="00DE21E8" w:rsidP="00A27709">
      <w:pPr>
        <w:rPr>
          <w:rFonts w:ascii="Arial" w:hAnsi="Arial" w:cs="Arial"/>
          <w:sz w:val="20"/>
          <w:szCs w:val="20"/>
        </w:rPr>
      </w:pPr>
      <w:r w:rsidRPr="00C73E11">
        <w:rPr>
          <w:rFonts w:ascii="Arial" w:hAnsi="Arial" w:cs="Arial"/>
          <w:sz w:val="20"/>
          <w:szCs w:val="20"/>
        </w:rPr>
        <w:t>In this contribution, w</w:t>
      </w:r>
      <w:r w:rsidR="00FC452B">
        <w:rPr>
          <w:rFonts w:ascii="Arial" w:hAnsi="Arial" w:cs="Arial"/>
          <w:sz w:val="20"/>
          <w:szCs w:val="20"/>
        </w:rPr>
        <w:t xml:space="preserve">e provided detailed IEs for TA management of LTM operation in Table 1. In addition, various open issues were discussed. Based on the discussions, we proposed the following: </w:t>
      </w:r>
    </w:p>
    <w:p w14:paraId="3D4E3799" w14:textId="77777777" w:rsidR="00FC452B" w:rsidRDefault="00FC452B" w:rsidP="00A27709">
      <w:pPr>
        <w:rPr>
          <w:rFonts w:ascii="Arial" w:hAnsi="Arial" w:cs="Arial"/>
          <w:sz w:val="20"/>
          <w:szCs w:val="20"/>
        </w:rPr>
      </w:pPr>
    </w:p>
    <w:p w14:paraId="22E4218C" w14:textId="77777777" w:rsidR="00FC452B" w:rsidRPr="00A27709" w:rsidRDefault="00FC452B" w:rsidP="00FC452B">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1</w:t>
      </w:r>
      <w:r w:rsidRPr="00A27709">
        <w:rPr>
          <w:rFonts w:ascii="Arial" w:hAnsi="Arial" w:cs="Arial"/>
          <w:sz w:val="20"/>
          <w:szCs w:val="20"/>
        </w:rPr>
        <w:t xml:space="preserve">: </w:t>
      </w:r>
    </w:p>
    <w:p w14:paraId="24E7C63D" w14:textId="77777777" w:rsidR="00FC452B" w:rsidRDefault="00FC452B" w:rsidP="00FC452B">
      <w:pPr>
        <w:pStyle w:val="ListParagraph"/>
        <w:numPr>
          <w:ilvl w:val="0"/>
          <w:numId w:val="61"/>
        </w:numPr>
        <w:spacing w:after="160" w:line="259" w:lineRule="auto"/>
        <w:jc w:val="both"/>
        <w:rPr>
          <w:rFonts w:ascii="Arial" w:eastAsia="DengXian" w:hAnsi="Arial" w:cs="Arial"/>
          <w:i/>
          <w:iCs/>
          <w:sz w:val="20"/>
          <w:szCs w:val="20"/>
        </w:rPr>
      </w:pPr>
      <w:r>
        <w:rPr>
          <w:rFonts w:ascii="Arial" w:eastAsia="DengXian" w:hAnsi="Arial" w:cs="Arial"/>
          <w:i/>
          <w:iCs/>
          <w:sz w:val="20"/>
          <w:szCs w:val="20"/>
        </w:rPr>
        <w:t xml:space="preserve">A </w:t>
      </w:r>
      <w:r w:rsidRPr="00790A71">
        <w:rPr>
          <w:rFonts w:ascii="Arial" w:eastAsia="DengXian" w:hAnsi="Arial" w:cs="Arial"/>
          <w:i/>
          <w:iCs/>
          <w:sz w:val="20"/>
          <w:szCs w:val="20"/>
        </w:rPr>
        <w:t>UE will increase the power with the value of power ramping configuration if it is indicated as re-transmission, unless the max allowed power is achieved</w:t>
      </w:r>
      <w:r>
        <w:rPr>
          <w:rFonts w:ascii="Arial" w:eastAsia="DengXian" w:hAnsi="Arial" w:cs="Arial"/>
          <w:i/>
          <w:iCs/>
          <w:sz w:val="20"/>
          <w:szCs w:val="20"/>
        </w:rPr>
        <w:t xml:space="preserve">. </w:t>
      </w:r>
    </w:p>
    <w:p w14:paraId="6AACC57C" w14:textId="77777777" w:rsidR="00FC452B" w:rsidRDefault="00FC452B" w:rsidP="00FC452B">
      <w:pPr>
        <w:pStyle w:val="ListParagraph"/>
        <w:numPr>
          <w:ilvl w:val="0"/>
          <w:numId w:val="61"/>
        </w:numPr>
        <w:spacing w:after="160" w:line="259" w:lineRule="auto"/>
        <w:jc w:val="both"/>
        <w:rPr>
          <w:rFonts w:ascii="Arial" w:eastAsia="DengXian" w:hAnsi="Arial" w:cs="Arial"/>
          <w:i/>
          <w:iCs/>
          <w:sz w:val="20"/>
          <w:szCs w:val="20"/>
        </w:rPr>
      </w:pPr>
      <w:r>
        <w:rPr>
          <w:rFonts w:ascii="Arial" w:eastAsia="DengXian" w:hAnsi="Arial" w:cs="Arial"/>
          <w:i/>
          <w:iCs/>
          <w:sz w:val="20"/>
          <w:szCs w:val="20"/>
        </w:rPr>
        <w:t xml:space="preserve">The counter is reset to ‘0’ only when the PDCCH order </w:t>
      </w:r>
      <w:r w:rsidRPr="00790A71">
        <w:rPr>
          <w:rFonts w:ascii="Arial" w:eastAsia="DengXian" w:hAnsi="Arial" w:cs="Arial"/>
          <w:i/>
          <w:iCs/>
          <w:sz w:val="20"/>
          <w:szCs w:val="20"/>
        </w:rPr>
        <w:t>indicating initial transmission</w:t>
      </w:r>
      <w:r>
        <w:rPr>
          <w:rFonts w:ascii="Arial" w:eastAsia="DengXian" w:hAnsi="Arial" w:cs="Arial"/>
          <w:i/>
          <w:iCs/>
          <w:sz w:val="20"/>
          <w:szCs w:val="20"/>
        </w:rPr>
        <w:t xml:space="preserve">. </w:t>
      </w:r>
    </w:p>
    <w:p w14:paraId="19E40791" w14:textId="77777777" w:rsidR="00FC452B" w:rsidRDefault="00FC452B" w:rsidP="00A27709">
      <w:pPr>
        <w:rPr>
          <w:rFonts w:ascii="Arial" w:hAnsi="Arial" w:cs="Arial"/>
          <w:sz w:val="20"/>
          <w:szCs w:val="20"/>
        </w:rPr>
      </w:pPr>
    </w:p>
    <w:p w14:paraId="5C030510" w14:textId="77777777" w:rsidR="00FC452B" w:rsidRPr="00A27709" w:rsidRDefault="00FC452B" w:rsidP="00FC452B">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2</w:t>
      </w:r>
      <w:r w:rsidRPr="00A27709">
        <w:rPr>
          <w:rFonts w:ascii="Arial" w:hAnsi="Arial" w:cs="Arial"/>
          <w:sz w:val="20"/>
          <w:szCs w:val="20"/>
        </w:rPr>
        <w:t xml:space="preserve">: </w:t>
      </w:r>
    </w:p>
    <w:p w14:paraId="7AE62A46" w14:textId="77777777" w:rsidR="00FC452B" w:rsidRPr="003F112A" w:rsidRDefault="00FC452B" w:rsidP="00FC452B">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Introduce a 1-bit ‘TA field indicator’ (TAF) field in CSC MAC-CE to indicate the 12-bits field usage i.e., it is used to indicate TA value or providing CFRA resource i.e., SSB and the corresponding PRACH index. </w:t>
      </w:r>
    </w:p>
    <w:p w14:paraId="6AF0BC1C" w14:textId="77777777" w:rsidR="00FC452B" w:rsidRPr="000E2C66" w:rsidRDefault="00FC452B" w:rsidP="00FC452B">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When 1-bit TAF field is set as ‘1’, the 12-bit TA field is split into 6-bits SSB index and 6-bits PRACH index field and UE performs CFRA procedure based on the indicated SSB and PRACH resource. </w:t>
      </w:r>
      <w:r w:rsidRPr="000E2C66">
        <w:rPr>
          <w:rFonts w:ascii="Arial" w:eastAsia="DengXian" w:hAnsi="Arial" w:cs="Arial"/>
          <w:i/>
          <w:iCs/>
          <w:sz w:val="20"/>
          <w:szCs w:val="20"/>
        </w:rPr>
        <w:t xml:space="preserve"> </w:t>
      </w:r>
    </w:p>
    <w:p w14:paraId="77F9CF80" w14:textId="77777777" w:rsidR="00FC452B" w:rsidRDefault="00FC452B" w:rsidP="00A27709">
      <w:pPr>
        <w:rPr>
          <w:rFonts w:ascii="Arial" w:hAnsi="Arial" w:cs="Arial"/>
          <w:sz w:val="20"/>
          <w:szCs w:val="20"/>
        </w:rPr>
      </w:pPr>
    </w:p>
    <w:p w14:paraId="459A5DA8" w14:textId="77777777" w:rsidR="00FC452B" w:rsidRPr="00A27709" w:rsidRDefault="00FC452B" w:rsidP="00FC452B">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3</w:t>
      </w:r>
      <w:r w:rsidRPr="00A27709">
        <w:rPr>
          <w:rFonts w:ascii="Arial" w:hAnsi="Arial" w:cs="Arial"/>
          <w:sz w:val="20"/>
          <w:szCs w:val="20"/>
        </w:rPr>
        <w:t xml:space="preserve">: </w:t>
      </w:r>
    </w:p>
    <w:p w14:paraId="4E07CF1F" w14:textId="77777777" w:rsidR="00FC452B" w:rsidRPr="00A27709" w:rsidRDefault="00FC452B" w:rsidP="00FC452B">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t xml:space="preserve">Prioritize the transmission power of a PRACH to a LTM candidate cell when it is overlapped in time domain with UL transmissions on serving cells.  </w:t>
      </w:r>
    </w:p>
    <w:p w14:paraId="6BD2A464" w14:textId="77777777" w:rsidR="00FC452B" w:rsidRDefault="00FC452B" w:rsidP="00A27709">
      <w:pPr>
        <w:rPr>
          <w:rFonts w:ascii="Arial" w:hAnsi="Arial" w:cs="Arial"/>
          <w:sz w:val="20"/>
          <w:szCs w:val="20"/>
        </w:rPr>
      </w:pPr>
    </w:p>
    <w:p w14:paraId="0AF97BC7" w14:textId="77777777" w:rsidR="00FC452B" w:rsidRPr="00A27709" w:rsidRDefault="00FC452B" w:rsidP="00FC452B">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4</w:t>
      </w:r>
      <w:r w:rsidRPr="00A27709">
        <w:rPr>
          <w:rFonts w:ascii="Arial" w:hAnsi="Arial" w:cs="Arial"/>
          <w:sz w:val="20"/>
          <w:szCs w:val="20"/>
        </w:rPr>
        <w:t xml:space="preserve">: </w:t>
      </w:r>
    </w:p>
    <w:p w14:paraId="200E46E7" w14:textId="77777777" w:rsidR="00FC452B" w:rsidRPr="00A27709" w:rsidRDefault="00FC452B" w:rsidP="00FC452B">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t xml:space="preserve">The overlapping in time and frequency is allowed for a PARCH transmission to a LTM candidate cell and a CG-PUSCH/RRC-configured UL transmission on serving cell. </w:t>
      </w:r>
    </w:p>
    <w:p w14:paraId="5EC2DBF1" w14:textId="77777777" w:rsidR="00FC452B" w:rsidRPr="00A27709" w:rsidRDefault="00FC452B" w:rsidP="00FC452B">
      <w:pPr>
        <w:pStyle w:val="ListParagraph"/>
        <w:numPr>
          <w:ilvl w:val="0"/>
          <w:numId w:val="56"/>
        </w:numPr>
        <w:overflowPunct w:val="0"/>
        <w:autoSpaceDE w:val="0"/>
        <w:autoSpaceDN w:val="0"/>
        <w:adjustRightInd w:val="0"/>
        <w:textAlignment w:val="baseline"/>
        <w:rPr>
          <w:rFonts w:ascii="Arial" w:hAnsi="Arial" w:cs="Arial"/>
          <w:sz w:val="20"/>
          <w:szCs w:val="20"/>
        </w:rPr>
      </w:pPr>
      <w:r w:rsidRPr="00A27709">
        <w:rPr>
          <w:rFonts w:ascii="Arial" w:hAnsi="Arial" w:cs="Arial"/>
          <w:i/>
          <w:iCs/>
          <w:sz w:val="20"/>
          <w:szCs w:val="20"/>
        </w:rPr>
        <w:lastRenderedPageBreak/>
        <w:t xml:space="preserve">For a UE that is incapable of STxMP, the PRACH transmission is prioritized and the overlapped CG-PUSCH /RRC-configured UL transmission on serving cell is dropped.  </w:t>
      </w:r>
      <w:r w:rsidRPr="00A27709">
        <w:rPr>
          <w:rFonts w:ascii="Arial" w:hAnsi="Arial" w:cs="Arial"/>
          <w:sz w:val="20"/>
          <w:szCs w:val="20"/>
        </w:rPr>
        <w:t xml:space="preserve">     </w:t>
      </w:r>
    </w:p>
    <w:p w14:paraId="611D4525" w14:textId="0A6F5313" w:rsidR="00DE66A5" w:rsidRPr="00DE66A5" w:rsidRDefault="00FC452B" w:rsidP="00A27709">
      <w:pPr>
        <w:rPr>
          <w:rFonts w:ascii="Arial" w:hAnsi="Arial" w:cs="Arial"/>
          <w:color w:val="000000" w:themeColor="text1"/>
          <w:sz w:val="20"/>
          <w:szCs w:val="20"/>
        </w:rPr>
      </w:pPr>
      <w:r>
        <w:rPr>
          <w:rFonts w:ascii="Arial" w:hAnsi="Arial" w:cs="Arial"/>
          <w:sz w:val="20"/>
          <w:szCs w:val="20"/>
        </w:rPr>
        <w:t xml:space="preserve"> </w:t>
      </w:r>
      <w:r w:rsidR="00DE66A5">
        <w:rPr>
          <w:rFonts w:ascii="Arial" w:hAnsi="Arial" w:cs="Arial"/>
          <w:color w:val="000000" w:themeColor="text1"/>
          <w:sz w:val="20"/>
          <w:szCs w:val="20"/>
        </w:rPr>
        <w:t xml:space="preserve">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3" w:name="_Ref114816142"/>
      <w:r w:rsidRPr="00C73E11">
        <w:rPr>
          <w:rFonts w:ascii="Arial" w:hAnsi="Arial" w:cs="Arial"/>
          <w:sz w:val="20"/>
          <w:szCs w:val="20"/>
        </w:rPr>
        <w:t>RP-213565, New WID on Further NR mobility enhancements, MediaTek, RAN#94e, December 2021</w:t>
      </w:r>
      <w:bookmarkEnd w:id="3"/>
    </w:p>
    <w:p w14:paraId="48E332C5" w14:textId="77777777" w:rsidR="00A27709" w:rsidRDefault="00850AA0" w:rsidP="00A27709">
      <w:pPr>
        <w:numPr>
          <w:ilvl w:val="0"/>
          <w:numId w:val="1"/>
        </w:numPr>
        <w:jc w:val="both"/>
        <w:rPr>
          <w:rFonts w:ascii="Arial" w:hAnsi="Arial" w:cs="Arial"/>
          <w:sz w:val="20"/>
          <w:szCs w:val="20"/>
        </w:rPr>
      </w:pPr>
      <w:r w:rsidRPr="00C73E11">
        <w:rPr>
          <w:rFonts w:ascii="Arial" w:hAnsi="Arial" w:cs="Arial"/>
          <w:sz w:val="20"/>
          <w:szCs w:val="20"/>
        </w:rPr>
        <w:t>RAN1 11</w:t>
      </w:r>
      <w:r>
        <w:rPr>
          <w:rFonts w:ascii="Arial" w:hAnsi="Arial" w:cs="Arial"/>
          <w:sz w:val="20"/>
          <w:szCs w:val="20"/>
        </w:rPr>
        <w:t>3</w:t>
      </w:r>
      <w:r w:rsidRPr="00C73E11">
        <w:rPr>
          <w:rFonts w:ascii="Arial" w:hAnsi="Arial" w:cs="Arial"/>
          <w:sz w:val="20"/>
          <w:szCs w:val="20"/>
        </w:rPr>
        <w:t xml:space="preserve"> Meeting Chairman notes</w:t>
      </w:r>
    </w:p>
    <w:p w14:paraId="3BB0CF4B" w14:textId="329F0FEB" w:rsidR="00A27709" w:rsidRPr="00A27709" w:rsidRDefault="00A27709" w:rsidP="00A27709">
      <w:pPr>
        <w:numPr>
          <w:ilvl w:val="0"/>
          <w:numId w:val="1"/>
        </w:numPr>
        <w:jc w:val="both"/>
        <w:rPr>
          <w:rFonts w:ascii="Arial" w:hAnsi="Arial" w:cs="Arial"/>
          <w:sz w:val="15"/>
          <w:szCs w:val="15"/>
        </w:rPr>
      </w:pPr>
      <w:r w:rsidRPr="00A27709">
        <w:rPr>
          <w:rFonts w:ascii="Arial" w:hAnsi="Arial" w:cs="Arial"/>
          <w:sz w:val="20"/>
          <w:szCs w:val="20"/>
          <w:lang w:eastAsia="x-none"/>
        </w:rPr>
        <w:t>R1-2306158</w:t>
      </w:r>
      <w:r>
        <w:rPr>
          <w:rFonts w:ascii="Arial" w:hAnsi="Arial" w:cs="Arial"/>
          <w:sz w:val="20"/>
          <w:szCs w:val="20"/>
          <w:lang w:eastAsia="x-none"/>
        </w:rPr>
        <w:t xml:space="preserve"> </w:t>
      </w:r>
      <w:r w:rsidRPr="00A27709">
        <w:rPr>
          <w:rFonts w:ascii="Arial" w:hAnsi="Arial" w:cs="Arial"/>
          <w:sz w:val="20"/>
          <w:szCs w:val="20"/>
          <w:lang w:eastAsia="x-none"/>
        </w:rPr>
        <w:t>Moderator summary on timing advance management for LTM: Round 2</w:t>
      </w:r>
      <w:r w:rsidRPr="00A27709">
        <w:rPr>
          <w:rFonts w:ascii="Arial" w:hAnsi="Arial" w:cs="Arial"/>
          <w:sz w:val="20"/>
          <w:szCs w:val="20"/>
          <w:lang w:eastAsia="x-none"/>
        </w:rPr>
        <w:tab/>
        <w:t>Moderator (CATT)</w:t>
      </w:r>
    </w:p>
    <w:p w14:paraId="14ED3622" w14:textId="0F365530" w:rsidR="008D7BFC" w:rsidRDefault="000E2C66" w:rsidP="003C32A6">
      <w:pPr>
        <w:numPr>
          <w:ilvl w:val="0"/>
          <w:numId w:val="1"/>
        </w:numPr>
        <w:jc w:val="both"/>
        <w:rPr>
          <w:rFonts w:ascii="Arial" w:hAnsi="Arial" w:cs="Arial"/>
          <w:sz w:val="20"/>
          <w:szCs w:val="20"/>
        </w:rPr>
      </w:pPr>
      <w:r w:rsidRPr="000E2C66">
        <w:rPr>
          <w:rFonts w:ascii="Arial" w:hAnsi="Arial" w:cs="Arial"/>
          <w:sz w:val="20"/>
          <w:szCs w:val="20"/>
        </w:rPr>
        <w:t>R1-2304330</w:t>
      </w:r>
      <w:r w:rsidR="008D7BFC">
        <w:rPr>
          <w:rFonts w:ascii="Arial" w:hAnsi="Arial" w:cs="Arial"/>
          <w:sz w:val="20"/>
          <w:szCs w:val="20"/>
        </w:rPr>
        <w:t xml:space="preserve"> </w:t>
      </w:r>
      <w:r w:rsidRPr="000E2C66">
        <w:rPr>
          <w:rFonts w:ascii="Arial" w:hAnsi="Arial" w:cs="Arial"/>
          <w:sz w:val="20"/>
          <w:szCs w:val="20"/>
        </w:rPr>
        <w:t>Reply LS on L1 measurement RS configuration and PDCCH ordered RACH for LTM</w:t>
      </w:r>
      <w:r>
        <w:rPr>
          <w:rFonts w:ascii="Arial" w:hAnsi="Arial" w:cs="Arial"/>
          <w:sz w:val="20"/>
          <w:szCs w:val="20"/>
        </w:rPr>
        <w:t xml:space="preserve"> RAN2</w:t>
      </w:r>
    </w:p>
    <w:p w14:paraId="5BD38E0D" w14:textId="6A3C8B89" w:rsidR="00D62B8B" w:rsidRPr="00D62B8B" w:rsidRDefault="00D62B8B" w:rsidP="00D62B8B">
      <w:pPr>
        <w:numPr>
          <w:ilvl w:val="0"/>
          <w:numId w:val="1"/>
        </w:numPr>
        <w:jc w:val="both"/>
        <w:rPr>
          <w:rFonts w:ascii="Arial" w:hAnsi="Arial" w:cs="Arial"/>
          <w:sz w:val="20"/>
          <w:szCs w:val="20"/>
        </w:rPr>
      </w:pPr>
      <w:r w:rsidRPr="000E2C66">
        <w:rPr>
          <w:rFonts w:ascii="Arial" w:hAnsi="Arial" w:cs="Arial"/>
          <w:sz w:val="20"/>
          <w:szCs w:val="20"/>
        </w:rPr>
        <w:t>R1-230</w:t>
      </w:r>
      <w:r>
        <w:rPr>
          <w:rFonts w:ascii="Arial" w:hAnsi="Arial" w:cs="Arial"/>
          <w:sz w:val="20"/>
          <w:szCs w:val="20"/>
        </w:rPr>
        <w:t xml:space="preserve">6385 </w:t>
      </w:r>
      <w:r w:rsidRPr="00D62B8B">
        <w:rPr>
          <w:rFonts w:ascii="Arial" w:hAnsi="Arial" w:cs="Arial"/>
          <w:sz w:val="20"/>
          <w:szCs w:val="20"/>
        </w:rPr>
        <w:t xml:space="preserve">LS on Early TA and RACH-less </w:t>
      </w:r>
      <w:r>
        <w:rPr>
          <w:rFonts w:ascii="Arial" w:hAnsi="Arial" w:cs="Arial"/>
          <w:sz w:val="20"/>
          <w:szCs w:val="20"/>
        </w:rPr>
        <w:tab/>
      </w:r>
      <w:r>
        <w:rPr>
          <w:rFonts w:ascii="Arial" w:hAnsi="Arial" w:cs="Arial"/>
          <w:sz w:val="20"/>
          <w:szCs w:val="20"/>
        </w:rPr>
        <w:tab/>
        <w:t>RAN2</w:t>
      </w:r>
    </w:p>
    <w:sectPr w:rsidR="00D62B8B" w:rsidRPr="00D62B8B"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56A0D" w14:textId="77777777" w:rsidR="00344ACC" w:rsidRDefault="00344ACC">
      <w:r>
        <w:separator/>
      </w:r>
    </w:p>
  </w:endnote>
  <w:endnote w:type="continuationSeparator" w:id="0">
    <w:p w14:paraId="23E53017" w14:textId="77777777" w:rsidR="00344ACC" w:rsidRDefault="0034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01A7" w14:textId="77777777" w:rsidR="00344ACC" w:rsidRDefault="00344ACC">
      <w:r>
        <w:separator/>
      </w:r>
    </w:p>
  </w:footnote>
  <w:footnote w:type="continuationSeparator" w:id="0">
    <w:p w14:paraId="592D8359" w14:textId="77777777" w:rsidR="00344ACC" w:rsidRDefault="00344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4A5C03"/>
    <w:multiLevelType w:val="hybridMultilevel"/>
    <w:tmpl w:val="63005612"/>
    <w:lvl w:ilvl="0" w:tplc="04090003">
      <w:start w:val="1"/>
      <w:numFmt w:val="bullet"/>
      <w:lvlText w:val="o"/>
      <w:lvlJc w:val="left"/>
      <w:pPr>
        <w:ind w:left="776" w:hanging="360"/>
      </w:pPr>
      <w:rPr>
        <w:rFonts w:ascii="Courier New" w:hAnsi="Courier New" w:cs="Courier New"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9EA6495"/>
    <w:multiLevelType w:val="hybridMultilevel"/>
    <w:tmpl w:val="34E498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5" w15:restartNumberingAfterBreak="0">
    <w:nsid w:val="6FD46A40"/>
    <w:multiLevelType w:val="hybridMultilevel"/>
    <w:tmpl w:val="5F165E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047AEA"/>
    <w:multiLevelType w:val="hybridMultilevel"/>
    <w:tmpl w:val="48DEE2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46"/>
  </w:num>
  <w:num w:numId="2" w16cid:durableId="775950945">
    <w:abstractNumId w:val="34"/>
  </w:num>
  <w:num w:numId="3" w16cid:durableId="1829443946">
    <w:abstractNumId w:val="10"/>
  </w:num>
  <w:num w:numId="4" w16cid:durableId="774908576">
    <w:abstractNumId w:val="56"/>
  </w:num>
  <w:num w:numId="5" w16cid:durableId="1080978509">
    <w:abstractNumId w:val="7"/>
  </w:num>
  <w:num w:numId="6" w16cid:durableId="1963072101">
    <w:abstractNumId w:val="54"/>
  </w:num>
  <w:num w:numId="7" w16cid:durableId="5251911">
    <w:abstractNumId w:val="42"/>
  </w:num>
  <w:num w:numId="8" w16cid:durableId="468136793">
    <w:abstractNumId w:val="4"/>
  </w:num>
  <w:num w:numId="9" w16cid:durableId="955254518">
    <w:abstractNumId w:val="24"/>
  </w:num>
  <w:num w:numId="10" w16cid:durableId="1102454232">
    <w:abstractNumId w:val="31"/>
  </w:num>
  <w:num w:numId="11" w16cid:durableId="249388093">
    <w:abstractNumId w:val="39"/>
  </w:num>
  <w:num w:numId="12" w16cid:durableId="1617564302">
    <w:abstractNumId w:val="37"/>
  </w:num>
  <w:num w:numId="13" w16cid:durableId="774445314">
    <w:abstractNumId w:val="20"/>
  </w:num>
  <w:num w:numId="14" w16cid:durableId="1478840111">
    <w:abstractNumId w:val="13"/>
  </w:num>
  <w:num w:numId="15" w16cid:durableId="523714013">
    <w:abstractNumId w:val="40"/>
  </w:num>
  <w:num w:numId="16" w16cid:durableId="2131432209">
    <w:abstractNumId w:val="25"/>
  </w:num>
  <w:num w:numId="17" w16cid:durableId="30425370">
    <w:abstractNumId w:val="58"/>
  </w:num>
  <w:num w:numId="18" w16cid:durableId="857357148">
    <w:abstractNumId w:val="47"/>
  </w:num>
  <w:num w:numId="19" w16cid:durableId="1185168470">
    <w:abstractNumId w:val="3"/>
  </w:num>
  <w:num w:numId="20" w16cid:durableId="572620473">
    <w:abstractNumId w:val="14"/>
  </w:num>
  <w:num w:numId="21" w16cid:durableId="1696540518">
    <w:abstractNumId w:val="0"/>
  </w:num>
  <w:num w:numId="22" w16cid:durableId="561990774">
    <w:abstractNumId w:val="45"/>
  </w:num>
  <w:num w:numId="23" w16cid:durableId="1321424776">
    <w:abstractNumId w:val="23"/>
  </w:num>
  <w:num w:numId="24" w16cid:durableId="642588540">
    <w:abstractNumId w:val="19"/>
  </w:num>
  <w:num w:numId="25" w16cid:durableId="227309444">
    <w:abstractNumId w:val="35"/>
  </w:num>
  <w:num w:numId="26" w16cid:durableId="721289497">
    <w:abstractNumId w:val="29"/>
  </w:num>
  <w:num w:numId="27" w16cid:durableId="411045378">
    <w:abstractNumId w:val="18"/>
  </w:num>
  <w:num w:numId="28" w16cid:durableId="1573344447">
    <w:abstractNumId w:val="21"/>
  </w:num>
  <w:num w:numId="29" w16cid:durableId="204371133">
    <w:abstractNumId w:val="28"/>
  </w:num>
  <w:num w:numId="30" w16cid:durableId="402263810">
    <w:abstractNumId w:val="53"/>
  </w:num>
  <w:num w:numId="31" w16cid:durableId="510224783">
    <w:abstractNumId w:val="43"/>
  </w:num>
  <w:num w:numId="32" w16cid:durableId="853501122">
    <w:abstractNumId w:val="41"/>
  </w:num>
  <w:num w:numId="33" w16cid:durableId="1195923195">
    <w:abstractNumId w:val="49"/>
  </w:num>
  <w:num w:numId="34" w16cid:durableId="47609914">
    <w:abstractNumId w:val="17"/>
  </w:num>
  <w:num w:numId="35" w16cid:durableId="1210724604">
    <w:abstractNumId w:val="1"/>
  </w:num>
  <w:num w:numId="36" w16cid:durableId="1607225224">
    <w:abstractNumId w:val="45"/>
  </w:num>
  <w:num w:numId="37" w16cid:durableId="2025937412">
    <w:abstractNumId w:val="32"/>
  </w:num>
  <w:num w:numId="38" w16cid:durableId="1630889743">
    <w:abstractNumId w:val="6"/>
  </w:num>
  <w:num w:numId="39" w16cid:durableId="1112554586">
    <w:abstractNumId w:val="5"/>
  </w:num>
  <w:num w:numId="40" w16cid:durableId="1116800964">
    <w:abstractNumId w:val="44"/>
  </w:num>
  <w:num w:numId="41" w16cid:durableId="90509814">
    <w:abstractNumId w:val="38"/>
  </w:num>
  <w:num w:numId="42" w16cid:durableId="778448089">
    <w:abstractNumId w:val="11"/>
  </w:num>
  <w:num w:numId="43" w16cid:durableId="1002781161">
    <w:abstractNumId w:val="50"/>
  </w:num>
  <w:num w:numId="44" w16cid:durableId="735934694">
    <w:abstractNumId w:val="48"/>
  </w:num>
  <w:num w:numId="45" w16cid:durableId="1123573242">
    <w:abstractNumId w:val="15"/>
  </w:num>
  <w:num w:numId="46" w16cid:durableId="794130822">
    <w:abstractNumId w:val="57"/>
  </w:num>
  <w:num w:numId="47" w16cid:durableId="381053737">
    <w:abstractNumId w:val="61"/>
  </w:num>
  <w:num w:numId="48" w16cid:durableId="1203711148">
    <w:abstractNumId w:val="59"/>
  </w:num>
  <w:num w:numId="49" w16cid:durableId="1383865704">
    <w:abstractNumId w:val="26"/>
  </w:num>
  <w:num w:numId="50" w16cid:durableId="377248047">
    <w:abstractNumId w:val="22"/>
  </w:num>
  <w:num w:numId="51" w16cid:durableId="918712431">
    <w:abstractNumId w:val="12"/>
  </w:num>
  <w:num w:numId="52" w16cid:durableId="1828865285">
    <w:abstractNumId w:val="2"/>
  </w:num>
  <w:num w:numId="53" w16cid:durableId="43599916">
    <w:abstractNumId w:val="9"/>
  </w:num>
  <w:num w:numId="54" w16cid:durableId="1487746427">
    <w:abstractNumId w:val="51"/>
  </w:num>
  <w:num w:numId="55" w16cid:durableId="123084634">
    <w:abstractNumId w:val="30"/>
  </w:num>
  <w:num w:numId="56" w16cid:durableId="1353414788">
    <w:abstractNumId w:val="55"/>
  </w:num>
  <w:num w:numId="57" w16cid:durableId="905333732">
    <w:abstractNumId w:val="52"/>
  </w:num>
  <w:num w:numId="58" w16cid:durableId="1271427325">
    <w:abstractNumId w:val="36"/>
  </w:num>
  <w:num w:numId="59" w16cid:durableId="1623880761">
    <w:abstractNumId w:val="8"/>
  </w:num>
  <w:num w:numId="60" w16cid:durableId="1371876075">
    <w:abstractNumId w:val="27"/>
  </w:num>
  <w:num w:numId="61" w16cid:durableId="911160478">
    <w:abstractNumId w:val="33"/>
  </w:num>
  <w:num w:numId="62" w16cid:durableId="820847821">
    <w:abstractNumId w:val="16"/>
  </w:num>
  <w:num w:numId="63" w16cid:durableId="580986324">
    <w:abstractNumId w:val="6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02F"/>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41DE"/>
    <w:rsid w:val="000B658A"/>
    <w:rsid w:val="000C0C40"/>
    <w:rsid w:val="000C1200"/>
    <w:rsid w:val="000C1F78"/>
    <w:rsid w:val="000C2B74"/>
    <w:rsid w:val="000C2C4D"/>
    <w:rsid w:val="000C62FE"/>
    <w:rsid w:val="000C641D"/>
    <w:rsid w:val="000C689C"/>
    <w:rsid w:val="000D16AA"/>
    <w:rsid w:val="000D274E"/>
    <w:rsid w:val="000D479C"/>
    <w:rsid w:val="000D4897"/>
    <w:rsid w:val="000D65F9"/>
    <w:rsid w:val="000D7ED1"/>
    <w:rsid w:val="000E190D"/>
    <w:rsid w:val="000E2B11"/>
    <w:rsid w:val="000E2C66"/>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77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6D79"/>
    <w:rsid w:val="002472CD"/>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094F"/>
    <w:rsid w:val="003320C1"/>
    <w:rsid w:val="0033210C"/>
    <w:rsid w:val="0033211D"/>
    <w:rsid w:val="00334B81"/>
    <w:rsid w:val="00334BE9"/>
    <w:rsid w:val="0033685C"/>
    <w:rsid w:val="003410D4"/>
    <w:rsid w:val="003411B4"/>
    <w:rsid w:val="003412CB"/>
    <w:rsid w:val="003419D5"/>
    <w:rsid w:val="00344210"/>
    <w:rsid w:val="00344ACC"/>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32A6"/>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9A5"/>
    <w:rsid w:val="003E3B46"/>
    <w:rsid w:val="003E4C42"/>
    <w:rsid w:val="003E5619"/>
    <w:rsid w:val="003E59A3"/>
    <w:rsid w:val="003E603B"/>
    <w:rsid w:val="003E639D"/>
    <w:rsid w:val="003E6AE1"/>
    <w:rsid w:val="003F0EA8"/>
    <w:rsid w:val="003F112A"/>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44E"/>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4EA2"/>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267"/>
    <w:rsid w:val="00607423"/>
    <w:rsid w:val="006079D2"/>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3E52"/>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277"/>
    <w:rsid w:val="00714F3F"/>
    <w:rsid w:val="00715014"/>
    <w:rsid w:val="00715177"/>
    <w:rsid w:val="0071632E"/>
    <w:rsid w:val="0071667D"/>
    <w:rsid w:val="00716951"/>
    <w:rsid w:val="00720763"/>
    <w:rsid w:val="00721FAD"/>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6F91"/>
    <w:rsid w:val="0078731C"/>
    <w:rsid w:val="00787DF3"/>
    <w:rsid w:val="00790A71"/>
    <w:rsid w:val="00790F4B"/>
    <w:rsid w:val="007912AE"/>
    <w:rsid w:val="007913D8"/>
    <w:rsid w:val="00792A33"/>
    <w:rsid w:val="007942C4"/>
    <w:rsid w:val="00794BD9"/>
    <w:rsid w:val="0079526C"/>
    <w:rsid w:val="007953B0"/>
    <w:rsid w:val="007A1147"/>
    <w:rsid w:val="007A17EA"/>
    <w:rsid w:val="007A2149"/>
    <w:rsid w:val="007A2C43"/>
    <w:rsid w:val="007A4497"/>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7F77FF"/>
    <w:rsid w:val="00800159"/>
    <w:rsid w:val="00800BED"/>
    <w:rsid w:val="00801639"/>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964"/>
    <w:rsid w:val="00841102"/>
    <w:rsid w:val="00842535"/>
    <w:rsid w:val="00842EB6"/>
    <w:rsid w:val="00843156"/>
    <w:rsid w:val="00843184"/>
    <w:rsid w:val="0084450C"/>
    <w:rsid w:val="00845276"/>
    <w:rsid w:val="00845654"/>
    <w:rsid w:val="00850AA0"/>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4A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690D"/>
    <w:rsid w:val="008D6A8B"/>
    <w:rsid w:val="008D6D5F"/>
    <w:rsid w:val="008D7057"/>
    <w:rsid w:val="008D7BFC"/>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8F7CBE"/>
    <w:rsid w:val="00901A73"/>
    <w:rsid w:val="009023FC"/>
    <w:rsid w:val="00904B19"/>
    <w:rsid w:val="00906300"/>
    <w:rsid w:val="00906EA2"/>
    <w:rsid w:val="009141AD"/>
    <w:rsid w:val="00917072"/>
    <w:rsid w:val="009208A2"/>
    <w:rsid w:val="00920B08"/>
    <w:rsid w:val="009247E1"/>
    <w:rsid w:val="00924ECE"/>
    <w:rsid w:val="009252A8"/>
    <w:rsid w:val="00925EF8"/>
    <w:rsid w:val="00926599"/>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27709"/>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E7D"/>
    <w:rsid w:val="00B03FD4"/>
    <w:rsid w:val="00B04A51"/>
    <w:rsid w:val="00B05A1D"/>
    <w:rsid w:val="00B06301"/>
    <w:rsid w:val="00B07045"/>
    <w:rsid w:val="00B07467"/>
    <w:rsid w:val="00B1026D"/>
    <w:rsid w:val="00B1148C"/>
    <w:rsid w:val="00B1196F"/>
    <w:rsid w:val="00B122EE"/>
    <w:rsid w:val="00B12CCF"/>
    <w:rsid w:val="00B13776"/>
    <w:rsid w:val="00B13A50"/>
    <w:rsid w:val="00B147AE"/>
    <w:rsid w:val="00B17075"/>
    <w:rsid w:val="00B17669"/>
    <w:rsid w:val="00B22079"/>
    <w:rsid w:val="00B23332"/>
    <w:rsid w:val="00B23412"/>
    <w:rsid w:val="00B23E3B"/>
    <w:rsid w:val="00B26360"/>
    <w:rsid w:val="00B26B6B"/>
    <w:rsid w:val="00B300B9"/>
    <w:rsid w:val="00B317F3"/>
    <w:rsid w:val="00B31D0B"/>
    <w:rsid w:val="00B31E27"/>
    <w:rsid w:val="00B33A1E"/>
    <w:rsid w:val="00B36B38"/>
    <w:rsid w:val="00B37937"/>
    <w:rsid w:val="00B40E2D"/>
    <w:rsid w:val="00B40F7F"/>
    <w:rsid w:val="00B41933"/>
    <w:rsid w:val="00B45008"/>
    <w:rsid w:val="00B50E54"/>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547D"/>
    <w:rsid w:val="00BD3904"/>
    <w:rsid w:val="00BD43E0"/>
    <w:rsid w:val="00BD4BCB"/>
    <w:rsid w:val="00BD516A"/>
    <w:rsid w:val="00BD51F5"/>
    <w:rsid w:val="00BD57DE"/>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3ADA"/>
    <w:rsid w:val="00BF4808"/>
    <w:rsid w:val="00BF6F96"/>
    <w:rsid w:val="00C005B5"/>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4439"/>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2312"/>
    <w:rsid w:val="00C64C60"/>
    <w:rsid w:val="00C64D4D"/>
    <w:rsid w:val="00C668E3"/>
    <w:rsid w:val="00C67171"/>
    <w:rsid w:val="00C70484"/>
    <w:rsid w:val="00C71168"/>
    <w:rsid w:val="00C73521"/>
    <w:rsid w:val="00C760A7"/>
    <w:rsid w:val="00C7610E"/>
    <w:rsid w:val="00C7697F"/>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B17"/>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B8B"/>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21E8"/>
    <w:rsid w:val="00DE3814"/>
    <w:rsid w:val="00DE58D4"/>
    <w:rsid w:val="00DE64F3"/>
    <w:rsid w:val="00DE66A5"/>
    <w:rsid w:val="00DE6AAB"/>
    <w:rsid w:val="00DF232C"/>
    <w:rsid w:val="00DF3FC2"/>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182"/>
    <w:rsid w:val="00E82C6B"/>
    <w:rsid w:val="00E830AE"/>
    <w:rsid w:val="00E84146"/>
    <w:rsid w:val="00E85042"/>
    <w:rsid w:val="00E856C7"/>
    <w:rsid w:val="00E85A8D"/>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CE2"/>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16CA"/>
    <w:rsid w:val="00FC24A4"/>
    <w:rsid w:val="00FC44AE"/>
    <w:rsid w:val="00FC452B"/>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043503">
      <w:bodyDiv w:val="1"/>
      <w:marLeft w:val="0"/>
      <w:marRight w:val="0"/>
      <w:marTop w:val="0"/>
      <w:marBottom w:val="0"/>
      <w:divBdr>
        <w:top w:val="none" w:sz="0" w:space="0" w:color="auto"/>
        <w:left w:val="none" w:sz="0" w:space="0" w:color="auto"/>
        <w:bottom w:val="none" w:sz="0" w:space="0" w:color="auto"/>
        <w:right w:val="none" w:sz="0" w:space="0" w:color="auto"/>
      </w:divBdr>
      <w:divsChild>
        <w:div w:id="644240430">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057346">
      <w:bodyDiv w:val="1"/>
      <w:marLeft w:val="0"/>
      <w:marRight w:val="0"/>
      <w:marTop w:val="0"/>
      <w:marBottom w:val="0"/>
      <w:divBdr>
        <w:top w:val="none" w:sz="0" w:space="0" w:color="auto"/>
        <w:left w:val="none" w:sz="0" w:space="0" w:color="auto"/>
        <w:bottom w:val="none" w:sz="0" w:space="0" w:color="auto"/>
        <w:right w:val="none" w:sz="0" w:space="0" w:color="auto"/>
      </w:divBdr>
      <w:divsChild>
        <w:div w:id="1012878712">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2460045">
      <w:bodyDiv w:val="1"/>
      <w:marLeft w:val="0"/>
      <w:marRight w:val="0"/>
      <w:marTop w:val="0"/>
      <w:marBottom w:val="0"/>
      <w:divBdr>
        <w:top w:val="none" w:sz="0" w:space="0" w:color="auto"/>
        <w:left w:val="none" w:sz="0" w:space="0" w:color="auto"/>
        <w:bottom w:val="none" w:sz="0" w:space="0" w:color="auto"/>
        <w:right w:val="none" w:sz="0" w:space="0" w:color="auto"/>
      </w:divBdr>
      <w:divsChild>
        <w:div w:id="1827429116">
          <w:marLeft w:val="0"/>
          <w:marRight w:val="0"/>
          <w:marTop w:val="0"/>
          <w:marBottom w:val="0"/>
          <w:divBdr>
            <w:top w:val="none" w:sz="0" w:space="0" w:color="auto"/>
            <w:left w:val="none" w:sz="0" w:space="0" w:color="auto"/>
            <w:bottom w:val="none" w:sz="0" w:space="0" w:color="auto"/>
            <w:right w:val="none" w:sz="0" w:space="0" w:color="auto"/>
          </w:divBdr>
        </w:div>
      </w:divsChild>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47507337">
      <w:bodyDiv w:val="1"/>
      <w:marLeft w:val="0"/>
      <w:marRight w:val="0"/>
      <w:marTop w:val="0"/>
      <w:marBottom w:val="0"/>
      <w:divBdr>
        <w:top w:val="none" w:sz="0" w:space="0" w:color="auto"/>
        <w:left w:val="none" w:sz="0" w:space="0" w:color="auto"/>
        <w:bottom w:val="none" w:sz="0" w:space="0" w:color="auto"/>
        <w:right w:val="none" w:sz="0" w:space="0" w:color="auto"/>
      </w:divBdr>
      <w:divsChild>
        <w:div w:id="1000810923">
          <w:marLeft w:val="0"/>
          <w:marRight w:val="0"/>
          <w:marTop w:val="0"/>
          <w:marBottom w:val="0"/>
          <w:divBdr>
            <w:top w:val="none" w:sz="0" w:space="0" w:color="auto"/>
            <w:left w:val="none" w:sz="0" w:space="0" w:color="auto"/>
            <w:bottom w:val="none" w:sz="0" w:space="0" w:color="auto"/>
            <w:right w:val="none" w:sz="0" w:space="0" w:color="auto"/>
          </w:divBdr>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798303473">
      <w:bodyDiv w:val="1"/>
      <w:marLeft w:val="0"/>
      <w:marRight w:val="0"/>
      <w:marTop w:val="0"/>
      <w:marBottom w:val="0"/>
      <w:divBdr>
        <w:top w:val="none" w:sz="0" w:space="0" w:color="auto"/>
        <w:left w:val="none" w:sz="0" w:space="0" w:color="auto"/>
        <w:bottom w:val="none" w:sz="0" w:space="0" w:color="auto"/>
        <w:right w:val="none" w:sz="0" w:space="0" w:color="auto"/>
      </w:divBdr>
      <w:divsChild>
        <w:div w:id="1405108513">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46872769">
      <w:bodyDiv w:val="1"/>
      <w:marLeft w:val="0"/>
      <w:marRight w:val="0"/>
      <w:marTop w:val="0"/>
      <w:marBottom w:val="0"/>
      <w:divBdr>
        <w:top w:val="none" w:sz="0" w:space="0" w:color="auto"/>
        <w:left w:val="none" w:sz="0" w:space="0" w:color="auto"/>
        <w:bottom w:val="none" w:sz="0" w:space="0" w:color="auto"/>
        <w:right w:val="none" w:sz="0" w:space="0" w:color="auto"/>
      </w:divBdr>
      <w:divsChild>
        <w:div w:id="2083485736">
          <w:marLeft w:val="0"/>
          <w:marRight w:val="0"/>
          <w:marTop w:val="0"/>
          <w:marBottom w:val="0"/>
          <w:divBdr>
            <w:top w:val="none" w:sz="0" w:space="0" w:color="auto"/>
            <w:left w:val="none" w:sz="0" w:space="0" w:color="auto"/>
            <w:bottom w:val="none" w:sz="0" w:space="0" w:color="auto"/>
            <w:right w:val="none" w:sz="0" w:space="0" w:color="auto"/>
          </w:divBdr>
        </w:div>
      </w:divsChild>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821310">
      <w:bodyDiv w:val="1"/>
      <w:marLeft w:val="0"/>
      <w:marRight w:val="0"/>
      <w:marTop w:val="0"/>
      <w:marBottom w:val="0"/>
      <w:divBdr>
        <w:top w:val="none" w:sz="0" w:space="0" w:color="auto"/>
        <w:left w:val="none" w:sz="0" w:space="0" w:color="auto"/>
        <w:bottom w:val="none" w:sz="0" w:space="0" w:color="auto"/>
        <w:right w:val="none" w:sz="0" w:space="0" w:color="auto"/>
      </w:divBdr>
      <w:divsChild>
        <w:div w:id="273559600">
          <w:marLeft w:val="0"/>
          <w:marRight w:val="0"/>
          <w:marTop w:val="0"/>
          <w:marBottom w:val="0"/>
          <w:divBdr>
            <w:top w:val="none" w:sz="0" w:space="0" w:color="auto"/>
            <w:left w:val="none" w:sz="0" w:space="0" w:color="auto"/>
            <w:bottom w:val="none" w:sz="0" w:space="0" w:color="auto"/>
            <w:right w:val="none" w:sz="0" w:space="0" w:color="auto"/>
          </w:divBdr>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92210641">
      <w:bodyDiv w:val="1"/>
      <w:marLeft w:val="0"/>
      <w:marRight w:val="0"/>
      <w:marTop w:val="0"/>
      <w:marBottom w:val="0"/>
      <w:divBdr>
        <w:top w:val="none" w:sz="0" w:space="0" w:color="auto"/>
        <w:left w:val="none" w:sz="0" w:space="0" w:color="auto"/>
        <w:bottom w:val="none" w:sz="0" w:space="0" w:color="auto"/>
        <w:right w:val="none" w:sz="0" w:space="0" w:color="auto"/>
      </w:divBdr>
      <w:divsChild>
        <w:div w:id="2016221995">
          <w:marLeft w:val="0"/>
          <w:marRight w:val="0"/>
          <w:marTop w:val="0"/>
          <w:marBottom w:val="0"/>
          <w:divBdr>
            <w:top w:val="none" w:sz="0" w:space="0" w:color="auto"/>
            <w:left w:val="none" w:sz="0" w:space="0" w:color="auto"/>
            <w:bottom w:val="none" w:sz="0" w:space="0" w:color="auto"/>
            <w:right w:val="none" w:sz="0" w:space="0" w:color="auto"/>
          </w:divBdr>
        </w:div>
      </w:divsChild>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047871">
      <w:bodyDiv w:val="1"/>
      <w:marLeft w:val="0"/>
      <w:marRight w:val="0"/>
      <w:marTop w:val="0"/>
      <w:marBottom w:val="0"/>
      <w:divBdr>
        <w:top w:val="none" w:sz="0" w:space="0" w:color="auto"/>
        <w:left w:val="none" w:sz="0" w:space="0" w:color="auto"/>
        <w:bottom w:val="none" w:sz="0" w:space="0" w:color="auto"/>
        <w:right w:val="none" w:sz="0" w:space="0" w:color="auto"/>
      </w:divBdr>
      <w:divsChild>
        <w:div w:id="547575800">
          <w:marLeft w:val="0"/>
          <w:marRight w:val="0"/>
          <w:marTop w:val="0"/>
          <w:marBottom w:val="0"/>
          <w:divBdr>
            <w:top w:val="none" w:sz="0" w:space="0" w:color="auto"/>
            <w:left w:val="none" w:sz="0" w:space="0" w:color="auto"/>
            <w:bottom w:val="none" w:sz="0" w:space="0" w:color="auto"/>
            <w:right w:val="none" w:sz="0" w:space="0" w:color="auto"/>
          </w:divBdr>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9374</TotalTime>
  <Pages>6</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704</cp:revision>
  <cp:lastPrinted>2022-11-05T23:23:00Z</cp:lastPrinted>
  <dcterms:created xsi:type="dcterms:W3CDTF">2020-08-06T15:21:00Z</dcterms:created>
  <dcterms:modified xsi:type="dcterms:W3CDTF">2023-08-11T19:48:00Z</dcterms:modified>
</cp:coreProperties>
</file>