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6A8BDF71"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Pr="00414759">
        <w:rPr>
          <w:b/>
          <w:kern w:val="2"/>
          <w:lang w:eastAsia="zh-CN"/>
        </w:rPr>
        <w:tab/>
      </w:r>
      <w:r w:rsidR="00E9429E" w:rsidRPr="006F3BFE">
        <w:rPr>
          <w:b/>
          <w:kern w:val="2"/>
          <w:lang w:eastAsia="zh-CN"/>
        </w:rPr>
        <w:t>R1-</w:t>
      </w:r>
      <w:r w:rsidR="006F3BFE" w:rsidRPr="006F3BFE">
        <w:rPr>
          <w:b/>
          <w:kern w:val="2"/>
          <w:lang w:eastAsia="zh-CN"/>
        </w:rPr>
        <w:t>2308139</w:t>
      </w:r>
      <w:bookmarkStart w:id="2" w:name="_GoBack"/>
      <w:bookmarkEnd w:id="2"/>
    </w:p>
    <w:bookmarkEnd w:id="1"/>
    <w:p w14:paraId="1CEAB639" w14:textId="6B7B1237" w:rsidR="00693CCC" w:rsidRPr="006D4633" w:rsidRDefault="00CD61B2" w:rsidP="00693CCC">
      <w:pPr>
        <w:jc w:val="left"/>
        <w:rPr>
          <w:b/>
          <w:lang w:val="en-US"/>
        </w:rPr>
      </w:pPr>
      <w:r>
        <w:rPr>
          <w:rFonts w:hint="eastAsia"/>
          <w:b/>
          <w:kern w:val="2"/>
          <w:lang w:eastAsia="zh-CN"/>
        </w:rPr>
        <w:t>Toulouse</w:t>
      </w:r>
      <w:r w:rsidR="00E54F80" w:rsidRPr="00E54F80">
        <w:rPr>
          <w:b/>
          <w:kern w:val="2"/>
          <w:lang w:eastAsia="zh-CN"/>
        </w:rPr>
        <w:t xml:space="preserve">, </w:t>
      </w:r>
      <w:r>
        <w:rPr>
          <w:rFonts w:hint="eastAsia"/>
          <w:b/>
          <w:kern w:val="2"/>
          <w:lang w:eastAsia="zh-CN"/>
        </w:rPr>
        <w:t>France</w:t>
      </w:r>
      <w:r w:rsidR="00E9429E">
        <w:rPr>
          <w:b/>
          <w:kern w:val="2"/>
          <w:lang w:eastAsia="zh-CN"/>
        </w:rPr>
        <w:t>, 2</w:t>
      </w:r>
      <w:r>
        <w:rPr>
          <w:b/>
          <w:kern w:val="2"/>
          <w:lang w:eastAsia="zh-CN"/>
        </w:rPr>
        <w:t>1</w:t>
      </w:r>
      <w:r w:rsidR="00E9429E">
        <w:rPr>
          <w:b/>
          <w:kern w:val="2"/>
          <w:lang w:eastAsia="zh-CN"/>
        </w:rPr>
        <w:t>-2</w:t>
      </w:r>
      <w:r>
        <w:rPr>
          <w:b/>
          <w:kern w:val="2"/>
          <w:lang w:eastAsia="zh-CN"/>
        </w:rPr>
        <w:t>5</w:t>
      </w:r>
      <w:r w:rsidR="00E9429E">
        <w:rPr>
          <w:b/>
          <w:kern w:val="2"/>
          <w:lang w:eastAsia="zh-CN"/>
        </w:rPr>
        <w:t xml:space="preserve"> </w:t>
      </w:r>
      <w:r>
        <w:rPr>
          <w:rFonts w:hint="eastAsia"/>
          <w:b/>
          <w:kern w:val="2"/>
          <w:lang w:eastAsia="zh-CN"/>
        </w:rPr>
        <w:t>August</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09587A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7.2</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3F161143" w:rsidR="00D16615" w:rsidRPr="00414759" w:rsidRDefault="00D16615" w:rsidP="00D16615">
      <w:pPr>
        <w:spacing w:after="60"/>
        <w:ind w:left="1555" w:hanging="1555"/>
        <w:jc w:val="left"/>
        <w:rPr>
          <w:b/>
          <w:lang w:val="en-US" w:eastAsia="zh-CN"/>
        </w:rPr>
      </w:pPr>
      <w:r w:rsidRPr="00414759">
        <w:rPr>
          <w:b/>
        </w:rPr>
        <w:t>Title:</w:t>
      </w:r>
      <w:r w:rsidRPr="00414759">
        <w:rPr>
          <w:b/>
        </w:rPr>
        <w:tab/>
      </w:r>
      <w:r w:rsidR="004C24B7">
        <w:rPr>
          <w:b/>
        </w:rPr>
        <w:t>Dis</w:t>
      </w:r>
      <w:r w:rsidR="004C24B7" w:rsidRPr="004C24B7">
        <w:rPr>
          <w:b/>
        </w:rPr>
        <w:t>c</w:t>
      </w:r>
      <w:r w:rsidR="004C24B7">
        <w:rPr>
          <w:b/>
        </w:rPr>
        <w:t xml:space="preserve">ussion on </w:t>
      </w:r>
      <w:r w:rsidR="004C24B7" w:rsidRPr="004C24B7">
        <w:rPr>
          <w:b/>
        </w:rPr>
        <w:t>BWP switching with CBG-based PUSCH transmission in FR2-2</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2D5AEA5C" w14:textId="201CEF15" w:rsidR="00392BB0" w:rsidRDefault="008E5D9D" w:rsidP="00685F52">
      <w:pPr>
        <w:rPr>
          <w:lang w:val="en-US" w:eastAsia="zh-CN"/>
        </w:rPr>
      </w:pPr>
      <w:r>
        <w:rPr>
          <w:rFonts w:hint="eastAsia"/>
          <w:lang w:eastAsia="zh-CN"/>
        </w:rPr>
        <w:t>In</w:t>
      </w:r>
      <w:r>
        <w:rPr>
          <w:lang w:eastAsia="zh-CN"/>
        </w:rPr>
        <w:t xml:space="preserve"> RAN1#11</w:t>
      </w:r>
      <w:r w:rsidR="00A24BB6">
        <w:rPr>
          <w:lang w:eastAsia="zh-CN"/>
        </w:rPr>
        <w:t>2bis-e</w:t>
      </w:r>
      <w:r>
        <w:rPr>
          <w:lang w:eastAsia="zh-CN"/>
        </w:rPr>
        <w:t>,</w:t>
      </w:r>
      <w:r w:rsidR="00B255FA">
        <w:rPr>
          <w:lang w:eastAsia="zh-CN"/>
        </w:rPr>
        <w:t xml:space="preserve"> </w:t>
      </w:r>
      <w:r w:rsidR="009573CA">
        <w:rPr>
          <w:rFonts w:hint="eastAsia"/>
          <w:lang w:eastAsia="zh-CN"/>
        </w:rPr>
        <w:t>under the email discussion [</w:t>
      </w:r>
      <w:r w:rsidR="00A24BB6" w:rsidRPr="00A24BB6">
        <w:rPr>
          <w:lang w:eastAsia="zh-CN"/>
        </w:rPr>
        <w:t>112bis-e-R17-FR2_2-03</w:t>
      </w:r>
      <w:r w:rsidR="009573CA">
        <w:rPr>
          <w:rFonts w:hint="eastAsia"/>
          <w:lang w:eastAsia="zh-CN"/>
        </w:rPr>
        <w:t xml:space="preserve">], </w:t>
      </w:r>
      <w:r w:rsidR="00AF6D3C">
        <w:rPr>
          <w:lang w:eastAsia="zh-CN"/>
        </w:rPr>
        <w:t xml:space="preserve">RAN1 </w:t>
      </w:r>
      <w:r w:rsidR="00D06411">
        <w:rPr>
          <w:rFonts w:hint="eastAsia"/>
          <w:lang w:eastAsia="zh-CN"/>
        </w:rPr>
        <w:t>considered</w:t>
      </w:r>
      <w:r w:rsidR="009573CA">
        <w:rPr>
          <w:rFonts w:hint="eastAsia"/>
          <w:lang w:eastAsia="zh-CN"/>
        </w:rPr>
        <w:t xml:space="preserve"> </w:t>
      </w:r>
      <w:r w:rsidR="009573CA" w:rsidRPr="009573CA">
        <w:rPr>
          <w:lang w:val="en-US" w:eastAsia="zh-CN"/>
        </w:rPr>
        <w:t xml:space="preserve">the issue of CBGTI </w:t>
      </w:r>
      <w:r w:rsidR="009573CA">
        <w:rPr>
          <w:lang w:val="en-US" w:eastAsia="zh-CN"/>
        </w:rPr>
        <w:t xml:space="preserve">field presence </w:t>
      </w:r>
      <w:r w:rsidR="009573CA" w:rsidRPr="009573CA">
        <w:rPr>
          <w:lang w:val="en-US" w:eastAsia="zh-CN"/>
        </w:rPr>
        <w:t xml:space="preserve">in </w:t>
      </w:r>
      <w:r w:rsidR="009573CA">
        <w:rPr>
          <w:lang w:val="en-US" w:eastAsia="zh-CN"/>
        </w:rPr>
        <w:t xml:space="preserve">a </w:t>
      </w:r>
      <w:r w:rsidR="00112C80">
        <w:rPr>
          <w:lang w:val="en-US" w:eastAsia="zh-CN"/>
        </w:rPr>
        <w:t>multi-</w:t>
      </w:r>
      <w:r w:rsidR="009573CA">
        <w:rPr>
          <w:lang w:val="en-US" w:eastAsia="zh-CN"/>
        </w:rPr>
        <w:t xml:space="preserve">PUSCH </w:t>
      </w:r>
      <w:r w:rsidR="009573CA" w:rsidRPr="009573CA">
        <w:rPr>
          <w:lang w:val="en-US" w:eastAsia="zh-CN"/>
        </w:rPr>
        <w:t>scheduling DCI with BWP switching</w:t>
      </w:r>
      <w:r w:rsidR="00112C80">
        <w:rPr>
          <w:lang w:val="en-US" w:eastAsia="zh-CN"/>
        </w:rPr>
        <w:t xml:space="preserve">. </w:t>
      </w:r>
      <w:r w:rsidR="009573CA">
        <w:rPr>
          <w:lang w:val="en-US" w:eastAsia="zh-CN"/>
        </w:rPr>
        <w:t xml:space="preserve"> </w:t>
      </w:r>
      <w:r w:rsidR="00392BB0">
        <w:rPr>
          <w:lang w:val="en-US" w:eastAsia="zh-CN"/>
        </w:rPr>
        <w:t>After a</w:t>
      </w:r>
      <w:r w:rsidR="00112C80">
        <w:rPr>
          <w:lang w:val="en-US" w:eastAsia="zh-CN"/>
        </w:rPr>
        <w:t xml:space="preserve"> lengthy discussion, consensus was formed around a solution with no specification impact</w:t>
      </w:r>
      <w:r w:rsidR="00392BB0">
        <w:rPr>
          <w:lang w:val="en-US" w:eastAsia="zh-CN"/>
        </w:rPr>
        <w:t xml:space="preserve"> by </w:t>
      </w:r>
      <w:r w:rsidR="00112C80" w:rsidRPr="00112C80">
        <w:rPr>
          <w:lang w:val="en-US" w:eastAsia="zh-CN"/>
        </w:rPr>
        <w:t>adopt</w:t>
      </w:r>
      <w:r w:rsidR="00112C80">
        <w:rPr>
          <w:lang w:val="en-US" w:eastAsia="zh-CN"/>
        </w:rPr>
        <w:t>ing</w:t>
      </w:r>
      <w:r w:rsidR="00112C80" w:rsidRPr="00112C80">
        <w:rPr>
          <w:lang w:val="en-US" w:eastAsia="zh-CN"/>
        </w:rPr>
        <w:t xml:space="preserve"> a scheduli</w:t>
      </w:r>
      <w:r w:rsidR="0065432E">
        <w:rPr>
          <w:lang w:val="en-US" w:eastAsia="zh-CN"/>
        </w:rPr>
        <w:t xml:space="preserve">ng restriction to circumvent such case. However, </w:t>
      </w:r>
      <w:r w:rsidR="00B14D97">
        <w:rPr>
          <w:lang w:val="en-US" w:eastAsia="zh-CN"/>
        </w:rPr>
        <w:t xml:space="preserve">it was clear that no consensus could be reached on the interpretation of the TDRA field, i.e., </w:t>
      </w:r>
      <w:r w:rsidR="00B14D97" w:rsidRPr="00392BB0">
        <w:rPr>
          <w:lang w:val="en-US" w:eastAsia="zh-CN"/>
        </w:rPr>
        <w:t xml:space="preserve">whether the </w:t>
      </w:r>
      <w:r w:rsidR="00B14D97" w:rsidRPr="00392BB0">
        <w:rPr>
          <w:lang w:eastAsia="zh-CN"/>
        </w:rPr>
        <w:t>PUSCH indicated by the TDRA field</w:t>
      </w:r>
      <w:r w:rsidR="00B14D97" w:rsidRPr="00392BB0">
        <w:rPr>
          <w:lang w:val="en-US" w:eastAsia="zh-CN"/>
        </w:rPr>
        <w:t xml:space="preserve"> in the UL grant implies PUSCH in </w:t>
      </w:r>
      <w:r w:rsidR="00B14D97" w:rsidRPr="00392BB0">
        <w:rPr>
          <w:bCs/>
          <w:lang w:val="en-US" w:eastAsia="zh-CN"/>
        </w:rPr>
        <w:t>the active BWP</w:t>
      </w:r>
      <w:r w:rsidR="00B14D97" w:rsidRPr="00392BB0">
        <w:rPr>
          <w:lang w:val="en-US" w:eastAsia="zh-CN"/>
        </w:rPr>
        <w:t xml:space="preserve"> (</w:t>
      </w:r>
      <w:r w:rsidR="00392BB0">
        <w:rPr>
          <w:lang w:val="en-US" w:eastAsia="zh-CN"/>
        </w:rPr>
        <w:t>Interpretation 1</w:t>
      </w:r>
      <w:r w:rsidR="00B14D97" w:rsidRPr="00392BB0">
        <w:rPr>
          <w:lang w:val="en-US" w:eastAsia="zh-CN"/>
        </w:rPr>
        <w:t>) or in the indicated BWP</w:t>
      </w:r>
      <w:r w:rsidR="00392BB0">
        <w:rPr>
          <w:lang w:val="en-US" w:eastAsia="zh-CN"/>
        </w:rPr>
        <w:t xml:space="preserve"> (Interpretation 2)</w:t>
      </w:r>
      <w:r w:rsidR="00B14D97" w:rsidRPr="00392BB0">
        <w:rPr>
          <w:lang w:val="en-US" w:eastAsia="zh-CN"/>
        </w:rPr>
        <w:t>.</w:t>
      </w:r>
      <w:r w:rsidR="00B14D97">
        <w:rPr>
          <w:lang w:val="en-US" w:eastAsia="zh-CN"/>
        </w:rPr>
        <w:t xml:space="preserve"> </w:t>
      </w:r>
    </w:p>
    <w:p w14:paraId="2241504D" w14:textId="768F1691" w:rsidR="00112C80" w:rsidRDefault="00392BB0" w:rsidP="00685F52">
      <w:pPr>
        <w:rPr>
          <w:lang w:val="en-US" w:eastAsia="zh-CN"/>
        </w:rPr>
      </w:pPr>
      <w:r>
        <w:rPr>
          <w:lang w:val="en-US" w:eastAsia="zh-CN"/>
        </w:rPr>
        <w:t xml:space="preserve">As noted by some companies and the Moderator in the FL summary </w:t>
      </w:r>
      <w:r w:rsidR="00AF6D3C">
        <w:rPr>
          <w:lang w:val="en-US" w:eastAsia="zh-CN"/>
        </w:rPr>
        <w:t>[</w:t>
      </w:r>
      <w:r w:rsidR="002D7002">
        <w:rPr>
          <w:lang w:val="en-US" w:eastAsia="zh-CN"/>
        </w:rPr>
        <w:t>1</w:t>
      </w:r>
      <w:r w:rsidR="00AF6D3C">
        <w:rPr>
          <w:lang w:val="en-US" w:eastAsia="zh-CN"/>
        </w:rPr>
        <w:t>]</w:t>
      </w:r>
      <w:r>
        <w:rPr>
          <w:lang w:val="en-US" w:eastAsia="zh-CN"/>
        </w:rPr>
        <w:t xml:space="preserve">, not only are such interpretations related to that </w:t>
      </w:r>
      <w:r w:rsidR="00AF6D3C">
        <w:rPr>
          <w:lang w:val="en-US" w:eastAsia="zh-CN"/>
        </w:rPr>
        <w:t xml:space="preserve">Rel-17 </w:t>
      </w:r>
      <w:r w:rsidR="00D06411">
        <w:rPr>
          <w:lang w:val="en-US" w:eastAsia="zh-CN"/>
        </w:rPr>
        <w:t xml:space="preserve">multi-PUSCH scheduling </w:t>
      </w:r>
      <w:r>
        <w:rPr>
          <w:lang w:val="en-US" w:eastAsia="zh-CN"/>
        </w:rPr>
        <w:t>case</w:t>
      </w:r>
      <w:r w:rsidR="00D06411">
        <w:rPr>
          <w:lang w:val="en-US" w:eastAsia="zh-CN"/>
        </w:rPr>
        <w:t xml:space="preserve">, but </w:t>
      </w:r>
      <w:proofErr w:type="gramStart"/>
      <w:r w:rsidR="00D06411">
        <w:rPr>
          <w:lang w:val="en-US" w:eastAsia="zh-CN"/>
        </w:rPr>
        <w:t>also</w:t>
      </w:r>
      <w:proofErr w:type="gramEnd"/>
      <w:r w:rsidR="00D06411">
        <w:rPr>
          <w:lang w:val="en-US" w:eastAsia="zh-CN"/>
        </w:rPr>
        <w:t xml:space="preserve"> they are related to multi-PUSCH scheduling in Rel-16, DCI size and DCI field length determinations, as well </w:t>
      </w:r>
      <w:r w:rsidR="00AF6D3C">
        <w:rPr>
          <w:lang w:val="en-US" w:eastAsia="zh-CN"/>
        </w:rPr>
        <w:t xml:space="preserve">as </w:t>
      </w:r>
      <w:r w:rsidR="00D06411">
        <w:rPr>
          <w:lang w:val="en-US" w:eastAsia="zh-CN"/>
        </w:rPr>
        <w:t>inter-cell scheduling. The</w:t>
      </w:r>
      <w:r w:rsidR="00AF6D3C">
        <w:rPr>
          <w:lang w:val="en-US" w:eastAsia="zh-CN"/>
        </w:rPr>
        <w:t>refore, in this contribution,</w:t>
      </w:r>
      <w:r w:rsidR="00936B72">
        <w:rPr>
          <w:lang w:val="en-US" w:eastAsia="zh-CN"/>
        </w:rPr>
        <w:t xml:space="preserve"> we provide some further insights and clarifications aim</w:t>
      </w:r>
      <w:r w:rsidR="00AF6D3C">
        <w:rPr>
          <w:lang w:val="en-US" w:eastAsia="zh-CN"/>
        </w:rPr>
        <w:t>ing</w:t>
      </w:r>
      <w:r w:rsidR="00936B72">
        <w:rPr>
          <w:lang w:val="en-US" w:eastAsia="zh-CN"/>
        </w:rPr>
        <w:t xml:space="preserve"> at </w:t>
      </w:r>
      <w:r w:rsidR="00AF6D3C">
        <w:rPr>
          <w:lang w:val="en-US" w:eastAsia="zh-CN"/>
        </w:rPr>
        <w:t>aligning the understanding in the group.</w:t>
      </w:r>
    </w:p>
    <w:p w14:paraId="1E839DAC" w14:textId="77777777" w:rsidR="008E5D9D" w:rsidRDefault="008E5D9D" w:rsidP="00CF67C7">
      <w:pPr>
        <w:rPr>
          <w:lang w:eastAsia="zh-CN"/>
        </w:rPr>
      </w:pPr>
    </w:p>
    <w:p w14:paraId="5D1E49CC" w14:textId="3B12751E" w:rsidR="00096D50" w:rsidRDefault="008E5D9D" w:rsidP="00726B82">
      <w:pPr>
        <w:pStyle w:val="1"/>
        <w:tabs>
          <w:tab w:val="clear" w:pos="4827"/>
        </w:tabs>
        <w:ind w:left="426" w:hanging="426"/>
        <w:rPr>
          <w:lang w:eastAsia="zh-CN"/>
        </w:rPr>
      </w:pPr>
      <w:r>
        <w:rPr>
          <w:lang w:eastAsia="zh-CN"/>
        </w:rPr>
        <w:t>Discussion</w:t>
      </w:r>
    </w:p>
    <w:p w14:paraId="68B6D686" w14:textId="59A5EFC8" w:rsidR="004B7A9A" w:rsidRDefault="004B7A9A" w:rsidP="004B7A9A">
      <w:pPr>
        <w:rPr>
          <w:lang w:val="en-US" w:eastAsia="zh-CN"/>
        </w:rPr>
      </w:pPr>
      <w:r>
        <w:rPr>
          <w:rFonts w:ascii="Times" w:eastAsia="宋体" w:hAnsi="Times" w:cs="Times"/>
          <w:lang w:val="en-US" w:eastAsia="ko-KR"/>
        </w:rPr>
        <w:t xml:space="preserve">For a </w:t>
      </w:r>
      <w:r w:rsidRPr="009573CA">
        <w:rPr>
          <w:rFonts w:ascii="Times" w:eastAsia="宋体" w:hAnsi="Times" w:cs="Times"/>
          <w:lang w:val="en-US" w:eastAsia="ko-KR"/>
        </w:rPr>
        <w:t xml:space="preserve">UE </w:t>
      </w:r>
      <w:r>
        <w:rPr>
          <w:rFonts w:ascii="Times" w:eastAsia="宋体" w:hAnsi="Times" w:cs="Times"/>
          <w:lang w:val="en-US" w:eastAsia="ko-KR"/>
        </w:rPr>
        <w:t xml:space="preserve">that </w:t>
      </w:r>
      <w:r w:rsidRPr="009573CA">
        <w:rPr>
          <w:rFonts w:ascii="Times" w:eastAsia="宋体" w:hAnsi="Times" w:cs="Times"/>
          <w:lang w:val="en-US" w:eastAsia="ko-KR"/>
        </w:rPr>
        <w:t>is configured with CBG transmission for a serving cell</w:t>
      </w:r>
      <w:r>
        <w:rPr>
          <w:rFonts w:ascii="Times" w:eastAsia="宋体" w:hAnsi="Times" w:cs="Times"/>
          <w:lang w:val="en-US" w:eastAsia="ko-KR"/>
        </w:rPr>
        <w:t>,</w:t>
      </w:r>
      <w:r>
        <w:rPr>
          <w:lang w:eastAsia="zh-CN"/>
        </w:rPr>
        <w:t xml:space="preserve"> RAN1 </w:t>
      </w:r>
      <w:r>
        <w:rPr>
          <w:rFonts w:hint="eastAsia"/>
          <w:lang w:eastAsia="zh-CN"/>
        </w:rPr>
        <w:t xml:space="preserve">considered </w:t>
      </w:r>
      <w:r w:rsidRPr="009573CA">
        <w:rPr>
          <w:lang w:val="en-US" w:eastAsia="zh-CN"/>
        </w:rPr>
        <w:t xml:space="preserve">the issue of CBGTI </w:t>
      </w:r>
      <w:r>
        <w:rPr>
          <w:lang w:val="en-US" w:eastAsia="zh-CN"/>
        </w:rPr>
        <w:t xml:space="preserve">field presence </w:t>
      </w:r>
      <w:r w:rsidRPr="009573CA">
        <w:rPr>
          <w:lang w:val="en-US" w:eastAsia="zh-CN"/>
        </w:rPr>
        <w:t xml:space="preserve">in </w:t>
      </w:r>
      <w:r>
        <w:rPr>
          <w:lang w:val="en-US" w:eastAsia="zh-CN"/>
        </w:rPr>
        <w:t xml:space="preserve">a multi-PUSCH </w:t>
      </w:r>
      <w:r w:rsidRPr="009573CA">
        <w:rPr>
          <w:lang w:val="en-US" w:eastAsia="zh-CN"/>
        </w:rPr>
        <w:t>scheduling DCI with BWP switching</w:t>
      </w:r>
      <w:r>
        <w:rPr>
          <w:lang w:val="en-US" w:eastAsia="zh-CN"/>
        </w:rPr>
        <w:t xml:space="preserve"> indicated. The following three alternatives were </w:t>
      </w:r>
      <w:r w:rsidR="001554A6">
        <w:rPr>
          <w:lang w:val="en-US" w:eastAsia="zh-CN"/>
        </w:rPr>
        <w:t xml:space="preserve">thoroughly </w:t>
      </w:r>
      <w:r>
        <w:rPr>
          <w:lang w:val="en-US" w:eastAsia="zh-CN"/>
        </w:rPr>
        <w:t>discussed</w:t>
      </w:r>
      <w:r w:rsidR="001554A6">
        <w:rPr>
          <w:lang w:val="en-US" w:eastAsia="zh-CN"/>
        </w:rPr>
        <w:t xml:space="preserve"> [1]</w:t>
      </w:r>
      <w:r>
        <w:rPr>
          <w:lang w:val="en-US" w:eastAsia="zh-CN"/>
        </w:rPr>
        <w:t xml:space="preserve">  </w:t>
      </w:r>
    </w:p>
    <w:p w14:paraId="1AA58E2C" w14:textId="77777777" w:rsidR="001554A6" w:rsidRPr="009573CA" w:rsidRDefault="001554A6" w:rsidP="001554A6">
      <w:pPr>
        <w:widowControl/>
        <w:autoSpaceDE/>
        <w:autoSpaceDN/>
        <w:adjustRightInd/>
        <w:spacing w:after="0"/>
        <w:rPr>
          <w:rFonts w:ascii="Calibri" w:eastAsia="宋体" w:hAnsi="Calibri" w:cs="Calibri"/>
          <w:color w:val="1F497D"/>
          <w:lang w:val="en-US" w:eastAsia="zh-CN"/>
        </w:rPr>
      </w:pPr>
    </w:p>
    <w:tbl>
      <w:tblPr>
        <w:tblW w:w="0" w:type="auto"/>
        <w:tblCellMar>
          <w:left w:w="0" w:type="dxa"/>
          <w:right w:w="0" w:type="dxa"/>
        </w:tblCellMar>
        <w:tblLook w:val="04A0" w:firstRow="1" w:lastRow="0" w:firstColumn="1" w:lastColumn="0" w:noHBand="0" w:noVBand="1"/>
      </w:tblPr>
      <w:tblGrid>
        <w:gridCol w:w="9296"/>
      </w:tblGrid>
      <w:tr w:rsidR="001554A6" w:rsidRPr="009573CA" w14:paraId="592819BF" w14:textId="77777777" w:rsidTr="00AE53A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BEA00" w14:textId="77777777" w:rsidR="001554A6" w:rsidRPr="009573CA" w:rsidRDefault="001554A6" w:rsidP="00AE53A7">
            <w:pPr>
              <w:widowControl/>
              <w:numPr>
                <w:ilvl w:val="0"/>
                <w:numId w:val="25"/>
              </w:numPr>
              <w:autoSpaceDE/>
              <w:autoSpaceDN/>
              <w:adjustRightInd/>
              <w:spacing w:after="0"/>
              <w:ind w:left="400" w:hanging="400"/>
              <w:rPr>
                <w:rFonts w:ascii="Times" w:eastAsia="宋体" w:hAnsi="Times" w:cs="Times"/>
                <w:sz w:val="20"/>
                <w:szCs w:val="20"/>
                <w:lang w:val="en-US" w:eastAsia="ko-KR"/>
              </w:rPr>
            </w:pPr>
            <w:r w:rsidRPr="009573CA">
              <w:rPr>
                <w:rFonts w:ascii="Times" w:eastAsia="宋体" w:hAnsi="Times" w:cs="Times"/>
                <w:b/>
                <w:bCs/>
                <w:sz w:val="20"/>
                <w:szCs w:val="20"/>
                <w:lang w:val="en-US" w:eastAsia="ko-KR"/>
              </w:rPr>
              <w:t>Alt 1 (No spec impact):</w:t>
            </w:r>
            <w:r w:rsidRPr="009573CA">
              <w:rPr>
                <w:rFonts w:ascii="Times" w:eastAsia="宋体" w:hAnsi="Times" w:cs="Times"/>
                <w:sz w:val="20"/>
                <w:szCs w:val="20"/>
                <w:lang w:val="en-US" w:eastAsia="ko-KR"/>
              </w:rPr>
              <w:t xml:space="preserve"> If a UE is configured with CBG transmission for a serving cell, the </w:t>
            </w:r>
            <w:r w:rsidRPr="009573CA">
              <w:rPr>
                <w:rFonts w:ascii="Times" w:eastAsia="宋体" w:hAnsi="Times" w:cs="Times"/>
                <w:b/>
                <w:bCs/>
                <w:sz w:val="20"/>
                <w:szCs w:val="20"/>
                <w:lang w:val="en-US" w:eastAsia="ko-KR"/>
              </w:rPr>
              <w:t xml:space="preserve">UE expects (or </w:t>
            </w:r>
            <w:proofErr w:type="spellStart"/>
            <w:r w:rsidRPr="009573CA">
              <w:rPr>
                <w:rFonts w:ascii="Times" w:eastAsia="宋体" w:hAnsi="Times" w:cs="Times"/>
                <w:b/>
                <w:bCs/>
                <w:sz w:val="20"/>
                <w:szCs w:val="20"/>
                <w:lang w:val="en-US" w:eastAsia="ko-KR"/>
              </w:rPr>
              <w:t>gNB</w:t>
            </w:r>
            <w:proofErr w:type="spellEnd"/>
            <w:r w:rsidRPr="009573CA">
              <w:rPr>
                <w:rFonts w:ascii="Times" w:eastAsia="宋体" w:hAnsi="Times" w:cs="Times"/>
                <w:b/>
                <w:bCs/>
                <w:sz w:val="20"/>
                <w:szCs w:val="20"/>
                <w:lang w:val="en-US" w:eastAsia="ko-KR"/>
              </w:rPr>
              <w:t xml:space="preserve"> ensures)</w:t>
            </w:r>
            <w:r w:rsidRPr="009573CA">
              <w:rPr>
                <w:rFonts w:ascii="Times" w:eastAsia="宋体" w:hAnsi="Times" w:cs="Times"/>
                <w:sz w:val="20"/>
                <w:szCs w:val="20"/>
                <w:lang w:val="en-US" w:eastAsia="ko-KR"/>
              </w:rPr>
              <w:t xml:space="preserve"> that CBGTI field in multi-PUSCH scheduling DCI is always present when BWP switching is indicated for the serving cell and the number of scheduled PUSCH indicated by TDRA field for the indicated bandwidth part is equal to 1.</w:t>
            </w:r>
          </w:p>
          <w:p w14:paraId="675CEECB" w14:textId="77777777" w:rsidR="001554A6" w:rsidRPr="009573CA" w:rsidRDefault="001554A6" w:rsidP="00AE53A7">
            <w:pPr>
              <w:widowControl/>
              <w:numPr>
                <w:ilvl w:val="1"/>
                <w:numId w:val="25"/>
              </w:numPr>
              <w:autoSpaceDE/>
              <w:autoSpaceDN/>
              <w:adjustRightInd/>
              <w:spacing w:after="0"/>
              <w:rPr>
                <w:rFonts w:ascii="Times" w:eastAsia="宋体" w:hAnsi="Times" w:cs="Times"/>
                <w:sz w:val="20"/>
                <w:szCs w:val="20"/>
                <w:lang w:val="en-US" w:eastAsia="ko-KR"/>
              </w:rPr>
            </w:pPr>
            <w:r w:rsidRPr="009573CA">
              <w:rPr>
                <w:rFonts w:ascii="Times" w:eastAsia="宋体" w:hAnsi="Times" w:cs="Times"/>
                <w:sz w:val="20"/>
                <w:szCs w:val="20"/>
                <w:lang w:val="en-US" w:eastAsia="ko-KR"/>
              </w:rPr>
              <w:t>Note: Alt 1 has nothing to do with Interpretation 1 or 2.</w:t>
            </w:r>
          </w:p>
          <w:p w14:paraId="7341D80E" w14:textId="77777777" w:rsidR="001554A6" w:rsidRPr="009573CA" w:rsidRDefault="001554A6" w:rsidP="00AE53A7">
            <w:pPr>
              <w:widowControl/>
              <w:autoSpaceDE/>
              <w:autoSpaceDN/>
              <w:adjustRightInd/>
              <w:spacing w:after="0"/>
              <w:rPr>
                <w:rFonts w:ascii="Calibri" w:eastAsia="宋体" w:hAnsi="Calibri" w:cs="Calibri"/>
                <w:sz w:val="20"/>
                <w:szCs w:val="20"/>
                <w:lang w:val="en-US" w:eastAsia="ko-KR"/>
              </w:rPr>
            </w:pPr>
          </w:p>
          <w:p w14:paraId="400A8A05" w14:textId="77777777" w:rsidR="001554A6" w:rsidRPr="009573CA" w:rsidRDefault="001554A6" w:rsidP="00AE53A7">
            <w:pPr>
              <w:widowControl/>
              <w:numPr>
                <w:ilvl w:val="0"/>
                <w:numId w:val="25"/>
              </w:numPr>
              <w:autoSpaceDE/>
              <w:autoSpaceDN/>
              <w:adjustRightInd/>
              <w:spacing w:after="0"/>
              <w:ind w:left="400" w:hanging="400"/>
              <w:rPr>
                <w:rFonts w:ascii="Times" w:eastAsia="宋体" w:hAnsi="Times" w:cs="Times"/>
                <w:sz w:val="20"/>
                <w:szCs w:val="20"/>
                <w:lang w:val="en-US" w:eastAsia="ko-KR"/>
              </w:rPr>
            </w:pPr>
            <w:r w:rsidRPr="009573CA">
              <w:rPr>
                <w:rFonts w:ascii="Times" w:eastAsia="宋体" w:hAnsi="Times" w:cs="Times"/>
                <w:b/>
                <w:bCs/>
                <w:sz w:val="20"/>
                <w:szCs w:val="20"/>
                <w:lang w:val="en-US" w:eastAsia="ko-KR"/>
              </w:rPr>
              <w:t xml:space="preserve">Alt 2 (Samsung’s proposal in </w:t>
            </w:r>
            <w:r w:rsidRPr="009573CA">
              <w:rPr>
                <w:rFonts w:ascii="Times" w:eastAsia="宋体" w:hAnsi="Times" w:cs="Times"/>
                <w:b/>
                <w:bCs/>
                <w:sz w:val="20"/>
                <w:szCs w:val="20"/>
                <w:lang w:eastAsia="ko-KR"/>
              </w:rPr>
              <w:t>R1-2303105</w:t>
            </w:r>
            <w:r w:rsidRPr="009573CA">
              <w:rPr>
                <w:rFonts w:ascii="Times" w:eastAsia="宋体" w:hAnsi="Times" w:cs="Times"/>
                <w:b/>
                <w:bCs/>
                <w:sz w:val="20"/>
                <w:szCs w:val="20"/>
                <w:lang w:val="en-US" w:eastAsia="ko-KR"/>
              </w:rPr>
              <w:t>):</w:t>
            </w:r>
            <w:r w:rsidRPr="009573CA">
              <w:rPr>
                <w:rFonts w:ascii="Times" w:eastAsia="宋体" w:hAnsi="Times" w:cs="Times"/>
                <w:sz w:val="20"/>
                <w:szCs w:val="20"/>
                <w:lang w:val="en-US" w:eastAsia="ko-KR"/>
              </w:rPr>
              <w:t xml:space="preserve"> If a UE is configured with CBG transmission for a serving cell, </w:t>
            </w:r>
            <w:r w:rsidRPr="009573CA">
              <w:rPr>
                <w:rFonts w:ascii="Times" w:eastAsia="宋体" w:hAnsi="Times" w:cs="Times"/>
                <w:sz w:val="20"/>
                <w:szCs w:val="20"/>
                <w:lang w:eastAsia="ko-KR"/>
              </w:rPr>
              <w:t>the UE assumes all CBGs in the scheduled PUSCH are scheduled</w:t>
            </w:r>
            <w:r w:rsidRPr="009573CA">
              <w:rPr>
                <w:rFonts w:ascii="Times" w:eastAsia="宋体" w:hAnsi="Times" w:cs="Times"/>
                <w:sz w:val="20"/>
                <w:szCs w:val="20"/>
                <w:lang w:val="en-US" w:eastAsia="ko-KR"/>
              </w:rPr>
              <w:t xml:space="preserve"> when BWP switching is indicated for the serving cell, </w:t>
            </w:r>
            <w:r w:rsidRPr="009573CA">
              <w:rPr>
                <w:rFonts w:ascii="Times" w:eastAsia="宋体" w:hAnsi="Times" w:cs="Times"/>
                <w:sz w:val="20"/>
                <w:szCs w:val="20"/>
                <w:lang w:eastAsia="ko-KR"/>
              </w:rPr>
              <w:t xml:space="preserve">CBGTI field </w:t>
            </w:r>
            <w:r w:rsidRPr="009573CA">
              <w:rPr>
                <w:rFonts w:ascii="Times" w:eastAsia="宋体" w:hAnsi="Times" w:cs="Times"/>
                <w:sz w:val="20"/>
                <w:szCs w:val="20"/>
                <w:lang w:val="en-US" w:eastAsia="ko-KR"/>
              </w:rPr>
              <w:t xml:space="preserve">in multi-PUSCH scheduling DCI </w:t>
            </w:r>
            <w:r w:rsidRPr="009573CA">
              <w:rPr>
                <w:rFonts w:ascii="Times" w:eastAsia="宋体" w:hAnsi="Times" w:cs="Times"/>
                <w:sz w:val="20"/>
                <w:szCs w:val="20"/>
                <w:lang w:eastAsia="ko-KR"/>
              </w:rPr>
              <w:t>is 0 bit,</w:t>
            </w:r>
            <w:r w:rsidRPr="009573CA">
              <w:rPr>
                <w:rFonts w:ascii="Times" w:eastAsia="宋体" w:hAnsi="Times" w:cs="Times"/>
                <w:sz w:val="20"/>
                <w:szCs w:val="20"/>
                <w:lang w:val="en-US" w:eastAsia="ko-KR"/>
              </w:rPr>
              <w:t xml:space="preserve"> and the number of scheduled PUSCH indicated by TDRA field for the indicated bandwidth part is equal to 1.</w:t>
            </w:r>
          </w:p>
          <w:p w14:paraId="6F5DC23F" w14:textId="77777777" w:rsidR="001554A6" w:rsidRPr="009573CA" w:rsidRDefault="001554A6" w:rsidP="00AE53A7">
            <w:pPr>
              <w:widowControl/>
              <w:numPr>
                <w:ilvl w:val="1"/>
                <w:numId w:val="25"/>
              </w:numPr>
              <w:autoSpaceDE/>
              <w:autoSpaceDN/>
              <w:adjustRightInd/>
              <w:spacing w:after="0"/>
              <w:rPr>
                <w:rFonts w:ascii="Times" w:eastAsia="宋体" w:hAnsi="Times" w:cs="Times"/>
                <w:sz w:val="20"/>
                <w:szCs w:val="20"/>
                <w:lang w:val="en-US" w:eastAsia="ko-KR"/>
              </w:rPr>
            </w:pPr>
            <w:r w:rsidRPr="009573CA">
              <w:rPr>
                <w:rFonts w:ascii="Times" w:eastAsia="宋体" w:hAnsi="Times" w:cs="Times"/>
                <w:sz w:val="20"/>
                <w:szCs w:val="20"/>
                <w:lang w:val="en-US" w:eastAsia="ko-KR"/>
              </w:rPr>
              <w:t xml:space="preserve">Note: Alt 2 is based on Interpretation 1 (i.e., </w:t>
            </w:r>
            <w:r w:rsidRPr="009573CA">
              <w:rPr>
                <w:rFonts w:ascii="Times" w:eastAsia="宋体" w:hAnsi="Times" w:cs="Times"/>
                <w:sz w:val="20"/>
                <w:szCs w:val="20"/>
                <w:lang w:eastAsia="ko-KR"/>
              </w:rPr>
              <w:t>PUSCH indicated by the Time domain resource assignment field</w:t>
            </w:r>
            <w:r w:rsidRPr="009573CA">
              <w:rPr>
                <w:rFonts w:ascii="Times" w:eastAsia="宋体" w:hAnsi="Times" w:cs="Times"/>
                <w:sz w:val="20"/>
                <w:szCs w:val="20"/>
                <w:lang w:val="en-US" w:eastAsia="ko-KR"/>
              </w:rPr>
              <w:t xml:space="preserve"> in UL grant implies PUSCH in </w:t>
            </w:r>
            <w:r w:rsidRPr="009573CA">
              <w:rPr>
                <w:rFonts w:ascii="Times" w:eastAsia="宋体" w:hAnsi="Times" w:cs="Times"/>
                <w:b/>
                <w:bCs/>
                <w:sz w:val="20"/>
                <w:szCs w:val="20"/>
                <w:lang w:val="en-US" w:eastAsia="ko-KR"/>
              </w:rPr>
              <w:t>the active bandwidth part</w:t>
            </w:r>
            <w:r w:rsidRPr="009573CA">
              <w:rPr>
                <w:rFonts w:ascii="Times" w:eastAsia="宋体" w:hAnsi="Times" w:cs="Times"/>
                <w:sz w:val="20"/>
                <w:szCs w:val="20"/>
                <w:lang w:val="en-US" w:eastAsia="ko-KR"/>
              </w:rPr>
              <w:t>)</w:t>
            </w:r>
          </w:p>
          <w:p w14:paraId="7AF1E252" w14:textId="77777777" w:rsidR="001554A6" w:rsidRPr="009573CA" w:rsidRDefault="001554A6" w:rsidP="00AE53A7">
            <w:pPr>
              <w:widowControl/>
              <w:autoSpaceDE/>
              <w:autoSpaceDN/>
              <w:adjustRightInd/>
              <w:spacing w:after="0"/>
              <w:rPr>
                <w:rFonts w:ascii="Calibri" w:eastAsia="宋体" w:hAnsi="Calibri" w:cs="Calibri"/>
                <w:sz w:val="20"/>
                <w:szCs w:val="20"/>
                <w:lang w:val="en-US" w:eastAsia="ko-KR"/>
              </w:rPr>
            </w:pPr>
          </w:p>
          <w:p w14:paraId="2C84524F" w14:textId="77777777" w:rsidR="001554A6" w:rsidRPr="009573CA" w:rsidRDefault="001554A6" w:rsidP="00AE53A7">
            <w:pPr>
              <w:widowControl/>
              <w:numPr>
                <w:ilvl w:val="0"/>
                <w:numId w:val="25"/>
              </w:numPr>
              <w:autoSpaceDE/>
              <w:autoSpaceDN/>
              <w:adjustRightInd/>
              <w:spacing w:after="0"/>
              <w:ind w:left="400" w:hanging="400"/>
              <w:rPr>
                <w:rFonts w:ascii="Times" w:eastAsia="宋体" w:hAnsi="Times" w:cs="Times"/>
                <w:b/>
                <w:bCs/>
                <w:sz w:val="20"/>
                <w:szCs w:val="20"/>
                <w:lang w:val="en-US" w:eastAsia="ko-KR"/>
              </w:rPr>
            </w:pPr>
            <w:r w:rsidRPr="009573CA">
              <w:rPr>
                <w:rFonts w:ascii="Times" w:eastAsia="宋体" w:hAnsi="Times" w:cs="Times"/>
                <w:b/>
                <w:bCs/>
                <w:sz w:val="20"/>
                <w:szCs w:val="20"/>
                <w:lang w:val="en-US" w:eastAsia="ko-KR"/>
              </w:rPr>
              <w:t xml:space="preserve">Alt 3 (No spec impact): </w:t>
            </w:r>
            <w:r w:rsidRPr="009573CA">
              <w:rPr>
                <w:rFonts w:ascii="Times" w:eastAsia="宋体" w:hAnsi="Times" w:cs="Times"/>
                <w:bCs/>
                <w:sz w:val="20"/>
                <w:szCs w:val="20"/>
                <w:lang w:val="en-US" w:eastAsia="ko-KR"/>
              </w:rPr>
              <w:t>The UE determines whether a UL grant schedules single PUSCH or multiple PUSCHs based on TDRA field information for the indicated bandwidth part, when BWP switching is indicated by the UL grant.</w:t>
            </w:r>
          </w:p>
          <w:p w14:paraId="6B56778A" w14:textId="77777777" w:rsidR="001554A6" w:rsidRPr="009573CA" w:rsidRDefault="001554A6" w:rsidP="00AE53A7">
            <w:pPr>
              <w:widowControl/>
              <w:numPr>
                <w:ilvl w:val="1"/>
                <w:numId w:val="25"/>
              </w:numPr>
              <w:autoSpaceDE/>
              <w:autoSpaceDN/>
              <w:adjustRightInd/>
              <w:spacing w:after="0"/>
              <w:rPr>
                <w:rFonts w:ascii="Times" w:eastAsia="宋体" w:hAnsi="Times" w:cs="Times"/>
                <w:sz w:val="20"/>
                <w:szCs w:val="20"/>
                <w:lang w:val="en-US" w:eastAsia="ko-KR"/>
              </w:rPr>
            </w:pPr>
            <w:r w:rsidRPr="009573CA">
              <w:rPr>
                <w:rFonts w:ascii="Times" w:eastAsia="宋体" w:hAnsi="Times" w:cs="Times"/>
                <w:sz w:val="20"/>
                <w:szCs w:val="20"/>
                <w:lang w:val="en-US" w:eastAsia="ko-KR"/>
              </w:rPr>
              <w:t xml:space="preserve">Note: Alt 3 is based on Interpretation 2 (i.e., </w:t>
            </w:r>
            <w:r w:rsidRPr="009573CA">
              <w:rPr>
                <w:rFonts w:ascii="Times" w:eastAsia="宋体" w:hAnsi="Times" w:cs="Times"/>
                <w:sz w:val="20"/>
                <w:szCs w:val="20"/>
                <w:lang w:eastAsia="ko-KR"/>
              </w:rPr>
              <w:t xml:space="preserve">PUSCH indicated by the Time domain resource assignment field </w:t>
            </w:r>
            <w:r w:rsidRPr="009573CA">
              <w:rPr>
                <w:rFonts w:ascii="Times" w:eastAsia="宋体" w:hAnsi="Times" w:cs="Times"/>
                <w:sz w:val="20"/>
                <w:szCs w:val="20"/>
                <w:lang w:val="en-US" w:eastAsia="ko-KR"/>
              </w:rPr>
              <w:t xml:space="preserve">in UL grant implies PUSCH in </w:t>
            </w:r>
            <w:r w:rsidRPr="009573CA">
              <w:rPr>
                <w:rFonts w:ascii="Times" w:eastAsia="宋体" w:hAnsi="Times" w:cs="Times"/>
                <w:b/>
                <w:bCs/>
                <w:sz w:val="20"/>
                <w:szCs w:val="20"/>
                <w:lang w:val="en-US" w:eastAsia="ko-KR"/>
              </w:rPr>
              <w:t>the indicated bandwidth part</w:t>
            </w:r>
            <w:r w:rsidRPr="009573CA">
              <w:rPr>
                <w:rFonts w:ascii="Times" w:eastAsia="宋体" w:hAnsi="Times" w:cs="Times"/>
                <w:sz w:val="20"/>
                <w:szCs w:val="20"/>
                <w:lang w:val="en-US" w:eastAsia="ko-KR"/>
              </w:rPr>
              <w:t>)</w:t>
            </w:r>
          </w:p>
          <w:p w14:paraId="6F34D6FA" w14:textId="77777777" w:rsidR="001554A6" w:rsidRPr="009573CA" w:rsidRDefault="001554A6" w:rsidP="00AE53A7">
            <w:pPr>
              <w:widowControl/>
              <w:autoSpaceDE/>
              <w:autoSpaceDN/>
              <w:adjustRightInd/>
              <w:spacing w:after="0"/>
              <w:rPr>
                <w:rFonts w:ascii="Calibri" w:eastAsia="宋体" w:hAnsi="Calibri" w:cs="Calibri"/>
                <w:color w:val="1F497D"/>
                <w:lang w:val="en-US" w:eastAsia="zh-CN"/>
              </w:rPr>
            </w:pPr>
          </w:p>
        </w:tc>
      </w:tr>
    </w:tbl>
    <w:p w14:paraId="7270A800" w14:textId="77777777" w:rsidR="001554A6" w:rsidRPr="009573CA" w:rsidRDefault="001554A6" w:rsidP="001554A6">
      <w:pPr>
        <w:widowControl/>
        <w:autoSpaceDE/>
        <w:autoSpaceDN/>
        <w:adjustRightInd/>
        <w:spacing w:after="0"/>
        <w:rPr>
          <w:rFonts w:ascii="Calibri" w:eastAsia="宋体" w:hAnsi="Calibri" w:cs="Calibri"/>
          <w:color w:val="1F497D"/>
          <w:lang w:val="en-US" w:eastAsia="zh-CN"/>
        </w:rPr>
      </w:pPr>
    </w:p>
    <w:p w14:paraId="66E9EC41" w14:textId="77777777" w:rsidR="001554A6" w:rsidRPr="009573CA" w:rsidRDefault="001554A6" w:rsidP="001554A6">
      <w:pPr>
        <w:widowControl/>
        <w:autoSpaceDE/>
        <w:autoSpaceDN/>
        <w:adjustRightInd/>
        <w:spacing w:after="0"/>
        <w:rPr>
          <w:rFonts w:ascii="Calibri" w:eastAsia="宋体" w:hAnsi="Calibri" w:cs="Calibri"/>
          <w:color w:val="1F497D"/>
          <w:lang w:val="en-US" w:eastAsia="zh-CN"/>
        </w:rPr>
      </w:pPr>
    </w:p>
    <w:p w14:paraId="3BBA0528" w14:textId="0A2AC2C4" w:rsidR="004B7A9A" w:rsidRDefault="001554A6" w:rsidP="004B7A9A">
      <w:pPr>
        <w:rPr>
          <w:lang w:val="en-US" w:eastAsia="zh-CN"/>
        </w:rPr>
      </w:pPr>
      <w:r>
        <w:rPr>
          <w:lang w:val="en-US" w:eastAsia="zh-CN"/>
        </w:rPr>
        <w:t>While Alt 2 assumes the CBGTI field would not be present in the multi-PUSCH scheduling DCI</w:t>
      </w:r>
      <w:r w:rsidR="00994E72">
        <w:rPr>
          <w:lang w:val="en-US" w:eastAsia="zh-CN"/>
        </w:rPr>
        <w:t xml:space="preserve"> when the BWP switching is indicated though a single PUSCH is scheduled, it is based on the understanding that TDRA implies PUSCH in the active BWP </w:t>
      </w:r>
      <w:r w:rsidR="00D02BDD">
        <w:rPr>
          <w:lang w:val="en-US" w:eastAsia="zh-CN"/>
        </w:rPr>
        <w:t xml:space="preserve">where the scheduling DCI is received </w:t>
      </w:r>
      <w:r w:rsidR="00994E72">
        <w:rPr>
          <w:lang w:val="en-US" w:eastAsia="zh-CN"/>
        </w:rPr>
        <w:t xml:space="preserve">(Interpretation 1). </w:t>
      </w:r>
      <w:r>
        <w:rPr>
          <w:lang w:val="en-US" w:eastAsia="zh-CN"/>
        </w:rPr>
        <w:t xml:space="preserve"> </w:t>
      </w:r>
      <w:r w:rsidR="00D02BDD">
        <w:rPr>
          <w:lang w:val="en-US" w:eastAsia="zh-CN"/>
        </w:rPr>
        <w:t>This assumption has implications as well on how the DCI size and the DCI fields therein are determined.</w:t>
      </w:r>
    </w:p>
    <w:p w14:paraId="0A49E869" w14:textId="7E28C8ED" w:rsidR="00D02BDD" w:rsidRDefault="00D02BDD" w:rsidP="004B7A9A">
      <w:pPr>
        <w:rPr>
          <w:lang w:val="en-US" w:eastAsia="zh-CN"/>
        </w:rPr>
      </w:pPr>
      <w:r>
        <w:rPr>
          <w:lang w:val="en-US" w:eastAsia="zh-CN"/>
        </w:rPr>
        <w:lastRenderedPageBreak/>
        <w:t xml:space="preserve">In contrast, Alt 3 assumes the CBGTI field </w:t>
      </w:r>
      <w:r w:rsidR="00A36258">
        <w:rPr>
          <w:lang w:val="en-US" w:eastAsia="zh-CN"/>
        </w:rPr>
        <w:t xml:space="preserve">presence </w:t>
      </w:r>
      <w:r>
        <w:rPr>
          <w:lang w:val="en-US" w:eastAsia="zh-CN"/>
        </w:rPr>
        <w:t xml:space="preserve">would </w:t>
      </w:r>
      <w:r w:rsidR="00A36258">
        <w:rPr>
          <w:lang w:val="en-US" w:eastAsia="zh-CN"/>
        </w:rPr>
        <w:t xml:space="preserve">depend on, and should be aligned with, the UE’s determination of whether the TDRA field implies a </w:t>
      </w:r>
      <w:r w:rsidR="00A36258" w:rsidRPr="00A36258">
        <w:rPr>
          <w:lang w:val="en-US" w:eastAsia="zh-CN"/>
        </w:rPr>
        <w:t>s</w:t>
      </w:r>
      <w:r w:rsidR="00A36258">
        <w:rPr>
          <w:lang w:val="en-US" w:eastAsia="zh-CN"/>
        </w:rPr>
        <w:t xml:space="preserve">ingle PUSCH </w:t>
      </w:r>
      <w:r w:rsidR="00A36258" w:rsidRPr="00A36258">
        <w:rPr>
          <w:lang w:val="en-US" w:eastAsia="zh-CN"/>
        </w:rPr>
        <w:t xml:space="preserve">or multiple PUSCHs </w:t>
      </w:r>
      <w:r w:rsidR="00A36258">
        <w:rPr>
          <w:lang w:val="en-US" w:eastAsia="zh-CN"/>
        </w:rPr>
        <w:t>scheduling in the indicated BWP</w:t>
      </w:r>
      <w:r>
        <w:rPr>
          <w:lang w:val="en-US" w:eastAsia="zh-CN"/>
        </w:rPr>
        <w:t xml:space="preserve"> (Interpretation</w:t>
      </w:r>
      <w:r w:rsidR="00A36258">
        <w:rPr>
          <w:lang w:val="en-US" w:eastAsia="zh-CN"/>
        </w:rPr>
        <w:t xml:space="preserve"> 2</w:t>
      </w:r>
      <w:r>
        <w:rPr>
          <w:lang w:val="en-US" w:eastAsia="zh-CN"/>
        </w:rPr>
        <w:t xml:space="preserve">).  </w:t>
      </w:r>
      <w:r w:rsidR="00A36258">
        <w:rPr>
          <w:lang w:val="en-US" w:eastAsia="zh-CN"/>
        </w:rPr>
        <w:t>That</w:t>
      </w:r>
      <w:r>
        <w:rPr>
          <w:lang w:val="en-US" w:eastAsia="zh-CN"/>
        </w:rPr>
        <w:t xml:space="preserve"> assumption </w:t>
      </w:r>
      <w:r w:rsidR="00A36258">
        <w:rPr>
          <w:lang w:val="en-US" w:eastAsia="zh-CN"/>
        </w:rPr>
        <w:t xml:space="preserve">also </w:t>
      </w:r>
      <w:r>
        <w:rPr>
          <w:lang w:val="en-US" w:eastAsia="zh-CN"/>
        </w:rPr>
        <w:t xml:space="preserve">has </w:t>
      </w:r>
      <w:r w:rsidR="00A36258">
        <w:rPr>
          <w:lang w:val="en-US" w:eastAsia="zh-CN"/>
        </w:rPr>
        <w:t xml:space="preserve">different </w:t>
      </w:r>
      <w:r>
        <w:rPr>
          <w:lang w:val="en-US" w:eastAsia="zh-CN"/>
        </w:rPr>
        <w:t>implications on how the DCI size and the DCI fields therein are determined.</w:t>
      </w:r>
    </w:p>
    <w:p w14:paraId="69EEE67D" w14:textId="23574747" w:rsidR="003709D5" w:rsidRDefault="004B7A9A" w:rsidP="004B7A9A">
      <w:pPr>
        <w:rPr>
          <w:lang w:val="en-US" w:eastAsia="zh-CN"/>
        </w:rPr>
      </w:pPr>
      <w:r>
        <w:rPr>
          <w:lang w:val="en-US" w:eastAsia="zh-CN"/>
        </w:rPr>
        <w:t>After a lengthy discussion</w:t>
      </w:r>
      <w:r w:rsidR="00A36258">
        <w:rPr>
          <w:lang w:val="en-US" w:eastAsia="zh-CN"/>
        </w:rPr>
        <w:t xml:space="preserve"> without consensus on which interpretation is the correct/intended one</w:t>
      </w:r>
      <w:r>
        <w:rPr>
          <w:lang w:val="en-US" w:eastAsia="zh-CN"/>
        </w:rPr>
        <w:t xml:space="preserve">, consensus was </w:t>
      </w:r>
      <w:r w:rsidR="003709D5">
        <w:rPr>
          <w:lang w:val="en-US" w:eastAsia="zh-CN"/>
        </w:rPr>
        <w:t xml:space="preserve">rather </w:t>
      </w:r>
      <w:r>
        <w:rPr>
          <w:lang w:val="en-US" w:eastAsia="zh-CN"/>
        </w:rPr>
        <w:t xml:space="preserve">formed around </w:t>
      </w:r>
      <w:r w:rsidR="003709D5">
        <w:rPr>
          <w:lang w:val="en-US" w:eastAsia="zh-CN"/>
        </w:rPr>
        <w:t>the</w:t>
      </w:r>
      <w:r>
        <w:rPr>
          <w:lang w:val="en-US" w:eastAsia="zh-CN"/>
        </w:rPr>
        <w:t xml:space="preserve"> solution </w:t>
      </w:r>
      <w:r w:rsidR="003709D5">
        <w:rPr>
          <w:lang w:val="en-US" w:eastAsia="zh-CN"/>
        </w:rPr>
        <w:t xml:space="preserve">of Alt 1 which </w:t>
      </w:r>
      <w:r w:rsidRPr="00112C80">
        <w:rPr>
          <w:lang w:val="en-US" w:eastAsia="zh-CN"/>
        </w:rPr>
        <w:t>adopt</w:t>
      </w:r>
      <w:r w:rsidR="003709D5">
        <w:rPr>
          <w:lang w:val="en-US" w:eastAsia="zh-CN"/>
        </w:rPr>
        <w:t>s</w:t>
      </w:r>
      <w:r w:rsidRPr="00112C80">
        <w:rPr>
          <w:lang w:val="en-US" w:eastAsia="zh-CN"/>
        </w:rPr>
        <w:t xml:space="preserve"> a scheduli</w:t>
      </w:r>
      <w:r>
        <w:rPr>
          <w:lang w:val="en-US" w:eastAsia="zh-CN"/>
        </w:rPr>
        <w:t xml:space="preserve">ng restriction to circumvent </w:t>
      </w:r>
      <w:r w:rsidR="003709D5">
        <w:rPr>
          <w:lang w:val="en-US" w:eastAsia="zh-CN"/>
        </w:rPr>
        <w:t xml:space="preserve">the occurrence </w:t>
      </w:r>
      <w:r>
        <w:rPr>
          <w:lang w:val="en-US" w:eastAsia="zh-CN"/>
        </w:rPr>
        <w:t>such case.</w:t>
      </w:r>
      <w:r w:rsidR="003709D5">
        <w:rPr>
          <w:lang w:val="en-US" w:eastAsia="zh-CN"/>
        </w:rPr>
        <w:t xml:space="preserve"> The following conclusion was thus captured in the Chairman notes [2] </w:t>
      </w:r>
      <w:r>
        <w:rPr>
          <w:lang w:val="en-US" w:eastAsia="zh-CN"/>
        </w:rPr>
        <w:t xml:space="preserve"> </w:t>
      </w:r>
    </w:p>
    <w:p w14:paraId="24247327" w14:textId="77777777" w:rsidR="003709D5" w:rsidRPr="0004042C" w:rsidRDefault="003709D5" w:rsidP="003709D5">
      <w:pPr>
        <w:widowControl/>
        <w:autoSpaceDE/>
        <w:autoSpaceDN/>
        <w:adjustRightInd/>
        <w:spacing w:after="0"/>
        <w:jc w:val="left"/>
        <w:rPr>
          <w:rFonts w:eastAsia="Batang"/>
          <w:sz w:val="20"/>
          <w:szCs w:val="20"/>
        </w:rPr>
      </w:pPr>
    </w:p>
    <w:tbl>
      <w:tblPr>
        <w:tblStyle w:val="af4"/>
        <w:tblW w:w="0" w:type="auto"/>
        <w:tblLook w:val="04A0" w:firstRow="1" w:lastRow="0" w:firstColumn="1" w:lastColumn="0" w:noHBand="0" w:noVBand="1"/>
      </w:tblPr>
      <w:tblGrid>
        <w:gridCol w:w="9306"/>
      </w:tblGrid>
      <w:tr w:rsidR="003709D5" w14:paraId="5B383A5F" w14:textId="77777777" w:rsidTr="00AE53A7">
        <w:tc>
          <w:tcPr>
            <w:tcW w:w="9306" w:type="dxa"/>
          </w:tcPr>
          <w:p w14:paraId="25625C16" w14:textId="77777777" w:rsidR="003709D5" w:rsidRPr="0004042C" w:rsidRDefault="003709D5" w:rsidP="00AE53A7">
            <w:pPr>
              <w:widowControl/>
              <w:autoSpaceDE/>
              <w:autoSpaceDN/>
              <w:adjustRightInd/>
              <w:spacing w:after="0"/>
              <w:jc w:val="left"/>
              <w:rPr>
                <w:rFonts w:eastAsia="Batang"/>
                <w:b/>
                <w:sz w:val="20"/>
                <w:szCs w:val="20"/>
              </w:rPr>
            </w:pPr>
            <w:r w:rsidRPr="0004042C">
              <w:rPr>
                <w:rFonts w:eastAsia="Batang"/>
                <w:b/>
                <w:sz w:val="20"/>
                <w:szCs w:val="20"/>
              </w:rPr>
              <w:t>Conclusion</w:t>
            </w:r>
          </w:p>
          <w:p w14:paraId="49738551" w14:textId="77777777" w:rsidR="003709D5" w:rsidRPr="0004042C" w:rsidRDefault="003709D5" w:rsidP="00AE53A7">
            <w:pPr>
              <w:widowControl/>
              <w:autoSpaceDE/>
              <w:autoSpaceDN/>
              <w:adjustRightInd/>
              <w:spacing w:after="0"/>
              <w:jc w:val="left"/>
              <w:rPr>
                <w:rFonts w:eastAsia="Batang"/>
                <w:sz w:val="20"/>
                <w:szCs w:val="20"/>
              </w:rPr>
            </w:pPr>
            <w:r w:rsidRPr="0004042C">
              <w:rPr>
                <w:rFonts w:eastAsia="Batang"/>
                <w:sz w:val="20"/>
                <w:szCs w:val="20"/>
              </w:rPr>
              <w:t xml:space="preserve">If a UE is configured with CBG transmission for a serving cell, the UE expects that CBGTI field in </w:t>
            </w:r>
            <w:r w:rsidRPr="0004042C">
              <w:rPr>
                <w:rFonts w:eastAsia="Batang"/>
                <w:sz w:val="20"/>
                <w:szCs w:val="20"/>
                <w:lang w:eastAsia="ko-KR"/>
              </w:rPr>
              <w:t xml:space="preserve">the </w:t>
            </w:r>
            <w:r w:rsidRPr="0004042C">
              <w:rPr>
                <w:rFonts w:eastAsia="Batang"/>
                <w:sz w:val="20"/>
                <w:szCs w:val="20"/>
              </w:rPr>
              <w:t>DCI (that can schedule multiple PUSCHs in the active BWP) is always present, when BWP switching is indicated for the serving cell and the number of scheduled PUSCH indicated by TDRA field for the indicated bandwidth part is equal to 1.</w:t>
            </w:r>
          </w:p>
          <w:p w14:paraId="6FCE5FA5" w14:textId="77777777" w:rsidR="003709D5" w:rsidRDefault="003709D5" w:rsidP="00AE53A7">
            <w:pPr>
              <w:widowControl/>
              <w:autoSpaceDE/>
              <w:autoSpaceDN/>
              <w:adjustRightInd/>
              <w:spacing w:after="0"/>
              <w:rPr>
                <w:rFonts w:ascii="Calibri" w:eastAsia="宋体" w:hAnsi="Calibri" w:cs="Calibri"/>
                <w:color w:val="1F497D"/>
                <w:lang w:eastAsia="zh-CN"/>
              </w:rPr>
            </w:pPr>
          </w:p>
        </w:tc>
      </w:tr>
    </w:tbl>
    <w:p w14:paraId="17242B0D" w14:textId="77777777" w:rsidR="003709D5" w:rsidRPr="0004042C" w:rsidRDefault="003709D5" w:rsidP="003709D5">
      <w:pPr>
        <w:widowControl/>
        <w:autoSpaceDE/>
        <w:autoSpaceDN/>
        <w:adjustRightInd/>
        <w:spacing w:after="0"/>
        <w:rPr>
          <w:rFonts w:ascii="Calibri" w:eastAsia="宋体" w:hAnsi="Calibri" w:cs="Calibri"/>
          <w:color w:val="1F497D"/>
          <w:lang w:eastAsia="zh-CN"/>
        </w:rPr>
      </w:pPr>
    </w:p>
    <w:p w14:paraId="0D7230D9" w14:textId="39397C23" w:rsidR="004B7A9A" w:rsidRDefault="00063392" w:rsidP="004B7A9A">
      <w:pPr>
        <w:rPr>
          <w:lang w:val="en-US" w:eastAsia="zh-CN"/>
        </w:rPr>
      </w:pPr>
      <w:r>
        <w:rPr>
          <w:lang w:val="en-US" w:eastAsia="zh-CN"/>
        </w:rPr>
        <w:t>Nonetheless</w:t>
      </w:r>
      <w:r w:rsidR="004B7A9A">
        <w:rPr>
          <w:lang w:val="en-US" w:eastAsia="zh-CN"/>
        </w:rPr>
        <w:t xml:space="preserve">, it </w:t>
      </w:r>
      <w:r>
        <w:rPr>
          <w:lang w:val="en-US" w:eastAsia="zh-CN"/>
        </w:rPr>
        <w:t>remains un</w:t>
      </w:r>
      <w:r w:rsidR="004B7A9A">
        <w:rPr>
          <w:lang w:val="en-US" w:eastAsia="zh-CN"/>
        </w:rPr>
        <w:t xml:space="preserve">clear </w:t>
      </w:r>
      <w:r>
        <w:rPr>
          <w:lang w:val="en-US" w:eastAsia="zh-CN"/>
        </w:rPr>
        <w:t xml:space="preserve">which interpretation is the correct/intended one when the DCI indicates BWP switching. As noted by some companies and the Moderator in the FL summary [1], not only are such interpretations related to that Rel-17 multi-PUSCH scheduling case, but </w:t>
      </w:r>
      <w:proofErr w:type="gramStart"/>
      <w:r>
        <w:rPr>
          <w:lang w:val="en-US" w:eastAsia="zh-CN"/>
        </w:rPr>
        <w:t>also</w:t>
      </w:r>
      <w:proofErr w:type="gramEnd"/>
      <w:r>
        <w:rPr>
          <w:lang w:val="en-US" w:eastAsia="zh-CN"/>
        </w:rPr>
        <w:t xml:space="preserve"> they are related to multi-PUSCH scheduling in Rel-16, DCI size and DCI field length determinations, as well as inter-cell scheduling. Therefore, w</w:t>
      </w:r>
      <w:r w:rsidR="00410011">
        <w:rPr>
          <w:lang w:val="en-US" w:eastAsia="zh-CN"/>
        </w:rPr>
        <w:t>e see a need to align</w:t>
      </w:r>
      <w:r>
        <w:rPr>
          <w:lang w:val="en-US" w:eastAsia="zh-CN"/>
        </w:rPr>
        <w:t xml:space="preserve"> the understanding in the group.</w:t>
      </w:r>
    </w:p>
    <w:p w14:paraId="572F0799" w14:textId="77777777" w:rsidR="00410011" w:rsidRDefault="00410011" w:rsidP="004B7A9A">
      <w:pPr>
        <w:rPr>
          <w:lang w:val="en-US" w:eastAsia="zh-CN"/>
        </w:rPr>
      </w:pPr>
      <w:r>
        <w:rPr>
          <w:lang w:val="en-US" w:eastAsia="zh-CN"/>
        </w:rPr>
        <w:t>Towards that end, we would like to share the following insights:</w:t>
      </w:r>
    </w:p>
    <w:p w14:paraId="6D5C21DB" w14:textId="4D508BC4" w:rsidR="00410011" w:rsidRDefault="00ED1C0E" w:rsidP="00410011">
      <w:pPr>
        <w:pStyle w:val="a6"/>
        <w:numPr>
          <w:ilvl w:val="0"/>
          <w:numId w:val="25"/>
        </w:numPr>
        <w:rPr>
          <w:lang w:val="en-US" w:eastAsia="zh-CN"/>
        </w:rPr>
      </w:pPr>
      <w:r>
        <w:rPr>
          <w:lang w:val="en-US" w:eastAsia="zh-CN"/>
        </w:rPr>
        <w:t xml:space="preserve">The proponents of Interpretation 2 have the understanding that at least </w:t>
      </w:r>
      <w:r w:rsidRPr="00ED1C0E">
        <w:rPr>
          <w:lang w:val="en-US" w:eastAsia="zh-CN"/>
        </w:rPr>
        <w:t>the DCI field sizes are determined based on the indicated BWP</w:t>
      </w:r>
      <w:r w:rsidR="00410011" w:rsidRPr="00410011">
        <w:rPr>
          <w:lang w:val="en-US" w:eastAsia="zh-CN"/>
        </w:rPr>
        <w:t xml:space="preserve">  </w:t>
      </w:r>
    </w:p>
    <w:p w14:paraId="74A8B757" w14:textId="77777777" w:rsidR="00ED1C0E" w:rsidRDefault="00ED1C0E" w:rsidP="00ED1C0E">
      <w:pPr>
        <w:pStyle w:val="a6"/>
        <w:numPr>
          <w:ilvl w:val="0"/>
          <w:numId w:val="25"/>
        </w:numPr>
        <w:rPr>
          <w:lang w:val="en-US" w:eastAsia="zh-CN"/>
        </w:rPr>
      </w:pPr>
      <w:r>
        <w:rPr>
          <w:lang w:val="en-US" w:eastAsia="zh-CN"/>
        </w:rPr>
        <w:t xml:space="preserve">The proponents of Interpretation 1 have the understanding that both the DCI size and the </w:t>
      </w:r>
      <w:r w:rsidRPr="00ED1C0E">
        <w:rPr>
          <w:lang w:val="en-US" w:eastAsia="zh-CN"/>
        </w:rPr>
        <w:t xml:space="preserve">DCI field sizes are determined based on the </w:t>
      </w:r>
      <w:r>
        <w:rPr>
          <w:lang w:val="en-US" w:eastAsia="zh-CN"/>
        </w:rPr>
        <w:t>active</w:t>
      </w:r>
      <w:r w:rsidRPr="00ED1C0E">
        <w:rPr>
          <w:lang w:val="en-US" w:eastAsia="zh-CN"/>
        </w:rPr>
        <w:t xml:space="preserve"> BWP</w:t>
      </w:r>
      <w:r w:rsidRPr="00410011">
        <w:rPr>
          <w:lang w:val="en-US" w:eastAsia="zh-CN"/>
        </w:rPr>
        <w:t xml:space="preserve"> </w:t>
      </w:r>
      <w:r>
        <w:rPr>
          <w:lang w:val="en-US" w:eastAsia="zh-CN"/>
        </w:rPr>
        <w:t>where the DCI is received</w:t>
      </w:r>
      <w:r w:rsidRPr="00410011">
        <w:rPr>
          <w:lang w:val="en-US" w:eastAsia="zh-CN"/>
        </w:rPr>
        <w:t xml:space="preserve"> </w:t>
      </w:r>
    </w:p>
    <w:p w14:paraId="080BD5C4" w14:textId="4F43E4C2" w:rsidR="00ED1C0E" w:rsidRPr="00ED1C0E" w:rsidRDefault="00ED1C0E" w:rsidP="00ED1C0E">
      <w:pPr>
        <w:pStyle w:val="a6"/>
        <w:numPr>
          <w:ilvl w:val="0"/>
          <w:numId w:val="25"/>
        </w:numPr>
        <w:rPr>
          <w:lang w:val="en-US" w:eastAsia="zh-CN"/>
        </w:rPr>
      </w:pPr>
      <w:r w:rsidRPr="00ED1C0E">
        <w:rPr>
          <w:lang w:val="en-US" w:eastAsia="zh-CN"/>
        </w:rPr>
        <w:t>At least one proponent of Interpretation 1 referred</w:t>
      </w:r>
      <w:r w:rsidRPr="00ED1C0E">
        <w:rPr>
          <w:rFonts w:ascii="Calibri" w:eastAsia="宋体" w:hAnsi="Calibri" w:cs="Calibri"/>
          <w:color w:val="1F497D"/>
          <w:lang w:val="en-US" w:eastAsia="zh-CN"/>
        </w:rPr>
        <w:t xml:space="preserve"> </w:t>
      </w:r>
      <w:r w:rsidRPr="00ED1C0E">
        <w:rPr>
          <w:lang w:val="en-US" w:eastAsia="zh-CN"/>
        </w:rPr>
        <w:t xml:space="preserve">to the following agreement </w:t>
      </w:r>
      <w:r>
        <w:rPr>
          <w:lang w:val="en-US" w:eastAsia="zh-CN"/>
        </w:rPr>
        <w:t xml:space="preserve">from </w:t>
      </w:r>
      <w:r w:rsidRPr="00ED1C0E">
        <w:rPr>
          <w:lang w:val="en-US" w:eastAsia="zh-CN"/>
        </w:rPr>
        <w:t>multi-</w:t>
      </w:r>
      <w:r>
        <w:rPr>
          <w:lang w:val="en-US" w:eastAsia="zh-CN"/>
        </w:rPr>
        <w:t xml:space="preserve">cell scheduling believing that </w:t>
      </w:r>
      <w:r w:rsidRPr="00ED1C0E">
        <w:rPr>
          <w:lang w:val="en-US" w:eastAsia="zh-CN"/>
        </w:rPr>
        <w:t xml:space="preserve">the same design principles </w:t>
      </w:r>
      <w:r w:rsidR="00F02282">
        <w:rPr>
          <w:lang w:val="en-US" w:eastAsia="zh-CN"/>
        </w:rPr>
        <w:t>apply</w:t>
      </w:r>
      <w:r w:rsidRPr="00ED1C0E">
        <w:rPr>
          <w:lang w:val="en-US" w:eastAsia="zh-CN"/>
        </w:rPr>
        <w:t xml:space="preserve"> for DCI field size determination</w:t>
      </w:r>
      <w:r w:rsidR="00F02282">
        <w:rPr>
          <w:lang w:val="en-US" w:eastAsia="zh-CN"/>
        </w:rPr>
        <w:t xml:space="preserve"> with BWP switching</w:t>
      </w:r>
      <w:r w:rsidRPr="00ED1C0E">
        <w:rPr>
          <w:lang w:val="en-US" w:eastAsia="zh-CN"/>
        </w:rPr>
        <w:t xml:space="preserve">: </w:t>
      </w:r>
    </w:p>
    <w:p w14:paraId="49146B70" w14:textId="77777777" w:rsidR="00ED1C0E" w:rsidRDefault="00ED1C0E" w:rsidP="00ED1C0E">
      <w:pPr>
        <w:widowControl/>
        <w:autoSpaceDE/>
        <w:autoSpaceDN/>
        <w:adjustRightInd/>
        <w:spacing w:after="0"/>
        <w:rPr>
          <w:rFonts w:ascii="Calibri" w:eastAsia="宋体" w:hAnsi="Calibri" w:cs="Calibri"/>
          <w:color w:val="1F497D"/>
          <w:lang w:val="en-US" w:eastAsia="zh-CN"/>
        </w:rPr>
      </w:pPr>
    </w:p>
    <w:tbl>
      <w:tblPr>
        <w:tblStyle w:val="af4"/>
        <w:tblW w:w="0" w:type="auto"/>
        <w:tblInd w:w="715" w:type="dxa"/>
        <w:tblLook w:val="04A0" w:firstRow="1" w:lastRow="0" w:firstColumn="1" w:lastColumn="0" w:noHBand="0" w:noVBand="1"/>
      </w:tblPr>
      <w:tblGrid>
        <w:gridCol w:w="8591"/>
      </w:tblGrid>
      <w:tr w:rsidR="00ED1C0E" w14:paraId="7914A886" w14:textId="77777777" w:rsidTr="00ED1C0E">
        <w:tc>
          <w:tcPr>
            <w:tcW w:w="8591" w:type="dxa"/>
          </w:tcPr>
          <w:p w14:paraId="2F6A7A1C" w14:textId="77777777" w:rsidR="00ED1C0E" w:rsidRPr="009573CA" w:rsidRDefault="00ED1C0E" w:rsidP="00AE53A7">
            <w:pPr>
              <w:widowControl/>
              <w:autoSpaceDE/>
              <w:autoSpaceDN/>
              <w:adjustRightInd/>
              <w:spacing w:after="0"/>
              <w:rPr>
                <w:rFonts w:ascii="Calibri" w:eastAsia="宋体" w:hAnsi="Calibri" w:cs="Calibri"/>
                <w:color w:val="1F497D"/>
                <w:lang w:val="en-US" w:eastAsia="zh-CN"/>
              </w:rPr>
            </w:pPr>
          </w:p>
          <w:p w14:paraId="22DB5685" w14:textId="77777777" w:rsidR="00ED1C0E" w:rsidRPr="009573CA" w:rsidRDefault="00ED1C0E" w:rsidP="00AE53A7">
            <w:pPr>
              <w:widowControl/>
              <w:autoSpaceDE/>
              <w:autoSpaceDN/>
              <w:adjustRightInd/>
              <w:spacing w:after="0"/>
              <w:rPr>
                <w:rFonts w:ascii="Calibri" w:eastAsia="宋体" w:hAnsi="Calibri" w:cs="Calibri"/>
                <w:b/>
                <w:bCs/>
                <w:sz w:val="21"/>
                <w:szCs w:val="21"/>
                <w:highlight w:val="green"/>
                <w:lang w:eastAsia="zh-CN"/>
              </w:rPr>
            </w:pPr>
            <w:r w:rsidRPr="009573CA">
              <w:rPr>
                <w:rFonts w:ascii="Calibri" w:eastAsia="宋体" w:hAnsi="Calibri" w:cs="Calibri"/>
                <w:b/>
                <w:bCs/>
                <w:sz w:val="21"/>
                <w:szCs w:val="21"/>
                <w:highlight w:val="green"/>
                <w:lang w:val="en-US" w:eastAsia="zh-CN"/>
              </w:rPr>
              <w:t>Agreement</w:t>
            </w:r>
          </w:p>
          <w:p w14:paraId="5392F7B2" w14:textId="77777777" w:rsidR="00ED1C0E" w:rsidRPr="009573CA" w:rsidRDefault="00ED1C0E" w:rsidP="00AE53A7">
            <w:pPr>
              <w:widowControl/>
              <w:overflowPunct w:val="0"/>
              <w:autoSpaceDE/>
              <w:autoSpaceDN/>
              <w:adjustRightInd/>
              <w:snapToGrid w:val="0"/>
              <w:spacing w:after="0"/>
              <w:rPr>
                <w:rFonts w:ascii="Calibri" w:eastAsia="宋体" w:hAnsi="Calibri" w:cs="Calibri"/>
                <w:sz w:val="21"/>
                <w:szCs w:val="21"/>
                <w:lang w:val="en-US"/>
              </w:rPr>
            </w:pPr>
            <w:r w:rsidRPr="009573CA">
              <w:rPr>
                <w:rFonts w:ascii="Calibri" w:eastAsia="宋体" w:hAnsi="Calibri" w:cs="Calibri"/>
                <w:sz w:val="21"/>
                <w:szCs w:val="21"/>
                <w:lang w:val="en-US" w:eastAsia="zh-CN"/>
              </w:rPr>
              <w:t xml:space="preserve">For a set of cells configured for multi-cell scheduling using DCI format 0_X/1_X, </w:t>
            </w:r>
          </w:p>
          <w:p w14:paraId="4835372A" w14:textId="77777777" w:rsidR="00ED1C0E" w:rsidRPr="009573CA" w:rsidRDefault="00ED1C0E" w:rsidP="00AE53A7">
            <w:pPr>
              <w:widowControl/>
              <w:numPr>
                <w:ilvl w:val="0"/>
                <w:numId w:val="26"/>
              </w:numPr>
              <w:overflowPunct w:val="0"/>
              <w:autoSpaceDE/>
              <w:autoSpaceDN/>
              <w:adjustRightInd/>
              <w:snapToGrid w:val="0"/>
              <w:spacing w:after="0"/>
              <w:jc w:val="left"/>
              <w:rPr>
                <w:rFonts w:ascii="Calibri" w:eastAsia="宋体" w:hAnsi="Calibri" w:cs="Calibri"/>
                <w:sz w:val="21"/>
                <w:szCs w:val="21"/>
                <w:lang w:val="en-US" w:eastAsia="zh-CN"/>
              </w:rPr>
            </w:pPr>
            <w:r w:rsidRPr="009573CA">
              <w:rPr>
                <w:rFonts w:ascii="Calibri" w:eastAsia="宋体" w:hAnsi="Calibri" w:cs="Calibri"/>
                <w:sz w:val="21"/>
                <w:szCs w:val="21"/>
                <w:highlight w:val="yellow"/>
                <w:lang w:val="en-US" w:eastAsia="zh-CN"/>
              </w:rPr>
              <w:t>the size of a Type-1A field</w:t>
            </w:r>
            <w:r w:rsidRPr="009573CA">
              <w:rPr>
                <w:rFonts w:ascii="Calibri" w:eastAsia="宋体" w:hAnsi="Calibri" w:cs="Calibri"/>
                <w:sz w:val="21"/>
                <w:szCs w:val="21"/>
                <w:lang w:val="en-US" w:eastAsia="zh-CN"/>
              </w:rPr>
              <w:t xml:space="preserve"> in the DCI format 0_X/1_X is determined as maximum field size of </w:t>
            </w:r>
            <w:r w:rsidRPr="009573CA">
              <w:rPr>
                <w:rFonts w:ascii="Calibri" w:eastAsia="宋体" w:hAnsi="Calibri" w:cs="Calibri"/>
                <w:sz w:val="21"/>
                <w:szCs w:val="21"/>
                <w:highlight w:val="yellow"/>
                <w:lang w:val="en-US" w:eastAsia="zh-CN"/>
              </w:rPr>
              <w:t>active BWP</w:t>
            </w:r>
            <w:r w:rsidRPr="009573CA">
              <w:rPr>
                <w:rFonts w:ascii="Calibri" w:eastAsia="宋体" w:hAnsi="Calibri" w:cs="Calibri"/>
                <w:sz w:val="21"/>
                <w:szCs w:val="21"/>
                <w:lang w:val="en-US" w:eastAsia="zh-CN"/>
              </w:rPr>
              <w:t xml:space="preserve"> among all cells within the set of cells.</w:t>
            </w:r>
          </w:p>
          <w:p w14:paraId="3C921562" w14:textId="77777777" w:rsidR="00ED1C0E" w:rsidRPr="009573CA" w:rsidRDefault="00ED1C0E" w:rsidP="00AE53A7">
            <w:pPr>
              <w:widowControl/>
              <w:numPr>
                <w:ilvl w:val="0"/>
                <w:numId w:val="26"/>
              </w:numPr>
              <w:overflowPunct w:val="0"/>
              <w:autoSpaceDE/>
              <w:autoSpaceDN/>
              <w:adjustRightInd/>
              <w:snapToGrid w:val="0"/>
              <w:spacing w:after="0"/>
              <w:jc w:val="left"/>
              <w:rPr>
                <w:rFonts w:ascii="Calibri" w:eastAsia="宋体" w:hAnsi="Calibri" w:cs="Calibri"/>
                <w:sz w:val="21"/>
                <w:szCs w:val="21"/>
                <w:lang w:val="en-US" w:eastAsia="zh-CN"/>
              </w:rPr>
            </w:pPr>
            <w:r w:rsidRPr="009573CA">
              <w:rPr>
                <w:rFonts w:ascii="Calibri" w:eastAsia="宋体" w:hAnsi="Calibri" w:cs="Calibri"/>
                <w:sz w:val="21"/>
                <w:szCs w:val="21"/>
                <w:lang w:val="en-US" w:eastAsia="zh-CN"/>
              </w:rPr>
              <w:t>the size of a Type-1B field in the DCI format 0_X/1_X is equal to ceiling(log</w:t>
            </w:r>
            <w:r w:rsidRPr="009573CA">
              <w:rPr>
                <w:rFonts w:ascii="Calibri" w:eastAsia="宋体" w:hAnsi="Calibri" w:cs="Calibri"/>
                <w:sz w:val="21"/>
                <w:szCs w:val="21"/>
                <w:vertAlign w:val="subscript"/>
                <w:lang w:val="en-US" w:eastAsia="zh-CN"/>
              </w:rPr>
              <w:t>2</w:t>
            </w:r>
            <w:r w:rsidRPr="009573CA">
              <w:rPr>
                <w:rFonts w:ascii="Calibri" w:eastAsia="宋体" w:hAnsi="Calibri" w:cs="Calibri"/>
                <w:sz w:val="21"/>
                <w:szCs w:val="21"/>
                <w:lang w:val="en-US" w:eastAsia="zh-CN"/>
              </w:rPr>
              <w:t xml:space="preserve">(N)), where N is the number of rows in RRC-configured table with each row containing multiple indexes for all cells within the set of cells. </w:t>
            </w:r>
          </w:p>
          <w:p w14:paraId="4B4B233F" w14:textId="77777777" w:rsidR="00ED1C0E" w:rsidRPr="009573CA" w:rsidRDefault="00ED1C0E" w:rsidP="00AE53A7">
            <w:pPr>
              <w:widowControl/>
              <w:numPr>
                <w:ilvl w:val="1"/>
                <w:numId w:val="26"/>
              </w:numPr>
              <w:overflowPunct w:val="0"/>
              <w:autoSpaceDE/>
              <w:autoSpaceDN/>
              <w:adjustRightInd/>
              <w:snapToGrid w:val="0"/>
              <w:spacing w:after="0"/>
              <w:jc w:val="left"/>
              <w:rPr>
                <w:rFonts w:ascii="Calibri" w:eastAsia="宋体" w:hAnsi="Calibri" w:cs="Calibri"/>
                <w:sz w:val="21"/>
                <w:szCs w:val="21"/>
                <w:lang w:val="en-US" w:eastAsia="zh-CN"/>
              </w:rPr>
            </w:pPr>
            <w:r w:rsidRPr="009573CA">
              <w:rPr>
                <w:rFonts w:ascii="Calibri" w:eastAsia="宋体" w:hAnsi="Calibri" w:cs="Calibri"/>
                <w:sz w:val="21"/>
                <w:szCs w:val="21"/>
                <w:lang w:val="en-US" w:eastAsia="zh-CN"/>
              </w:rPr>
              <w:t xml:space="preserve">The Type-1B field indicates one row of the configured table </w:t>
            </w:r>
          </w:p>
          <w:p w14:paraId="1C940F24" w14:textId="77777777" w:rsidR="00ED1C0E" w:rsidRPr="009573CA" w:rsidRDefault="00ED1C0E" w:rsidP="00AE53A7">
            <w:pPr>
              <w:widowControl/>
              <w:numPr>
                <w:ilvl w:val="1"/>
                <w:numId w:val="26"/>
              </w:numPr>
              <w:overflowPunct w:val="0"/>
              <w:autoSpaceDE/>
              <w:autoSpaceDN/>
              <w:adjustRightInd/>
              <w:spacing w:after="0"/>
              <w:jc w:val="left"/>
              <w:textAlignment w:val="baseline"/>
              <w:rPr>
                <w:rFonts w:ascii="Calibri" w:eastAsia="宋体" w:hAnsi="Calibri" w:cs="Calibri"/>
                <w:sz w:val="21"/>
                <w:szCs w:val="21"/>
                <w:lang w:val="en-US" w:eastAsia="zh-CN"/>
              </w:rPr>
            </w:pPr>
            <w:r w:rsidRPr="009573CA">
              <w:rPr>
                <w:rFonts w:ascii="Calibri" w:eastAsia="宋体" w:hAnsi="Calibri" w:cs="Calibri"/>
                <w:sz w:val="21"/>
                <w:szCs w:val="21"/>
                <w:lang w:val="en-US" w:eastAsia="ja-JP"/>
              </w:rPr>
              <w:t xml:space="preserve">The Type-1B </w:t>
            </w:r>
            <w:r w:rsidRPr="009573CA">
              <w:rPr>
                <w:rFonts w:ascii="Calibri" w:eastAsia="宋体" w:hAnsi="Calibri" w:cs="Calibri"/>
                <w:sz w:val="21"/>
                <w:szCs w:val="21"/>
                <w:lang w:val="en-US" w:eastAsia="zh-CN"/>
              </w:rPr>
              <w:t xml:space="preserve">index for a cell points to a corresponding index in </w:t>
            </w:r>
            <w:proofErr w:type="gramStart"/>
            <w:r w:rsidRPr="009573CA">
              <w:rPr>
                <w:rFonts w:ascii="Calibri" w:eastAsia="宋体" w:hAnsi="Calibri" w:cs="Calibri"/>
                <w:sz w:val="21"/>
                <w:szCs w:val="21"/>
                <w:lang w:val="en-US" w:eastAsia="zh-CN"/>
              </w:rPr>
              <w:t>a</w:t>
            </w:r>
            <w:proofErr w:type="gramEnd"/>
            <w:r w:rsidRPr="009573CA">
              <w:rPr>
                <w:rFonts w:ascii="Calibri" w:eastAsia="宋体" w:hAnsi="Calibri" w:cs="Calibri"/>
                <w:sz w:val="21"/>
                <w:szCs w:val="21"/>
                <w:lang w:val="en-US" w:eastAsia="zh-CN"/>
              </w:rPr>
              <w:t xml:space="preserve"> RRC configured table applicable for DCI format 0_1/1_1 or MAC CE activated values. </w:t>
            </w:r>
          </w:p>
          <w:p w14:paraId="77159717" w14:textId="77777777" w:rsidR="00ED1C0E" w:rsidRPr="009573CA" w:rsidRDefault="00ED1C0E" w:rsidP="00AE53A7">
            <w:pPr>
              <w:widowControl/>
              <w:numPr>
                <w:ilvl w:val="0"/>
                <w:numId w:val="26"/>
              </w:numPr>
              <w:overflowPunct w:val="0"/>
              <w:autoSpaceDE/>
              <w:autoSpaceDN/>
              <w:adjustRightInd/>
              <w:snapToGrid w:val="0"/>
              <w:spacing w:after="0"/>
              <w:jc w:val="left"/>
              <w:rPr>
                <w:rFonts w:ascii="Calibri" w:eastAsia="宋体" w:hAnsi="Calibri" w:cs="Calibri"/>
                <w:sz w:val="21"/>
                <w:szCs w:val="21"/>
                <w:lang w:val="en-US"/>
              </w:rPr>
            </w:pPr>
            <w:r w:rsidRPr="009573CA">
              <w:rPr>
                <w:rFonts w:ascii="Calibri" w:eastAsia="宋体" w:hAnsi="Calibri" w:cs="Calibri"/>
                <w:sz w:val="21"/>
                <w:szCs w:val="21"/>
                <w:highlight w:val="yellow"/>
                <w:lang w:val="en-US" w:eastAsia="zh-CN"/>
              </w:rPr>
              <w:t>the size of a per cell Type-2 field</w:t>
            </w:r>
            <w:r w:rsidRPr="009573CA">
              <w:rPr>
                <w:rFonts w:ascii="Calibri" w:eastAsia="宋体" w:hAnsi="Calibri" w:cs="Calibri"/>
                <w:sz w:val="21"/>
                <w:szCs w:val="21"/>
                <w:lang w:val="en-US" w:eastAsia="zh-CN"/>
              </w:rPr>
              <w:t xml:space="preserve"> in the DCI format 0_X/1_X is determined based on </w:t>
            </w:r>
            <w:r w:rsidRPr="009573CA">
              <w:rPr>
                <w:rFonts w:ascii="Calibri" w:eastAsia="宋体" w:hAnsi="Calibri" w:cs="Calibri"/>
                <w:sz w:val="21"/>
                <w:szCs w:val="21"/>
                <w:highlight w:val="yellow"/>
                <w:lang w:val="en-US" w:eastAsia="zh-CN"/>
              </w:rPr>
              <w:t>active BWP</w:t>
            </w:r>
            <w:r w:rsidRPr="009573CA">
              <w:rPr>
                <w:rFonts w:ascii="Calibri" w:eastAsia="宋体" w:hAnsi="Calibri" w:cs="Calibri"/>
                <w:sz w:val="21"/>
                <w:szCs w:val="21"/>
                <w:lang w:val="en-US" w:eastAsia="zh-CN"/>
              </w:rPr>
              <w:t xml:space="preserve"> for each cell.</w:t>
            </w:r>
          </w:p>
          <w:p w14:paraId="12524458" w14:textId="77777777" w:rsidR="00ED1C0E" w:rsidRDefault="00ED1C0E" w:rsidP="00AE53A7">
            <w:pPr>
              <w:widowControl/>
              <w:autoSpaceDE/>
              <w:autoSpaceDN/>
              <w:adjustRightInd/>
              <w:spacing w:after="0"/>
              <w:rPr>
                <w:rFonts w:ascii="Calibri" w:eastAsia="宋体" w:hAnsi="Calibri" w:cs="Calibri"/>
                <w:color w:val="1F497D"/>
                <w:lang w:val="en-US" w:eastAsia="zh-CN"/>
              </w:rPr>
            </w:pPr>
          </w:p>
        </w:tc>
      </w:tr>
    </w:tbl>
    <w:p w14:paraId="2892249A" w14:textId="77777777" w:rsidR="00ED1C0E" w:rsidRDefault="00ED1C0E" w:rsidP="00ED1C0E">
      <w:pPr>
        <w:widowControl/>
        <w:autoSpaceDE/>
        <w:autoSpaceDN/>
        <w:adjustRightInd/>
        <w:spacing w:after="0"/>
        <w:rPr>
          <w:rFonts w:ascii="Calibri" w:eastAsia="宋体" w:hAnsi="Calibri" w:cs="Calibri"/>
          <w:color w:val="1F497D"/>
          <w:lang w:val="en-US" w:eastAsia="zh-CN"/>
        </w:rPr>
      </w:pPr>
    </w:p>
    <w:p w14:paraId="1849B3AD" w14:textId="096327DD" w:rsidR="009573CA" w:rsidRPr="00ED1C0E" w:rsidRDefault="003B3E89" w:rsidP="009F3EBC">
      <w:pPr>
        <w:pStyle w:val="a6"/>
        <w:numPr>
          <w:ilvl w:val="0"/>
          <w:numId w:val="25"/>
        </w:numPr>
        <w:rPr>
          <w:lang w:val="en-US" w:eastAsia="zh-CN"/>
        </w:rPr>
      </w:pPr>
      <w:r>
        <w:rPr>
          <w:lang w:val="en-US" w:eastAsia="zh-CN"/>
        </w:rPr>
        <w:t>However, we</w:t>
      </w:r>
      <w:r w:rsidR="009F3EBC" w:rsidRPr="009F3EBC">
        <w:rPr>
          <w:lang w:val="en-US" w:eastAsia="zh-CN"/>
        </w:rPr>
        <w:t xml:space="preserve"> believe </w:t>
      </w:r>
      <w:r>
        <w:rPr>
          <w:lang w:val="en-US" w:eastAsia="zh-CN"/>
        </w:rPr>
        <w:t xml:space="preserve">that the proponent </w:t>
      </w:r>
      <w:r w:rsidR="009F3EBC" w:rsidRPr="009F3EBC">
        <w:rPr>
          <w:lang w:val="en-US" w:eastAsia="zh-CN"/>
        </w:rPr>
        <w:t xml:space="preserve">misunderstood </w:t>
      </w:r>
      <w:r>
        <w:rPr>
          <w:lang w:val="en-US" w:eastAsia="zh-CN"/>
        </w:rPr>
        <w:t>“</w:t>
      </w:r>
      <w:r w:rsidRPr="009573CA">
        <w:rPr>
          <w:rFonts w:ascii="Calibri" w:eastAsia="宋体" w:hAnsi="Calibri" w:cs="Calibri"/>
          <w:sz w:val="21"/>
          <w:szCs w:val="21"/>
          <w:highlight w:val="yellow"/>
          <w:lang w:val="en-US" w:eastAsia="zh-CN"/>
        </w:rPr>
        <w:t>active BWP</w:t>
      </w:r>
      <w:r w:rsidRPr="009573CA">
        <w:rPr>
          <w:rFonts w:ascii="Calibri" w:eastAsia="宋体" w:hAnsi="Calibri" w:cs="Calibri"/>
          <w:sz w:val="21"/>
          <w:szCs w:val="21"/>
          <w:lang w:val="en-US" w:eastAsia="zh-CN"/>
        </w:rPr>
        <w:t xml:space="preserve"> for each cell</w:t>
      </w:r>
      <w:r>
        <w:rPr>
          <w:lang w:val="en-US" w:eastAsia="zh-CN"/>
        </w:rPr>
        <w:t xml:space="preserve">” in </w:t>
      </w:r>
      <w:r w:rsidR="009F3EBC" w:rsidRPr="009F3EBC">
        <w:rPr>
          <w:lang w:val="en-US" w:eastAsia="zh-CN"/>
        </w:rPr>
        <w:t xml:space="preserve">the agreement above since the </w:t>
      </w:r>
      <w:r>
        <w:rPr>
          <w:lang w:val="en-US" w:eastAsia="zh-CN"/>
        </w:rPr>
        <w:t xml:space="preserve">intention is the active BWP for the </w:t>
      </w:r>
      <w:r w:rsidR="00D32A56" w:rsidRPr="00D32A56">
        <w:rPr>
          <w:b/>
          <w:lang w:val="en-US" w:eastAsia="zh-CN"/>
        </w:rPr>
        <w:t xml:space="preserve">potential </w:t>
      </w:r>
      <w:r w:rsidRPr="00D32A56">
        <w:rPr>
          <w:b/>
          <w:lang w:val="en-US" w:eastAsia="zh-CN"/>
        </w:rPr>
        <w:t>scheduled cell</w:t>
      </w:r>
      <w:r>
        <w:rPr>
          <w:lang w:val="en-US" w:eastAsia="zh-CN"/>
        </w:rPr>
        <w:t xml:space="preserve"> and </w:t>
      </w:r>
      <w:r w:rsidR="00D32A56">
        <w:rPr>
          <w:lang w:val="en-US" w:eastAsia="zh-CN"/>
        </w:rPr>
        <w:t xml:space="preserve">this is </w:t>
      </w:r>
      <w:r w:rsidR="00D32A56" w:rsidRPr="00D32A56">
        <w:rPr>
          <w:b/>
          <w:lang w:val="en-US" w:eastAsia="zh-CN"/>
        </w:rPr>
        <w:t xml:space="preserve">not necessarily </w:t>
      </w:r>
      <w:r w:rsidRPr="00D32A56">
        <w:rPr>
          <w:b/>
          <w:lang w:val="en-US" w:eastAsia="zh-CN"/>
        </w:rPr>
        <w:t xml:space="preserve">the </w:t>
      </w:r>
      <w:r w:rsidR="00D32A56" w:rsidRPr="00D32A56">
        <w:rPr>
          <w:b/>
          <w:lang w:val="en-US" w:eastAsia="zh-CN"/>
        </w:rPr>
        <w:t>scheduling cell where the DCI is received</w:t>
      </w:r>
      <w:r w:rsidR="00D32A56">
        <w:rPr>
          <w:lang w:val="en-US" w:eastAsia="zh-CN"/>
        </w:rPr>
        <w:t xml:space="preserve">. The </w:t>
      </w:r>
      <w:r>
        <w:rPr>
          <w:lang w:val="en-US" w:eastAsia="zh-CN"/>
        </w:rPr>
        <w:t xml:space="preserve">following </w:t>
      </w:r>
      <w:r w:rsidR="009F3EBC" w:rsidRPr="009F3EBC">
        <w:rPr>
          <w:lang w:val="en-US" w:eastAsia="zh-CN"/>
        </w:rPr>
        <w:t>corresponding clause from TS 38.212</w:t>
      </w:r>
      <w:r w:rsidR="00D32A56">
        <w:rPr>
          <w:lang w:val="en-US" w:eastAsia="zh-CN"/>
        </w:rPr>
        <w:t xml:space="preserve"> further confirms our understanding: </w:t>
      </w:r>
      <w:r w:rsidR="009F3EBC" w:rsidRPr="009F3EBC">
        <w:rPr>
          <w:lang w:val="en-US" w:eastAsia="zh-CN"/>
        </w:rPr>
        <w:t xml:space="preserve"> </w:t>
      </w:r>
      <w:r w:rsidR="009573CA" w:rsidRPr="00ED1C0E">
        <w:rPr>
          <w:lang w:val="en-US" w:eastAsia="zh-CN"/>
        </w:rPr>
        <w:t> </w:t>
      </w:r>
    </w:p>
    <w:p w14:paraId="5E7EA73F" w14:textId="77777777" w:rsidR="009573CA" w:rsidRPr="009573CA" w:rsidRDefault="009573CA" w:rsidP="009573CA">
      <w:pPr>
        <w:widowControl/>
        <w:autoSpaceDE/>
        <w:autoSpaceDN/>
        <w:adjustRightInd/>
        <w:spacing w:after="0"/>
        <w:rPr>
          <w:rFonts w:ascii="Calibri" w:eastAsia="宋体" w:hAnsi="Calibri" w:cs="Calibri"/>
          <w:color w:val="1F497D"/>
          <w:lang w:val="en-US" w:eastAsia="zh-CN"/>
        </w:rPr>
      </w:pPr>
    </w:p>
    <w:p w14:paraId="26C0EA57" w14:textId="77777777" w:rsidR="009573CA" w:rsidRDefault="009573CA" w:rsidP="009573CA">
      <w:pPr>
        <w:widowControl/>
        <w:autoSpaceDE/>
        <w:autoSpaceDN/>
        <w:adjustRightInd/>
        <w:spacing w:after="0"/>
        <w:rPr>
          <w:rFonts w:ascii="Calibri" w:eastAsia="宋体" w:hAnsi="Calibri" w:cs="Calibri"/>
          <w:color w:val="1F497D"/>
          <w:lang w:val="en-US" w:eastAsia="zh-CN"/>
        </w:rPr>
      </w:pPr>
    </w:p>
    <w:tbl>
      <w:tblPr>
        <w:tblStyle w:val="af4"/>
        <w:tblW w:w="0" w:type="auto"/>
        <w:tblInd w:w="625" w:type="dxa"/>
        <w:tblLook w:val="04A0" w:firstRow="1" w:lastRow="0" w:firstColumn="1" w:lastColumn="0" w:noHBand="0" w:noVBand="1"/>
      </w:tblPr>
      <w:tblGrid>
        <w:gridCol w:w="8681"/>
      </w:tblGrid>
      <w:tr w:rsidR="0004042C" w14:paraId="2F865135" w14:textId="77777777" w:rsidTr="009F3EBC">
        <w:tc>
          <w:tcPr>
            <w:tcW w:w="8681" w:type="dxa"/>
          </w:tcPr>
          <w:p w14:paraId="6A45E9F7" w14:textId="77777777" w:rsidR="0004042C" w:rsidRPr="009573CA" w:rsidRDefault="0004042C" w:rsidP="0004042C">
            <w:pPr>
              <w:keepNext/>
              <w:widowControl/>
              <w:autoSpaceDE/>
              <w:autoSpaceDN/>
              <w:adjustRightInd/>
              <w:spacing w:before="120" w:after="180"/>
              <w:ind w:left="1134" w:hanging="1134"/>
              <w:jc w:val="left"/>
              <w:rPr>
                <w:rFonts w:ascii="Arial" w:eastAsia="宋体" w:hAnsi="Arial" w:cs="Arial"/>
                <w:sz w:val="28"/>
                <w:szCs w:val="28"/>
                <w:lang w:eastAsia="zh-CN"/>
              </w:rPr>
            </w:pPr>
            <w:r w:rsidRPr="009573CA">
              <w:rPr>
                <w:rFonts w:ascii="Arial" w:eastAsia="宋体" w:hAnsi="Arial" w:cs="Arial"/>
                <w:sz w:val="28"/>
                <w:szCs w:val="28"/>
                <w:lang w:eastAsia="zh-CN"/>
              </w:rPr>
              <w:lastRenderedPageBreak/>
              <w:t>7.3.1       DCI formats</w:t>
            </w:r>
          </w:p>
          <w:p w14:paraId="172DA57D" w14:textId="77777777" w:rsidR="0004042C" w:rsidRPr="009573CA" w:rsidRDefault="0004042C" w:rsidP="0004042C">
            <w:pPr>
              <w:widowControl/>
              <w:autoSpaceDE/>
              <w:autoSpaceDN/>
              <w:adjustRightInd/>
              <w:spacing w:after="180"/>
              <w:jc w:val="left"/>
              <w:rPr>
                <w:rFonts w:eastAsia="宋体"/>
                <w:sz w:val="20"/>
                <w:szCs w:val="20"/>
              </w:rPr>
            </w:pPr>
            <w:r w:rsidRPr="009573CA">
              <w:rPr>
                <w:rFonts w:eastAsia="宋体"/>
                <w:sz w:val="20"/>
                <w:szCs w:val="20"/>
              </w:rPr>
              <w:t>…</w:t>
            </w:r>
          </w:p>
          <w:p w14:paraId="4D327072" w14:textId="77777777" w:rsidR="0004042C" w:rsidRPr="009573CA" w:rsidRDefault="0004042C" w:rsidP="0004042C">
            <w:pPr>
              <w:widowControl/>
              <w:autoSpaceDE/>
              <w:autoSpaceDN/>
              <w:adjustRightInd/>
              <w:spacing w:after="180"/>
              <w:jc w:val="left"/>
              <w:rPr>
                <w:rFonts w:eastAsia="宋体"/>
                <w:sz w:val="20"/>
                <w:szCs w:val="20"/>
              </w:rPr>
            </w:pPr>
            <w:r w:rsidRPr="009573CA">
              <w:rPr>
                <w:rFonts w:eastAsia="宋体"/>
                <w:sz w:val="20"/>
                <w:szCs w:val="20"/>
                <w:highlight w:val="cyan"/>
              </w:rPr>
              <w:t xml:space="preserve">The size of each DCI format </w:t>
            </w:r>
            <w:r w:rsidRPr="009573CA">
              <w:rPr>
                <w:rFonts w:ascii="Times" w:eastAsia="宋体" w:hAnsi="Times" w:cs="Times"/>
                <w:sz w:val="20"/>
                <w:szCs w:val="20"/>
                <w:highlight w:val="cyan"/>
              </w:rPr>
              <w:t>is determined by</w:t>
            </w:r>
            <w:r w:rsidRPr="009573CA">
              <w:rPr>
                <w:rFonts w:ascii="Times" w:eastAsia="宋体" w:hAnsi="Times" w:cs="Times"/>
                <w:sz w:val="20"/>
                <w:szCs w:val="20"/>
              </w:rPr>
              <w:t xml:space="preserve"> the configuration of the corresponding </w:t>
            </w:r>
            <w:r w:rsidRPr="009573CA">
              <w:rPr>
                <w:rFonts w:ascii="Times" w:eastAsia="宋体" w:hAnsi="Times" w:cs="Times"/>
                <w:sz w:val="20"/>
                <w:szCs w:val="20"/>
                <w:highlight w:val="cyan"/>
              </w:rPr>
              <w:t>active bandwidth part of the scheduled cell</w:t>
            </w:r>
            <w:r w:rsidRPr="009573CA">
              <w:rPr>
                <w:rFonts w:ascii="Times" w:eastAsia="宋体" w:hAnsi="Times" w:cs="Times"/>
                <w:sz w:val="20"/>
                <w:szCs w:val="20"/>
              </w:rPr>
              <w:t xml:space="preserve"> and </w:t>
            </w:r>
            <w:r w:rsidRPr="009573CA">
              <w:rPr>
                <w:rFonts w:eastAsia="宋体"/>
                <w:sz w:val="20"/>
                <w:szCs w:val="20"/>
              </w:rPr>
              <w:t>shall be adjusted as described in clause 7.3.1.</w:t>
            </w:r>
            <w:r w:rsidRPr="009573CA">
              <w:rPr>
                <w:rFonts w:eastAsia="宋体"/>
                <w:sz w:val="20"/>
                <w:szCs w:val="20"/>
                <w:lang w:eastAsia="zh-CN"/>
              </w:rPr>
              <w:t>0</w:t>
            </w:r>
            <w:r w:rsidRPr="009573CA">
              <w:rPr>
                <w:rFonts w:eastAsia="宋体"/>
                <w:sz w:val="20"/>
                <w:szCs w:val="20"/>
              </w:rPr>
              <w:t xml:space="preserve"> if necessary.</w:t>
            </w:r>
          </w:p>
          <w:p w14:paraId="785D54AC" w14:textId="77777777" w:rsidR="0004042C" w:rsidRPr="0004042C" w:rsidRDefault="0004042C" w:rsidP="009573CA">
            <w:pPr>
              <w:widowControl/>
              <w:autoSpaceDE/>
              <w:autoSpaceDN/>
              <w:adjustRightInd/>
              <w:spacing w:after="0"/>
              <w:rPr>
                <w:rFonts w:ascii="Calibri" w:eastAsia="宋体" w:hAnsi="Calibri" w:cs="Calibri"/>
                <w:color w:val="1F497D"/>
                <w:lang w:eastAsia="zh-CN"/>
              </w:rPr>
            </w:pPr>
          </w:p>
        </w:tc>
      </w:tr>
    </w:tbl>
    <w:p w14:paraId="30938D80" w14:textId="77777777" w:rsidR="0004042C" w:rsidRPr="009573CA" w:rsidRDefault="0004042C" w:rsidP="009573CA">
      <w:pPr>
        <w:widowControl/>
        <w:autoSpaceDE/>
        <w:autoSpaceDN/>
        <w:adjustRightInd/>
        <w:spacing w:after="0"/>
        <w:rPr>
          <w:rFonts w:ascii="Calibri" w:eastAsia="宋体" w:hAnsi="Calibri" w:cs="Calibri"/>
          <w:color w:val="1F497D"/>
          <w:lang w:val="en-US" w:eastAsia="zh-CN"/>
        </w:rPr>
      </w:pPr>
    </w:p>
    <w:p w14:paraId="4B626446" w14:textId="783CEC97" w:rsidR="00C04A59" w:rsidRDefault="00D32A56" w:rsidP="003439A2">
      <w:pPr>
        <w:spacing w:beforeLines="50" w:before="120" w:afterLines="50"/>
        <w:rPr>
          <w:lang w:val="en-US" w:eastAsia="zh-CN"/>
        </w:rPr>
      </w:pPr>
      <w:bookmarkStart w:id="6" w:name="_Toc19798772"/>
      <w:bookmarkStart w:id="7" w:name="_Toc26467243"/>
      <w:bookmarkStart w:id="8" w:name="_Toc29326604"/>
      <w:bookmarkStart w:id="9" w:name="_Toc29327754"/>
      <w:bookmarkStart w:id="10" w:name="_Toc36045944"/>
      <w:bookmarkStart w:id="11" w:name="_Toc36046204"/>
      <w:bookmarkStart w:id="12" w:name="_Toc36046350"/>
      <w:bookmarkStart w:id="13" w:name="_Toc45209267"/>
      <w:bookmarkStart w:id="14" w:name="_Toc51852440"/>
      <w:bookmarkEnd w:id="6"/>
      <w:bookmarkEnd w:id="7"/>
      <w:bookmarkEnd w:id="8"/>
      <w:bookmarkEnd w:id="9"/>
      <w:bookmarkEnd w:id="10"/>
      <w:bookmarkEnd w:id="11"/>
      <w:bookmarkEnd w:id="12"/>
      <w:bookmarkEnd w:id="13"/>
      <w:bookmarkEnd w:id="14"/>
      <w:r>
        <w:rPr>
          <w:lang w:val="en-US" w:eastAsia="zh-CN"/>
        </w:rPr>
        <w:t xml:space="preserve">Therefore, we propose that RAN1 discusses the TDRA </w:t>
      </w:r>
      <w:r w:rsidR="00C04A59">
        <w:rPr>
          <w:lang w:val="en-US" w:eastAsia="zh-CN"/>
        </w:rPr>
        <w:t>i</w:t>
      </w:r>
      <w:r>
        <w:rPr>
          <w:lang w:val="en-US" w:eastAsia="zh-CN"/>
        </w:rPr>
        <w:t xml:space="preserve">nterpretations form RAN1#112bis-e when BWP switching is indicated in the scheduling DCI in light of the insights </w:t>
      </w:r>
      <w:r w:rsidR="005F0553">
        <w:rPr>
          <w:lang w:val="en-US" w:eastAsia="zh-CN"/>
        </w:rPr>
        <w:t xml:space="preserve">we </w:t>
      </w:r>
      <w:r>
        <w:rPr>
          <w:lang w:val="en-US" w:eastAsia="zh-CN"/>
        </w:rPr>
        <w:t>provided above, and aligns the understanding in the group.</w:t>
      </w:r>
    </w:p>
    <w:p w14:paraId="5B5F12EA" w14:textId="15A9B360" w:rsidR="00C04A59" w:rsidRDefault="00C04A59" w:rsidP="00C04A59">
      <w:pPr>
        <w:spacing w:beforeLines="50" w:before="120" w:afterLines="50"/>
        <w:rPr>
          <w:lang w:val="en-US" w:eastAsia="zh-CN"/>
        </w:rPr>
      </w:pPr>
      <w:r>
        <w:rPr>
          <w:lang w:val="en-US" w:eastAsia="zh-CN"/>
        </w:rPr>
        <w:t>Based on our understanding, we also propose to c</w:t>
      </w:r>
      <w:r w:rsidRPr="00C04A59">
        <w:rPr>
          <w:lang w:val="en-US" w:eastAsia="zh-CN"/>
        </w:rPr>
        <w:t xml:space="preserve">onfirm that for a DCI indicting BWP switching, the DCI format size and the sizes of the fields therein are </w:t>
      </w:r>
      <w:r w:rsidR="00070BBB">
        <w:rPr>
          <w:lang w:val="en-US" w:eastAsia="zh-CN"/>
        </w:rPr>
        <w:t xml:space="preserve">both </w:t>
      </w:r>
      <w:r w:rsidRPr="00C04A59">
        <w:rPr>
          <w:lang w:val="en-US" w:eastAsia="zh-CN"/>
        </w:rPr>
        <w:t>determined based on the conf</w:t>
      </w:r>
      <w:r w:rsidR="00070BBB">
        <w:rPr>
          <w:lang w:val="en-US" w:eastAsia="zh-CN"/>
        </w:rPr>
        <w:t>iguration of the indicated BWP. P</w:t>
      </w:r>
      <w:r w:rsidRPr="00C04A59">
        <w:rPr>
          <w:lang w:val="en-US" w:eastAsia="zh-CN"/>
        </w:rPr>
        <w:t>otential specification impact</w:t>
      </w:r>
      <w:r w:rsidR="00070BBB">
        <w:rPr>
          <w:lang w:val="en-US" w:eastAsia="zh-CN"/>
        </w:rPr>
        <w:t xml:space="preserve"> on Rel-16, if any, should be also discussed.</w:t>
      </w:r>
    </w:p>
    <w:p w14:paraId="18ADB756" w14:textId="77777777" w:rsidR="00C04A59" w:rsidRDefault="00C04A59" w:rsidP="003439A2">
      <w:pPr>
        <w:spacing w:beforeLines="50" w:before="120" w:afterLines="50"/>
        <w:rPr>
          <w:lang w:val="en-US" w:eastAsia="zh-CN"/>
        </w:rPr>
      </w:pPr>
    </w:p>
    <w:p w14:paraId="7A51A4BE" w14:textId="39476ECA" w:rsidR="00DC2116" w:rsidRPr="00DC2116" w:rsidRDefault="00DC2116" w:rsidP="003439A2">
      <w:pPr>
        <w:spacing w:beforeLines="50" w:before="120" w:afterLines="50"/>
        <w:rPr>
          <w:b/>
          <w:i/>
          <w:lang w:val="en-US" w:eastAsia="zh-CN"/>
        </w:rPr>
      </w:pPr>
      <w:r w:rsidRPr="00DC2116">
        <w:rPr>
          <w:b/>
          <w:i/>
          <w:lang w:val="en-US" w:eastAsia="zh-CN"/>
        </w:rPr>
        <w:t>P</w:t>
      </w:r>
      <w:r w:rsidR="00D32A56">
        <w:rPr>
          <w:b/>
          <w:i/>
          <w:lang w:val="en-US" w:eastAsia="zh-CN"/>
        </w:rPr>
        <w:t>roposal 1</w:t>
      </w:r>
      <w:r w:rsidRPr="00DC2116">
        <w:rPr>
          <w:b/>
          <w:i/>
          <w:lang w:val="en-US" w:eastAsia="zh-CN"/>
        </w:rPr>
        <w:t xml:space="preserve">: </w:t>
      </w:r>
      <w:r w:rsidR="00C04A59" w:rsidRPr="00C04A59">
        <w:rPr>
          <w:b/>
          <w:i/>
          <w:lang w:val="en-US" w:eastAsia="zh-CN"/>
        </w:rPr>
        <w:t xml:space="preserve">RAN1 </w:t>
      </w:r>
      <w:r w:rsidR="00C04A59">
        <w:rPr>
          <w:b/>
          <w:i/>
          <w:lang w:val="en-US" w:eastAsia="zh-CN"/>
        </w:rPr>
        <w:t>to discuss</w:t>
      </w:r>
      <w:r w:rsidR="00C04A59" w:rsidRPr="00C04A59">
        <w:rPr>
          <w:b/>
          <w:i/>
          <w:lang w:val="en-US" w:eastAsia="zh-CN"/>
        </w:rPr>
        <w:t xml:space="preserve"> the TDRA interpretations form RAN1#112bis-e when BWP switching is indicated in</w:t>
      </w:r>
      <w:r w:rsidR="00C04A59">
        <w:rPr>
          <w:b/>
          <w:i/>
          <w:lang w:val="en-US" w:eastAsia="zh-CN"/>
        </w:rPr>
        <w:t xml:space="preserve"> the scheduling DCI to align</w:t>
      </w:r>
      <w:r w:rsidR="00C04A59" w:rsidRPr="00C04A59">
        <w:rPr>
          <w:b/>
          <w:i/>
          <w:lang w:val="en-US" w:eastAsia="zh-CN"/>
        </w:rPr>
        <w:t xml:space="preserve"> the understanding in the group</w:t>
      </w:r>
      <w:r w:rsidRPr="00DC2116">
        <w:rPr>
          <w:b/>
          <w:i/>
          <w:lang w:val="en-US" w:eastAsia="zh-CN"/>
        </w:rPr>
        <w:t xml:space="preserve">. </w:t>
      </w:r>
    </w:p>
    <w:p w14:paraId="636E853B" w14:textId="51045E17" w:rsidR="00C04A59" w:rsidRDefault="00C04A59" w:rsidP="00C04A59">
      <w:pPr>
        <w:spacing w:beforeLines="50" w:before="120" w:afterLines="50"/>
        <w:rPr>
          <w:b/>
          <w:i/>
          <w:lang w:val="en-US" w:eastAsia="zh-CN"/>
        </w:rPr>
      </w:pPr>
      <w:r w:rsidRPr="00DC2116">
        <w:rPr>
          <w:b/>
          <w:i/>
          <w:lang w:val="en-US" w:eastAsia="zh-CN"/>
        </w:rPr>
        <w:t>P</w:t>
      </w:r>
      <w:r>
        <w:rPr>
          <w:b/>
          <w:i/>
          <w:lang w:val="en-US" w:eastAsia="zh-CN"/>
        </w:rPr>
        <w:t>roposal 2</w:t>
      </w:r>
      <w:r w:rsidRPr="00DC2116">
        <w:rPr>
          <w:b/>
          <w:i/>
          <w:lang w:val="en-US" w:eastAsia="zh-CN"/>
        </w:rPr>
        <w:t xml:space="preserve">: </w:t>
      </w:r>
      <w:r>
        <w:rPr>
          <w:b/>
          <w:i/>
          <w:lang w:val="en-US" w:eastAsia="zh-CN"/>
        </w:rPr>
        <w:t>Confirm that for a DCI indicting BWP switching, the DCI f</w:t>
      </w:r>
      <w:r w:rsidR="00070BBB">
        <w:rPr>
          <w:b/>
          <w:i/>
          <w:lang w:val="en-US" w:eastAsia="zh-CN"/>
        </w:rPr>
        <w:t xml:space="preserve">ormat size and the sizes of the </w:t>
      </w:r>
      <w:r>
        <w:rPr>
          <w:b/>
          <w:i/>
          <w:lang w:val="en-US" w:eastAsia="zh-CN"/>
        </w:rPr>
        <w:t xml:space="preserve">fields therein are </w:t>
      </w:r>
      <w:r w:rsidR="00070BBB">
        <w:rPr>
          <w:b/>
          <w:i/>
          <w:lang w:val="en-US" w:eastAsia="zh-CN"/>
        </w:rPr>
        <w:t xml:space="preserve">both </w:t>
      </w:r>
      <w:r>
        <w:rPr>
          <w:b/>
          <w:i/>
          <w:lang w:val="en-US" w:eastAsia="zh-CN"/>
        </w:rPr>
        <w:t>determined based on the configuration of the indicated BWP</w:t>
      </w:r>
      <w:r w:rsidRPr="00DC2116">
        <w:rPr>
          <w:b/>
          <w:i/>
          <w:lang w:val="en-US" w:eastAsia="zh-CN"/>
        </w:rPr>
        <w:t>.</w:t>
      </w:r>
    </w:p>
    <w:p w14:paraId="4885A53C" w14:textId="60041661" w:rsidR="00C04A59" w:rsidRPr="00C04A59" w:rsidRDefault="00C04A59" w:rsidP="00C04A59">
      <w:pPr>
        <w:pStyle w:val="a6"/>
        <w:numPr>
          <w:ilvl w:val="0"/>
          <w:numId w:val="25"/>
        </w:numPr>
        <w:spacing w:beforeLines="50" w:before="120" w:afterLines="50"/>
        <w:rPr>
          <w:b/>
          <w:i/>
          <w:lang w:val="en-US" w:eastAsia="zh-CN"/>
        </w:rPr>
      </w:pPr>
      <w:r>
        <w:rPr>
          <w:b/>
          <w:i/>
          <w:lang w:val="en-US" w:eastAsia="zh-CN"/>
        </w:rPr>
        <w:t>Discuss potential specification impact, if any, on Rel-16</w:t>
      </w:r>
      <w:r w:rsidRPr="00C04A59">
        <w:rPr>
          <w:b/>
          <w:i/>
          <w:lang w:val="en-US" w:eastAsia="zh-CN"/>
        </w:rPr>
        <w:t xml:space="preserve"> </w:t>
      </w:r>
    </w:p>
    <w:p w14:paraId="38A127A7" w14:textId="00AECFC1" w:rsidR="005F1410" w:rsidRPr="00C04A59" w:rsidRDefault="005F1410" w:rsidP="00D26CB4">
      <w:pPr>
        <w:rPr>
          <w:lang w:val="en-US" w:eastAsia="zh-CN"/>
        </w:rPr>
      </w:pPr>
    </w:p>
    <w:p w14:paraId="18E5EC1F" w14:textId="77777777" w:rsidR="00DC2116" w:rsidRPr="00820ADF" w:rsidRDefault="00DC2116" w:rsidP="00D26CB4">
      <w:pPr>
        <w:rPr>
          <w:lang w:val="en-US"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4D54FE01" w:rsidR="000C613B" w:rsidRDefault="004A43E2" w:rsidP="00411F09">
      <w:pPr>
        <w:spacing w:after="60"/>
        <w:rPr>
          <w:lang w:eastAsia="zh-CN"/>
        </w:rPr>
      </w:pPr>
      <w:r>
        <w:rPr>
          <w:lang w:eastAsia="zh-CN"/>
        </w:rPr>
        <w:t>Ac</w:t>
      </w:r>
      <w:r w:rsidR="00070BBB">
        <w:rPr>
          <w:lang w:eastAsia="zh-CN"/>
        </w:rPr>
        <w:t>cording to the above discussion</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23454BBC" w14:textId="77777777" w:rsidR="002D5D4D" w:rsidRPr="00DC2116" w:rsidRDefault="002D5D4D" w:rsidP="002D5D4D">
      <w:pPr>
        <w:spacing w:beforeLines="50" w:before="120" w:afterLines="50"/>
        <w:rPr>
          <w:b/>
          <w:i/>
          <w:lang w:val="en-US" w:eastAsia="zh-CN"/>
        </w:rPr>
      </w:pPr>
      <w:r w:rsidRPr="00DC2116">
        <w:rPr>
          <w:b/>
          <w:i/>
          <w:lang w:val="en-US" w:eastAsia="zh-CN"/>
        </w:rPr>
        <w:t>P</w:t>
      </w:r>
      <w:r>
        <w:rPr>
          <w:b/>
          <w:i/>
          <w:lang w:val="en-US" w:eastAsia="zh-CN"/>
        </w:rPr>
        <w:t>roposal 1</w:t>
      </w:r>
      <w:r w:rsidRPr="00DC2116">
        <w:rPr>
          <w:b/>
          <w:i/>
          <w:lang w:val="en-US" w:eastAsia="zh-CN"/>
        </w:rPr>
        <w:t xml:space="preserve">: </w:t>
      </w:r>
      <w:r w:rsidRPr="00C04A59">
        <w:rPr>
          <w:b/>
          <w:i/>
          <w:lang w:val="en-US" w:eastAsia="zh-CN"/>
        </w:rPr>
        <w:t xml:space="preserve">RAN1 </w:t>
      </w:r>
      <w:r>
        <w:rPr>
          <w:b/>
          <w:i/>
          <w:lang w:val="en-US" w:eastAsia="zh-CN"/>
        </w:rPr>
        <w:t>to discuss</w:t>
      </w:r>
      <w:r w:rsidRPr="00C04A59">
        <w:rPr>
          <w:b/>
          <w:i/>
          <w:lang w:val="en-US" w:eastAsia="zh-CN"/>
        </w:rPr>
        <w:t xml:space="preserve"> the TDRA interpretations form RAN1#112bis-e when BWP switching is indicated in</w:t>
      </w:r>
      <w:r>
        <w:rPr>
          <w:b/>
          <w:i/>
          <w:lang w:val="en-US" w:eastAsia="zh-CN"/>
        </w:rPr>
        <w:t xml:space="preserve"> the scheduling DCI to align</w:t>
      </w:r>
      <w:r w:rsidRPr="00C04A59">
        <w:rPr>
          <w:b/>
          <w:i/>
          <w:lang w:val="en-US" w:eastAsia="zh-CN"/>
        </w:rPr>
        <w:t xml:space="preserve"> the understanding in the group</w:t>
      </w:r>
      <w:r w:rsidRPr="00DC2116">
        <w:rPr>
          <w:b/>
          <w:i/>
          <w:lang w:val="en-US" w:eastAsia="zh-CN"/>
        </w:rPr>
        <w:t xml:space="preserve">. </w:t>
      </w:r>
    </w:p>
    <w:p w14:paraId="34772BE3" w14:textId="77777777" w:rsidR="002D5D4D" w:rsidRDefault="002D5D4D" w:rsidP="002D5D4D">
      <w:pPr>
        <w:spacing w:beforeLines="50" w:before="120" w:afterLines="50"/>
        <w:rPr>
          <w:b/>
          <w:i/>
          <w:lang w:val="en-US" w:eastAsia="zh-CN"/>
        </w:rPr>
      </w:pPr>
      <w:r w:rsidRPr="00DC2116">
        <w:rPr>
          <w:b/>
          <w:i/>
          <w:lang w:val="en-US" w:eastAsia="zh-CN"/>
        </w:rPr>
        <w:t>P</w:t>
      </w:r>
      <w:r>
        <w:rPr>
          <w:b/>
          <w:i/>
          <w:lang w:val="en-US" w:eastAsia="zh-CN"/>
        </w:rPr>
        <w:t>roposal 2</w:t>
      </w:r>
      <w:r w:rsidRPr="00DC2116">
        <w:rPr>
          <w:b/>
          <w:i/>
          <w:lang w:val="en-US" w:eastAsia="zh-CN"/>
        </w:rPr>
        <w:t xml:space="preserve">: </w:t>
      </w:r>
      <w:r>
        <w:rPr>
          <w:b/>
          <w:i/>
          <w:lang w:val="en-US" w:eastAsia="zh-CN"/>
        </w:rPr>
        <w:t>Confirm that for a DCI indicting BWP switching, the DCI format size and the sizes of the fields therein are both determined based on the configuration of the indicated BWP</w:t>
      </w:r>
      <w:r w:rsidRPr="00DC2116">
        <w:rPr>
          <w:b/>
          <w:i/>
          <w:lang w:val="en-US" w:eastAsia="zh-CN"/>
        </w:rPr>
        <w:t>.</w:t>
      </w:r>
    </w:p>
    <w:p w14:paraId="39D990E7" w14:textId="5ADB6CF8" w:rsidR="00070BBB" w:rsidRPr="00C04A59" w:rsidRDefault="002D5D4D" w:rsidP="002D5D4D">
      <w:pPr>
        <w:pStyle w:val="a6"/>
        <w:numPr>
          <w:ilvl w:val="0"/>
          <w:numId w:val="25"/>
        </w:numPr>
        <w:spacing w:beforeLines="50" w:before="120" w:afterLines="50"/>
        <w:rPr>
          <w:b/>
          <w:i/>
          <w:lang w:val="en-US" w:eastAsia="zh-CN"/>
        </w:rPr>
      </w:pPr>
      <w:r>
        <w:rPr>
          <w:b/>
          <w:i/>
          <w:lang w:val="en-US" w:eastAsia="zh-CN"/>
        </w:rPr>
        <w:t>Discuss potential specification impact, if any, on Rel-16</w:t>
      </w:r>
    </w:p>
    <w:p w14:paraId="3E7EE599" w14:textId="77777777" w:rsidR="00C7706A" w:rsidRPr="00D74C22" w:rsidRDefault="00C7706A" w:rsidP="00C7706A">
      <w:pPr>
        <w:rPr>
          <w:b/>
          <w:i/>
          <w:lang w:val="en-US" w:eastAsia="zh-CN"/>
        </w:rPr>
      </w:pPr>
    </w:p>
    <w:bookmarkEnd w:id="3"/>
    <w:bookmarkEnd w:id="4"/>
    <w:bookmarkEnd w:id="5"/>
    <w:p w14:paraId="2C327979" w14:textId="506691A5" w:rsidR="000127BF" w:rsidRDefault="00B255FA" w:rsidP="00B255FA">
      <w:pPr>
        <w:pStyle w:val="1"/>
        <w:numPr>
          <w:ilvl w:val="0"/>
          <w:numId w:val="0"/>
        </w:numPr>
        <w:ind w:left="431"/>
        <w:rPr>
          <w:rFonts w:eastAsiaTheme="minorEastAsia"/>
        </w:rPr>
      </w:pPr>
      <w:r w:rsidRPr="00B255FA">
        <w:rPr>
          <w:rFonts w:eastAsiaTheme="minorEastAsia" w:hint="eastAsia"/>
        </w:rPr>
        <w:t>R</w:t>
      </w:r>
      <w:r w:rsidRPr="00B255FA">
        <w:rPr>
          <w:rFonts w:eastAsiaTheme="minorEastAsia"/>
        </w:rPr>
        <w:t>eference</w:t>
      </w:r>
    </w:p>
    <w:p w14:paraId="6862E55C" w14:textId="77777777" w:rsidR="002D7002" w:rsidRDefault="002D7002" w:rsidP="002D7002">
      <w:pPr>
        <w:pStyle w:val="a6"/>
        <w:numPr>
          <w:ilvl w:val="0"/>
          <w:numId w:val="23"/>
        </w:numPr>
        <w:rPr>
          <w:lang w:eastAsia="zh-CN"/>
        </w:rPr>
      </w:pPr>
      <w:bookmarkStart w:id="15" w:name="_Ref141360328"/>
      <w:r w:rsidRPr="002D7002">
        <w:rPr>
          <w:lang w:eastAsia="zh-CN"/>
        </w:rPr>
        <w:t>R1-2304037</w:t>
      </w:r>
      <w:r>
        <w:rPr>
          <w:lang w:eastAsia="zh-CN"/>
        </w:rPr>
        <w:t>, “</w:t>
      </w:r>
      <w:r w:rsidRPr="002D7002">
        <w:rPr>
          <w:lang w:eastAsia="zh-CN"/>
        </w:rPr>
        <w:t>Summary #1 of PDSCH/PUSCH enhancements (Scheduling/HARQ)</w:t>
      </w:r>
      <w:r>
        <w:rPr>
          <w:lang w:eastAsia="zh-CN"/>
        </w:rPr>
        <w:t xml:space="preserve">”, </w:t>
      </w:r>
      <w:r w:rsidRPr="002D7002">
        <w:rPr>
          <w:lang w:eastAsia="zh-CN"/>
        </w:rPr>
        <w:tab/>
        <w:t>Moderator (LG Electronics)</w:t>
      </w:r>
    </w:p>
    <w:p w14:paraId="40DFC422" w14:textId="63742FDB" w:rsidR="002D7002" w:rsidRDefault="002D7002" w:rsidP="002D7002">
      <w:pPr>
        <w:pStyle w:val="a6"/>
        <w:numPr>
          <w:ilvl w:val="0"/>
          <w:numId w:val="23"/>
        </w:numPr>
        <w:rPr>
          <w:lang w:eastAsia="zh-CN"/>
        </w:rPr>
      </w:pPr>
      <w:r>
        <w:rPr>
          <w:lang w:eastAsia="zh-CN"/>
        </w:rPr>
        <w:t>Chairman notes, RAN1#112bis-e</w:t>
      </w:r>
    </w:p>
    <w:bookmarkEnd w:id="15"/>
    <w:p w14:paraId="14FCDD01" w14:textId="77777777" w:rsidR="00B255FA" w:rsidRDefault="00B255FA" w:rsidP="00B255FA">
      <w:pPr>
        <w:rPr>
          <w:lang w:eastAsia="zh-CN"/>
        </w:rPr>
      </w:pPr>
    </w:p>
    <w:p w14:paraId="0BAC2E6F" w14:textId="677E111E" w:rsidR="00B255FA" w:rsidRDefault="00B255FA" w:rsidP="00B255FA">
      <w:pPr>
        <w:rPr>
          <w:lang w:eastAsia="zh-CN"/>
        </w:rPr>
      </w:pPr>
    </w:p>
    <w:p w14:paraId="6A639FF6" w14:textId="77777777" w:rsidR="00B255FA" w:rsidRPr="00B255FA" w:rsidRDefault="00B255FA" w:rsidP="00B255FA">
      <w:pPr>
        <w:rPr>
          <w:lang w:eastAsia="zh-CN"/>
        </w:rPr>
      </w:pPr>
    </w:p>
    <w:sectPr w:rsidR="00B255FA" w:rsidRPr="00B255FA"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3C488" w14:textId="77777777" w:rsidR="00441415" w:rsidRDefault="00441415" w:rsidP="005B0279">
      <w:pPr>
        <w:spacing w:after="0"/>
      </w:pPr>
      <w:r>
        <w:separator/>
      </w:r>
    </w:p>
  </w:endnote>
  <w:endnote w:type="continuationSeparator" w:id="0">
    <w:p w14:paraId="11C40176" w14:textId="77777777" w:rsidR="00441415" w:rsidRDefault="00441415"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9A858" w14:textId="77777777" w:rsidR="00441415" w:rsidRDefault="00441415" w:rsidP="005B0279">
      <w:pPr>
        <w:spacing w:after="0"/>
      </w:pPr>
      <w:r>
        <w:separator/>
      </w:r>
    </w:p>
  </w:footnote>
  <w:footnote w:type="continuationSeparator" w:id="0">
    <w:p w14:paraId="4111090B" w14:textId="77777777" w:rsidR="00441415" w:rsidRDefault="00441415"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2"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8C538F"/>
    <w:multiLevelType w:val="multilevel"/>
    <w:tmpl w:val="4C8C538F"/>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8"/>
  </w:num>
  <w:num w:numId="17">
    <w:abstractNumId w:val="7"/>
  </w:num>
  <w:num w:numId="18">
    <w:abstractNumId w:val="4"/>
  </w:num>
  <w:num w:numId="19">
    <w:abstractNumId w:val="16"/>
  </w:num>
  <w:num w:numId="20">
    <w:abstractNumId w:val="2"/>
  </w:num>
  <w:num w:numId="21">
    <w:abstractNumId w:val="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
  </w:num>
  <w:num w:numId="25">
    <w:abstractNumId w:val="13"/>
  </w:num>
  <w:num w:numId="2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59CD"/>
    <w:rsid w:val="000166DF"/>
    <w:rsid w:val="00017BA4"/>
    <w:rsid w:val="000260BD"/>
    <w:rsid w:val="0002685E"/>
    <w:rsid w:val="00027912"/>
    <w:rsid w:val="00030C67"/>
    <w:rsid w:val="0003122A"/>
    <w:rsid w:val="0003265C"/>
    <w:rsid w:val="000341C7"/>
    <w:rsid w:val="00037E3B"/>
    <w:rsid w:val="0004042C"/>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C10"/>
    <w:rsid w:val="00056189"/>
    <w:rsid w:val="00056827"/>
    <w:rsid w:val="0006076E"/>
    <w:rsid w:val="00063392"/>
    <w:rsid w:val="00063E31"/>
    <w:rsid w:val="000659C6"/>
    <w:rsid w:val="00065DAA"/>
    <w:rsid w:val="00066E10"/>
    <w:rsid w:val="0006705A"/>
    <w:rsid w:val="00070BBB"/>
    <w:rsid w:val="00071CC1"/>
    <w:rsid w:val="00072605"/>
    <w:rsid w:val="00076A38"/>
    <w:rsid w:val="0007746C"/>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C08D6"/>
    <w:rsid w:val="000C1014"/>
    <w:rsid w:val="000C1F7D"/>
    <w:rsid w:val="000C343A"/>
    <w:rsid w:val="000C37F3"/>
    <w:rsid w:val="000C37F8"/>
    <w:rsid w:val="000C45F2"/>
    <w:rsid w:val="000C613B"/>
    <w:rsid w:val="000C6F5C"/>
    <w:rsid w:val="000C7041"/>
    <w:rsid w:val="000D313E"/>
    <w:rsid w:val="000D314C"/>
    <w:rsid w:val="000D3453"/>
    <w:rsid w:val="000D648F"/>
    <w:rsid w:val="000D6F42"/>
    <w:rsid w:val="000D7185"/>
    <w:rsid w:val="000E078A"/>
    <w:rsid w:val="000E0986"/>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2C80"/>
    <w:rsid w:val="00113012"/>
    <w:rsid w:val="0011452A"/>
    <w:rsid w:val="0011562F"/>
    <w:rsid w:val="0011591F"/>
    <w:rsid w:val="001170C6"/>
    <w:rsid w:val="0011775A"/>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54A6"/>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962"/>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0D63"/>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5DBF"/>
    <w:rsid w:val="002815D4"/>
    <w:rsid w:val="00282CE1"/>
    <w:rsid w:val="00283D0C"/>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5D4D"/>
    <w:rsid w:val="002D7002"/>
    <w:rsid w:val="002D71A0"/>
    <w:rsid w:val="002D7BD4"/>
    <w:rsid w:val="002E14DD"/>
    <w:rsid w:val="002E235C"/>
    <w:rsid w:val="002E3724"/>
    <w:rsid w:val="002E3741"/>
    <w:rsid w:val="002E3FE4"/>
    <w:rsid w:val="002E5978"/>
    <w:rsid w:val="002E5D7C"/>
    <w:rsid w:val="002E6B25"/>
    <w:rsid w:val="002F3503"/>
    <w:rsid w:val="002F6465"/>
    <w:rsid w:val="002F7255"/>
    <w:rsid w:val="003001CC"/>
    <w:rsid w:val="00302304"/>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26E"/>
    <w:rsid w:val="003439A2"/>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09D5"/>
    <w:rsid w:val="0037123A"/>
    <w:rsid w:val="00372626"/>
    <w:rsid w:val="0037470B"/>
    <w:rsid w:val="003748C0"/>
    <w:rsid w:val="00375075"/>
    <w:rsid w:val="00376474"/>
    <w:rsid w:val="00383C38"/>
    <w:rsid w:val="0038634F"/>
    <w:rsid w:val="0038732A"/>
    <w:rsid w:val="003913DC"/>
    <w:rsid w:val="00391594"/>
    <w:rsid w:val="003915AD"/>
    <w:rsid w:val="00392BB0"/>
    <w:rsid w:val="00392D86"/>
    <w:rsid w:val="003943F2"/>
    <w:rsid w:val="0039619E"/>
    <w:rsid w:val="003971DD"/>
    <w:rsid w:val="003977F3"/>
    <w:rsid w:val="003A027F"/>
    <w:rsid w:val="003A1FC7"/>
    <w:rsid w:val="003A2A5F"/>
    <w:rsid w:val="003A6008"/>
    <w:rsid w:val="003A7185"/>
    <w:rsid w:val="003B166C"/>
    <w:rsid w:val="003B1E76"/>
    <w:rsid w:val="003B3E89"/>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889"/>
    <w:rsid w:val="003F1C00"/>
    <w:rsid w:val="003F30EB"/>
    <w:rsid w:val="003F46A1"/>
    <w:rsid w:val="003F558D"/>
    <w:rsid w:val="00400AF4"/>
    <w:rsid w:val="00401482"/>
    <w:rsid w:val="004058B0"/>
    <w:rsid w:val="00407B4D"/>
    <w:rsid w:val="00410011"/>
    <w:rsid w:val="00410BB2"/>
    <w:rsid w:val="00410C20"/>
    <w:rsid w:val="00411F09"/>
    <w:rsid w:val="00411F0D"/>
    <w:rsid w:val="004143E8"/>
    <w:rsid w:val="00414759"/>
    <w:rsid w:val="00416D7C"/>
    <w:rsid w:val="00417669"/>
    <w:rsid w:val="00420562"/>
    <w:rsid w:val="00421E5F"/>
    <w:rsid w:val="0042238F"/>
    <w:rsid w:val="00423902"/>
    <w:rsid w:val="00426701"/>
    <w:rsid w:val="00427F46"/>
    <w:rsid w:val="00430BC1"/>
    <w:rsid w:val="004352BA"/>
    <w:rsid w:val="00435BF2"/>
    <w:rsid w:val="00435D23"/>
    <w:rsid w:val="0043775F"/>
    <w:rsid w:val="00437857"/>
    <w:rsid w:val="00441415"/>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A9A"/>
    <w:rsid w:val="004B7C6D"/>
    <w:rsid w:val="004C19EF"/>
    <w:rsid w:val="004C24B7"/>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1E9D"/>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274"/>
    <w:rsid w:val="005779AA"/>
    <w:rsid w:val="00582859"/>
    <w:rsid w:val="00582AE5"/>
    <w:rsid w:val="00583015"/>
    <w:rsid w:val="00584DA3"/>
    <w:rsid w:val="00585A24"/>
    <w:rsid w:val="00586A42"/>
    <w:rsid w:val="00587AA2"/>
    <w:rsid w:val="00587B5C"/>
    <w:rsid w:val="005901A1"/>
    <w:rsid w:val="0059157F"/>
    <w:rsid w:val="0059387B"/>
    <w:rsid w:val="00594775"/>
    <w:rsid w:val="00596AFB"/>
    <w:rsid w:val="005A1805"/>
    <w:rsid w:val="005A1A58"/>
    <w:rsid w:val="005A1CAA"/>
    <w:rsid w:val="005A2DEA"/>
    <w:rsid w:val="005A56DA"/>
    <w:rsid w:val="005A731D"/>
    <w:rsid w:val="005A7A7E"/>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0B9A"/>
    <w:rsid w:val="005D313A"/>
    <w:rsid w:val="005D3717"/>
    <w:rsid w:val="005D3940"/>
    <w:rsid w:val="005D3BBE"/>
    <w:rsid w:val="005D45BD"/>
    <w:rsid w:val="005D7286"/>
    <w:rsid w:val="005D72F5"/>
    <w:rsid w:val="005E1457"/>
    <w:rsid w:val="005E1860"/>
    <w:rsid w:val="005E2496"/>
    <w:rsid w:val="005E2DF4"/>
    <w:rsid w:val="005E3531"/>
    <w:rsid w:val="005E35F7"/>
    <w:rsid w:val="005E3B5E"/>
    <w:rsid w:val="005E48C2"/>
    <w:rsid w:val="005E51A8"/>
    <w:rsid w:val="005E5AE3"/>
    <w:rsid w:val="005E6CDD"/>
    <w:rsid w:val="005E76AE"/>
    <w:rsid w:val="005F0553"/>
    <w:rsid w:val="005F1410"/>
    <w:rsid w:val="005F1669"/>
    <w:rsid w:val="005F217B"/>
    <w:rsid w:val="005F2F78"/>
    <w:rsid w:val="005F3BF2"/>
    <w:rsid w:val="005F5168"/>
    <w:rsid w:val="005F7384"/>
    <w:rsid w:val="00602D31"/>
    <w:rsid w:val="00602E3F"/>
    <w:rsid w:val="006042A1"/>
    <w:rsid w:val="00604CF2"/>
    <w:rsid w:val="00606FA6"/>
    <w:rsid w:val="00607A40"/>
    <w:rsid w:val="00614DB9"/>
    <w:rsid w:val="00621A04"/>
    <w:rsid w:val="00621C6F"/>
    <w:rsid w:val="00621EC6"/>
    <w:rsid w:val="00622E28"/>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432E"/>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0AB9"/>
    <w:rsid w:val="00673941"/>
    <w:rsid w:val="00673E64"/>
    <w:rsid w:val="00674AC7"/>
    <w:rsid w:val="00676894"/>
    <w:rsid w:val="0067772B"/>
    <w:rsid w:val="0068049B"/>
    <w:rsid w:val="00680FF3"/>
    <w:rsid w:val="006834D5"/>
    <w:rsid w:val="00685F52"/>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509E"/>
    <w:rsid w:val="006C7A01"/>
    <w:rsid w:val="006D0763"/>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3BFE"/>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7256"/>
    <w:rsid w:val="00750585"/>
    <w:rsid w:val="0075063D"/>
    <w:rsid w:val="00750C75"/>
    <w:rsid w:val="0075167D"/>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39C1"/>
    <w:rsid w:val="00814000"/>
    <w:rsid w:val="008171B2"/>
    <w:rsid w:val="00817CB4"/>
    <w:rsid w:val="00817DB2"/>
    <w:rsid w:val="0082074A"/>
    <w:rsid w:val="00820ADF"/>
    <w:rsid w:val="00821182"/>
    <w:rsid w:val="00821C02"/>
    <w:rsid w:val="00821CD3"/>
    <w:rsid w:val="00822167"/>
    <w:rsid w:val="00822B79"/>
    <w:rsid w:val="00823152"/>
    <w:rsid w:val="00823283"/>
    <w:rsid w:val="00823A85"/>
    <w:rsid w:val="0082403C"/>
    <w:rsid w:val="008252EB"/>
    <w:rsid w:val="00825827"/>
    <w:rsid w:val="00826084"/>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A63"/>
    <w:rsid w:val="008507A3"/>
    <w:rsid w:val="0085081F"/>
    <w:rsid w:val="00851532"/>
    <w:rsid w:val="00851766"/>
    <w:rsid w:val="0085246C"/>
    <w:rsid w:val="008524C2"/>
    <w:rsid w:val="008562C4"/>
    <w:rsid w:val="00860DDC"/>
    <w:rsid w:val="00861351"/>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3388"/>
    <w:rsid w:val="008B59CD"/>
    <w:rsid w:val="008B6E09"/>
    <w:rsid w:val="008B7217"/>
    <w:rsid w:val="008C19A3"/>
    <w:rsid w:val="008C1B3E"/>
    <w:rsid w:val="008C27E9"/>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5D9D"/>
    <w:rsid w:val="008E68D7"/>
    <w:rsid w:val="008E698B"/>
    <w:rsid w:val="008E6A66"/>
    <w:rsid w:val="008E78E8"/>
    <w:rsid w:val="008F42FB"/>
    <w:rsid w:val="008F46BA"/>
    <w:rsid w:val="008F66BF"/>
    <w:rsid w:val="009013CA"/>
    <w:rsid w:val="009025B6"/>
    <w:rsid w:val="009052C5"/>
    <w:rsid w:val="00905785"/>
    <w:rsid w:val="00906509"/>
    <w:rsid w:val="009071F4"/>
    <w:rsid w:val="00911ADB"/>
    <w:rsid w:val="00912B0F"/>
    <w:rsid w:val="00913027"/>
    <w:rsid w:val="0091330E"/>
    <w:rsid w:val="00913B8A"/>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72E"/>
    <w:rsid w:val="00936849"/>
    <w:rsid w:val="00936B72"/>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3CA"/>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3D71"/>
    <w:rsid w:val="009749AA"/>
    <w:rsid w:val="00975237"/>
    <w:rsid w:val="00975CF2"/>
    <w:rsid w:val="0097673F"/>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4E72"/>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3EBC"/>
    <w:rsid w:val="009F41D4"/>
    <w:rsid w:val="009F4857"/>
    <w:rsid w:val="009F526E"/>
    <w:rsid w:val="009F537B"/>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4BB6"/>
    <w:rsid w:val="00A26D67"/>
    <w:rsid w:val="00A300CD"/>
    <w:rsid w:val="00A31310"/>
    <w:rsid w:val="00A31BA4"/>
    <w:rsid w:val="00A31BAC"/>
    <w:rsid w:val="00A32AC2"/>
    <w:rsid w:val="00A33BF4"/>
    <w:rsid w:val="00A343C2"/>
    <w:rsid w:val="00A34AA0"/>
    <w:rsid w:val="00A36258"/>
    <w:rsid w:val="00A36479"/>
    <w:rsid w:val="00A37BFD"/>
    <w:rsid w:val="00A37C9F"/>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91089"/>
    <w:rsid w:val="00A91869"/>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43C1"/>
    <w:rsid w:val="00AF6539"/>
    <w:rsid w:val="00AF6B0B"/>
    <w:rsid w:val="00AF6D3C"/>
    <w:rsid w:val="00B00E78"/>
    <w:rsid w:val="00B018CB"/>
    <w:rsid w:val="00B052AC"/>
    <w:rsid w:val="00B06824"/>
    <w:rsid w:val="00B10DA4"/>
    <w:rsid w:val="00B11604"/>
    <w:rsid w:val="00B13D76"/>
    <w:rsid w:val="00B14D97"/>
    <w:rsid w:val="00B16F32"/>
    <w:rsid w:val="00B22DC5"/>
    <w:rsid w:val="00B24624"/>
    <w:rsid w:val="00B255FA"/>
    <w:rsid w:val="00B2695B"/>
    <w:rsid w:val="00B27623"/>
    <w:rsid w:val="00B27B55"/>
    <w:rsid w:val="00B3148C"/>
    <w:rsid w:val="00B37099"/>
    <w:rsid w:val="00B40A50"/>
    <w:rsid w:val="00B40F23"/>
    <w:rsid w:val="00B42A96"/>
    <w:rsid w:val="00B4406B"/>
    <w:rsid w:val="00B454D6"/>
    <w:rsid w:val="00B45ABC"/>
    <w:rsid w:val="00B45D7E"/>
    <w:rsid w:val="00B47074"/>
    <w:rsid w:val="00B5091D"/>
    <w:rsid w:val="00B5133B"/>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602C"/>
    <w:rsid w:val="00B97FCC"/>
    <w:rsid w:val="00BA00CF"/>
    <w:rsid w:val="00BA0591"/>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59"/>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A45C6"/>
    <w:rsid w:val="00CB09B0"/>
    <w:rsid w:val="00CB0D7A"/>
    <w:rsid w:val="00CB0DCD"/>
    <w:rsid w:val="00CB1079"/>
    <w:rsid w:val="00CB20AF"/>
    <w:rsid w:val="00CB2A30"/>
    <w:rsid w:val="00CB6298"/>
    <w:rsid w:val="00CB7563"/>
    <w:rsid w:val="00CC024B"/>
    <w:rsid w:val="00CC0BD7"/>
    <w:rsid w:val="00CC0EDA"/>
    <w:rsid w:val="00CC16F4"/>
    <w:rsid w:val="00CC198B"/>
    <w:rsid w:val="00CC1F3A"/>
    <w:rsid w:val="00CC290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2BDD"/>
    <w:rsid w:val="00D037E2"/>
    <w:rsid w:val="00D039F2"/>
    <w:rsid w:val="00D03E05"/>
    <w:rsid w:val="00D03E09"/>
    <w:rsid w:val="00D04191"/>
    <w:rsid w:val="00D044C9"/>
    <w:rsid w:val="00D04E9A"/>
    <w:rsid w:val="00D0556C"/>
    <w:rsid w:val="00D06411"/>
    <w:rsid w:val="00D06D5F"/>
    <w:rsid w:val="00D07C25"/>
    <w:rsid w:val="00D10D45"/>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2A56"/>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9043E"/>
    <w:rsid w:val="00D90C18"/>
    <w:rsid w:val="00D910C2"/>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4D16"/>
    <w:rsid w:val="00DA5816"/>
    <w:rsid w:val="00DA5B0C"/>
    <w:rsid w:val="00DA7B99"/>
    <w:rsid w:val="00DB24AE"/>
    <w:rsid w:val="00DB3FDD"/>
    <w:rsid w:val="00DB4A2A"/>
    <w:rsid w:val="00DB4C08"/>
    <w:rsid w:val="00DC0BB3"/>
    <w:rsid w:val="00DC1722"/>
    <w:rsid w:val="00DC2116"/>
    <w:rsid w:val="00DC2E00"/>
    <w:rsid w:val="00DC5081"/>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E41"/>
    <w:rsid w:val="00E04112"/>
    <w:rsid w:val="00E043F2"/>
    <w:rsid w:val="00E053F5"/>
    <w:rsid w:val="00E05EAF"/>
    <w:rsid w:val="00E068FA"/>
    <w:rsid w:val="00E06E85"/>
    <w:rsid w:val="00E10BB4"/>
    <w:rsid w:val="00E10DC4"/>
    <w:rsid w:val="00E12285"/>
    <w:rsid w:val="00E137B2"/>
    <w:rsid w:val="00E137FC"/>
    <w:rsid w:val="00E1400C"/>
    <w:rsid w:val="00E14052"/>
    <w:rsid w:val="00E1437E"/>
    <w:rsid w:val="00E154EE"/>
    <w:rsid w:val="00E21B89"/>
    <w:rsid w:val="00E22A62"/>
    <w:rsid w:val="00E23A0C"/>
    <w:rsid w:val="00E30FED"/>
    <w:rsid w:val="00E34C42"/>
    <w:rsid w:val="00E35723"/>
    <w:rsid w:val="00E430F2"/>
    <w:rsid w:val="00E43527"/>
    <w:rsid w:val="00E44750"/>
    <w:rsid w:val="00E4600C"/>
    <w:rsid w:val="00E465DB"/>
    <w:rsid w:val="00E47246"/>
    <w:rsid w:val="00E47B3D"/>
    <w:rsid w:val="00E50E51"/>
    <w:rsid w:val="00E52A0B"/>
    <w:rsid w:val="00E540CA"/>
    <w:rsid w:val="00E54F80"/>
    <w:rsid w:val="00E55B2B"/>
    <w:rsid w:val="00E5615F"/>
    <w:rsid w:val="00E57564"/>
    <w:rsid w:val="00E615F9"/>
    <w:rsid w:val="00E617A2"/>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2D6F"/>
    <w:rsid w:val="00EB3635"/>
    <w:rsid w:val="00EB5C6A"/>
    <w:rsid w:val="00EB759B"/>
    <w:rsid w:val="00EB76F8"/>
    <w:rsid w:val="00EC11DD"/>
    <w:rsid w:val="00EC1565"/>
    <w:rsid w:val="00EC1C57"/>
    <w:rsid w:val="00EC29B4"/>
    <w:rsid w:val="00EC3A58"/>
    <w:rsid w:val="00EC4493"/>
    <w:rsid w:val="00EC4AFB"/>
    <w:rsid w:val="00EC55AE"/>
    <w:rsid w:val="00EC57DC"/>
    <w:rsid w:val="00ED1222"/>
    <w:rsid w:val="00ED1C0E"/>
    <w:rsid w:val="00ED23ED"/>
    <w:rsid w:val="00ED28F4"/>
    <w:rsid w:val="00ED2EFE"/>
    <w:rsid w:val="00ED357D"/>
    <w:rsid w:val="00ED4B56"/>
    <w:rsid w:val="00ED6B32"/>
    <w:rsid w:val="00ED6DA5"/>
    <w:rsid w:val="00EE17AD"/>
    <w:rsid w:val="00EE34D2"/>
    <w:rsid w:val="00EE3591"/>
    <w:rsid w:val="00EE3C08"/>
    <w:rsid w:val="00EE5D79"/>
    <w:rsid w:val="00EE60D1"/>
    <w:rsid w:val="00EF122E"/>
    <w:rsid w:val="00EF3286"/>
    <w:rsid w:val="00EF3663"/>
    <w:rsid w:val="00EF3A19"/>
    <w:rsid w:val="00EF456E"/>
    <w:rsid w:val="00EF4CAF"/>
    <w:rsid w:val="00EF77EC"/>
    <w:rsid w:val="00EF7D75"/>
    <w:rsid w:val="00F00693"/>
    <w:rsid w:val="00F0194F"/>
    <w:rsid w:val="00F02282"/>
    <w:rsid w:val="00F02A68"/>
    <w:rsid w:val="00F02B41"/>
    <w:rsid w:val="00F039A3"/>
    <w:rsid w:val="00F0450B"/>
    <w:rsid w:val="00F07129"/>
    <w:rsid w:val="00F07159"/>
    <w:rsid w:val="00F10000"/>
    <w:rsid w:val="00F100FF"/>
    <w:rsid w:val="00F15392"/>
    <w:rsid w:val="00F15A40"/>
    <w:rsid w:val="00F1611B"/>
    <w:rsid w:val="00F169D3"/>
    <w:rsid w:val="00F16C9E"/>
    <w:rsid w:val="00F17F72"/>
    <w:rsid w:val="00F204D1"/>
    <w:rsid w:val="00F20CF4"/>
    <w:rsid w:val="00F221AE"/>
    <w:rsid w:val="00F224F5"/>
    <w:rsid w:val="00F23C55"/>
    <w:rsid w:val="00F23F54"/>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77790"/>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97285"/>
    <w:rsid w:val="00FA0C0E"/>
    <w:rsid w:val="00FA1182"/>
    <w:rsid w:val="00FA2058"/>
    <w:rsid w:val="00FA3DA2"/>
    <w:rsid w:val="00FA3F8D"/>
    <w:rsid w:val="00FA5A15"/>
    <w:rsid w:val="00FA6498"/>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D6544"/>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5D4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5636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96183506">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479F-AE48-473C-8B32-225DF2AC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2023-08-11T12:31:00Z</dcterms:created>
  <dcterms:modified xsi:type="dcterms:W3CDTF">2023-08-11T14:11:00Z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(3)qMBXo0S0KS84cbBVgHnmUL3JoVHy8Wo/IzRgLvZ9hccGH+Gv9OWfY0oLpN3Fu2YleW+9UqTT
hoaiBstGBn69PBD28STm0mFQ9UMGS3FF9LT+IlU9wHzo9jiiPgtltiewIes6Xs77tqZoLwfq
hM8uCA6Lzphtc1Upyhnva2OE1J35GnQTdH/l4sDxLQ7Fy61KVxM6pKUo0wpBtd/F4/1FlsY7
f/T53R4i/B0HuuzK3g</vt:lpwstr>
  </property>
  <property fmtid="{D5CDD505-2E9C-101B-9397-08002B2CF9AE}" pid="3" name="_2015_ms_pID_7253431">
    <vt:lpwstr>S/nZDvpOd9CdkFwS6vgmsRUB/RznuGxsSv2leUB/4JATEJXpQ1rz4X
xZUbZysZOE9+7JlwqaKRVsNXF51pGSqq6U1B+sZ7Yac+5o9GIKphjlIejYJYU6KMVIYsri0S
+aY92i6w2LhMNL/u1milZlY2L7zqfAXYmvbMLoSuaHfDETMWN1dsf3WeCO5KGf4/OMoNBDXn
2cEbb2Hb0/sMlU6NmXxmh7PLhrKVnEsWHqoS</vt:lpwstr>
  </property>
  <property fmtid="{D5CDD505-2E9C-101B-9397-08002B2CF9AE}" pid="4" name="_2015_ms_pID_7253432">
    <vt:lpwstr>sC1+CVtYPk1vDelywjxYl9Q=</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1683853107</vt:lpwstr>
  </property>
</Properties>
</file>