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F790C2" w14:textId="22493550" w:rsidR="005712BD" w:rsidRPr="00540A7E" w:rsidRDefault="005712BD" w:rsidP="005712BD">
      <w:pPr>
        <w:pStyle w:val="a3"/>
        <w:tabs>
          <w:tab w:val="right" w:pos="8280"/>
          <w:tab w:val="right" w:pos="9781"/>
        </w:tabs>
        <w:snapToGrid w:val="0"/>
        <w:ind w:right="-58"/>
        <w:rPr>
          <w:rFonts w:cs="Arial"/>
          <w:bCs/>
          <w:sz w:val="20"/>
          <w:lang w:val="de-DE" w:eastAsia="ja-JP"/>
        </w:rPr>
      </w:pPr>
      <w:r w:rsidRPr="00540A7E">
        <w:rPr>
          <w:rFonts w:cs="Arial"/>
          <w:bCs/>
          <w:sz w:val="20"/>
          <w:lang w:val="de-DE"/>
        </w:rPr>
        <w:t>3GPP TSG RAN WG1</w:t>
      </w:r>
      <w:r w:rsidRPr="00540A7E">
        <w:rPr>
          <w:rFonts w:cs="Arial"/>
          <w:bCs/>
          <w:sz w:val="20"/>
          <w:lang w:val="de-DE" w:eastAsia="ja-JP"/>
        </w:rPr>
        <w:t xml:space="preserve"> #</w:t>
      </w:r>
      <w:r w:rsidR="005F563B">
        <w:rPr>
          <w:rFonts w:cs="Arial" w:hint="eastAsia"/>
          <w:bCs/>
          <w:sz w:val="20"/>
          <w:lang w:val="de-DE" w:eastAsia="ja-JP"/>
        </w:rPr>
        <w:t>113</w:t>
      </w:r>
      <w:r w:rsidRPr="00540A7E">
        <w:rPr>
          <w:rFonts w:cs="Arial"/>
          <w:bCs/>
          <w:sz w:val="20"/>
          <w:lang w:val="de-DE" w:eastAsia="ja-JP"/>
        </w:rPr>
        <w:tab/>
      </w:r>
      <w:r w:rsidRPr="00540A7E">
        <w:rPr>
          <w:rFonts w:cs="Arial"/>
          <w:bCs/>
          <w:sz w:val="20"/>
          <w:lang w:val="de-DE" w:eastAsia="ja-JP"/>
        </w:rPr>
        <w:tab/>
      </w:r>
      <w:r w:rsidRPr="00967E29">
        <w:t xml:space="preserve"> </w:t>
      </w:r>
      <w:r w:rsidRPr="00736674">
        <w:t xml:space="preserve"> </w:t>
      </w:r>
      <w:r w:rsidR="000E1D1E" w:rsidRPr="000E1D1E">
        <w:t xml:space="preserve"> R1-2304972</w:t>
      </w:r>
    </w:p>
    <w:p w14:paraId="75792024" w14:textId="6D8EF7FB" w:rsidR="005712BD" w:rsidRDefault="005F563B" w:rsidP="005712BD">
      <w:pPr>
        <w:pStyle w:val="TdocHeader2"/>
        <w:spacing w:after="60"/>
        <w:jc w:val="left"/>
        <w:rPr>
          <w:sz w:val="20"/>
        </w:rPr>
      </w:pPr>
      <w:r w:rsidRPr="005F563B">
        <w:rPr>
          <w:sz w:val="20"/>
        </w:rPr>
        <w:t>Incheon, Korea, May 22nd – May 26th, 2023</w:t>
      </w:r>
    </w:p>
    <w:p w14:paraId="679FEA0B" w14:textId="77777777" w:rsidR="00D131E8" w:rsidRDefault="00D131E8" w:rsidP="000F4B39">
      <w:pPr>
        <w:pStyle w:val="TdocHeader2"/>
        <w:spacing w:after="60"/>
        <w:jc w:val="left"/>
        <w:rPr>
          <w:sz w:val="20"/>
        </w:rPr>
      </w:pPr>
    </w:p>
    <w:p w14:paraId="0CE929FA" w14:textId="17B3CBD8" w:rsidR="0045740A" w:rsidRPr="00183562" w:rsidRDefault="0045740A" w:rsidP="000F4B39">
      <w:pPr>
        <w:pStyle w:val="TdocHeader2"/>
        <w:spacing w:after="60"/>
        <w:jc w:val="left"/>
        <w:rPr>
          <w:rFonts w:eastAsia="ＭＳ 明朝"/>
          <w:sz w:val="20"/>
          <w:lang w:eastAsia="ja-JP"/>
        </w:rPr>
      </w:pPr>
      <w:r w:rsidRPr="00183562">
        <w:rPr>
          <w:sz w:val="20"/>
        </w:rPr>
        <w:t>Source:</w:t>
      </w:r>
      <w:r w:rsidRPr="00183562">
        <w:rPr>
          <w:sz w:val="20"/>
        </w:rPr>
        <w:tab/>
      </w:r>
      <w:r w:rsidRPr="00183562">
        <w:rPr>
          <w:b w:val="0"/>
          <w:sz w:val="20"/>
        </w:rPr>
        <w:t>Panasonic</w:t>
      </w:r>
    </w:p>
    <w:p w14:paraId="67FC26D2" w14:textId="1C3CA3F5" w:rsidR="0045740A" w:rsidRPr="003A3034" w:rsidRDefault="0045740A" w:rsidP="000F4B39">
      <w:pPr>
        <w:pStyle w:val="TdocHeader2"/>
        <w:spacing w:after="60"/>
        <w:jc w:val="left"/>
        <w:rPr>
          <w:rFonts w:eastAsia="ＭＳ 明朝"/>
          <w:b w:val="0"/>
          <w:sz w:val="20"/>
          <w:lang w:eastAsia="ja-JP"/>
        </w:rPr>
      </w:pPr>
      <w:r w:rsidRPr="00183562">
        <w:rPr>
          <w:sz w:val="20"/>
        </w:rPr>
        <w:t xml:space="preserve">Title: </w:t>
      </w:r>
      <w:r w:rsidRPr="00183562">
        <w:rPr>
          <w:sz w:val="20"/>
        </w:rPr>
        <w:tab/>
      </w:r>
      <w:r w:rsidR="00C87BD4" w:rsidRPr="00C87BD4">
        <w:rPr>
          <w:b w:val="0"/>
          <w:bCs/>
          <w:sz w:val="20"/>
        </w:rPr>
        <w:t>Discussion on subband non-overlapping full duplex</w:t>
      </w:r>
    </w:p>
    <w:p w14:paraId="7E572B5C" w14:textId="5F06BA40" w:rsidR="00B46D0E" w:rsidRPr="009E4392" w:rsidRDefault="0045740A" w:rsidP="009E4392">
      <w:pPr>
        <w:spacing w:after="60"/>
        <w:rPr>
          <w:rFonts w:ascii="Arial" w:eastAsia="SimSun" w:hAnsi="Arial"/>
          <w:b/>
          <w:lang w:eastAsia="zh-CN"/>
        </w:rPr>
      </w:pPr>
      <w:r w:rsidRPr="00183562">
        <w:rPr>
          <w:rFonts w:ascii="Arial" w:eastAsia="Batang" w:hAnsi="Arial"/>
          <w:b/>
        </w:rPr>
        <w:t>Agenda Item:</w:t>
      </w:r>
      <w:r w:rsidRPr="00183562">
        <w:rPr>
          <w:rFonts w:ascii="Arial" w:eastAsia="Batang" w:hAnsi="Arial"/>
          <w:b/>
        </w:rPr>
        <w:tab/>
      </w:r>
      <w:r>
        <w:rPr>
          <w:rFonts w:ascii="Arial" w:eastAsia="SimSun" w:hAnsi="Arial" w:hint="eastAsia"/>
          <w:b/>
          <w:lang w:eastAsia="zh-CN"/>
        </w:rPr>
        <w:tab/>
      </w:r>
      <w:r w:rsidR="004D1DEC" w:rsidRPr="004D1DEC">
        <w:rPr>
          <w:rFonts w:ascii="Arial" w:eastAsia="SimSun" w:hAnsi="Arial"/>
          <w:lang w:eastAsia="zh-CN"/>
        </w:rPr>
        <w:t>9.3.</w:t>
      </w:r>
      <w:r w:rsidR="00C87BD4">
        <w:rPr>
          <w:rFonts w:ascii="Arial" w:eastAsia="SimSun" w:hAnsi="Arial"/>
          <w:lang w:eastAsia="zh-CN"/>
        </w:rPr>
        <w:t>2</w:t>
      </w:r>
    </w:p>
    <w:p w14:paraId="014B47C2" w14:textId="241BECCB" w:rsidR="0045740A" w:rsidRPr="00D51468" w:rsidRDefault="0045740A" w:rsidP="000F4B39">
      <w:pPr>
        <w:pStyle w:val="TdocHeader2"/>
        <w:spacing w:after="60"/>
        <w:jc w:val="left"/>
        <w:rPr>
          <w:rFonts w:ascii="Times New Roman" w:eastAsiaTheme="minorEastAsia" w:hAnsi="Times New Roman"/>
          <w:b w:val="0"/>
          <w:sz w:val="20"/>
          <w:lang w:eastAsia="ja-JP"/>
        </w:rPr>
      </w:pPr>
      <w:r w:rsidRPr="00183562">
        <w:rPr>
          <w:sz w:val="20"/>
        </w:rPr>
        <w:t>Document for:</w:t>
      </w:r>
      <w:r w:rsidRPr="00183562">
        <w:rPr>
          <w:sz w:val="20"/>
        </w:rPr>
        <w:tab/>
      </w:r>
      <w:r w:rsidRPr="00183562">
        <w:rPr>
          <w:rFonts w:eastAsia="SimSun"/>
          <w:b w:val="0"/>
          <w:sz w:val="20"/>
          <w:lang w:eastAsia="zh-CN"/>
        </w:rPr>
        <w:t>Discussion</w:t>
      </w:r>
    </w:p>
    <w:p w14:paraId="77DAC748" w14:textId="103BE552" w:rsidR="000D113F" w:rsidRDefault="000D113F" w:rsidP="00E23953">
      <w:pPr>
        <w:pStyle w:val="1"/>
        <w:tabs>
          <w:tab w:val="num" w:pos="426"/>
        </w:tabs>
        <w:ind w:left="426" w:hanging="426"/>
        <w:rPr>
          <w:rFonts w:eastAsiaTheme="minorEastAsia"/>
          <w:lang w:eastAsia="ja-JP"/>
        </w:rPr>
      </w:pPr>
      <w:bookmarkStart w:id="0" w:name="_Ref78978006"/>
      <w:r>
        <w:rPr>
          <w:rFonts w:eastAsiaTheme="minorEastAsia" w:hint="eastAsia"/>
          <w:lang w:eastAsia="ja-JP"/>
        </w:rPr>
        <w:t>Introduction</w:t>
      </w:r>
      <w:bookmarkEnd w:id="0"/>
    </w:p>
    <w:p w14:paraId="04B47C0E" w14:textId="6330C18C" w:rsidR="009E0B76" w:rsidRDefault="001956E4" w:rsidP="00CD721E">
      <w:r w:rsidRPr="001956E4">
        <w:rPr>
          <w:rFonts w:hint="eastAsia"/>
          <w:lang w:eastAsia="ja-JP"/>
        </w:rPr>
        <w:t xml:space="preserve">A </w:t>
      </w:r>
      <w:r>
        <w:rPr>
          <w:lang w:eastAsia="ja-JP"/>
        </w:rPr>
        <w:t>study item “</w:t>
      </w:r>
      <w:r w:rsidRPr="00D2453D">
        <w:rPr>
          <w:lang w:eastAsia="ja-JP"/>
        </w:rPr>
        <w:t>Study on evolution of NR duplex operation</w:t>
      </w:r>
      <w:r>
        <w:rPr>
          <w:lang w:eastAsia="ja-JP"/>
        </w:rPr>
        <w:t>” has been agreed for Rel.18</w:t>
      </w:r>
      <w:r w:rsidR="00E11738">
        <w:rPr>
          <w:lang w:eastAsia="ja-JP"/>
        </w:rPr>
        <w:t xml:space="preserve"> </w:t>
      </w:r>
      <w:r w:rsidR="00E11738">
        <w:rPr>
          <w:lang w:eastAsia="ja-JP"/>
        </w:rPr>
        <w:fldChar w:fldCharType="begin"/>
      </w:r>
      <w:r w:rsidR="00E11738">
        <w:rPr>
          <w:lang w:eastAsia="ja-JP"/>
        </w:rPr>
        <w:instrText xml:space="preserve"> REF _Ref115358357 \n \h </w:instrText>
      </w:r>
      <w:r w:rsidR="00E11738">
        <w:rPr>
          <w:lang w:eastAsia="ja-JP"/>
        </w:rPr>
      </w:r>
      <w:r w:rsidR="00E11738">
        <w:rPr>
          <w:lang w:eastAsia="ja-JP"/>
        </w:rPr>
        <w:fldChar w:fldCharType="separate"/>
      </w:r>
      <w:r w:rsidR="00461A99">
        <w:rPr>
          <w:lang w:eastAsia="ja-JP"/>
        </w:rPr>
        <w:t>[1]</w:t>
      </w:r>
      <w:r w:rsidR="00E11738">
        <w:rPr>
          <w:lang w:eastAsia="ja-JP"/>
        </w:rPr>
        <w:fldChar w:fldCharType="end"/>
      </w:r>
      <w:r>
        <w:rPr>
          <w:lang w:eastAsia="ja-JP"/>
        </w:rPr>
        <w:t xml:space="preserve">. One key objective is to study </w:t>
      </w:r>
      <w:r w:rsidRPr="00410D4F">
        <w:rPr>
          <w:lang w:eastAsia="ja-JP"/>
        </w:rPr>
        <w:t>subband non-overlapping full duplex</w:t>
      </w:r>
      <w:r>
        <w:rPr>
          <w:lang w:eastAsia="ja-JP"/>
        </w:rPr>
        <w:t xml:space="preserve"> (SBFD). </w:t>
      </w:r>
      <w:r>
        <w:t>T</w:t>
      </w:r>
      <w:r w:rsidRPr="00F63E78">
        <w:t>his document provide</w:t>
      </w:r>
      <w:r>
        <w:t>s</w:t>
      </w:r>
      <w:r w:rsidRPr="00F63E78">
        <w:t xml:space="preserve"> our view </w:t>
      </w:r>
      <w:r>
        <w:t>on SBFD</w:t>
      </w:r>
      <w:r w:rsidRPr="00F63E78">
        <w:t>.</w:t>
      </w:r>
    </w:p>
    <w:p w14:paraId="0148F7AE" w14:textId="1AC1AA48" w:rsidR="001F67D7" w:rsidRPr="00B10F9D" w:rsidRDefault="0024783E" w:rsidP="00F25B45">
      <w:pPr>
        <w:pStyle w:val="1"/>
        <w:tabs>
          <w:tab w:val="num" w:pos="426"/>
        </w:tabs>
        <w:ind w:left="426" w:hanging="426"/>
        <w:rPr>
          <w:lang w:val="en-US" w:eastAsia="ja-JP"/>
        </w:rPr>
      </w:pPr>
      <w:r w:rsidRPr="00B31360">
        <w:rPr>
          <w:szCs w:val="36"/>
          <w:lang w:eastAsia="ja-JP"/>
        </w:rPr>
        <w:t>Discussion</w:t>
      </w:r>
    </w:p>
    <w:p w14:paraId="352033B1" w14:textId="35D89B99" w:rsidR="00D67833" w:rsidRPr="00D67833" w:rsidRDefault="00637742" w:rsidP="00002E6E">
      <w:pPr>
        <w:pStyle w:val="2"/>
        <w:tabs>
          <w:tab w:val="clear" w:pos="1135"/>
        </w:tabs>
      </w:pPr>
      <w:r>
        <w:t>SBFD</w:t>
      </w:r>
      <w:r w:rsidR="00694E56">
        <w:t xml:space="preserve"> operation</w:t>
      </w:r>
    </w:p>
    <w:p w14:paraId="558237B7" w14:textId="2392C340" w:rsidR="00F65C16" w:rsidRPr="00635D3B" w:rsidRDefault="00C848E8" w:rsidP="00F65C16">
      <w:pPr>
        <w:pStyle w:val="3"/>
      </w:pPr>
      <w:r>
        <w:t>Link direction of subbands</w:t>
      </w:r>
    </w:p>
    <w:p w14:paraId="19869347" w14:textId="263C6F9B" w:rsidR="0015604F" w:rsidRDefault="005712BD" w:rsidP="00002E6E">
      <w:pPr>
        <w:rPr>
          <w:lang w:eastAsia="ja-JP"/>
        </w:rPr>
      </w:pPr>
      <w:r>
        <w:rPr>
          <w:rFonts w:hint="eastAsia"/>
          <w:lang w:eastAsia="ja-JP"/>
        </w:rPr>
        <w:t>I</w:t>
      </w:r>
      <w:r>
        <w:rPr>
          <w:lang w:eastAsia="ja-JP"/>
        </w:rPr>
        <w:t xml:space="preserve">n RAN1#112, the following agreement was </w:t>
      </w:r>
      <w:r w:rsidR="00BC7E9B">
        <w:rPr>
          <w:lang w:eastAsia="ja-JP"/>
        </w:rPr>
        <w:t>made</w:t>
      </w:r>
      <w:r w:rsidR="004936FA">
        <w:rPr>
          <w:lang w:eastAsia="ja-JP"/>
        </w:rPr>
        <w:t xml:space="preserve"> for dynamic SBFD</w:t>
      </w:r>
      <w:r>
        <w:rPr>
          <w:lang w:eastAsia="ja-JP"/>
        </w:rPr>
        <w:t xml:space="preserve">. </w:t>
      </w:r>
    </w:p>
    <w:tbl>
      <w:tblPr>
        <w:tblStyle w:val="afc"/>
        <w:tblW w:w="0" w:type="auto"/>
        <w:tblLook w:val="04A0" w:firstRow="1" w:lastRow="0" w:firstColumn="1" w:lastColumn="0" w:noHBand="0" w:noVBand="1"/>
      </w:tblPr>
      <w:tblGrid>
        <w:gridCol w:w="9630"/>
      </w:tblGrid>
      <w:tr w:rsidR="0015604F" w14:paraId="4EB9ED8F" w14:textId="77777777" w:rsidTr="0015604F">
        <w:tc>
          <w:tcPr>
            <w:tcW w:w="9630" w:type="dxa"/>
          </w:tcPr>
          <w:p w14:paraId="4D7C7CF9" w14:textId="77777777" w:rsidR="005712BD" w:rsidRPr="0066567D" w:rsidRDefault="005712BD" w:rsidP="005712BD">
            <w:pPr>
              <w:spacing w:after="0"/>
              <w:jc w:val="both"/>
              <w:rPr>
                <w:rFonts w:eastAsia="Malgun Gothic" w:cs="Times"/>
                <w:b/>
                <w:highlight w:val="green"/>
                <w:lang w:eastAsia="zh-CN"/>
              </w:rPr>
            </w:pPr>
            <w:r w:rsidRPr="0066567D">
              <w:rPr>
                <w:rFonts w:eastAsia="Malgun Gothic" w:cs="Times"/>
                <w:b/>
                <w:highlight w:val="green"/>
                <w:lang w:eastAsia="zh-CN"/>
              </w:rPr>
              <w:t>Agreement</w:t>
            </w:r>
          </w:p>
          <w:p w14:paraId="3BD342A9" w14:textId="77777777" w:rsidR="005712BD" w:rsidRPr="0066567D" w:rsidRDefault="005712BD" w:rsidP="005712BD">
            <w:pPr>
              <w:spacing w:after="0"/>
              <w:jc w:val="both"/>
              <w:rPr>
                <w:rFonts w:eastAsia="Malgun Gothic" w:cs="Times"/>
                <w:lang w:eastAsia="zh-CN"/>
              </w:rPr>
            </w:pPr>
            <w:r w:rsidRPr="0066567D">
              <w:rPr>
                <w:rFonts w:eastAsia="Malgun Gothic" w:cs="Times"/>
                <w:lang w:eastAsia="zh-CN"/>
              </w:rPr>
              <w:t>For dynamic SBFD,</w:t>
            </w:r>
          </w:p>
          <w:p w14:paraId="32B11DF2" w14:textId="77777777" w:rsidR="005712BD" w:rsidRPr="0066567D" w:rsidRDefault="005712BD" w:rsidP="005712BD">
            <w:pPr>
              <w:numPr>
                <w:ilvl w:val="1"/>
                <w:numId w:val="23"/>
              </w:numPr>
              <w:spacing w:after="0"/>
              <w:jc w:val="both"/>
              <w:rPr>
                <w:rFonts w:eastAsia="Malgun Gothic" w:cs="Times"/>
                <w:lang w:eastAsia="zh-CN"/>
              </w:rPr>
            </w:pPr>
            <w:r w:rsidRPr="0066567D">
              <w:rPr>
                <w:rFonts w:eastAsia="Malgun Gothic" w:cs="Times"/>
                <w:lang w:eastAsia="zh-CN"/>
              </w:rPr>
              <w:t xml:space="preserve">For SBFD-aware UEs, further study whether DL receptions outside semi-statically configured DL subband(s) are allowed or not in a symbol configured as DL in </w:t>
            </w:r>
            <w:r w:rsidRPr="0066567D">
              <w:rPr>
                <w:rFonts w:eastAsia="Malgun Gothic" w:cs="Times"/>
                <w:i/>
                <w:lang w:eastAsia="zh-CN"/>
              </w:rPr>
              <w:t>TDD-UL-DL-ConfigCommon</w:t>
            </w:r>
            <w:r w:rsidRPr="0066567D">
              <w:rPr>
                <w:rFonts w:eastAsia="Malgun Gothic" w:cs="Times"/>
                <w:lang w:eastAsia="zh-CN"/>
              </w:rPr>
              <w:t xml:space="preserve"> based on the following options:</w:t>
            </w:r>
          </w:p>
          <w:p w14:paraId="4FD68A81" w14:textId="77777777" w:rsidR="005712BD" w:rsidRPr="0066567D" w:rsidRDefault="005712BD" w:rsidP="005712BD">
            <w:pPr>
              <w:pStyle w:val="aff4"/>
              <w:numPr>
                <w:ilvl w:val="2"/>
                <w:numId w:val="23"/>
              </w:numPr>
              <w:spacing w:after="0"/>
              <w:ind w:leftChars="0"/>
              <w:jc w:val="both"/>
              <w:rPr>
                <w:rFonts w:eastAsia="Malgun Gothic" w:cs="Times"/>
                <w:lang w:eastAsia="zh-CN"/>
              </w:rPr>
            </w:pPr>
            <w:r w:rsidRPr="0066567D">
              <w:rPr>
                <w:rFonts w:eastAsia="Malgun Gothic" w:cs="Times"/>
                <w:lang w:eastAsia="zh-CN"/>
              </w:rPr>
              <w:t>Option 1 (semi-static): DL receptions outside semi-statically configured DL subband(s) are not allowed</w:t>
            </w:r>
          </w:p>
          <w:p w14:paraId="748C5C8A" w14:textId="77777777" w:rsidR="005712BD" w:rsidRPr="0066567D" w:rsidRDefault="005712BD" w:rsidP="005712BD">
            <w:pPr>
              <w:pStyle w:val="aff4"/>
              <w:numPr>
                <w:ilvl w:val="2"/>
                <w:numId w:val="23"/>
              </w:numPr>
              <w:spacing w:after="0"/>
              <w:ind w:leftChars="0"/>
              <w:jc w:val="both"/>
              <w:rPr>
                <w:rFonts w:eastAsia="Malgun Gothic" w:cs="Times"/>
                <w:lang w:eastAsia="zh-CN"/>
              </w:rPr>
            </w:pPr>
            <w:r w:rsidRPr="0066567D">
              <w:rPr>
                <w:rFonts w:eastAsia="Malgun Gothic" w:cs="Times"/>
                <w:lang w:eastAsia="zh-CN"/>
              </w:rPr>
              <w:t xml:space="preserve">Option 2: DL receptions outside semi-statically configured DL subband(s) are allowed </w:t>
            </w:r>
          </w:p>
          <w:p w14:paraId="47C706A1" w14:textId="77777777" w:rsidR="005712BD" w:rsidRPr="0066567D" w:rsidRDefault="005712BD" w:rsidP="005712BD">
            <w:pPr>
              <w:numPr>
                <w:ilvl w:val="1"/>
                <w:numId w:val="23"/>
              </w:numPr>
              <w:spacing w:after="0"/>
              <w:jc w:val="both"/>
              <w:rPr>
                <w:rFonts w:eastAsia="Malgun Gothic" w:cs="Times"/>
                <w:lang w:eastAsia="zh-CN"/>
              </w:rPr>
            </w:pPr>
            <w:r w:rsidRPr="0066567D">
              <w:rPr>
                <w:rFonts w:eastAsia="Malgun Gothic" w:cs="Times"/>
                <w:lang w:eastAsia="zh-CN"/>
              </w:rPr>
              <w:t xml:space="preserve">For SBFD-aware UEs, further study whether DL receptions outside semi-statically configured DL subband(s) and UL transmissions outside semi-statically configured UL subband are allowed or not in the symbol configured as flexible in </w:t>
            </w:r>
            <w:r w:rsidRPr="0066567D">
              <w:rPr>
                <w:rFonts w:eastAsia="Malgun Gothic" w:cs="Times"/>
                <w:i/>
                <w:lang w:eastAsia="zh-CN"/>
              </w:rPr>
              <w:t>TDD-UL-DL-ConfigCommon</w:t>
            </w:r>
            <w:r w:rsidRPr="0066567D">
              <w:rPr>
                <w:rFonts w:eastAsia="Malgun Gothic" w:cs="Times"/>
                <w:lang w:eastAsia="zh-CN"/>
              </w:rPr>
              <w:t xml:space="preserve"> based on the following options:</w:t>
            </w:r>
          </w:p>
          <w:p w14:paraId="395628ED" w14:textId="77777777" w:rsidR="005712BD" w:rsidRPr="0066567D" w:rsidRDefault="005712BD" w:rsidP="005712BD">
            <w:pPr>
              <w:pStyle w:val="aff4"/>
              <w:numPr>
                <w:ilvl w:val="2"/>
                <w:numId w:val="23"/>
              </w:numPr>
              <w:spacing w:after="0"/>
              <w:ind w:leftChars="0"/>
              <w:jc w:val="both"/>
              <w:rPr>
                <w:rFonts w:eastAsia="Malgun Gothic" w:cs="Times"/>
                <w:lang w:eastAsia="zh-CN"/>
              </w:rPr>
            </w:pPr>
            <w:r w:rsidRPr="0066567D">
              <w:rPr>
                <w:rFonts w:eastAsia="Malgun Gothic" w:cs="Times"/>
                <w:lang w:eastAsia="zh-CN"/>
              </w:rPr>
              <w:t>Option 1 (semi-static): DL receptions outside semi-statically configured DL subband(s) are not allowed and UL transmissions outside semi-statically configured UL subband are not allowed</w:t>
            </w:r>
          </w:p>
          <w:p w14:paraId="396CEF27" w14:textId="77777777" w:rsidR="005712BD" w:rsidRPr="0066567D" w:rsidRDefault="005712BD" w:rsidP="005712BD">
            <w:pPr>
              <w:pStyle w:val="aff4"/>
              <w:numPr>
                <w:ilvl w:val="2"/>
                <w:numId w:val="23"/>
              </w:numPr>
              <w:spacing w:after="0"/>
              <w:ind w:leftChars="0"/>
              <w:jc w:val="both"/>
              <w:rPr>
                <w:rFonts w:eastAsia="Malgun Gothic" w:cs="Times"/>
                <w:lang w:eastAsia="zh-CN"/>
              </w:rPr>
            </w:pPr>
            <w:r w:rsidRPr="0066567D">
              <w:rPr>
                <w:rFonts w:eastAsia="Malgun Gothic" w:cs="Times"/>
                <w:lang w:eastAsia="zh-CN"/>
              </w:rPr>
              <w:t xml:space="preserve">Option 2: DL receptions outside semi-statically configured DL subband(s) are allowed </w:t>
            </w:r>
          </w:p>
          <w:p w14:paraId="231F89F4" w14:textId="77777777" w:rsidR="005712BD" w:rsidRPr="0066567D" w:rsidRDefault="005712BD" w:rsidP="005712BD">
            <w:pPr>
              <w:pStyle w:val="aff4"/>
              <w:numPr>
                <w:ilvl w:val="3"/>
                <w:numId w:val="23"/>
              </w:numPr>
              <w:spacing w:after="0"/>
              <w:ind w:leftChars="0"/>
              <w:jc w:val="both"/>
              <w:rPr>
                <w:rFonts w:eastAsia="Malgun Gothic" w:cs="Times"/>
                <w:lang w:eastAsia="zh-CN"/>
              </w:rPr>
            </w:pPr>
            <w:r w:rsidRPr="0066567D">
              <w:rPr>
                <w:rFonts w:eastAsia="Malgun Gothic" w:cs="Times"/>
                <w:lang w:eastAsia="zh-CN"/>
              </w:rPr>
              <w:t>UL transmissions outside the semi-statically configured UL subbands are not allowed</w:t>
            </w:r>
          </w:p>
          <w:p w14:paraId="0BFC26DE" w14:textId="77777777" w:rsidR="005712BD" w:rsidRPr="0066567D" w:rsidRDefault="005712BD" w:rsidP="005712BD">
            <w:pPr>
              <w:pStyle w:val="aff4"/>
              <w:numPr>
                <w:ilvl w:val="2"/>
                <w:numId w:val="23"/>
              </w:numPr>
              <w:spacing w:after="0"/>
              <w:ind w:leftChars="0"/>
              <w:jc w:val="both"/>
              <w:rPr>
                <w:rFonts w:eastAsia="Malgun Gothic" w:cs="Times"/>
                <w:lang w:eastAsia="zh-CN"/>
              </w:rPr>
            </w:pPr>
            <w:r w:rsidRPr="0066567D">
              <w:rPr>
                <w:rFonts w:eastAsia="Malgun Gothic" w:cs="Times"/>
                <w:lang w:eastAsia="zh-CN"/>
              </w:rPr>
              <w:t>Option 3: DL receptions outside semi-statically configured DL subband(s) are allowed</w:t>
            </w:r>
          </w:p>
          <w:p w14:paraId="636BC23A" w14:textId="77777777" w:rsidR="005712BD" w:rsidRPr="0066567D" w:rsidRDefault="005712BD" w:rsidP="005712BD">
            <w:pPr>
              <w:pStyle w:val="aff4"/>
              <w:numPr>
                <w:ilvl w:val="3"/>
                <w:numId w:val="23"/>
              </w:numPr>
              <w:spacing w:after="0"/>
              <w:ind w:leftChars="0"/>
              <w:jc w:val="both"/>
              <w:rPr>
                <w:rFonts w:eastAsia="Malgun Gothic" w:cs="Times"/>
                <w:lang w:eastAsia="zh-CN"/>
              </w:rPr>
            </w:pPr>
            <w:r w:rsidRPr="0066567D">
              <w:rPr>
                <w:rFonts w:eastAsia="Malgun Gothic" w:cs="Times"/>
                <w:lang w:eastAsia="zh-CN"/>
              </w:rPr>
              <w:t>UL transmissions outside the semi-statically configured UL subbands are allowed</w:t>
            </w:r>
          </w:p>
          <w:p w14:paraId="38071206" w14:textId="77777777" w:rsidR="005712BD" w:rsidRPr="0066567D" w:rsidRDefault="005712BD" w:rsidP="005712BD">
            <w:pPr>
              <w:tabs>
                <w:tab w:val="left" w:pos="0"/>
              </w:tabs>
              <w:spacing w:after="0"/>
              <w:jc w:val="both"/>
              <w:rPr>
                <w:rFonts w:eastAsia="Malgun Gothic" w:cs="Times"/>
                <w:lang w:eastAsia="zh-CN"/>
              </w:rPr>
            </w:pPr>
            <w:r w:rsidRPr="0066567D">
              <w:rPr>
                <w:rFonts w:eastAsia="Malgun Gothic" w:cs="Times"/>
                <w:lang w:eastAsia="zh-CN"/>
              </w:rPr>
              <w:t>Dynamic SBFD should be compared with dynamic TDD and/or semi-static SBFD in terms of performance, implementation complexity, switching latency.</w:t>
            </w:r>
          </w:p>
          <w:p w14:paraId="2E174B8B" w14:textId="1E45C322" w:rsidR="0015604F" w:rsidRDefault="005712BD" w:rsidP="00002E6E">
            <w:pPr>
              <w:spacing w:after="0"/>
              <w:rPr>
                <w:lang w:eastAsia="ja-JP"/>
              </w:rPr>
            </w:pPr>
            <w:r w:rsidRPr="006B3374">
              <w:rPr>
                <w:rFonts w:eastAsia="Malgun Gothic" w:cs="Times"/>
                <w:lang w:eastAsia="zh-CN"/>
              </w:rPr>
              <w:t>For each option, additional conditions may apply to determine whether the option is applicable.</w:t>
            </w:r>
          </w:p>
        </w:tc>
      </w:tr>
    </w:tbl>
    <w:p w14:paraId="5AC6F482" w14:textId="1D9F1863" w:rsidR="0007044A" w:rsidRDefault="0007044A" w:rsidP="00002E6E">
      <w:pPr>
        <w:spacing w:after="0"/>
        <w:rPr>
          <w:lang w:eastAsia="ja-JP"/>
        </w:rPr>
      </w:pPr>
    </w:p>
    <w:p w14:paraId="180E46B7" w14:textId="7096722A" w:rsidR="00AB15FD" w:rsidRDefault="005354AC" w:rsidP="005354AC">
      <w:pPr>
        <w:rPr>
          <w:lang w:eastAsia="ja-JP"/>
        </w:rPr>
      </w:pPr>
      <w:r w:rsidRPr="005354AC">
        <w:rPr>
          <w:lang w:eastAsia="ja-JP"/>
        </w:rPr>
        <w:t xml:space="preserve">For SBFD operation in a symbol configured as DL in </w:t>
      </w:r>
      <w:r w:rsidRPr="00920F8E">
        <w:rPr>
          <w:i/>
          <w:iCs/>
          <w:lang w:eastAsia="ja-JP"/>
        </w:rPr>
        <w:t>TDD-UL-DL-ConfigCommon</w:t>
      </w:r>
      <w:r>
        <w:rPr>
          <w:lang w:eastAsia="ja-JP"/>
        </w:rPr>
        <w:t xml:space="preserve">, </w:t>
      </w:r>
      <w:r w:rsidR="007373AF">
        <w:rPr>
          <w:rFonts w:hint="eastAsia"/>
          <w:lang w:eastAsia="ja-JP"/>
        </w:rPr>
        <w:t>e</w:t>
      </w:r>
      <w:r w:rsidR="007373AF">
        <w:rPr>
          <w:lang w:eastAsia="ja-JP"/>
        </w:rPr>
        <w:t xml:space="preserve">ach option corresponds to whether or not to support dynamic SBFD. </w:t>
      </w:r>
      <w:r w:rsidR="002B14E4">
        <w:rPr>
          <w:lang w:eastAsia="ja-JP"/>
        </w:rPr>
        <w:t xml:space="preserve">We think </w:t>
      </w:r>
      <w:r>
        <w:rPr>
          <w:lang w:eastAsia="ja-JP"/>
        </w:rPr>
        <w:t>dynamic</w:t>
      </w:r>
      <w:r w:rsidR="00CC7788">
        <w:rPr>
          <w:lang w:eastAsia="ja-JP"/>
        </w:rPr>
        <w:t xml:space="preserve"> SBFD </w:t>
      </w:r>
      <w:r>
        <w:rPr>
          <w:lang w:eastAsia="ja-JP"/>
        </w:rPr>
        <w:t>would be beneficial to adapt UL/DL traffic.</w:t>
      </w:r>
    </w:p>
    <w:p w14:paraId="61EF2D0F" w14:textId="1760256E" w:rsidR="005354AC" w:rsidRDefault="005354AC" w:rsidP="005354AC">
      <w:pPr>
        <w:rPr>
          <w:b/>
          <w:bCs/>
          <w:lang w:eastAsia="ja-JP"/>
        </w:rPr>
      </w:pPr>
      <w:r w:rsidRPr="00654DFF">
        <w:rPr>
          <w:b/>
          <w:bCs/>
          <w:lang w:eastAsia="ja-JP"/>
        </w:rPr>
        <w:t xml:space="preserve">Proposal </w:t>
      </w:r>
      <w:r>
        <w:rPr>
          <w:rFonts w:hint="eastAsia"/>
          <w:b/>
          <w:bCs/>
          <w:lang w:eastAsia="ja-JP"/>
        </w:rPr>
        <w:t>1</w:t>
      </w:r>
      <w:r w:rsidRPr="00654DFF">
        <w:rPr>
          <w:rFonts w:hint="eastAsia"/>
          <w:b/>
          <w:bCs/>
          <w:lang w:eastAsia="ja-JP"/>
        </w:rPr>
        <w:t>:</w:t>
      </w:r>
      <w:r>
        <w:rPr>
          <w:b/>
          <w:bCs/>
          <w:lang w:eastAsia="ja-JP"/>
        </w:rPr>
        <w:t xml:space="preserve"> </w:t>
      </w:r>
      <w:r w:rsidRPr="00D8178A">
        <w:rPr>
          <w:b/>
          <w:bCs/>
          <w:lang w:eastAsia="ja-JP"/>
        </w:rPr>
        <w:t xml:space="preserve">For </w:t>
      </w:r>
      <w:r w:rsidR="006A1A8B">
        <w:rPr>
          <w:b/>
          <w:bCs/>
          <w:lang w:eastAsia="ja-JP"/>
        </w:rPr>
        <w:t xml:space="preserve">dynamic </w:t>
      </w:r>
      <w:r w:rsidRPr="00D8178A">
        <w:rPr>
          <w:b/>
          <w:bCs/>
          <w:lang w:eastAsia="ja-JP"/>
        </w:rPr>
        <w:t xml:space="preserve">SBFD operation in a symbol configured as </w:t>
      </w:r>
      <w:r>
        <w:rPr>
          <w:b/>
          <w:bCs/>
          <w:lang w:eastAsia="ja-JP"/>
        </w:rPr>
        <w:t>DL</w:t>
      </w:r>
      <w:r w:rsidRPr="00D8178A">
        <w:rPr>
          <w:b/>
          <w:bCs/>
          <w:lang w:eastAsia="ja-JP"/>
        </w:rPr>
        <w:t xml:space="preserve"> in </w:t>
      </w:r>
      <w:r w:rsidRPr="00002E6E">
        <w:rPr>
          <w:b/>
          <w:bCs/>
          <w:i/>
          <w:iCs/>
          <w:lang w:eastAsia="ja-JP"/>
        </w:rPr>
        <w:t>TDD-UL-DL-ConfigCommon</w:t>
      </w:r>
      <w:r>
        <w:rPr>
          <w:b/>
          <w:bCs/>
          <w:lang w:eastAsia="ja-JP"/>
        </w:rPr>
        <w:t xml:space="preserve">, support </w:t>
      </w:r>
      <w:r w:rsidR="00AC386D">
        <w:rPr>
          <w:b/>
          <w:bCs/>
          <w:lang w:eastAsia="ja-JP"/>
        </w:rPr>
        <w:t>O</w:t>
      </w:r>
      <w:r w:rsidRPr="00D8178A">
        <w:rPr>
          <w:b/>
          <w:bCs/>
          <w:lang w:eastAsia="ja-JP"/>
        </w:rPr>
        <w:t xml:space="preserve">ption </w:t>
      </w:r>
      <w:r>
        <w:rPr>
          <w:b/>
          <w:bCs/>
          <w:lang w:eastAsia="ja-JP"/>
        </w:rPr>
        <w:t>2.</w:t>
      </w:r>
    </w:p>
    <w:p w14:paraId="0C33D7B1" w14:textId="0E22535E" w:rsidR="005354AC" w:rsidRPr="00920F8E" w:rsidRDefault="005354AC" w:rsidP="005354AC">
      <w:r w:rsidRPr="005354AC">
        <w:rPr>
          <w:lang w:eastAsia="ja-JP"/>
        </w:rPr>
        <w:t xml:space="preserve">For SBFD operation in a symbol configured as </w:t>
      </w:r>
      <w:r>
        <w:rPr>
          <w:lang w:eastAsia="ja-JP"/>
        </w:rPr>
        <w:t>flexible</w:t>
      </w:r>
      <w:r w:rsidRPr="005354AC">
        <w:rPr>
          <w:lang w:eastAsia="ja-JP"/>
        </w:rPr>
        <w:t xml:space="preserve"> in </w:t>
      </w:r>
      <w:r w:rsidRPr="00920F8E">
        <w:rPr>
          <w:i/>
          <w:iCs/>
          <w:lang w:eastAsia="ja-JP"/>
        </w:rPr>
        <w:t>TDD-UL-DL-ConfigCommon</w:t>
      </w:r>
      <w:r>
        <w:rPr>
          <w:lang w:eastAsia="ja-JP"/>
        </w:rPr>
        <w:t xml:space="preserve">, </w:t>
      </w:r>
      <w:r w:rsidR="00BC3095" w:rsidRPr="005354AC">
        <w:rPr>
          <w:lang w:eastAsia="ja-JP"/>
        </w:rPr>
        <w:t>option 2 and option 3</w:t>
      </w:r>
      <w:r w:rsidR="00BC3095">
        <w:rPr>
          <w:lang w:eastAsia="ja-JP"/>
        </w:rPr>
        <w:t xml:space="preserve"> correspond to dynamic SBFD. T</w:t>
      </w:r>
      <w:r w:rsidRPr="005354AC">
        <w:rPr>
          <w:lang w:eastAsia="ja-JP"/>
        </w:rPr>
        <w:t>he difference between option 2 and option 3 is whether bandwidth edge is always DL.</w:t>
      </w:r>
      <w:r w:rsidRPr="005354AC">
        <w:t xml:space="preserve"> </w:t>
      </w:r>
      <w:r w:rsidRPr="005354AC">
        <w:rPr>
          <w:lang w:eastAsia="ja-JP"/>
        </w:rPr>
        <w:t>For option 2, bandwidth edge is always DL. For option 3, bandwidth edge can be DL or UL</w:t>
      </w:r>
      <w:r>
        <w:rPr>
          <w:lang w:eastAsia="ja-JP"/>
        </w:rPr>
        <w:t xml:space="preserve">. </w:t>
      </w:r>
      <w:r w:rsidRPr="005354AC">
        <w:rPr>
          <w:lang w:eastAsia="ja-JP"/>
        </w:rPr>
        <w:t>Whether to support option 2 or option 3 depends on the merit of "bandwidth edge is always DL".</w:t>
      </w:r>
    </w:p>
    <w:p w14:paraId="3AD60A71" w14:textId="1A2667FF" w:rsidR="005354AC" w:rsidRDefault="005354AC" w:rsidP="005354AC">
      <w:pPr>
        <w:rPr>
          <w:lang w:eastAsia="ja-JP"/>
        </w:rPr>
      </w:pPr>
      <w:r w:rsidRPr="00654DFF">
        <w:rPr>
          <w:b/>
          <w:bCs/>
          <w:lang w:eastAsia="ja-JP"/>
        </w:rPr>
        <w:t xml:space="preserve">Proposal </w:t>
      </w:r>
      <w:r>
        <w:rPr>
          <w:b/>
          <w:bCs/>
          <w:lang w:eastAsia="ja-JP"/>
        </w:rPr>
        <w:t>2</w:t>
      </w:r>
      <w:r w:rsidRPr="00654DFF">
        <w:rPr>
          <w:rFonts w:hint="eastAsia"/>
          <w:b/>
          <w:bCs/>
          <w:lang w:eastAsia="ja-JP"/>
        </w:rPr>
        <w:t>:</w:t>
      </w:r>
      <w:r>
        <w:rPr>
          <w:b/>
          <w:bCs/>
          <w:lang w:eastAsia="ja-JP"/>
        </w:rPr>
        <w:t xml:space="preserve"> </w:t>
      </w:r>
      <w:r w:rsidRPr="00D8178A">
        <w:rPr>
          <w:b/>
          <w:bCs/>
          <w:lang w:eastAsia="ja-JP"/>
        </w:rPr>
        <w:t xml:space="preserve">For </w:t>
      </w:r>
      <w:r w:rsidR="006A1A8B">
        <w:rPr>
          <w:b/>
          <w:bCs/>
          <w:lang w:eastAsia="ja-JP"/>
        </w:rPr>
        <w:t xml:space="preserve">dynamic </w:t>
      </w:r>
      <w:r w:rsidRPr="00D8178A">
        <w:rPr>
          <w:b/>
          <w:bCs/>
          <w:lang w:eastAsia="ja-JP"/>
        </w:rPr>
        <w:t xml:space="preserve">SBFD operation in a symbol configured as </w:t>
      </w:r>
      <w:r w:rsidRPr="005354AC">
        <w:rPr>
          <w:b/>
          <w:bCs/>
          <w:lang w:eastAsia="ja-JP"/>
        </w:rPr>
        <w:t xml:space="preserve">flexible </w:t>
      </w:r>
      <w:r w:rsidRPr="00D8178A">
        <w:rPr>
          <w:b/>
          <w:bCs/>
          <w:lang w:eastAsia="ja-JP"/>
        </w:rPr>
        <w:t xml:space="preserve">in </w:t>
      </w:r>
      <w:r w:rsidRPr="00002E6E">
        <w:rPr>
          <w:b/>
          <w:bCs/>
          <w:i/>
          <w:iCs/>
          <w:lang w:eastAsia="ja-JP"/>
        </w:rPr>
        <w:t>TDD-UL-DL-ConfigCommon</w:t>
      </w:r>
      <w:r>
        <w:rPr>
          <w:b/>
          <w:bCs/>
          <w:lang w:eastAsia="ja-JP"/>
        </w:rPr>
        <w:t>, s</w:t>
      </w:r>
      <w:r w:rsidRPr="005354AC">
        <w:rPr>
          <w:b/>
          <w:bCs/>
          <w:lang w:eastAsia="ja-JP"/>
        </w:rPr>
        <w:t xml:space="preserve">tudy further between </w:t>
      </w:r>
      <w:r w:rsidR="00AC386D">
        <w:rPr>
          <w:b/>
          <w:bCs/>
          <w:lang w:eastAsia="ja-JP"/>
        </w:rPr>
        <w:t>O</w:t>
      </w:r>
      <w:r w:rsidRPr="005354AC">
        <w:rPr>
          <w:b/>
          <w:bCs/>
          <w:lang w:eastAsia="ja-JP"/>
        </w:rPr>
        <w:t xml:space="preserve">ption 2 and </w:t>
      </w:r>
      <w:r w:rsidR="00AC386D">
        <w:rPr>
          <w:b/>
          <w:bCs/>
          <w:lang w:eastAsia="ja-JP"/>
        </w:rPr>
        <w:t>O</w:t>
      </w:r>
      <w:r w:rsidRPr="005354AC">
        <w:rPr>
          <w:b/>
          <w:bCs/>
          <w:lang w:eastAsia="ja-JP"/>
        </w:rPr>
        <w:t>ption 3 depending on the merit of "bandwidth edge is always DL".</w:t>
      </w:r>
    </w:p>
    <w:p w14:paraId="260589F6" w14:textId="234D26E9" w:rsidR="00720824" w:rsidRDefault="00720824" w:rsidP="00F4375C">
      <w:pPr>
        <w:rPr>
          <w:lang w:eastAsia="ja-JP"/>
        </w:rPr>
      </w:pPr>
    </w:p>
    <w:p w14:paraId="469C1DAD" w14:textId="778C9C43" w:rsidR="005D7FB6" w:rsidRDefault="005D7FB6" w:rsidP="005D7FB6">
      <w:pPr>
        <w:pStyle w:val="3"/>
      </w:pPr>
      <w:r w:rsidRPr="005D7FB6">
        <w:lastRenderedPageBreak/>
        <w:t>Transmission/reception occasion within a slot</w:t>
      </w:r>
    </w:p>
    <w:p w14:paraId="6E2B5887" w14:textId="2159DA41" w:rsidR="005D7FB6" w:rsidRDefault="005D7FB6" w:rsidP="005D7FB6">
      <w:pPr>
        <w:rPr>
          <w:lang w:eastAsia="ja-JP"/>
        </w:rPr>
      </w:pPr>
      <w:r w:rsidRPr="00E753E6">
        <w:rPr>
          <w:lang w:eastAsia="ja-JP"/>
        </w:rPr>
        <w:t>In RAN1#11</w:t>
      </w:r>
      <w:r>
        <w:rPr>
          <w:lang w:eastAsia="ja-JP"/>
        </w:rPr>
        <w:t>2</w:t>
      </w:r>
      <w:r w:rsidR="000353CA">
        <w:rPr>
          <w:lang w:eastAsia="ja-JP"/>
        </w:rPr>
        <w:t>bis-e</w:t>
      </w:r>
      <w:r w:rsidRPr="00E753E6">
        <w:rPr>
          <w:lang w:eastAsia="ja-JP"/>
        </w:rPr>
        <w:t xml:space="preserve">, </w:t>
      </w:r>
      <w:r w:rsidRPr="0066567D">
        <w:rPr>
          <w:rFonts w:eastAsia="Malgun Gothic" w:cs="Times"/>
          <w:lang w:eastAsia="zh-CN"/>
        </w:rPr>
        <w:t xml:space="preserve">whether </w:t>
      </w:r>
      <w:r w:rsidR="009669CF">
        <w:rPr>
          <w:rFonts w:eastAsia="Malgun Gothic" w:cs="Times"/>
          <w:lang w:eastAsia="zh-CN"/>
        </w:rPr>
        <w:t>t</w:t>
      </w:r>
      <w:r w:rsidR="00417DB7" w:rsidRPr="00126A0D">
        <w:rPr>
          <w:rFonts w:eastAsia="Malgun Gothic"/>
        </w:rPr>
        <w:t xml:space="preserve">he transmission/reception occasion can be mapped </w:t>
      </w:r>
      <w:r w:rsidR="0088485D">
        <w:rPr>
          <w:rFonts w:eastAsia="Malgun Gothic"/>
        </w:rPr>
        <w:t xml:space="preserve">across </w:t>
      </w:r>
      <w:r w:rsidR="00417DB7" w:rsidRPr="00126A0D">
        <w:rPr>
          <w:rFonts w:eastAsia="Malgun Gothic"/>
        </w:rPr>
        <w:t>SBFD and non-SBFD symbols within a slot</w:t>
      </w:r>
      <w:r w:rsidR="00417DB7" w:rsidRPr="00126A0D">
        <w:rPr>
          <w:rFonts w:eastAsia="Malgun Gothic" w:hint="eastAsia"/>
        </w:rPr>
        <w:t xml:space="preserve"> </w:t>
      </w:r>
      <w:r>
        <w:rPr>
          <w:rFonts w:eastAsia="Malgun Gothic" w:cs="Times"/>
          <w:lang w:eastAsia="zh-CN"/>
        </w:rPr>
        <w:t>was</w:t>
      </w:r>
      <w:r w:rsidR="00EA5A15">
        <w:rPr>
          <w:rFonts w:eastAsia="Malgun Gothic" w:cs="Times"/>
          <w:lang w:eastAsia="zh-CN"/>
        </w:rPr>
        <w:t xml:space="preserve"> discussed</w:t>
      </w:r>
      <w:r w:rsidR="00BD0025">
        <w:rPr>
          <w:rFonts w:eastAsia="Malgun Gothic" w:cs="Times"/>
          <w:lang w:eastAsia="zh-CN"/>
        </w:rPr>
        <w:t>,</w:t>
      </w:r>
      <w:r w:rsidR="00EA5A15">
        <w:rPr>
          <w:rFonts w:eastAsia="Malgun Gothic" w:cs="Times"/>
          <w:lang w:eastAsia="zh-CN"/>
        </w:rPr>
        <w:t xml:space="preserve"> and the following agreement was made</w:t>
      </w:r>
      <w:r>
        <w:rPr>
          <w:rFonts w:eastAsia="Malgun Gothic" w:cs="Times"/>
          <w:lang w:eastAsia="zh-CN"/>
        </w:rPr>
        <w:t>.</w:t>
      </w:r>
    </w:p>
    <w:tbl>
      <w:tblPr>
        <w:tblStyle w:val="afc"/>
        <w:tblW w:w="0" w:type="auto"/>
        <w:tblLook w:val="04A0" w:firstRow="1" w:lastRow="0" w:firstColumn="1" w:lastColumn="0" w:noHBand="0" w:noVBand="1"/>
      </w:tblPr>
      <w:tblGrid>
        <w:gridCol w:w="9630"/>
      </w:tblGrid>
      <w:tr w:rsidR="005D7FB6" w14:paraId="01864E43" w14:textId="77777777" w:rsidTr="0013124B">
        <w:tc>
          <w:tcPr>
            <w:tcW w:w="9630" w:type="dxa"/>
          </w:tcPr>
          <w:p w14:paraId="2A99D88E" w14:textId="77777777" w:rsidR="005D7FB6" w:rsidRPr="00126A0D" w:rsidRDefault="005D7FB6" w:rsidP="00803EF4">
            <w:pPr>
              <w:spacing w:after="0"/>
              <w:rPr>
                <w:b/>
                <w:bCs/>
                <w:highlight w:val="green"/>
                <w:lang w:eastAsia="ko-KR"/>
              </w:rPr>
            </w:pPr>
            <w:r w:rsidRPr="00126A0D">
              <w:rPr>
                <w:b/>
                <w:bCs/>
                <w:highlight w:val="green"/>
                <w:lang w:eastAsia="ko-KR"/>
              </w:rPr>
              <w:t>Agreement</w:t>
            </w:r>
          </w:p>
          <w:p w14:paraId="6B158318" w14:textId="77777777" w:rsidR="005D7FB6" w:rsidRPr="00126A0D" w:rsidRDefault="005D7FB6" w:rsidP="00803EF4">
            <w:pPr>
              <w:pStyle w:val="aff4"/>
              <w:tabs>
                <w:tab w:val="left" w:pos="0"/>
              </w:tabs>
              <w:spacing w:after="0"/>
              <w:ind w:leftChars="0" w:left="0"/>
              <w:rPr>
                <w:rFonts w:eastAsia="Malgun Gothic"/>
              </w:rPr>
            </w:pPr>
            <w:r w:rsidRPr="00126A0D">
              <w:rPr>
                <w:rFonts w:eastAsia="Malgun Gothic"/>
              </w:rPr>
              <w:t>Study whether the transmission/reception occasion of a physical channel/signal can be mapped to SBFD and non-SBFD symbols within a slot</w:t>
            </w:r>
            <w:r w:rsidRPr="00126A0D">
              <w:rPr>
                <w:rFonts w:eastAsia="Malgun Gothic" w:hint="eastAsia"/>
              </w:rPr>
              <w:t xml:space="preserve"> for a UE</w:t>
            </w:r>
            <w:r w:rsidRPr="00126A0D">
              <w:rPr>
                <w:rFonts w:eastAsia="Malgun Gothic"/>
              </w:rPr>
              <w:t>, and whether</w:t>
            </w:r>
            <w:r w:rsidRPr="00126A0D">
              <w:rPr>
                <w:rFonts w:eastAsia="Malgun Gothic" w:hint="eastAsia"/>
              </w:rPr>
              <w:t xml:space="preserve"> a </w:t>
            </w:r>
            <w:r w:rsidRPr="00126A0D">
              <w:rPr>
                <w:rFonts w:eastAsia="Malgun Gothic"/>
              </w:rPr>
              <w:t>UE can transmit/receive in the occasion mapped to SBFD symbols and non-SBFD symbols including:</w:t>
            </w:r>
          </w:p>
          <w:p w14:paraId="335322CF" w14:textId="77777777" w:rsidR="005D7FB6" w:rsidRPr="00126A0D" w:rsidRDefault="005D7FB6" w:rsidP="005D7FB6">
            <w:pPr>
              <w:pStyle w:val="aff4"/>
              <w:numPr>
                <w:ilvl w:val="1"/>
                <w:numId w:val="23"/>
              </w:numPr>
              <w:suppressAutoHyphens/>
              <w:spacing w:after="0" w:line="259" w:lineRule="auto"/>
              <w:ind w:leftChars="0"/>
              <w:jc w:val="both"/>
              <w:rPr>
                <w:rFonts w:eastAsia="Malgun Gothic"/>
              </w:rPr>
            </w:pPr>
            <w:r w:rsidRPr="00126A0D">
              <w:rPr>
                <w:rFonts w:eastAsia="Malgun Gothic"/>
              </w:rPr>
              <w:t>Use-case(s) including the locations and number of switching points of the SBFD and non-SBFD symbols in the slot.</w:t>
            </w:r>
          </w:p>
          <w:p w14:paraId="176B390B" w14:textId="77777777" w:rsidR="005D7FB6" w:rsidRPr="00126A0D" w:rsidRDefault="005D7FB6" w:rsidP="005D7FB6">
            <w:pPr>
              <w:pStyle w:val="aff4"/>
              <w:numPr>
                <w:ilvl w:val="1"/>
                <w:numId w:val="23"/>
              </w:numPr>
              <w:suppressAutoHyphens/>
              <w:spacing w:after="0" w:line="259" w:lineRule="auto"/>
              <w:ind w:leftChars="0"/>
              <w:jc w:val="both"/>
              <w:rPr>
                <w:rFonts w:eastAsia="Malgun Gothic"/>
              </w:rPr>
            </w:pPr>
            <w:r w:rsidRPr="00126A0D">
              <w:rPr>
                <w:rFonts w:eastAsia="Malgun Gothic" w:hint="eastAsia"/>
              </w:rPr>
              <w:t xml:space="preserve">Potential </w:t>
            </w:r>
            <w:r w:rsidRPr="00126A0D">
              <w:rPr>
                <w:rFonts w:eastAsia="Malgun Gothic"/>
              </w:rPr>
              <w:t>benefits if any</w:t>
            </w:r>
          </w:p>
          <w:p w14:paraId="0778064F" w14:textId="77777777" w:rsidR="005D7FB6" w:rsidRPr="00126A0D" w:rsidRDefault="005D7FB6" w:rsidP="005D7FB6">
            <w:pPr>
              <w:pStyle w:val="aff4"/>
              <w:numPr>
                <w:ilvl w:val="1"/>
                <w:numId w:val="23"/>
              </w:numPr>
              <w:suppressAutoHyphens/>
              <w:spacing w:after="0" w:line="259" w:lineRule="auto"/>
              <w:ind w:leftChars="0"/>
              <w:jc w:val="both"/>
              <w:rPr>
                <w:rFonts w:eastAsia="Malgun Gothic"/>
              </w:rPr>
            </w:pPr>
            <w:r w:rsidRPr="00126A0D">
              <w:rPr>
                <w:rFonts w:eastAsia="Malgun Gothic"/>
              </w:rPr>
              <w:t>Phase continuity</w:t>
            </w:r>
          </w:p>
          <w:p w14:paraId="2296B7BA" w14:textId="77777777" w:rsidR="005D7FB6" w:rsidRPr="00126A0D" w:rsidRDefault="005D7FB6" w:rsidP="005D7FB6">
            <w:pPr>
              <w:pStyle w:val="aff4"/>
              <w:numPr>
                <w:ilvl w:val="1"/>
                <w:numId w:val="23"/>
              </w:numPr>
              <w:suppressAutoHyphens/>
              <w:spacing w:after="0" w:line="259" w:lineRule="auto"/>
              <w:ind w:leftChars="0"/>
              <w:jc w:val="both"/>
              <w:rPr>
                <w:rFonts w:eastAsia="Malgun Gothic"/>
              </w:rPr>
            </w:pPr>
            <w:r w:rsidRPr="00126A0D">
              <w:rPr>
                <w:rFonts w:eastAsia="Malgun Gothic"/>
              </w:rPr>
              <w:t>Potential interruption of transmissions/receptions during transition</w:t>
            </w:r>
          </w:p>
          <w:p w14:paraId="0B1328CD" w14:textId="77777777" w:rsidR="005D7FB6" w:rsidRPr="00126A0D" w:rsidRDefault="005D7FB6" w:rsidP="005D7FB6">
            <w:pPr>
              <w:pStyle w:val="aff4"/>
              <w:numPr>
                <w:ilvl w:val="1"/>
                <w:numId w:val="23"/>
              </w:numPr>
              <w:suppressAutoHyphens/>
              <w:spacing w:after="0" w:line="259" w:lineRule="auto"/>
              <w:ind w:leftChars="0"/>
              <w:jc w:val="both"/>
              <w:rPr>
                <w:rFonts w:eastAsia="Malgun Gothic"/>
              </w:rPr>
            </w:pPr>
            <w:r w:rsidRPr="00126A0D">
              <w:rPr>
                <w:rFonts w:eastAsia="Malgun Gothic"/>
              </w:rPr>
              <w:t>Required guard time</w:t>
            </w:r>
            <w:r w:rsidRPr="00126A0D">
              <w:rPr>
                <w:rFonts w:eastAsia="Malgun Gothic" w:hint="eastAsia"/>
              </w:rPr>
              <w:t xml:space="preserve"> if any</w:t>
            </w:r>
          </w:p>
          <w:p w14:paraId="7910E5DC" w14:textId="77777777" w:rsidR="005D7FB6" w:rsidRPr="00126A0D" w:rsidRDefault="005D7FB6" w:rsidP="005D7FB6">
            <w:pPr>
              <w:pStyle w:val="aff4"/>
              <w:numPr>
                <w:ilvl w:val="1"/>
                <w:numId w:val="23"/>
              </w:numPr>
              <w:suppressAutoHyphens/>
              <w:spacing w:after="0" w:line="259" w:lineRule="auto"/>
              <w:ind w:leftChars="0"/>
              <w:jc w:val="both"/>
              <w:rPr>
                <w:rFonts w:eastAsia="Malgun Gothic"/>
              </w:rPr>
            </w:pPr>
            <w:r w:rsidRPr="00126A0D">
              <w:rPr>
                <w:rFonts w:eastAsia="Malgun Gothic"/>
              </w:rPr>
              <w:t>Potential impact on performance</w:t>
            </w:r>
          </w:p>
          <w:p w14:paraId="184F1B44" w14:textId="77777777" w:rsidR="005D7FB6" w:rsidRPr="00126A0D" w:rsidRDefault="005D7FB6" w:rsidP="005D7FB6">
            <w:pPr>
              <w:pStyle w:val="aff4"/>
              <w:numPr>
                <w:ilvl w:val="1"/>
                <w:numId w:val="23"/>
              </w:numPr>
              <w:suppressAutoHyphens/>
              <w:spacing w:after="0" w:line="259" w:lineRule="auto"/>
              <w:ind w:leftChars="0"/>
              <w:jc w:val="both"/>
              <w:rPr>
                <w:rFonts w:eastAsia="Malgun Gothic"/>
              </w:rPr>
            </w:pPr>
            <w:r w:rsidRPr="00126A0D">
              <w:rPr>
                <w:rFonts w:eastAsia="Malgun Gothic"/>
              </w:rPr>
              <w:t>Impact on link adaptation, channel estimation, and other procedures</w:t>
            </w:r>
          </w:p>
          <w:p w14:paraId="2DD5BA60" w14:textId="77777777" w:rsidR="005D7FB6" w:rsidRPr="00126A0D" w:rsidRDefault="005D7FB6" w:rsidP="005D7FB6">
            <w:pPr>
              <w:pStyle w:val="aff4"/>
              <w:numPr>
                <w:ilvl w:val="1"/>
                <w:numId w:val="23"/>
              </w:numPr>
              <w:suppressAutoHyphens/>
              <w:spacing w:after="0" w:line="259" w:lineRule="auto"/>
              <w:ind w:leftChars="0"/>
              <w:jc w:val="both"/>
              <w:rPr>
                <w:rFonts w:eastAsia="Malgun Gothic"/>
              </w:rPr>
            </w:pPr>
            <w:r w:rsidRPr="00126A0D">
              <w:rPr>
                <w:rFonts w:eastAsia="Malgun Gothic" w:hint="eastAsia"/>
              </w:rPr>
              <w:t>UL transmission timing if any</w:t>
            </w:r>
          </w:p>
          <w:p w14:paraId="7B5BB0F7" w14:textId="77777777" w:rsidR="005D7FB6" w:rsidRPr="00126A0D" w:rsidRDefault="005D7FB6" w:rsidP="005D7FB6">
            <w:pPr>
              <w:pStyle w:val="aff4"/>
              <w:numPr>
                <w:ilvl w:val="1"/>
                <w:numId w:val="23"/>
              </w:numPr>
              <w:suppressAutoHyphens/>
              <w:spacing w:after="0" w:line="259" w:lineRule="auto"/>
              <w:ind w:leftChars="0"/>
              <w:jc w:val="both"/>
              <w:rPr>
                <w:rFonts w:eastAsia="Malgun Gothic"/>
              </w:rPr>
            </w:pPr>
            <w:r w:rsidRPr="00126A0D">
              <w:rPr>
                <w:rFonts w:eastAsia="Malgun Gothic"/>
              </w:rPr>
              <w:t>Implementation complexity</w:t>
            </w:r>
          </w:p>
          <w:p w14:paraId="07A0E780" w14:textId="77777777" w:rsidR="005D7FB6" w:rsidRPr="00126A0D" w:rsidRDefault="005D7FB6" w:rsidP="005D7FB6">
            <w:pPr>
              <w:pStyle w:val="aff4"/>
              <w:numPr>
                <w:ilvl w:val="1"/>
                <w:numId w:val="23"/>
              </w:numPr>
              <w:suppressAutoHyphens/>
              <w:spacing w:after="0" w:line="259" w:lineRule="auto"/>
              <w:ind w:leftChars="0"/>
              <w:jc w:val="both"/>
              <w:rPr>
                <w:rFonts w:eastAsia="Malgun Gothic"/>
              </w:rPr>
            </w:pPr>
            <w:r w:rsidRPr="00126A0D">
              <w:rPr>
                <w:rFonts w:eastAsia="Malgun Gothic" w:hint="eastAsia"/>
              </w:rPr>
              <w:t>A</w:t>
            </w:r>
            <w:r w:rsidRPr="00126A0D">
              <w:rPr>
                <w:rFonts w:eastAsia="Malgun Gothic"/>
              </w:rPr>
              <w:t xml:space="preserve">pplicability for </w:t>
            </w:r>
            <w:r w:rsidRPr="00126A0D">
              <w:rPr>
                <w:rFonts w:eastAsia="Malgun Gothic" w:hint="eastAsia"/>
              </w:rPr>
              <w:t>SBFD aware UE</w:t>
            </w:r>
            <w:r w:rsidRPr="00126A0D">
              <w:rPr>
                <w:rFonts w:eastAsia="Malgun Gothic"/>
              </w:rPr>
              <w:t xml:space="preserve"> and </w:t>
            </w:r>
            <w:r w:rsidRPr="00126A0D">
              <w:rPr>
                <w:rFonts w:eastAsia="Malgun Gothic" w:hint="eastAsia"/>
              </w:rPr>
              <w:t>non-</w:t>
            </w:r>
            <w:r w:rsidRPr="00126A0D">
              <w:rPr>
                <w:rFonts w:eastAsia="Malgun Gothic"/>
              </w:rPr>
              <w:t>SBFD aware UEs</w:t>
            </w:r>
          </w:p>
          <w:p w14:paraId="42DDBF0A" w14:textId="77777777" w:rsidR="005D7FB6" w:rsidRPr="00126A0D" w:rsidRDefault="005D7FB6" w:rsidP="005D7FB6">
            <w:pPr>
              <w:pStyle w:val="aff4"/>
              <w:numPr>
                <w:ilvl w:val="1"/>
                <w:numId w:val="23"/>
              </w:numPr>
              <w:suppressAutoHyphens/>
              <w:spacing w:after="0" w:line="259" w:lineRule="auto"/>
              <w:ind w:leftChars="0"/>
              <w:jc w:val="both"/>
              <w:rPr>
                <w:rFonts w:eastAsia="Malgun Gothic"/>
              </w:rPr>
            </w:pPr>
            <w:r w:rsidRPr="00126A0D">
              <w:t>NOTE: There are more than one scenario where a transmission overlaps SBFD and non-SBFD symbols and some may or may not face the aspects listed above</w:t>
            </w:r>
          </w:p>
          <w:p w14:paraId="624EBBC5" w14:textId="4FF6BC8C" w:rsidR="005D7FB6" w:rsidRDefault="005D7FB6" w:rsidP="00803EF4">
            <w:pPr>
              <w:numPr>
                <w:ilvl w:val="1"/>
                <w:numId w:val="23"/>
              </w:numPr>
              <w:spacing w:after="120"/>
              <w:jc w:val="both"/>
              <w:rPr>
                <w:lang w:eastAsia="ja-JP"/>
              </w:rPr>
            </w:pPr>
            <w:r w:rsidRPr="00126A0D">
              <w:rPr>
                <w:rFonts w:eastAsia="Malgun Gothic"/>
              </w:rPr>
              <w:t>NOTE: This study doesn’t mean RAN1 agreement on a slot consisting of SBFD and non-SBFD symbols.</w:t>
            </w:r>
          </w:p>
        </w:tc>
      </w:tr>
    </w:tbl>
    <w:p w14:paraId="1875092E" w14:textId="77777777" w:rsidR="005D7FB6" w:rsidRDefault="005D7FB6" w:rsidP="005D7FB6">
      <w:pPr>
        <w:spacing w:after="0"/>
        <w:rPr>
          <w:lang w:eastAsia="ja-JP"/>
        </w:rPr>
      </w:pPr>
    </w:p>
    <w:p w14:paraId="3BB0DCEB" w14:textId="59F4D061" w:rsidR="006D277E" w:rsidRDefault="00BC70D8" w:rsidP="004E1331">
      <w:pPr>
        <w:rPr>
          <w:lang w:eastAsia="ja-JP"/>
        </w:rPr>
      </w:pPr>
      <w:r>
        <w:rPr>
          <w:lang w:eastAsia="ja-JP"/>
        </w:rPr>
        <w:t xml:space="preserve">Our view is phase continuity may not be kept </w:t>
      </w:r>
      <w:r w:rsidRPr="0013124B">
        <w:rPr>
          <w:lang w:eastAsia="ja-JP"/>
        </w:rPr>
        <w:t xml:space="preserve">across SBFD and non-SBFD symbols </w:t>
      </w:r>
      <w:r>
        <w:rPr>
          <w:lang w:eastAsia="ja-JP"/>
        </w:rPr>
        <w:t xml:space="preserve">because of possible difference on the analogue filter. Therefore, we think the channel estimation needs to be carried out separately between SBFD symbol and non-SBFD symbol. In addition, because of the difference of the interference, link quality can be also different between SBFD symbol and non-SBFD symbol. Therefore, different MCS would be more reasonable between SBFD symbol and non-SBFD symbol. Different channel estimation and different MCS can be naturally realized by different transmission/reception occasion of a physical channel.  </w:t>
      </w:r>
    </w:p>
    <w:p w14:paraId="7B4A300C" w14:textId="10C39ED4" w:rsidR="004E1331" w:rsidRPr="0013124B" w:rsidRDefault="004E1331" w:rsidP="004E1331">
      <w:pPr>
        <w:rPr>
          <w:lang w:eastAsia="ja-JP"/>
        </w:rPr>
      </w:pPr>
      <w:r w:rsidRPr="0013124B">
        <w:rPr>
          <w:lang w:eastAsia="ja-JP"/>
        </w:rPr>
        <w:t>If the transmission/reception occasion is confined within the same symbol type, such transmission/reception can be supported</w:t>
      </w:r>
      <w:r>
        <w:rPr>
          <w:lang w:eastAsia="ja-JP"/>
        </w:rPr>
        <w:t xml:space="preserve"> (e</w:t>
      </w:r>
      <w:r w:rsidRPr="0013124B">
        <w:rPr>
          <w:lang w:eastAsia="ja-JP"/>
        </w:rPr>
        <w:t>.g., if PUSCH repetition type B is applied within a slot and each transmission occasion is confined with either of SBFD symbols or non-SBFD symbols, such transmission can be supported</w:t>
      </w:r>
      <w:r>
        <w:rPr>
          <w:lang w:eastAsia="ja-JP"/>
        </w:rPr>
        <w:t xml:space="preserve">). </w:t>
      </w:r>
    </w:p>
    <w:p w14:paraId="682224BB" w14:textId="77777777" w:rsidR="004E1331" w:rsidRDefault="004E1331" w:rsidP="004E1331">
      <w:pPr>
        <w:rPr>
          <w:lang w:eastAsia="ja-JP"/>
        </w:rPr>
      </w:pPr>
      <w:r w:rsidRPr="00654DFF">
        <w:rPr>
          <w:b/>
          <w:bCs/>
          <w:lang w:eastAsia="ja-JP"/>
        </w:rPr>
        <w:t xml:space="preserve">Proposal </w:t>
      </w:r>
      <w:r>
        <w:rPr>
          <w:b/>
          <w:bCs/>
          <w:lang w:eastAsia="ja-JP"/>
        </w:rPr>
        <w:t>3</w:t>
      </w:r>
      <w:r w:rsidRPr="00654DFF">
        <w:rPr>
          <w:rFonts w:hint="eastAsia"/>
          <w:b/>
          <w:bCs/>
          <w:lang w:eastAsia="ja-JP"/>
        </w:rPr>
        <w:t>:</w:t>
      </w:r>
      <w:r w:rsidRPr="00422648">
        <w:rPr>
          <w:b/>
          <w:bCs/>
          <w:lang w:eastAsia="ja-JP"/>
        </w:rPr>
        <w:t xml:space="preserve"> </w:t>
      </w:r>
      <w:r w:rsidRPr="003B1504">
        <w:rPr>
          <w:b/>
          <w:bCs/>
          <w:lang w:eastAsia="ja-JP"/>
        </w:rPr>
        <w:t>Not support that the transmission/reception occasion of a physical channel/signal can be mapped to SBFD and non-SBFD symbols within a slot for a UE.</w:t>
      </w:r>
    </w:p>
    <w:p w14:paraId="554EC525" w14:textId="77777777" w:rsidR="005D7FB6" w:rsidRPr="009850A9" w:rsidRDefault="005D7FB6" w:rsidP="00F4375C">
      <w:pPr>
        <w:rPr>
          <w:lang w:eastAsia="ja-JP"/>
        </w:rPr>
      </w:pPr>
    </w:p>
    <w:p w14:paraId="358340A6" w14:textId="63B93DE9" w:rsidR="0054592D" w:rsidRDefault="00700D82" w:rsidP="0054592D">
      <w:pPr>
        <w:pStyle w:val="3"/>
      </w:pPr>
      <w:r w:rsidRPr="00700D82">
        <w:t>Subband frequency location indication</w:t>
      </w:r>
    </w:p>
    <w:p w14:paraId="3C0A57C8" w14:textId="77777777" w:rsidR="00AB2923" w:rsidRPr="0013124B" w:rsidRDefault="00AB2923" w:rsidP="00AB2923">
      <w:pPr>
        <w:rPr>
          <w:lang w:eastAsia="ja-JP"/>
        </w:rPr>
      </w:pPr>
      <w:r>
        <w:rPr>
          <w:rFonts w:hint="eastAsia"/>
          <w:lang w:val="en-GB" w:eastAsia="ja-JP"/>
        </w:rPr>
        <w:t>I</w:t>
      </w:r>
      <w:r>
        <w:rPr>
          <w:lang w:val="en-GB" w:eastAsia="ja-JP"/>
        </w:rPr>
        <w:t xml:space="preserve">n RAN1#112bis-e, </w:t>
      </w:r>
      <w:r w:rsidRPr="0000760A">
        <w:rPr>
          <w:lang w:eastAsia="ja-JP"/>
        </w:rPr>
        <w:t xml:space="preserve">two options </w:t>
      </w:r>
      <w:r>
        <w:rPr>
          <w:lang w:eastAsia="ja-JP"/>
        </w:rPr>
        <w:t xml:space="preserve">were agreed </w:t>
      </w:r>
      <w:r w:rsidRPr="0000760A">
        <w:rPr>
          <w:lang w:eastAsia="ja-JP"/>
        </w:rPr>
        <w:t>for frequency location configuration of DL subband(s) and guardband(s)</w:t>
      </w:r>
      <w:r>
        <w:rPr>
          <w:lang w:eastAsia="ja-JP"/>
        </w:rPr>
        <w:t>.</w:t>
      </w:r>
    </w:p>
    <w:tbl>
      <w:tblPr>
        <w:tblStyle w:val="afc"/>
        <w:tblW w:w="0" w:type="auto"/>
        <w:tblLook w:val="04A0" w:firstRow="1" w:lastRow="0" w:firstColumn="1" w:lastColumn="0" w:noHBand="0" w:noVBand="1"/>
      </w:tblPr>
      <w:tblGrid>
        <w:gridCol w:w="9630"/>
      </w:tblGrid>
      <w:tr w:rsidR="00AB2923" w14:paraId="4A915138" w14:textId="77777777" w:rsidTr="0013124B">
        <w:tc>
          <w:tcPr>
            <w:tcW w:w="9630" w:type="dxa"/>
          </w:tcPr>
          <w:p w14:paraId="73D66699" w14:textId="77777777" w:rsidR="00AB2923" w:rsidRPr="00DC76CC" w:rsidRDefault="00AB2923" w:rsidP="0013124B">
            <w:pPr>
              <w:spacing w:after="0"/>
              <w:rPr>
                <w:highlight w:val="green"/>
                <w:lang w:eastAsia="zh-CN"/>
              </w:rPr>
            </w:pPr>
            <w:r w:rsidRPr="00DC76CC">
              <w:rPr>
                <w:highlight w:val="green"/>
                <w:lang w:eastAsia="zh-CN"/>
              </w:rPr>
              <w:t>Agreement</w:t>
            </w:r>
          </w:p>
          <w:p w14:paraId="032AFEB6" w14:textId="77777777" w:rsidR="00AB2923" w:rsidRPr="00DC76CC" w:rsidRDefault="00AB2923" w:rsidP="0013124B">
            <w:pPr>
              <w:spacing w:after="0"/>
            </w:pPr>
            <w:r w:rsidRPr="00DC76CC">
              <w:t>At least for semi-static SBFD, the following two options are viable solutions for frequency location configuration of DL subband(s) and guardband(s) if any.</w:t>
            </w:r>
          </w:p>
          <w:p w14:paraId="237A3ACD" w14:textId="77777777" w:rsidR="00AB2923" w:rsidRPr="00DC76CC" w:rsidRDefault="00AB2923" w:rsidP="0013124B">
            <w:pPr>
              <w:pStyle w:val="aff4"/>
              <w:numPr>
                <w:ilvl w:val="0"/>
                <w:numId w:val="30"/>
              </w:numPr>
              <w:overflowPunct w:val="0"/>
              <w:autoSpaceDE w:val="0"/>
              <w:autoSpaceDN w:val="0"/>
              <w:adjustRightInd w:val="0"/>
              <w:spacing w:after="0"/>
              <w:ind w:leftChars="0" w:left="714" w:hanging="357"/>
              <w:contextualSpacing/>
              <w:textAlignment w:val="baseline"/>
            </w:pPr>
            <w:r w:rsidRPr="00DC76CC">
              <w:t xml:space="preserve">Option 1: Frequency locations of DL subband(s) are explicitly configured. Guardband(s) if any are implicitly derived as the RBs which are not within UL subband or DL subband(s). </w:t>
            </w:r>
          </w:p>
          <w:p w14:paraId="232E842C" w14:textId="77777777" w:rsidR="00AB2923" w:rsidRPr="0013124B" w:rsidRDefault="00AB2923" w:rsidP="0013124B">
            <w:pPr>
              <w:pStyle w:val="aff4"/>
              <w:numPr>
                <w:ilvl w:val="0"/>
                <w:numId w:val="30"/>
              </w:numPr>
              <w:overflowPunct w:val="0"/>
              <w:autoSpaceDE w:val="0"/>
              <w:autoSpaceDN w:val="0"/>
              <w:adjustRightInd w:val="0"/>
              <w:spacing w:after="120"/>
              <w:ind w:leftChars="0" w:left="714" w:hanging="357"/>
              <w:contextualSpacing/>
              <w:textAlignment w:val="baseline"/>
              <w:rPr>
                <w:lang w:eastAsia="ja-JP"/>
              </w:rPr>
            </w:pPr>
            <w:r w:rsidRPr="00DC76CC">
              <w:t>Option 2: The number of RBs for guardband(s), if any, is explicitly configured. DL subband(s) are implicitly derived as RBs which are not within UL subband or guardband(s).</w:t>
            </w:r>
          </w:p>
        </w:tc>
      </w:tr>
    </w:tbl>
    <w:p w14:paraId="43E5A4E4" w14:textId="77777777" w:rsidR="00AB2923" w:rsidRDefault="00AB2923" w:rsidP="00AB2923">
      <w:pPr>
        <w:spacing w:after="0"/>
        <w:rPr>
          <w:lang w:val="en-GB" w:eastAsia="ja-JP"/>
        </w:rPr>
      </w:pPr>
    </w:p>
    <w:p w14:paraId="287FE8F6" w14:textId="71E2BE48" w:rsidR="00AB2923" w:rsidRDefault="00AB2923" w:rsidP="00803EF4">
      <w:pPr>
        <w:spacing w:after="120"/>
        <w:rPr>
          <w:rFonts w:eastAsia="Microsoft YaHei"/>
          <w:lang w:eastAsia="zh-CN"/>
        </w:rPr>
      </w:pPr>
      <w:r w:rsidRPr="009C65A0">
        <w:rPr>
          <w:lang w:val="en-GB" w:eastAsia="ja-JP"/>
        </w:rPr>
        <w:t>According to the discussion in RAN1#112bis-e, potential benefit of option 2 is overhead reduction</w:t>
      </w:r>
      <w:r>
        <w:rPr>
          <w:lang w:val="en-GB" w:eastAsia="ja-JP"/>
        </w:rPr>
        <w:t xml:space="preserve"> </w:t>
      </w:r>
      <w:r>
        <w:rPr>
          <w:lang w:val="en-GB" w:eastAsia="ja-JP"/>
        </w:rPr>
        <w:fldChar w:fldCharType="begin"/>
      </w:r>
      <w:r>
        <w:rPr>
          <w:lang w:val="en-GB" w:eastAsia="ja-JP"/>
        </w:rPr>
        <w:instrText xml:space="preserve"> REF _Ref134715167 \n \h </w:instrText>
      </w:r>
      <w:r>
        <w:rPr>
          <w:lang w:val="en-GB" w:eastAsia="ja-JP"/>
        </w:rPr>
      </w:r>
      <w:r>
        <w:rPr>
          <w:lang w:val="en-GB" w:eastAsia="ja-JP"/>
        </w:rPr>
        <w:fldChar w:fldCharType="separate"/>
      </w:r>
      <w:r w:rsidR="00461A99">
        <w:rPr>
          <w:lang w:val="en-GB" w:eastAsia="ja-JP"/>
        </w:rPr>
        <w:t>[2]</w:t>
      </w:r>
      <w:r>
        <w:rPr>
          <w:lang w:val="en-GB" w:eastAsia="ja-JP"/>
        </w:rPr>
        <w:fldChar w:fldCharType="end"/>
      </w:r>
      <w:r w:rsidRPr="009C65A0">
        <w:rPr>
          <w:lang w:val="en-GB" w:eastAsia="ja-JP"/>
        </w:rPr>
        <w:t>.</w:t>
      </w:r>
      <w:r>
        <w:rPr>
          <w:lang w:val="en-GB" w:eastAsia="ja-JP"/>
        </w:rPr>
        <w:t xml:space="preserve"> It was argued that t</w:t>
      </w:r>
      <w:r w:rsidRPr="009C65A0">
        <w:rPr>
          <w:lang w:val="en-GB" w:eastAsia="ja-JP"/>
        </w:rPr>
        <w:t xml:space="preserve">he explicit </w:t>
      </w:r>
      <w:r>
        <w:rPr>
          <w:lang w:val="en-GB" w:eastAsia="ja-JP"/>
        </w:rPr>
        <w:t>configuration</w:t>
      </w:r>
      <w:r w:rsidRPr="009C65A0">
        <w:rPr>
          <w:lang w:val="en-GB" w:eastAsia="ja-JP"/>
        </w:rPr>
        <w:t xml:space="preserve"> of </w:t>
      </w:r>
      <w:r>
        <w:rPr>
          <w:lang w:val="en-GB" w:eastAsia="ja-JP"/>
        </w:rPr>
        <w:t>option 1</w:t>
      </w:r>
      <w:r w:rsidRPr="009C65A0">
        <w:rPr>
          <w:lang w:val="en-GB" w:eastAsia="ja-JP"/>
        </w:rPr>
        <w:t xml:space="preserve"> requires</w:t>
      </w:r>
      <w:r>
        <w:rPr>
          <w:lang w:val="en-GB" w:eastAsia="ja-JP"/>
        </w:rPr>
        <w:t xml:space="preserve"> </w:t>
      </w:r>
      <w:r w:rsidRPr="009C65A0">
        <w:rPr>
          <w:lang w:val="en-GB" w:eastAsia="ja-JP"/>
        </w:rPr>
        <w:t>at least {the starting position and the number of RBs}</w:t>
      </w:r>
      <w:r>
        <w:rPr>
          <w:lang w:val="en-GB" w:eastAsia="ja-JP"/>
        </w:rPr>
        <w:t xml:space="preserve"> of DL subband(s), while </w:t>
      </w:r>
      <w:r w:rsidRPr="009C65A0">
        <w:rPr>
          <w:lang w:val="en-GB" w:eastAsia="ja-JP"/>
        </w:rPr>
        <w:t xml:space="preserve">the explicit </w:t>
      </w:r>
      <w:r>
        <w:rPr>
          <w:lang w:val="en-GB" w:eastAsia="ja-JP"/>
        </w:rPr>
        <w:t>configuration</w:t>
      </w:r>
      <w:r w:rsidRPr="009C65A0">
        <w:rPr>
          <w:lang w:val="en-GB" w:eastAsia="ja-JP"/>
        </w:rPr>
        <w:t xml:space="preserve"> of</w:t>
      </w:r>
      <w:r>
        <w:rPr>
          <w:lang w:val="en-GB" w:eastAsia="ja-JP"/>
        </w:rPr>
        <w:t xml:space="preserve"> option 2</w:t>
      </w:r>
      <w:r w:rsidRPr="009C65A0">
        <w:rPr>
          <w:lang w:val="en-GB" w:eastAsia="ja-JP"/>
        </w:rPr>
        <w:t xml:space="preserve"> requires only {the number of RBs} </w:t>
      </w:r>
      <w:r>
        <w:rPr>
          <w:lang w:val="en-GB" w:eastAsia="ja-JP"/>
        </w:rPr>
        <w:t xml:space="preserve">of guardband(s) </w:t>
      </w:r>
      <w:r w:rsidRPr="009C65A0">
        <w:rPr>
          <w:lang w:val="en-GB" w:eastAsia="ja-JP"/>
        </w:rPr>
        <w:t>since the guardband is always adjacent to UL subband.</w:t>
      </w:r>
      <w:r w:rsidRPr="00F6478A">
        <w:rPr>
          <w:lang w:val="en-GB" w:eastAsia="ja-JP"/>
        </w:rPr>
        <w:t xml:space="preserve"> </w:t>
      </w:r>
      <w:r w:rsidRPr="009C65A0">
        <w:rPr>
          <w:lang w:val="en-GB" w:eastAsia="ja-JP"/>
        </w:rPr>
        <w:t>However, if edges of BWP and subbands are aligned</w:t>
      </w:r>
      <w:r>
        <w:rPr>
          <w:lang w:val="en-GB" w:eastAsia="ja-JP"/>
        </w:rPr>
        <w:t xml:space="preserve"> (as shown in </w:t>
      </w:r>
      <w:r>
        <w:rPr>
          <w:lang w:val="en-GB" w:eastAsia="ja-JP"/>
        </w:rPr>
        <w:fldChar w:fldCharType="begin"/>
      </w:r>
      <w:r>
        <w:rPr>
          <w:lang w:val="en-GB" w:eastAsia="ja-JP"/>
        </w:rPr>
        <w:instrText xml:space="preserve"> REF _Ref134715524 \h </w:instrText>
      </w:r>
      <w:r>
        <w:rPr>
          <w:lang w:val="en-GB" w:eastAsia="ja-JP"/>
        </w:rPr>
      </w:r>
      <w:r>
        <w:rPr>
          <w:lang w:val="en-GB" w:eastAsia="ja-JP"/>
        </w:rPr>
        <w:fldChar w:fldCharType="separate"/>
      </w:r>
      <w:r w:rsidR="00461A99">
        <w:t xml:space="preserve">Figure </w:t>
      </w:r>
      <w:r w:rsidR="00461A99">
        <w:rPr>
          <w:noProof/>
        </w:rPr>
        <w:t>1</w:t>
      </w:r>
      <w:r>
        <w:rPr>
          <w:lang w:val="en-GB" w:eastAsia="ja-JP"/>
        </w:rPr>
        <w:fldChar w:fldCharType="end"/>
      </w:r>
      <w:r>
        <w:rPr>
          <w:lang w:val="en-GB" w:eastAsia="ja-JP"/>
        </w:rPr>
        <w:t>)</w:t>
      </w:r>
      <w:r w:rsidRPr="009C65A0">
        <w:rPr>
          <w:lang w:val="en-GB" w:eastAsia="ja-JP"/>
        </w:rPr>
        <w:t>, even for option 1, to configure only</w:t>
      </w:r>
      <w:r>
        <w:rPr>
          <w:lang w:val="en-GB" w:eastAsia="ja-JP"/>
        </w:rPr>
        <w:t xml:space="preserve"> </w:t>
      </w:r>
      <w:r w:rsidRPr="009C65A0">
        <w:rPr>
          <w:lang w:val="en-GB" w:eastAsia="ja-JP"/>
        </w:rPr>
        <w:t>{the number of RBs} of DL subband is sufficient</w:t>
      </w:r>
      <w:r>
        <w:rPr>
          <w:lang w:val="en-GB" w:eastAsia="ja-JP"/>
        </w:rPr>
        <w:t xml:space="preserve"> </w:t>
      </w:r>
      <w:r w:rsidRPr="009C65A0">
        <w:rPr>
          <w:lang w:val="en-GB" w:eastAsia="ja-JP"/>
        </w:rPr>
        <w:t xml:space="preserve">because </w:t>
      </w:r>
      <w:r w:rsidR="0053037D">
        <w:rPr>
          <w:lang w:val="en-GB" w:eastAsia="ja-JP"/>
        </w:rPr>
        <w:t xml:space="preserve">the </w:t>
      </w:r>
      <w:r w:rsidRPr="009C65A0">
        <w:rPr>
          <w:lang w:val="en-GB" w:eastAsia="ja-JP"/>
        </w:rPr>
        <w:t xml:space="preserve">staring RB of the first subband and </w:t>
      </w:r>
      <w:r w:rsidR="008A6F6E">
        <w:rPr>
          <w:lang w:val="en-GB" w:eastAsia="ja-JP"/>
        </w:rPr>
        <w:t xml:space="preserve">the </w:t>
      </w:r>
      <w:r w:rsidRPr="009C65A0">
        <w:rPr>
          <w:lang w:val="en-GB" w:eastAsia="ja-JP"/>
        </w:rPr>
        <w:t>ending RB of the last subband are aligned with edges of BWP.</w:t>
      </w:r>
      <w:r>
        <w:rPr>
          <w:lang w:val="en-GB" w:eastAsia="ja-JP"/>
        </w:rPr>
        <w:t xml:space="preserve"> Therefore, </w:t>
      </w:r>
      <w:r w:rsidR="0028604D" w:rsidRPr="00C42650">
        <w:rPr>
          <w:lang w:val="en-GB" w:eastAsia="ja-JP"/>
        </w:rPr>
        <w:t>signaling</w:t>
      </w:r>
      <w:r w:rsidR="0028604D">
        <w:rPr>
          <w:lang w:val="en-GB" w:eastAsia="ja-JP"/>
        </w:rPr>
        <w:t xml:space="preserve"> </w:t>
      </w:r>
      <w:r>
        <w:rPr>
          <w:rFonts w:eastAsia="Microsoft YaHei"/>
          <w:lang w:eastAsia="zh-CN"/>
        </w:rPr>
        <w:t xml:space="preserve">overhead </w:t>
      </w:r>
      <w:r w:rsidR="00AB129E">
        <w:rPr>
          <w:rFonts w:eastAsia="Microsoft YaHei"/>
          <w:lang w:eastAsia="zh-CN"/>
        </w:rPr>
        <w:t>of</w:t>
      </w:r>
      <w:r>
        <w:rPr>
          <w:rFonts w:eastAsia="Microsoft YaHei"/>
          <w:lang w:eastAsia="zh-CN"/>
        </w:rPr>
        <w:t xml:space="preserve"> option 1 and option 2 would be almost same.</w:t>
      </w:r>
    </w:p>
    <w:p w14:paraId="1D697A4F" w14:textId="022BF3B2" w:rsidR="00B30D6F" w:rsidRPr="00A563AD" w:rsidRDefault="00B30D6F" w:rsidP="00B30D6F">
      <w:pPr>
        <w:rPr>
          <w:rFonts w:eastAsiaTheme="minorEastAsia"/>
          <w:b/>
          <w:bCs/>
          <w:lang w:val="en-GB" w:eastAsia="ja-JP"/>
        </w:rPr>
      </w:pPr>
      <w:r w:rsidRPr="00A563AD">
        <w:rPr>
          <w:rFonts w:eastAsiaTheme="minorEastAsia"/>
          <w:b/>
          <w:bCs/>
          <w:lang w:val="en-GB" w:eastAsia="ja-JP"/>
        </w:rPr>
        <w:lastRenderedPageBreak/>
        <w:t>Observation 1:</w:t>
      </w:r>
      <w:r w:rsidRPr="00A563AD">
        <w:rPr>
          <w:rFonts w:eastAsiaTheme="minorEastAsia" w:hint="eastAsia"/>
          <w:b/>
          <w:bCs/>
          <w:lang w:val="en-GB" w:eastAsia="ja-JP"/>
        </w:rPr>
        <w:t xml:space="preserve"> For</w:t>
      </w:r>
      <w:r w:rsidRPr="00A563AD">
        <w:rPr>
          <w:rFonts w:eastAsiaTheme="minorEastAsia"/>
          <w:b/>
          <w:bCs/>
          <w:lang w:val="en-GB" w:eastAsia="ja-JP"/>
        </w:rPr>
        <w:t xml:space="preserve"> the </w:t>
      </w:r>
      <w:r w:rsidRPr="00A563AD">
        <w:rPr>
          <w:b/>
          <w:bCs/>
        </w:rPr>
        <w:t xml:space="preserve">frequency location configuration of DL subband(s) and guardband(s), there is no </w:t>
      </w:r>
      <w:r w:rsidR="00365B54" w:rsidRPr="00365B54">
        <w:rPr>
          <w:b/>
          <w:bCs/>
        </w:rPr>
        <w:t>significant</w:t>
      </w:r>
      <w:r w:rsidRPr="00A563AD">
        <w:rPr>
          <w:b/>
          <w:bCs/>
        </w:rPr>
        <w:t xml:space="preserve"> difference </w:t>
      </w:r>
      <w:r w:rsidR="00A563AD">
        <w:rPr>
          <w:b/>
          <w:bCs/>
        </w:rPr>
        <w:t>between Option 1 and Option 2</w:t>
      </w:r>
      <w:r w:rsidRPr="00A563AD">
        <w:rPr>
          <w:b/>
          <w:bCs/>
        </w:rPr>
        <w:t>.</w:t>
      </w:r>
    </w:p>
    <w:p w14:paraId="2137E4D6" w14:textId="77777777" w:rsidR="00D31C6A" w:rsidRDefault="00D31C6A" w:rsidP="00AB2923">
      <w:pPr>
        <w:rPr>
          <w:lang w:val="en-GB" w:eastAsia="ja-JP"/>
        </w:rPr>
      </w:pPr>
    </w:p>
    <w:p w14:paraId="4E18FA7C" w14:textId="77777777" w:rsidR="00AB2923" w:rsidRDefault="00AB2923" w:rsidP="00AB2923">
      <w:pPr>
        <w:jc w:val="center"/>
        <w:rPr>
          <w:lang w:val="en-GB" w:eastAsia="ja-JP"/>
        </w:rPr>
      </w:pPr>
      <w:r w:rsidRPr="009C65A0">
        <w:rPr>
          <w:noProof/>
          <w:lang w:eastAsia="ja-JP"/>
        </w:rPr>
        <w:drawing>
          <wp:inline distT="0" distB="0" distL="0" distR="0" wp14:anchorId="6A15FF60" wp14:editId="68F2E2DC">
            <wp:extent cx="2356009" cy="1105231"/>
            <wp:effectExtent l="0" t="0" r="0" b="0"/>
            <wp:docPr id="6" name="グラフィックス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extLst>
                        <a:ext uri="{96DAC541-7B7A-43D3-8B79-37D633B846F1}">
                          <asvg:svgBlip xmlns:asvg="http://schemas.microsoft.com/office/drawing/2016/SVG/main" r:embed="rId13"/>
                        </a:ext>
                      </a:extLst>
                    </a:blip>
                    <a:stretch>
                      <a:fillRect/>
                    </a:stretch>
                  </pic:blipFill>
                  <pic:spPr>
                    <a:xfrm>
                      <a:off x="0" y="0"/>
                      <a:ext cx="2371658" cy="1112572"/>
                    </a:xfrm>
                    <a:prstGeom prst="rect">
                      <a:avLst/>
                    </a:prstGeom>
                  </pic:spPr>
                </pic:pic>
              </a:graphicData>
            </a:graphic>
          </wp:inline>
        </w:drawing>
      </w:r>
    </w:p>
    <w:p w14:paraId="2F4E4E13" w14:textId="570D0498" w:rsidR="00AB2923" w:rsidRDefault="00AB2923" w:rsidP="00AB2923">
      <w:pPr>
        <w:pStyle w:val="ac"/>
        <w:jc w:val="center"/>
        <w:rPr>
          <w:rFonts w:eastAsiaTheme="minorEastAsia"/>
          <w:lang w:val="en-GB" w:eastAsia="ja-JP"/>
        </w:rPr>
      </w:pPr>
      <w:bookmarkStart w:id="1" w:name="_Ref134715524"/>
      <w:r>
        <w:t xml:space="preserve">Figure </w:t>
      </w:r>
      <w:fldSimple w:instr=" SEQ Figure \* ARABIC ">
        <w:r w:rsidR="00461A99">
          <w:rPr>
            <w:noProof/>
          </w:rPr>
          <w:t>1</w:t>
        </w:r>
      </w:fldSimple>
      <w:bookmarkEnd w:id="1"/>
      <w:r>
        <w:t xml:space="preserve"> </w:t>
      </w:r>
      <w:r>
        <w:rPr>
          <w:rFonts w:eastAsiaTheme="minorEastAsia"/>
          <w:lang w:val="en-GB" w:eastAsia="ja-JP"/>
        </w:rPr>
        <w:t xml:space="preserve"> The relationship between BWP and subband</w:t>
      </w:r>
    </w:p>
    <w:p w14:paraId="20533EA8" w14:textId="77777777" w:rsidR="00646B28" w:rsidRPr="00C42650" w:rsidRDefault="00646B28" w:rsidP="001F67D7">
      <w:pPr>
        <w:rPr>
          <w:lang w:eastAsia="ja-JP"/>
        </w:rPr>
      </w:pPr>
    </w:p>
    <w:p w14:paraId="30FFF227" w14:textId="073C75A2" w:rsidR="00A65A9C" w:rsidRDefault="00700D82" w:rsidP="0054592D">
      <w:pPr>
        <w:pStyle w:val="3"/>
      </w:pPr>
      <w:r w:rsidRPr="00700D82">
        <w:t>Subband time location indication</w:t>
      </w:r>
    </w:p>
    <w:p w14:paraId="572FF9FD" w14:textId="7B12F1C3" w:rsidR="00BD2099" w:rsidRDefault="00723807" w:rsidP="0054592D">
      <w:pPr>
        <w:rPr>
          <w:rFonts w:eastAsiaTheme="minorEastAsia"/>
          <w:lang w:val="en-GB" w:eastAsia="ja-JP"/>
        </w:rPr>
      </w:pPr>
      <w:r>
        <w:rPr>
          <w:rFonts w:eastAsiaTheme="minorEastAsia"/>
          <w:lang w:val="en-GB" w:eastAsia="ja-JP"/>
        </w:rPr>
        <w:t xml:space="preserve">For SBFD operation, gNB needs to be able to configure different transmission directions to different UEs on the same symbol or slot. </w:t>
      </w:r>
      <w:r w:rsidR="003366FA">
        <w:rPr>
          <w:rFonts w:eastAsiaTheme="minorEastAsia"/>
          <w:lang w:val="en-GB" w:eastAsia="ja-JP"/>
        </w:rPr>
        <w:t xml:space="preserve">By Rel-15/16/17 specifications, </w:t>
      </w:r>
      <w:r w:rsidR="0020436C">
        <w:rPr>
          <w:rFonts w:eastAsiaTheme="minorEastAsia"/>
          <w:lang w:val="en-GB" w:eastAsia="ja-JP"/>
        </w:rPr>
        <w:t>cell common transmission direction is configured by SIB and different direction to different UEs</w:t>
      </w:r>
      <w:r w:rsidR="003366FA">
        <w:rPr>
          <w:rFonts w:eastAsiaTheme="minorEastAsia"/>
          <w:lang w:val="en-GB" w:eastAsia="ja-JP"/>
        </w:rPr>
        <w:t xml:space="preserve"> can be </w:t>
      </w:r>
      <w:r w:rsidR="0020436C">
        <w:rPr>
          <w:rFonts w:eastAsiaTheme="minorEastAsia"/>
          <w:lang w:val="en-GB" w:eastAsia="ja-JP"/>
        </w:rPr>
        <w:t>realized</w:t>
      </w:r>
      <w:r w:rsidR="003366FA">
        <w:rPr>
          <w:rFonts w:eastAsiaTheme="minorEastAsia"/>
          <w:lang w:val="en-GB" w:eastAsia="ja-JP"/>
        </w:rPr>
        <w:t xml:space="preserve"> by UE-dedicated RRC slot format configuration or </w:t>
      </w:r>
      <w:r w:rsidR="00EF11FE">
        <w:rPr>
          <w:rFonts w:eastAsiaTheme="minorEastAsia"/>
          <w:lang w:val="en-GB" w:eastAsia="ja-JP"/>
        </w:rPr>
        <w:t xml:space="preserve">a group common PDCCH (DCI 2_0). </w:t>
      </w:r>
      <w:r w:rsidR="003309EB">
        <w:rPr>
          <w:rFonts w:eastAsiaTheme="minorEastAsia"/>
          <w:lang w:val="en-GB" w:eastAsia="ja-JP"/>
        </w:rPr>
        <w:t xml:space="preserve">The following </w:t>
      </w:r>
      <w:r w:rsidR="00F53123">
        <w:rPr>
          <w:rFonts w:eastAsiaTheme="minorEastAsia"/>
          <w:lang w:val="en-GB" w:eastAsia="ja-JP"/>
        </w:rPr>
        <w:t xml:space="preserve">Figure 2 </w:t>
      </w:r>
      <w:r w:rsidR="003309EB">
        <w:rPr>
          <w:rFonts w:eastAsiaTheme="minorEastAsia"/>
          <w:lang w:val="en-GB" w:eastAsia="ja-JP"/>
        </w:rPr>
        <w:t xml:space="preserve">illustrates one example of using UE-dedicated RRC to configure different </w:t>
      </w:r>
      <w:r w:rsidR="00E61E1F">
        <w:rPr>
          <w:rFonts w:eastAsiaTheme="minorEastAsia"/>
          <w:lang w:val="en-GB" w:eastAsia="ja-JP"/>
        </w:rPr>
        <w:t>transmission directions</w:t>
      </w:r>
      <w:r w:rsidR="003909BD">
        <w:rPr>
          <w:rFonts w:eastAsiaTheme="minorEastAsia"/>
          <w:lang w:val="en-GB" w:eastAsia="ja-JP"/>
        </w:rPr>
        <w:t xml:space="preserve">. Note that </w:t>
      </w:r>
      <w:r w:rsidR="003909BD" w:rsidRPr="003909BD">
        <w:rPr>
          <w:rFonts w:eastAsiaTheme="minorEastAsia"/>
          <w:lang w:val="en-GB" w:eastAsia="ja-JP"/>
        </w:rPr>
        <w:t>the existing signalling schemes can only overwrite semi-static Flexible symbol/slot of SIB</w:t>
      </w:r>
      <w:r w:rsidR="003909BD">
        <w:rPr>
          <w:rFonts w:eastAsiaTheme="minorEastAsia"/>
          <w:lang w:val="en-GB" w:eastAsia="ja-JP"/>
        </w:rPr>
        <w:t>.</w:t>
      </w:r>
    </w:p>
    <w:p w14:paraId="62518A2A" w14:textId="77777777" w:rsidR="00C723B7" w:rsidRDefault="00E61E1F" w:rsidP="00AA5E22">
      <w:pPr>
        <w:keepNext/>
        <w:jc w:val="center"/>
      </w:pPr>
      <w:r w:rsidRPr="00E61E1F">
        <w:rPr>
          <w:rFonts w:eastAsiaTheme="minorEastAsia"/>
          <w:noProof/>
          <w:lang w:eastAsia="ja-JP"/>
        </w:rPr>
        <w:drawing>
          <wp:inline distT="0" distB="0" distL="0" distR="0" wp14:anchorId="686F05AE" wp14:editId="0639E145">
            <wp:extent cx="4429452" cy="2630413"/>
            <wp:effectExtent l="0" t="0" r="0" b="0"/>
            <wp:docPr id="10" name="Picture 9">
              <a:extLst xmlns:a="http://schemas.openxmlformats.org/drawingml/2006/main">
                <a:ext uri="{FF2B5EF4-FFF2-40B4-BE49-F238E27FC236}">
                  <a16:creationId xmlns:a16="http://schemas.microsoft.com/office/drawing/2014/main" id="{91AF409C-3CB6-410A-A8D8-216E2546E02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9">
                      <a:extLst>
                        <a:ext uri="{FF2B5EF4-FFF2-40B4-BE49-F238E27FC236}">
                          <a16:creationId xmlns:a16="http://schemas.microsoft.com/office/drawing/2014/main" id="{91AF409C-3CB6-410A-A8D8-216E2546E020}"/>
                        </a:ext>
                      </a:extLst>
                    </pic:cNvPr>
                    <pic:cNvPicPr>
                      <a:picLocks noChangeAspect="1"/>
                    </pic:cNvPicPr>
                  </pic:nvPicPr>
                  <pic:blipFill>
                    <a:blip r:embed="rId14"/>
                    <a:stretch>
                      <a:fillRect/>
                    </a:stretch>
                  </pic:blipFill>
                  <pic:spPr>
                    <a:xfrm>
                      <a:off x="0" y="0"/>
                      <a:ext cx="4429452" cy="2630413"/>
                    </a:xfrm>
                    <a:prstGeom prst="rect">
                      <a:avLst/>
                    </a:prstGeom>
                  </pic:spPr>
                </pic:pic>
              </a:graphicData>
            </a:graphic>
          </wp:inline>
        </w:drawing>
      </w:r>
    </w:p>
    <w:p w14:paraId="2B2BB983" w14:textId="65B96AC5" w:rsidR="00BD2099" w:rsidRDefault="00C723B7" w:rsidP="00AA5E22">
      <w:pPr>
        <w:pStyle w:val="ac"/>
        <w:jc w:val="center"/>
        <w:rPr>
          <w:rFonts w:eastAsiaTheme="minorEastAsia"/>
          <w:lang w:val="en-GB" w:eastAsia="ja-JP"/>
        </w:rPr>
      </w:pPr>
      <w:r>
        <w:t xml:space="preserve">Figure </w:t>
      </w:r>
      <w:fldSimple w:instr=" SEQ Figure \* ARABIC ">
        <w:r w:rsidR="00461A99">
          <w:rPr>
            <w:noProof/>
          </w:rPr>
          <w:t>2</w:t>
        </w:r>
      </w:fldSimple>
      <w:r>
        <w:t xml:space="preserve"> </w:t>
      </w:r>
      <w:r w:rsidR="00E61E1F">
        <w:rPr>
          <w:rFonts w:eastAsiaTheme="minorEastAsia"/>
          <w:lang w:val="en-GB" w:eastAsia="ja-JP"/>
        </w:rPr>
        <w:t xml:space="preserve"> </w:t>
      </w:r>
      <w:r w:rsidR="00F055B4">
        <w:rPr>
          <w:rFonts w:eastAsiaTheme="minorEastAsia"/>
          <w:lang w:val="en-GB" w:eastAsia="ja-JP"/>
        </w:rPr>
        <w:t xml:space="preserve">SBFD operation by </w:t>
      </w:r>
      <w:r w:rsidR="005B6A9D">
        <w:rPr>
          <w:rFonts w:eastAsiaTheme="minorEastAsia"/>
          <w:lang w:val="en-GB" w:eastAsia="ja-JP"/>
        </w:rPr>
        <w:t>using legacy slot format configurations</w:t>
      </w:r>
    </w:p>
    <w:p w14:paraId="7EC7062C" w14:textId="73C0ECCB" w:rsidR="00137806" w:rsidRDefault="00727C1A" w:rsidP="00137806">
      <w:pPr>
        <w:rPr>
          <w:rFonts w:eastAsiaTheme="minorEastAsia"/>
          <w:lang w:val="en-GB" w:eastAsia="ja-JP"/>
        </w:rPr>
      </w:pPr>
      <w:r>
        <w:rPr>
          <w:rFonts w:eastAsiaTheme="minorEastAsia"/>
          <w:lang w:val="en-GB" w:eastAsia="ja-JP"/>
        </w:rPr>
        <w:t>T</w:t>
      </w:r>
      <w:r w:rsidR="00184F4E">
        <w:rPr>
          <w:rFonts w:eastAsiaTheme="minorEastAsia"/>
          <w:lang w:val="en-GB" w:eastAsia="ja-JP"/>
        </w:rPr>
        <w:t>he above existing signalling scheme</w:t>
      </w:r>
      <w:r w:rsidR="0063658C">
        <w:rPr>
          <w:rFonts w:eastAsiaTheme="minorEastAsia"/>
          <w:lang w:val="en-GB" w:eastAsia="ja-JP"/>
        </w:rPr>
        <w:t xml:space="preserve"> is </w:t>
      </w:r>
      <w:r w:rsidR="00184F4E">
        <w:rPr>
          <w:rFonts w:eastAsiaTheme="minorEastAsia"/>
          <w:lang w:val="en-GB" w:eastAsia="ja-JP"/>
        </w:rPr>
        <w:t xml:space="preserve">said </w:t>
      </w:r>
      <w:r w:rsidR="0063658C">
        <w:rPr>
          <w:rFonts w:eastAsiaTheme="minorEastAsia"/>
          <w:lang w:val="en-GB" w:eastAsia="ja-JP"/>
        </w:rPr>
        <w:t xml:space="preserve">not widely </w:t>
      </w:r>
      <w:r w:rsidR="00A74233">
        <w:rPr>
          <w:rFonts w:eastAsiaTheme="minorEastAsia"/>
          <w:lang w:val="en-GB" w:eastAsia="ja-JP"/>
        </w:rPr>
        <w:t>used in existing NR deployment. Taking Japan</w:t>
      </w:r>
      <w:r w:rsidR="00FD250A">
        <w:rPr>
          <w:rFonts w:eastAsiaTheme="minorEastAsia"/>
          <w:lang w:val="en-GB" w:eastAsia="ja-JP"/>
        </w:rPr>
        <w:t>ese</w:t>
      </w:r>
      <w:r w:rsidR="00A74233">
        <w:rPr>
          <w:rFonts w:eastAsiaTheme="minorEastAsia"/>
          <w:lang w:val="en-GB" w:eastAsia="ja-JP"/>
        </w:rPr>
        <w:t xml:space="preserve"> 5G depl</w:t>
      </w:r>
      <w:r w:rsidR="001E0189">
        <w:rPr>
          <w:rFonts w:eastAsiaTheme="minorEastAsia"/>
          <w:lang w:val="en-GB" w:eastAsia="ja-JP"/>
        </w:rPr>
        <w:t>oyment as an example, the TDD pattern (in slot)</w:t>
      </w:r>
      <w:r w:rsidR="00FD250A">
        <w:rPr>
          <w:rFonts w:eastAsiaTheme="minorEastAsia"/>
          <w:lang w:val="en-GB" w:eastAsia="ja-JP"/>
        </w:rPr>
        <w:t xml:space="preserve"> </w:t>
      </w:r>
      <w:r w:rsidR="001E0189">
        <w:rPr>
          <w:rFonts w:eastAsiaTheme="minorEastAsia"/>
          <w:lang w:val="en-GB" w:eastAsia="ja-JP"/>
        </w:rPr>
        <w:t>“DDDSUUDDD</w:t>
      </w:r>
      <w:r w:rsidR="00940974">
        <w:rPr>
          <w:rFonts w:eastAsiaTheme="minorEastAsia"/>
          <w:lang w:val="en-GB" w:eastAsia="ja-JP"/>
        </w:rPr>
        <w:t>D</w:t>
      </w:r>
      <w:r w:rsidR="001E0189">
        <w:rPr>
          <w:rFonts w:eastAsiaTheme="minorEastAsia"/>
          <w:lang w:val="en-GB" w:eastAsia="ja-JP"/>
        </w:rPr>
        <w:t>”</w:t>
      </w:r>
      <w:r w:rsidR="00940974">
        <w:rPr>
          <w:rFonts w:eastAsiaTheme="minorEastAsia"/>
          <w:lang w:val="en-GB" w:eastAsia="ja-JP"/>
        </w:rPr>
        <w:t xml:space="preserve"> is typically </w:t>
      </w:r>
      <w:r w:rsidR="00FD250A">
        <w:rPr>
          <w:rFonts w:eastAsiaTheme="minorEastAsia"/>
          <w:lang w:val="en-GB" w:eastAsia="ja-JP"/>
        </w:rPr>
        <w:t>configured by SIB</w:t>
      </w:r>
      <w:r w:rsidR="00940974">
        <w:rPr>
          <w:rFonts w:eastAsiaTheme="minorEastAsia"/>
          <w:lang w:val="en-GB" w:eastAsia="ja-JP"/>
        </w:rPr>
        <w:t>, where S is a special slot containing DL, UL and Flexible symbols</w:t>
      </w:r>
      <w:r w:rsidR="00357360">
        <w:rPr>
          <w:rFonts w:eastAsiaTheme="minorEastAsia"/>
          <w:lang w:val="en-GB" w:eastAsia="ja-JP"/>
        </w:rPr>
        <w:t xml:space="preserve"> and the Flexible symbols are only used for the gap to switch between DL and UL.</w:t>
      </w:r>
      <w:r w:rsidR="00285EC6">
        <w:rPr>
          <w:rFonts w:eastAsiaTheme="minorEastAsia"/>
          <w:lang w:val="en-GB" w:eastAsia="ja-JP"/>
        </w:rPr>
        <w:t xml:space="preserve"> </w:t>
      </w:r>
      <w:r w:rsidR="00FD250A">
        <w:rPr>
          <w:rFonts w:eastAsiaTheme="minorEastAsia"/>
          <w:lang w:val="en-GB" w:eastAsia="ja-JP"/>
        </w:rPr>
        <w:t>In spite of the mandatory support of flexible symbols</w:t>
      </w:r>
      <w:r w:rsidR="00F53123">
        <w:rPr>
          <w:rFonts w:eastAsiaTheme="minorEastAsia"/>
          <w:lang w:val="en-GB" w:eastAsia="ja-JP"/>
        </w:rPr>
        <w:t xml:space="preserve"> in Rel-15/16/17 specifications</w:t>
      </w:r>
      <w:r w:rsidR="00FD250A">
        <w:rPr>
          <w:rFonts w:eastAsiaTheme="minorEastAsia"/>
          <w:lang w:val="en-GB" w:eastAsia="ja-JP"/>
        </w:rPr>
        <w:t xml:space="preserve">, some </w:t>
      </w:r>
      <w:r w:rsidR="00451737">
        <w:rPr>
          <w:rFonts w:eastAsiaTheme="minorEastAsia"/>
          <w:lang w:val="en-GB" w:eastAsia="ja-JP"/>
        </w:rPr>
        <w:t>argued that</w:t>
      </w:r>
      <w:r w:rsidR="00FD250A">
        <w:rPr>
          <w:rFonts w:eastAsiaTheme="minorEastAsia"/>
          <w:lang w:val="en-GB" w:eastAsia="ja-JP"/>
        </w:rPr>
        <w:t xml:space="preserve"> the sufficient inter-operability test is not </w:t>
      </w:r>
      <w:r>
        <w:rPr>
          <w:rFonts w:eastAsiaTheme="minorEastAsia"/>
          <w:lang w:val="en-GB" w:eastAsia="ja-JP"/>
        </w:rPr>
        <w:t xml:space="preserve">available and not </w:t>
      </w:r>
      <w:r w:rsidR="00FD250A">
        <w:rPr>
          <w:rFonts w:eastAsiaTheme="minorEastAsia"/>
          <w:lang w:val="en-GB" w:eastAsia="ja-JP"/>
        </w:rPr>
        <w:t xml:space="preserve">achieved. </w:t>
      </w:r>
    </w:p>
    <w:p w14:paraId="620778B5" w14:textId="3C4B8984" w:rsidR="00D97A16" w:rsidRDefault="00285EC6" w:rsidP="00137806">
      <w:pPr>
        <w:rPr>
          <w:rFonts w:eastAsiaTheme="minorEastAsia"/>
          <w:lang w:val="en-GB" w:eastAsia="ja-JP"/>
        </w:rPr>
      </w:pPr>
      <w:r>
        <w:rPr>
          <w:rFonts w:eastAsiaTheme="minorEastAsia"/>
          <w:lang w:val="en-GB" w:eastAsia="ja-JP"/>
        </w:rPr>
        <w:t xml:space="preserve">Therefore, the solution </w:t>
      </w:r>
      <w:r w:rsidR="000B0C18">
        <w:rPr>
          <w:rFonts w:eastAsiaTheme="minorEastAsia"/>
          <w:lang w:val="en-GB" w:eastAsia="ja-JP"/>
        </w:rPr>
        <w:t>relying solely on semi-static Flexible symbol/slot is not</w:t>
      </w:r>
      <w:r w:rsidR="00336C27">
        <w:rPr>
          <w:rFonts w:eastAsiaTheme="minorEastAsia"/>
          <w:lang w:val="en-GB" w:eastAsia="ja-JP"/>
        </w:rPr>
        <w:t xml:space="preserve"> sufficient. New enhanced signalling is needed to enable SBFD operation in Rel-18</w:t>
      </w:r>
      <w:r w:rsidR="00D97A16">
        <w:rPr>
          <w:rFonts w:eastAsiaTheme="minorEastAsia"/>
          <w:lang w:val="en-GB" w:eastAsia="ja-JP"/>
        </w:rPr>
        <w:t>, while at the same time, to minimize the impact on legacy NR deployment.</w:t>
      </w:r>
    </w:p>
    <w:p w14:paraId="7D85CC63" w14:textId="264267FC" w:rsidR="003E46EA" w:rsidRDefault="003E46EA" w:rsidP="00137806">
      <w:pPr>
        <w:rPr>
          <w:rFonts w:eastAsiaTheme="minorEastAsia"/>
          <w:lang w:val="en-GB" w:eastAsia="ja-JP"/>
        </w:rPr>
      </w:pPr>
      <w:r w:rsidRPr="00F84D71">
        <w:rPr>
          <w:rFonts w:eastAsiaTheme="minorEastAsia"/>
          <w:b/>
          <w:bCs/>
          <w:lang w:val="en-GB" w:eastAsia="ja-JP"/>
        </w:rPr>
        <w:t xml:space="preserve">Observation </w:t>
      </w:r>
      <w:r w:rsidR="00A41F23">
        <w:rPr>
          <w:rFonts w:eastAsiaTheme="minorEastAsia"/>
          <w:b/>
          <w:bCs/>
          <w:lang w:val="en-GB" w:eastAsia="ja-JP"/>
        </w:rPr>
        <w:t>2</w:t>
      </w:r>
      <w:r w:rsidRPr="006E4BA8">
        <w:rPr>
          <w:rFonts w:eastAsiaTheme="minorEastAsia"/>
          <w:b/>
          <w:bCs/>
          <w:lang w:val="en-GB" w:eastAsia="ja-JP"/>
        </w:rPr>
        <w:t xml:space="preserve">: </w:t>
      </w:r>
      <w:r w:rsidR="00944F8F" w:rsidRPr="006E4BA8">
        <w:rPr>
          <w:rFonts w:eastAsiaTheme="minorEastAsia"/>
          <w:b/>
          <w:bCs/>
          <w:lang w:val="en-GB" w:eastAsia="ja-JP"/>
        </w:rPr>
        <w:t xml:space="preserve">It is not sufficient to operate SBFD only over </w:t>
      </w:r>
      <w:r w:rsidR="006E4BA8">
        <w:rPr>
          <w:rFonts w:eastAsiaTheme="minorEastAsia"/>
          <w:b/>
          <w:bCs/>
          <w:lang w:val="en-GB" w:eastAsia="ja-JP"/>
        </w:rPr>
        <w:t xml:space="preserve">legacy </w:t>
      </w:r>
      <w:r w:rsidR="00944F8F" w:rsidRPr="006E4BA8">
        <w:rPr>
          <w:rFonts w:eastAsiaTheme="minorEastAsia"/>
          <w:b/>
          <w:bCs/>
          <w:lang w:val="en-GB" w:eastAsia="ja-JP"/>
        </w:rPr>
        <w:t>semi-static Flexible symbol/slot</w:t>
      </w:r>
      <w:r w:rsidR="006E4BA8" w:rsidRPr="006E4BA8">
        <w:rPr>
          <w:rFonts w:eastAsiaTheme="minorEastAsia"/>
          <w:b/>
          <w:bCs/>
          <w:lang w:val="en-GB" w:eastAsia="ja-JP"/>
        </w:rPr>
        <w:t>.</w:t>
      </w:r>
      <w:r w:rsidR="006E4BA8">
        <w:rPr>
          <w:rFonts w:eastAsiaTheme="minorEastAsia"/>
          <w:b/>
          <w:bCs/>
          <w:lang w:val="en-GB" w:eastAsia="ja-JP"/>
        </w:rPr>
        <w:t xml:space="preserve"> </w:t>
      </w:r>
      <w:r w:rsidR="00142F5E">
        <w:rPr>
          <w:rFonts w:eastAsiaTheme="minorEastAsia"/>
          <w:b/>
          <w:bCs/>
          <w:lang w:val="en-GB" w:eastAsia="ja-JP"/>
        </w:rPr>
        <w:t>Method to utilize legacy semi-static DL symbol/slot should be studied.</w:t>
      </w:r>
      <w:r w:rsidR="006E4BA8">
        <w:rPr>
          <w:rFonts w:eastAsiaTheme="minorEastAsia"/>
          <w:b/>
          <w:bCs/>
          <w:lang w:val="en-GB" w:eastAsia="ja-JP"/>
        </w:rPr>
        <w:t xml:space="preserve"> </w:t>
      </w:r>
    </w:p>
    <w:p w14:paraId="1E1BFEB3" w14:textId="77777777" w:rsidR="003E46EA" w:rsidRDefault="003E46EA" w:rsidP="00137806">
      <w:pPr>
        <w:rPr>
          <w:rFonts w:eastAsiaTheme="minorEastAsia"/>
          <w:lang w:val="en-GB" w:eastAsia="ja-JP"/>
        </w:rPr>
      </w:pPr>
    </w:p>
    <w:p w14:paraId="0EB1D0BE" w14:textId="6A7BB9CE" w:rsidR="00A67587" w:rsidRDefault="00CF1591" w:rsidP="00137806">
      <w:pPr>
        <w:rPr>
          <w:rFonts w:eastAsiaTheme="minorEastAsia"/>
          <w:lang w:val="en-GB" w:eastAsia="ja-JP"/>
        </w:rPr>
      </w:pPr>
      <w:r>
        <w:rPr>
          <w:rFonts w:eastAsiaTheme="minorEastAsia"/>
          <w:lang w:val="en-GB" w:eastAsia="ja-JP"/>
        </w:rPr>
        <w:t xml:space="preserve">In order not to change </w:t>
      </w:r>
      <w:r w:rsidR="005C56F3">
        <w:rPr>
          <w:rFonts w:eastAsiaTheme="minorEastAsia"/>
          <w:lang w:val="en-GB" w:eastAsia="ja-JP"/>
        </w:rPr>
        <w:t xml:space="preserve">the legacy cell-common semi-static slot format, </w:t>
      </w:r>
      <w:r w:rsidR="00B11E15">
        <w:rPr>
          <w:rFonts w:eastAsiaTheme="minorEastAsia"/>
          <w:lang w:val="en-GB" w:eastAsia="ja-JP"/>
        </w:rPr>
        <w:t xml:space="preserve">SBFD </w:t>
      </w:r>
      <w:r w:rsidR="00EC5470">
        <w:rPr>
          <w:rFonts w:eastAsiaTheme="minorEastAsia"/>
          <w:lang w:val="en-GB" w:eastAsia="ja-JP"/>
        </w:rPr>
        <w:t xml:space="preserve">aware </w:t>
      </w:r>
      <w:r w:rsidR="005C56F3">
        <w:rPr>
          <w:rFonts w:eastAsiaTheme="minorEastAsia"/>
          <w:lang w:val="en-GB" w:eastAsia="ja-JP"/>
        </w:rPr>
        <w:t>UE can be configured with</w:t>
      </w:r>
      <w:r w:rsidR="00CF6EC2">
        <w:rPr>
          <w:rFonts w:eastAsiaTheme="minorEastAsia"/>
          <w:lang w:val="en-GB" w:eastAsia="ja-JP"/>
        </w:rPr>
        <w:t xml:space="preserve"> a new semi-static </w:t>
      </w:r>
      <w:r w:rsidR="00EF1150">
        <w:rPr>
          <w:rFonts w:eastAsiaTheme="minorEastAsia"/>
          <w:lang w:val="en-GB" w:eastAsia="ja-JP"/>
        </w:rPr>
        <w:t>symbol/</w:t>
      </w:r>
      <w:r w:rsidR="00CF6EC2">
        <w:rPr>
          <w:rFonts w:eastAsiaTheme="minorEastAsia"/>
          <w:lang w:val="en-GB" w:eastAsia="ja-JP"/>
        </w:rPr>
        <w:t xml:space="preserve">slot format </w:t>
      </w:r>
      <w:r w:rsidR="00DE1225">
        <w:rPr>
          <w:rFonts w:eastAsiaTheme="minorEastAsia"/>
          <w:lang w:val="en-GB" w:eastAsia="ja-JP"/>
        </w:rPr>
        <w:t xml:space="preserve">where the legacy DL symbol/slot can be overwritten to a </w:t>
      </w:r>
      <w:r w:rsidR="00291923">
        <w:rPr>
          <w:rFonts w:eastAsiaTheme="minorEastAsia"/>
          <w:lang w:val="en-GB" w:eastAsia="ja-JP"/>
        </w:rPr>
        <w:t xml:space="preserve">UL or Flexible symbol/slot. </w:t>
      </w:r>
      <w:r w:rsidR="00B87B2B">
        <w:rPr>
          <w:rFonts w:eastAsiaTheme="minorEastAsia"/>
          <w:lang w:val="en-GB" w:eastAsia="ja-JP"/>
        </w:rPr>
        <w:t xml:space="preserve">With such approach, the SBFD operation between legacy UE and </w:t>
      </w:r>
      <w:r w:rsidR="00B11E15">
        <w:rPr>
          <w:rFonts w:eastAsiaTheme="minorEastAsia"/>
          <w:lang w:val="en-GB" w:eastAsia="ja-JP"/>
        </w:rPr>
        <w:t xml:space="preserve">SBFD </w:t>
      </w:r>
      <w:r w:rsidR="007C65D4">
        <w:rPr>
          <w:rFonts w:eastAsiaTheme="minorEastAsia"/>
          <w:lang w:val="en-GB" w:eastAsia="ja-JP"/>
        </w:rPr>
        <w:t xml:space="preserve">aware </w:t>
      </w:r>
      <w:r w:rsidR="00B87B2B">
        <w:rPr>
          <w:rFonts w:eastAsiaTheme="minorEastAsia"/>
          <w:lang w:val="en-GB" w:eastAsia="ja-JP"/>
        </w:rPr>
        <w:t>UE</w:t>
      </w:r>
      <w:r w:rsidR="005F2086">
        <w:rPr>
          <w:rFonts w:eastAsiaTheme="minorEastAsia"/>
          <w:lang w:val="en-GB" w:eastAsia="ja-JP"/>
        </w:rPr>
        <w:t xml:space="preserve"> becomes possible. </w:t>
      </w:r>
    </w:p>
    <w:p w14:paraId="01E684D9" w14:textId="689B3437" w:rsidR="00703A13" w:rsidRDefault="00A67587" w:rsidP="00137806">
      <w:pPr>
        <w:rPr>
          <w:rFonts w:eastAsiaTheme="minorEastAsia"/>
          <w:lang w:eastAsia="ja-JP"/>
        </w:rPr>
      </w:pPr>
      <w:r>
        <w:rPr>
          <w:rFonts w:eastAsiaTheme="minorEastAsia"/>
          <w:lang w:val="en-GB" w:eastAsia="ja-JP"/>
        </w:rPr>
        <w:lastRenderedPageBreak/>
        <w:t xml:space="preserve">The new Rel-18 semi-static slot format can be configured in two ways: </w:t>
      </w:r>
      <w:r w:rsidR="004D3FE0">
        <w:rPr>
          <w:rFonts w:eastAsiaTheme="minorEastAsia"/>
          <w:lang w:val="en-GB" w:eastAsia="ja-JP"/>
        </w:rPr>
        <w:t xml:space="preserve">in a cell-common manner using a new parameter such as </w:t>
      </w:r>
      <w:r w:rsidR="00187391" w:rsidRPr="00187391">
        <w:rPr>
          <w:rFonts w:eastAsiaTheme="minorEastAsia"/>
          <w:i/>
          <w:iCs/>
          <w:lang w:eastAsia="ja-JP"/>
        </w:rPr>
        <w:t>tdd-UL-DL-ConfigurationCommon-r18</w:t>
      </w:r>
      <w:r w:rsidR="00187391" w:rsidRPr="00187391">
        <w:rPr>
          <w:rFonts w:eastAsiaTheme="minorEastAsia"/>
          <w:lang w:eastAsia="ja-JP"/>
        </w:rPr>
        <w:t>; or</w:t>
      </w:r>
      <w:r w:rsidR="00187391">
        <w:rPr>
          <w:rFonts w:eastAsiaTheme="minorEastAsia"/>
          <w:lang w:val="en-GB" w:eastAsia="ja-JP"/>
        </w:rPr>
        <w:t xml:space="preserve"> in a UE-dedicated manner reusing </w:t>
      </w:r>
      <w:r w:rsidR="005638D2">
        <w:rPr>
          <w:rFonts w:eastAsiaTheme="minorEastAsia"/>
          <w:lang w:val="en-GB" w:eastAsia="ja-JP"/>
        </w:rPr>
        <w:t xml:space="preserve">the existing parameter </w:t>
      </w:r>
      <w:r w:rsidR="005638D2" w:rsidRPr="005638D2">
        <w:rPr>
          <w:rFonts w:eastAsiaTheme="minorEastAsia"/>
          <w:i/>
          <w:iCs/>
          <w:lang w:eastAsia="ja-JP"/>
        </w:rPr>
        <w:t>tdd-UL-DL-ConfigurationDedicated</w:t>
      </w:r>
      <w:r w:rsidR="005638D2">
        <w:rPr>
          <w:rFonts w:eastAsiaTheme="minorEastAsia"/>
          <w:i/>
          <w:iCs/>
          <w:lang w:eastAsia="ja-JP"/>
        </w:rPr>
        <w:t xml:space="preserve">. </w:t>
      </w:r>
      <w:r w:rsidR="005638D2">
        <w:rPr>
          <w:rFonts w:eastAsiaTheme="minorEastAsia"/>
          <w:lang w:eastAsia="ja-JP"/>
        </w:rPr>
        <w:t xml:space="preserve">Note that </w:t>
      </w:r>
      <w:r w:rsidR="005034D6">
        <w:rPr>
          <w:rFonts w:eastAsiaTheme="minorEastAsia"/>
          <w:lang w:eastAsia="ja-JP"/>
        </w:rPr>
        <w:t xml:space="preserve">for the former case, </w:t>
      </w:r>
      <w:r w:rsidR="00DF4133" w:rsidRPr="00DF4133">
        <w:rPr>
          <w:rFonts w:eastAsiaTheme="minorEastAsia"/>
          <w:lang w:eastAsia="ja-JP"/>
        </w:rPr>
        <w:t>although it is a cell common signaling, it would not be visible to Rel-15/16/17 UEs (meaning no impact to legacy UE configuration) because it is a newly introduced parameter</w:t>
      </w:r>
      <w:r w:rsidR="00CF1591">
        <w:rPr>
          <w:rFonts w:eastAsiaTheme="minorEastAsia"/>
          <w:lang w:eastAsia="ja-JP"/>
        </w:rPr>
        <w:t xml:space="preserve"> in SIB</w:t>
      </w:r>
      <w:r w:rsidR="00DF4133">
        <w:rPr>
          <w:rFonts w:eastAsiaTheme="minorEastAsia"/>
          <w:lang w:eastAsia="ja-JP"/>
        </w:rPr>
        <w:t xml:space="preserve">. For </w:t>
      </w:r>
      <w:r w:rsidR="00BB208C">
        <w:rPr>
          <w:rFonts w:eastAsiaTheme="minorEastAsia"/>
          <w:lang w:eastAsia="ja-JP"/>
        </w:rPr>
        <w:t>the latter case, on the other hand, gNB has flexibility to select which UE to configure</w:t>
      </w:r>
      <w:r w:rsidR="00703A13">
        <w:rPr>
          <w:rFonts w:eastAsiaTheme="minorEastAsia"/>
          <w:lang w:eastAsia="ja-JP"/>
        </w:rPr>
        <w:t xml:space="preserve">. </w:t>
      </w:r>
    </w:p>
    <w:p w14:paraId="6CB10840" w14:textId="0CE77681" w:rsidR="000260DA" w:rsidRDefault="00703A13" w:rsidP="00137806">
      <w:pPr>
        <w:rPr>
          <w:rFonts w:eastAsiaTheme="minorEastAsia"/>
          <w:lang w:eastAsia="ja-JP"/>
        </w:rPr>
      </w:pPr>
      <w:r>
        <w:rPr>
          <w:rFonts w:eastAsiaTheme="minorEastAsia"/>
          <w:lang w:eastAsia="ja-JP"/>
        </w:rPr>
        <w:t xml:space="preserve">The following figure shows one </w:t>
      </w:r>
      <w:r w:rsidR="00F81BB4">
        <w:rPr>
          <w:rFonts w:eastAsiaTheme="minorEastAsia"/>
          <w:lang w:eastAsia="ja-JP"/>
        </w:rPr>
        <w:t>example of using cell-common signalling</w:t>
      </w:r>
      <w:r w:rsidR="00C10035">
        <w:rPr>
          <w:rFonts w:eastAsiaTheme="minorEastAsia"/>
          <w:lang w:eastAsia="ja-JP"/>
        </w:rPr>
        <w:t>, where b</w:t>
      </w:r>
      <w:r w:rsidR="00F81BB4">
        <w:rPr>
          <w:rFonts w:eastAsiaTheme="minorEastAsia"/>
          <w:lang w:eastAsia="ja-JP"/>
        </w:rPr>
        <w:t xml:space="preserve">oth parameters, </w:t>
      </w:r>
      <w:r w:rsidR="00C10035" w:rsidRPr="00C10035">
        <w:rPr>
          <w:rFonts w:eastAsiaTheme="minorEastAsia"/>
          <w:i/>
          <w:iCs/>
          <w:lang w:eastAsia="ja-JP"/>
        </w:rPr>
        <w:t xml:space="preserve">tdd-UL-DL-ConfigurationCommon </w:t>
      </w:r>
      <w:r w:rsidR="00C10035" w:rsidRPr="00C10035">
        <w:rPr>
          <w:rFonts w:eastAsiaTheme="minorEastAsia"/>
          <w:lang w:eastAsia="ja-JP"/>
        </w:rPr>
        <w:t>and</w:t>
      </w:r>
      <w:r w:rsidR="00C10035" w:rsidRPr="00C10035">
        <w:rPr>
          <w:rFonts w:eastAsiaTheme="minorEastAsia"/>
          <w:i/>
          <w:iCs/>
          <w:lang w:eastAsia="ja-JP"/>
        </w:rPr>
        <w:t xml:space="preserve"> tdd-UL-DL-ConfigurationCommon-r18, </w:t>
      </w:r>
      <w:r w:rsidR="00C10035" w:rsidRPr="00C10035">
        <w:rPr>
          <w:rFonts w:eastAsiaTheme="minorEastAsia"/>
          <w:lang w:eastAsia="ja-JP"/>
        </w:rPr>
        <w:t>are broadcast by SIB, configuring slot formats for a periodicity of 5 slots</w:t>
      </w:r>
      <w:r w:rsidR="00E97E64">
        <w:rPr>
          <w:rFonts w:eastAsiaTheme="minorEastAsia"/>
          <w:lang w:eastAsia="ja-JP"/>
        </w:rPr>
        <w:t xml:space="preserve">. </w:t>
      </w:r>
      <w:r w:rsidR="000E2834" w:rsidRPr="000E2834">
        <w:rPr>
          <w:rFonts w:eastAsiaTheme="minorEastAsia"/>
          <w:lang w:eastAsia="ja-JP"/>
        </w:rPr>
        <w:t xml:space="preserve">Rel-15/16/17 UEs recognize </w:t>
      </w:r>
      <w:r w:rsidR="000E2834" w:rsidRPr="000E2834">
        <w:rPr>
          <w:rFonts w:eastAsiaTheme="minorEastAsia"/>
          <w:i/>
          <w:iCs/>
          <w:lang w:eastAsia="ja-JP"/>
        </w:rPr>
        <w:t>tdd-UL-DL-ConfigurationCommon</w:t>
      </w:r>
      <w:r w:rsidR="000E2834" w:rsidRPr="000E2834">
        <w:rPr>
          <w:rFonts w:eastAsiaTheme="minorEastAsia"/>
          <w:lang w:eastAsia="ja-JP"/>
        </w:rPr>
        <w:t>, and obtain the slot format as DDDDU</w:t>
      </w:r>
      <w:r w:rsidR="000260DA">
        <w:rPr>
          <w:rFonts w:eastAsiaTheme="minorEastAsia"/>
          <w:lang w:eastAsia="ja-JP"/>
        </w:rPr>
        <w:t xml:space="preserve">. On the other hand, </w:t>
      </w:r>
      <w:r w:rsidR="00B11E15">
        <w:rPr>
          <w:rFonts w:eastAsiaTheme="minorEastAsia"/>
          <w:lang w:eastAsia="ja-JP"/>
        </w:rPr>
        <w:t xml:space="preserve">SBFD </w:t>
      </w:r>
      <w:r w:rsidR="00EC5470">
        <w:rPr>
          <w:rFonts w:eastAsiaTheme="minorEastAsia"/>
          <w:lang w:val="en-GB" w:eastAsia="ja-JP"/>
        </w:rPr>
        <w:t xml:space="preserve">aware </w:t>
      </w:r>
      <w:r w:rsidR="000260DA" w:rsidRPr="000260DA">
        <w:rPr>
          <w:rFonts w:eastAsiaTheme="minorEastAsia"/>
          <w:lang w:eastAsia="ja-JP"/>
        </w:rPr>
        <w:t xml:space="preserve">UEs may recognize both parameters, and obtain a different slot format from </w:t>
      </w:r>
      <w:r w:rsidR="000260DA" w:rsidRPr="000260DA">
        <w:rPr>
          <w:rFonts w:eastAsiaTheme="minorEastAsia"/>
          <w:i/>
          <w:iCs/>
          <w:lang w:eastAsia="ja-JP"/>
        </w:rPr>
        <w:t>tdd-UL-DL-ConfigurationCommon-r18</w:t>
      </w:r>
      <w:r w:rsidR="000260DA" w:rsidRPr="000260DA">
        <w:rPr>
          <w:rFonts w:eastAsiaTheme="minorEastAsia"/>
          <w:lang w:eastAsia="ja-JP"/>
        </w:rPr>
        <w:t xml:space="preserve"> as </w:t>
      </w:r>
      <w:r w:rsidR="008E44B5" w:rsidRPr="0014019B">
        <w:rPr>
          <w:rFonts w:eastAsiaTheme="minorEastAsia"/>
          <w:lang w:eastAsia="ja-JP"/>
        </w:rPr>
        <w:t>DFUUU</w:t>
      </w:r>
      <w:r w:rsidR="000260DA">
        <w:rPr>
          <w:rFonts w:eastAsiaTheme="minorEastAsia"/>
          <w:lang w:eastAsia="ja-JP"/>
        </w:rPr>
        <w:t>.</w:t>
      </w:r>
      <w:r w:rsidR="00533D22">
        <w:rPr>
          <w:rFonts w:eastAsiaTheme="minorEastAsia"/>
          <w:lang w:eastAsia="ja-JP"/>
        </w:rPr>
        <w:t xml:space="preserve"> </w:t>
      </w:r>
      <w:r w:rsidR="00533D22" w:rsidRPr="00533D22">
        <w:rPr>
          <w:rFonts w:eastAsiaTheme="minorEastAsia"/>
          <w:lang w:eastAsia="ja-JP"/>
        </w:rPr>
        <w:t xml:space="preserve">As a result, SBFD operation at </w:t>
      </w:r>
      <w:r w:rsidR="00CF1591">
        <w:rPr>
          <w:rFonts w:eastAsiaTheme="minorEastAsia"/>
          <w:lang w:eastAsia="ja-JP"/>
        </w:rPr>
        <w:t>cell level</w:t>
      </w:r>
      <w:r w:rsidR="00CF1591" w:rsidRPr="00533D22">
        <w:rPr>
          <w:rFonts w:eastAsiaTheme="minorEastAsia"/>
          <w:lang w:eastAsia="ja-JP"/>
        </w:rPr>
        <w:t xml:space="preserve"> </w:t>
      </w:r>
      <w:r w:rsidR="00533D22" w:rsidRPr="00533D22">
        <w:rPr>
          <w:rFonts w:eastAsiaTheme="minorEastAsia"/>
          <w:lang w:eastAsia="ja-JP"/>
        </w:rPr>
        <w:t>is made possible, by transmitting DL and receiving UL at the same time over “D-&gt;U” symbols.</w:t>
      </w:r>
      <w:r w:rsidR="00A12BDD">
        <w:rPr>
          <w:rFonts w:eastAsiaTheme="minorEastAsia"/>
          <w:lang w:eastAsia="ja-JP"/>
        </w:rPr>
        <w:t xml:space="preserve"> Instead of </w:t>
      </w:r>
      <w:r w:rsidR="00A12BDD" w:rsidRPr="00533D22">
        <w:rPr>
          <w:rFonts w:eastAsiaTheme="minorEastAsia"/>
          <w:lang w:eastAsia="ja-JP"/>
        </w:rPr>
        <w:t>“D-&gt;U”</w:t>
      </w:r>
      <w:r w:rsidR="00A12BDD">
        <w:rPr>
          <w:rFonts w:eastAsiaTheme="minorEastAsia"/>
          <w:lang w:eastAsia="ja-JP"/>
        </w:rPr>
        <w:t xml:space="preserve"> using </w:t>
      </w:r>
      <w:r w:rsidR="00A12BDD" w:rsidRPr="000260DA">
        <w:rPr>
          <w:rFonts w:eastAsiaTheme="minorEastAsia"/>
          <w:i/>
          <w:iCs/>
          <w:lang w:eastAsia="ja-JP"/>
        </w:rPr>
        <w:t>tdd-UL-DL-ConfigurationCommon-r18</w:t>
      </w:r>
      <w:r w:rsidR="00A12BDD">
        <w:rPr>
          <w:rFonts w:eastAsiaTheme="minorEastAsia"/>
          <w:lang w:eastAsia="ja-JP"/>
        </w:rPr>
        <w:t xml:space="preserve">, </w:t>
      </w:r>
      <w:r w:rsidR="00A12BDD" w:rsidRPr="00533D22">
        <w:rPr>
          <w:rFonts w:eastAsiaTheme="minorEastAsia"/>
          <w:lang w:eastAsia="ja-JP"/>
        </w:rPr>
        <w:t>“D-&gt;</w:t>
      </w:r>
      <w:r w:rsidR="00A12BDD">
        <w:rPr>
          <w:rFonts w:eastAsiaTheme="minorEastAsia"/>
          <w:lang w:eastAsia="ja-JP"/>
        </w:rPr>
        <w:t>F</w:t>
      </w:r>
      <w:r w:rsidR="00A12BDD" w:rsidRPr="00533D22">
        <w:rPr>
          <w:rFonts w:eastAsiaTheme="minorEastAsia"/>
          <w:lang w:eastAsia="ja-JP"/>
        </w:rPr>
        <w:t>”</w:t>
      </w:r>
      <w:r w:rsidR="00A12BDD">
        <w:rPr>
          <w:rFonts w:eastAsiaTheme="minorEastAsia"/>
          <w:lang w:eastAsia="ja-JP"/>
        </w:rPr>
        <w:t xml:space="preserve"> is also possible. Then the symbol used for SBFD operation for </w:t>
      </w:r>
      <w:r w:rsidR="00B11E15">
        <w:rPr>
          <w:rFonts w:eastAsiaTheme="minorEastAsia"/>
          <w:lang w:eastAsia="ja-JP"/>
        </w:rPr>
        <w:t xml:space="preserve">SBFD </w:t>
      </w:r>
      <w:r w:rsidR="007C65D4">
        <w:rPr>
          <w:rFonts w:eastAsiaTheme="minorEastAsia"/>
          <w:lang w:val="en-GB" w:eastAsia="ja-JP"/>
        </w:rPr>
        <w:t xml:space="preserve">aware </w:t>
      </w:r>
      <w:r w:rsidR="00A12BDD">
        <w:rPr>
          <w:rFonts w:eastAsiaTheme="minorEastAsia"/>
          <w:lang w:eastAsia="ja-JP"/>
        </w:rPr>
        <w:t xml:space="preserve">UEs </w:t>
      </w:r>
      <w:r w:rsidR="00B27A6D">
        <w:rPr>
          <w:rFonts w:eastAsiaTheme="minorEastAsia"/>
          <w:lang w:eastAsia="ja-JP"/>
        </w:rPr>
        <w:t>is F symbol and the transmission direction can be determined dynamic manner based on SFI or dedicated DCI</w:t>
      </w:r>
      <w:r w:rsidR="00454A12">
        <w:rPr>
          <w:rFonts w:eastAsiaTheme="minorEastAsia"/>
          <w:lang w:eastAsia="ja-JP"/>
        </w:rPr>
        <w:t>.</w:t>
      </w:r>
    </w:p>
    <w:p w14:paraId="63DAE244" w14:textId="6E472227" w:rsidR="00B52050" w:rsidRDefault="00B52050" w:rsidP="00AA5E22">
      <w:pPr>
        <w:keepNext/>
        <w:jc w:val="center"/>
      </w:pPr>
      <w:r w:rsidRPr="00B52050">
        <w:rPr>
          <w:noProof/>
        </w:rPr>
        <w:drawing>
          <wp:inline distT="0" distB="0" distL="0" distR="0" wp14:anchorId="6E5223D5" wp14:editId="6B727EE9">
            <wp:extent cx="4339436" cy="965832"/>
            <wp:effectExtent l="0" t="0" r="0" b="6350"/>
            <wp:docPr id="12" name="図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381931" cy="975290"/>
                    </a:xfrm>
                    <a:prstGeom prst="rect">
                      <a:avLst/>
                    </a:prstGeom>
                    <a:noFill/>
                    <a:ln>
                      <a:noFill/>
                    </a:ln>
                  </pic:spPr>
                </pic:pic>
              </a:graphicData>
            </a:graphic>
          </wp:inline>
        </w:drawing>
      </w:r>
    </w:p>
    <w:p w14:paraId="55C59E54" w14:textId="49DB3FE3" w:rsidR="00C10035" w:rsidRDefault="00DB4F85" w:rsidP="00AA5E22">
      <w:pPr>
        <w:pStyle w:val="ac"/>
        <w:jc w:val="center"/>
        <w:rPr>
          <w:rFonts w:eastAsiaTheme="minorEastAsia"/>
          <w:lang w:val="en-GB" w:eastAsia="ja-JP"/>
        </w:rPr>
      </w:pPr>
      <w:r>
        <w:t xml:space="preserve">Figure </w:t>
      </w:r>
      <w:fldSimple w:instr=" SEQ Figure \* ARABIC ">
        <w:r w:rsidR="00461A99">
          <w:rPr>
            <w:noProof/>
          </w:rPr>
          <w:t>3</w:t>
        </w:r>
      </w:fldSimple>
      <w:r>
        <w:t xml:space="preserve">  </w:t>
      </w:r>
      <w:r w:rsidR="00C10035">
        <w:rPr>
          <w:rFonts w:eastAsiaTheme="minorEastAsia"/>
          <w:lang w:val="en-GB" w:eastAsia="ja-JP"/>
        </w:rPr>
        <w:t>SBFD operation by using a new slot format configuration</w:t>
      </w:r>
    </w:p>
    <w:p w14:paraId="57698CDA" w14:textId="77777777" w:rsidR="00624979" w:rsidRDefault="00624979" w:rsidP="0054592D">
      <w:pPr>
        <w:rPr>
          <w:rFonts w:eastAsiaTheme="minorEastAsia"/>
          <w:b/>
          <w:bCs/>
          <w:lang w:val="en-GB" w:eastAsia="ja-JP"/>
        </w:rPr>
      </w:pPr>
    </w:p>
    <w:p w14:paraId="6B731C20" w14:textId="5C9BF4E7" w:rsidR="00BD2099" w:rsidRPr="007C29AA" w:rsidRDefault="009F07E6" w:rsidP="0054592D">
      <w:pPr>
        <w:rPr>
          <w:rFonts w:eastAsiaTheme="minorEastAsia"/>
          <w:b/>
          <w:bCs/>
          <w:lang w:val="en-GB" w:eastAsia="ja-JP"/>
        </w:rPr>
      </w:pPr>
      <w:r w:rsidRPr="00F84D71">
        <w:rPr>
          <w:rFonts w:eastAsiaTheme="minorEastAsia"/>
          <w:b/>
          <w:bCs/>
          <w:lang w:val="en-GB" w:eastAsia="ja-JP"/>
        </w:rPr>
        <w:t xml:space="preserve">Proposal </w:t>
      </w:r>
      <w:r w:rsidR="00311668">
        <w:rPr>
          <w:rFonts w:eastAsiaTheme="minorEastAsia"/>
          <w:b/>
          <w:bCs/>
          <w:lang w:val="en-GB" w:eastAsia="ja-JP"/>
        </w:rPr>
        <w:t>4</w:t>
      </w:r>
      <w:r w:rsidRPr="007C29AA">
        <w:rPr>
          <w:rFonts w:eastAsiaTheme="minorEastAsia"/>
          <w:b/>
          <w:bCs/>
          <w:lang w:val="en-GB" w:eastAsia="ja-JP"/>
        </w:rPr>
        <w:t xml:space="preserve">: </w:t>
      </w:r>
      <w:r w:rsidR="002B6A6E" w:rsidRPr="007C29AA">
        <w:rPr>
          <w:rFonts w:eastAsiaTheme="minorEastAsia"/>
          <w:b/>
          <w:bCs/>
          <w:lang w:val="en-GB" w:eastAsia="ja-JP"/>
        </w:rPr>
        <w:t xml:space="preserve">Consider to introduce a new semi-static slot format for Rel-18 (and beyond) </w:t>
      </w:r>
      <w:r w:rsidR="007C29AA" w:rsidRPr="007C29AA">
        <w:rPr>
          <w:rFonts w:eastAsiaTheme="minorEastAsia"/>
          <w:b/>
          <w:bCs/>
          <w:lang w:val="en-GB" w:eastAsia="ja-JP"/>
        </w:rPr>
        <w:t xml:space="preserve">where the legacy </w:t>
      </w:r>
      <w:r w:rsidR="0046155E">
        <w:rPr>
          <w:rFonts w:eastAsiaTheme="minorEastAsia"/>
          <w:b/>
          <w:bCs/>
          <w:lang w:val="en-GB" w:eastAsia="ja-JP"/>
        </w:rPr>
        <w:t xml:space="preserve">semi-static </w:t>
      </w:r>
      <w:r w:rsidR="007C29AA" w:rsidRPr="007C29AA">
        <w:rPr>
          <w:rFonts w:eastAsiaTheme="minorEastAsia"/>
          <w:b/>
          <w:bCs/>
          <w:lang w:val="en-GB" w:eastAsia="ja-JP"/>
        </w:rPr>
        <w:t xml:space="preserve">DL symbol/slot can be re-configured as UL or Flexible symbol/slot. </w:t>
      </w:r>
    </w:p>
    <w:p w14:paraId="0EE5637A" w14:textId="77777777" w:rsidR="000A47AC" w:rsidRPr="00635D3B" w:rsidRDefault="000A47AC" w:rsidP="001F67D7">
      <w:pPr>
        <w:rPr>
          <w:lang w:eastAsia="ja-JP"/>
        </w:rPr>
      </w:pPr>
    </w:p>
    <w:p w14:paraId="034C4FC8" w14:textId="6F7580F0" w:rsidR="00B36196" w:rsidRDefault="00D67833" w:rsidP="00B36196">
      <w:pPr>
        <w:pStyle w:val="2"/>
        <w:tabs>
          <w:tab w:val="clear" w:pos="1135"/>
        </w:tabs>
      </w:pPr>
      <w:r w:rsidRPr="00D67833">
        <w:t>Transmission/</w:t>
      </w:r>
      <w:r w:rsidR="00C35811">
        <w:t>r</w:t>
      </w:r>
      <w:r w:rsidRPr="00D67833">
        <w:t>eception enhancements</w:t>
      </w:r>
      <w:r w:rsidRPr="00D67833" w:rsidDel="00D67833">
        <w:t xml:space="preserve"> </w:t>
      </w:r>
    </w:p>
    <w:p w14:paraId="7D01C89C" w14:textId="796013DD" w:rsidR="00046EF5" w:rsidRDefault="00E51DC7" w:rsidP="00046EF5">
      <w:pPr>
        <w:rPr>
          <w:lang w:val="en-GB" w:eastAsia="ja-JP"/>
        </w:rPr>
      </w:pPr>
      <w:r w:rsidRPr="00E753E6">
        <w:rPr>
          <w:lang w:eastAsia="ja-JP"/>
        </w:rPr>
        <w:t>In RAN1#11</w:t>
      </w:r>
      <w:r>
        <w:rPr>
          <w:lang w:eastAsia="ja-JP"/>
        </w:rPr>
        <w:t>1</w:t>
      </w:r>
      <w:r w:rsidRPr="00E753E6">
        <w:rPr>
          <w:lang w:eastAsia="ja-JP"/>
        </w:rPr>
        <w:t xml:space="preserve">, </w:t>
      </w:r>
      <w:r>
        <w:rPr>
          <w:lang w:eastAsia="ja-JP"/>
        </w:rPr>
        <w:t>to s</w:t>
      </w:r>
      <w:r w:rsidRPr="00E51DC7">
        <w:rPr>
          <w:lang w:eastAsia="ja-JP"/>
        </w:rPr>
        <w:t>tudy impact and potential enhancements for UL transmissions and DL receptions across SBFD symbols and non-SBFD symbols</w:t>
      </w:r>
      <w:r>
        <w:rPr>
          <w:lang w:eastAsia="ja-JP"/>
        </w:rPr>
        <w:t xml:space="preserve"> was agreed</w:t>
      </w:r>
      <w:r w:rsidR="002A43AE">
        <w:rPr>
          <w:lang w:eastAsia="ja-JP"/>
        </w:rPr>
        <w:t xml:space="preserve"> as follows</w:t>
      </w:r>
      <w:r>
        <w:rPr>
          <w:lang w:eastAsia="ja-JP"/>
        </w:rPr>
        <w:t>.</w:t>
      </w:r>
      <w:r w:rsidR="00BB034C">
        <w:rPr>
          <w:lang w:eastAsia="ja-JP"/>
        </w:rPr>
        <w:t xml:space="preserve"> </w:t>
      </w:r>
      <w:r w:rsidR="00EF4689" w:rsidRPr="00E753E6">
        <w:rPr>
          <w:lang w:eastAsia="ja-JP"/>
        </w:rPr>
        <w:t xml:space="preserve">In </w:t>
      </w:r>
      <w:r w:rsidR="00C60E28" w:rsidRPr="00E753E6">
        <w:rPr>
          <w:lang w:eastAsia="ja-JP"/>
        </w:rPr>
        <w:t>RAN1#11</w:t>
      </w:r>
      <w:r w:rsidR="00C60E28">
        <w:rPr>
          <w:lang w:eastAsia="ja-JP"/>
        </w:rPr>
        <w:t>2bis-e</w:t>
      </w:r>
      <w:r w:rsidR="00EF4689" w:rsidRPr="00E753E6">
        <w:rPr>
          <w:lang w:eastAsia="ja-JP"/>
        </w:rPr>
        <w:t>,</w:t>
      </w:r>
      <w:r w:rsidR="00C60E28">
        <w:rPr>
          <w:lang w:eastAsia="ja-JP"/>
        </w:rPr>
        <w:t xml:space="preserve"> options for </w:t>
      </w:r>
      <w:r w:rsidR="00C60E28" w:rsidRPr="007B3838">
        <w:rPr>
          <w:rFonts w:eastAsia="Malgun Gothic"/>
          <w:lang w:eastAsia="zh-CN"/>
        </w:rPr>
        <w:t>different frequency resource allocation</w:t>
      </w:r>
      <w:r w:rsidR="00C60E28">
        <w:rPr>
          <w:rFonts w:eastAsia="Malgun Gothic"/>
          <w:lang w:eastAsia="zh-CN"/>
        </w:rPr>
        <w:t xml:space="preserve"> </w:t>
      </w:r>
      <w:r w:rsidR="00174D48">
        <w:rPr>
          <w:rFonts w:eastAsia="Malgun Gothic"/>
          <w:lang w:eastAsia="zh-CN"/>
        </w:rPr>
        <w:t>for</w:t>
      </w:r>
      <w:r w:rsidR="00C60E28">
        <w:rPr>
          <w:rFonts w:eastAsia="Malgun Gothic"/>
          <w:lang w:eastAsia="zh-CN"/>
        </w:rPr>
        <w:t xml:space="preserve"> </w:t>
      </w:r>
      <w:r w:rsidR="00C60E28">
        <w:rPr>
          <w:rFonts w:eastAsia="Malgun Gothic"/>
        </w:rPr>
        <w:t>SBFD and non-SBFD symbols were identified for some channels/signals</w:t>
      </w:r>
      <w:r w:rsidR="00C60E28">
        <w:rPr>
          <w:lang w:eastAsia="ja-JP"/>
        </w:rPr>
        <w:t>.</w:t>
      </w:r>
      <w:r w:rsidR="00EF4689">
        <w:rPr>
          <w:lang w:eastAsia="ja-JP"/>
        </w:rPr>
        <w:t xml:space="preserve"> </w:t>
      </w:r>
      <w:r w:rsidR="00BA329C">
        <w:rPr>
          <w:lang w:eastAsia="ja-JP"/>
        </w:rPr>
        <w:t>In</w:t>
      </w:r>
      <w:r w:rsidR="00BA329C" w:rsidRPr="00BA329C">
        <w:rPr>
          <w:lang w:eastAsia="ja-JP"/>
        </w:rPr>
        <w:t xml:space="preserve"> the following sub</w:t>
      </w:r>
      <w:r w:rsidR="00F30B5B">
        <w:rPr>
          <w:lang w:eastAsia="ja-JP"/>
        </w:rPr>
        <w:t>-</w:t>
      </w:r>
      <w:r w:rsidR="00BA329C" w:rsidRPr="00BA329C">
        <w:rPr>
          <w:lang w:eastAsia="ja-JP"/>
        </w:rPr>
        <w:t>sections</w:t>
      </w:r>
      <w:r w:rsidR="002A43AE">
        <w:rPr>
          <w:lang w:eastAsia="ja-JP"/>
        </w:rPr>
        <w:t xml:space="preserve">, </w:t>
      </w:r>
      <w:r w:rsidR="002A43AE">
        <w:t>t</w:t>
      </w:r>
      <w:r w:rsidR="002A43AE" w:rsidRPr="00D67833">
        <w:t>ransmission/</w:t>
      </w:r>
      <w:r w:rsidR="002A43AE">
        <w:t>r</w:t>
      </w:r>
      <w:r w:rsidR="002A43AE" w:rsidRPr="00D67833">
        <w:t>eception enhancements</w:t>
      </w:r>
      <w:r w:rsidR="002A43AE">
        <w:t xml:space="preserve"> </w:t>
      </w:r>
      <w:r w:rsidR="00BA329C">
        <w:t xml:space="preserve">for </w:t>
      </w:r>
      <w:r w:rsidR="00070804">
        <w:t>some</w:t>
      </w:r>
      <w:r w:rsidR="00070804" w:rsidRPr="00070804">
        <w:t xml:space="preserve"> </w:t>
      </w:r>
      <w:r w:rsidR="00BA329C">
        <w:t xml:space="preserve">channels </w:t>
      </w:r>
      <w:r w:rsidR="002A43AE">
        <w:t>are discussed.</w:t>
      </w:r>
    </w:p>
    <w:tbl>
      <w:tblPr>
        <w:tblStyle w:val="afc"/>
        <w:tblW w:w="0" w:type="auto"/>
        <w:tblLook w:val="04A0" w:firstRow="1" w:lastRow="0" w:firstColumn="1" w:lastColumn="0" w:noHBand="0" w:noVBand="1"/>
      </w:tblPr>
      <w:tblGrid>
        <w:gridCol w:w="9630"/>
      </w:tblGrid>
      <w:tr w:rsidR="00046EF5" w14:paraId="1E9B15BC" w14:textId="77777777" w:rsidTr="00046EF5">
        <w:tc>
          <w:tcPr>
            <w:tcW w:w="9630" w:type="dxa"/>
          </w:tcPr>
          <w:p w14:paraId="3E9DA2D4" w14:textId="13947A10" w:rsidR="00046EF5" w:rsidRPr="00276F9C" w:rsidRDefault="00046EF5" w:rsidP="00002E6E">
            <w:pPr>
              <w:spacing w:after="0"/>
              <w:jc w:val="both"/>
              <w:rPr>
                <w:rFonts w:eastAsia="Malgun Gothic"/>
                <w:bCs/>
                <w:highlight w:val="green"/>
                <w:lang w:eastAsia="zh-CN"/>
              </w:rPr>
            </w:pPr>
            <w:r w:rsidRPr="00276F9C">
              <w:rPr>
                <w:rFonts w:eastAsia="Malgun Gothic"/>
                <w:bCs/>
                <w:highlight w:val="green"/>
                <w:lang w:eastAsia="zh-CN"/>
              </w:rPr>
              <w:t>Agreement</w:t>
            </w:r>
            <w:r w:rsidR="009535A8" w:rsidRPr="00E753E6">
              <w:rPr>
                <w:lang w:eastAsia="ja-JP"/>
              </w:rPr>
              <w:t xml:space="preserve"> </w:t>
            </w:r>
            <w:r w:rsidR="009535A8">
              <w:rPr>
                <w:lang w:eastAsia="ja-JP"/>
              </w:rPr>
              <w:t>(</w:t>
            </w:r>
            <w:r w:rsidR="009535A8" w:rsidRPr="00E753E6">
              <w:rPr>
                <w:lang w:eastAsia="ja-JP"/>
              </w:rPr>
              <w:t>RAN1#11</w:t>
            </w:r>
            <w:r w:rsidR="009535A8">
              <w:rPr>
                <w:lang w:eastAsia="ja-JP"/>
              </w:rPr>
              <w:t>1)</w:t>
            </w:r>
          </w:p>
          <w:p w14:paraId="407C72D3" w14:textId="77777777" w:rsidR="00046EF5" w:rsidRPr="003177F6" w:rsidRDefault="00046EF5" w:rsidP="00002E6E">
            <w:pPr>
              <w:spacing w:after="0"/>
              <w:rPr>
                <w:rFonts w:eastAsia="Malgun Gothic"/>
                <w:lang w:eastAsia="zh-CN"/>
              </w:rPr>
            </w:pPr>
            <w:r w:rsidRPr="003177F6">
              <w:rPr>
                <w:rFonts w:eastAsia="Malgun Gothic"/>
                <w:lang w:eastAsia="zh-CN"/>
              </w:rPr>
              <w:t>Study impact and potential enhancements for UL transmissions and DL receptions across SBFD symbols and non-SBFD symbols, including at least the following:</w:t>
            </w:r>
          </w:p>
          <w:p w14:paraId="014DD5AF" w14:textId="77777777" w:rsidR="00046EF5" w:rsidRPr="003177F6" w:rsidRDefault="00046EF5">
            <w:pPr>
              <w:pStyle w:val="aff4"/>
              <w:numPr>
                <w:ilvl w:val="0"/>
                <w:numId w:val="12"/>
              </w:numPr>
              <w:overflowPunct w:val="0"/>
              <w:autoSpaceDE w:val="0"/>
              <w:autoSpaceDN w:val="0"/>
              <w:adjustRightInd w:val="0"/>
              <w:spacing w:after="0"/>
              <w:ind w:leftChars="0" w:left="709"/>
              <w:contextualSpacing/>
              <w:textAlignment w:val="baseline"/>
            </w:pPr>
            <w:r w:rsidRPr="003177F6">
              <w:t>PDCCH, scheduled/configured PUCCH/PUSCH/PDSCH, without repetition in SBFD symbols and non-SBFD symbols</w:t>
            </w:r>
          </w:p>
          <w:p w14:paraId="220B4390" w14:textId="77777777" w:rsidR="00046EF5" w:rsidRPr="003177F6" w:rsidRDefault="00046EF5">
            <w:pPr>
              <w:pStyle w:val="aff4"/>
              <w:numPr>
                <w:ilvl w:val="0"/>
                <w:numId w:val="12"/>
              </w:numPr>
              <w:overflowPunct w:val="0"/>
              <w:autoSpaceDE w:val="0"/>
              <w:autoSpaceDN w:val="0"/>
              <w:adjustRightInd w:val="0"/>
              <w:spacing w:after="0"/>
              <w:ind w:leftChars="0" w:left="709"/>
              <w:contextualSpacing/>
              <w:textAlignment w:val="baseline"/>
            </w:pPr>
            <w:r w:rsidRPr="003177F6">
              <w:t>Scheduled/configured SRS/CSI-RS in SBFD symbols and non-SBFD symbols</w:t>
            </w:r>
          </w:p>
          <w:p w14:paraId="252BAC81" w14:textId="77777777" w:rsidR="00046EF5" w:rsidRPr="003177F6" w:rsidRDefault="00046EF5">
            <w:pPr>
              <w:pStyle w:val="aff4"/>
              <w:numPr>
                <w:ilvl w:val="0"/>
                <w:numId w:val="12"/>
              </w:numPr>
              <w:overflowPunct w:val="0"/>
              <w:autoSpaceDE w:val="0"/>
              <w:autoSpaceDN w:val="0"/>
              <w:adjustRightInd w:val="0"/>
              <w:spacing w:after="0"/>
              <w:ind w:leftChars="0" w:left="709"/>
              <w:contextualSpacing/>
              <w:textAlignment w:val="baseline"/>
            </w:pPr>
            <w:r w:rsidRPr="003177F6">
              <w:t>Scheduled/configured TBoMS across SBFD symbols and non-SBFD symbols with or without repetition</w:t>
            </w:r>
          </w:p>
          <w:p w14:paraId="178590E4" w14:textId="77777777" w:rsidR="00046EF5" w:rsidRPr="003177F6" w:rsidRDefault="00046EF5">
            <w:pPr>
              <w:pStyle w:val="aff4"/>
              <w:numPr>
                <w:ilvl w:val="0"/>
                <w:numId w:val="12"/>
              </w:numPr>
              <w:overflowPunct w:val="0"/>
              <w:autoSpaceDE w:val="0"/>
              <w:autoSpaceDN w:val="0"/>
              <w:adjustRightInd w:val="0"/>
              <w:spacing w:after="0"/>
              <w:ind w:leftChars="0" w:left="709"/>
              <w:contextualSpacing/>
              <w:textAlignment w:val="baseline"/>
            </w:pPr>
            <w:r w:rsidRPr="003177F6">
              <w:t>Multi-PUSCH/PDSCH scheduled by a single DCI in SBFD symbols and non-SBFD symbols</w:t>
            </w:r>
          </w:p>
          <w:p w14:paraId="7A14499D" w14:textId="77777777" w:rsidR="00046EF5" w:rsidRPr="003177F6" w:rsidRDefault="00046EF5">
            <w:pPr>
              <w:pStyle w:val="aff4"/>
              <w:numPr>
                <w:ilvl w:val="0"/>
                <w:numId w:val="12"/>
              </w:numPr>
              <w:overflowPunct w:val="0"/>
              <w:autoSpaceDE w:val="0"/>
              <w:autoSpaceDN w:val="0"/>
              <w:adjustRightInd w:val="0"/>
              <w:spacing w:after="0"/>
              <w:ind w:leftChars="0" w:left="709"/>
              <w:contextualSpacing/>
              <w:textAlignment w:val="baseline"/>
            </w:pPr>
            <w:r w:rsidRPr="003177F6">
              <w:t>Scheduled/configured PDSCH/PUSCH/PUCCH with repetitions across SBFD symbols and non-SBFD symbols</w:t>
            </w:r>
          </w:p>
          <w:p w14:paraId="7758F8DE" w14:textId="77777777" w:rsidR="00046EF5" w:rsidRPr="003177F6" w:rsidRDefault="00046EF5" w:rsidP="00002E6E">
            <w:pPr>
              <w:spacing w:after="0"/>
              <w:rPr>
                <w:rFonts w:eastAsia="Malgun Gothic"/>
                <w:lang w:eastAsia="zh-CN"/>
              </w:rPr>
            </w:pPr>
            <w:r w:rsidRPr="003177F6">
              <w:rPr>
                <w:rFonts w:eastAsia="Malgun Gothic"/>
                <w:lang w:eastAsia="zh-CN"/>
              </w:rPr>
              <w:t>Note: Inter-slot/intra-slot/inter-repetition/inter-group frequency hopping with DMRS bundling of PUSCH/PUCCH, if applicable, is considered.</w:t>
            </w:r>
          </w:p>
          <w:p w14:paraId="2B504360" w14:textId="77777777" w:rsidR="00046EF5" w:rsidRPr="003177F6" w:rsidRDefault="00046EF5" w:rsidP="00002E6E">
            <w:pPr>
              <w:spacing w:after="0"/>
              <w:rPr>
                <w:rFonts w:eastAsia="Malgun Gothic"/>
                <w:lang w:eastAsia="zh-CN"/>
              </w:rPr>
            </w:pPr>
            <w:r w:rsidRPr="003177F6">
              <w:rPr>
                <w:rFonts w:eastAsia="Malgun Gothic"/>
                <w:lang w:eastAsia="zh-CN"/>
              </w:rPr>
              <w:t>Examples of potential enhancements include:</w:t>
            </w:r>
          </w:p>
          <w:p w14:paraId="413594EA" w14:textId="77777777" w:rsidR="00046EF5" w:rsidRPr="003177F6" w:rsidRDefault="00046EF5">
            <w:pPr>
              <w:pStyle w:val="aff4"/>
              <w:numPr>
                <w:ilvl w:val="0"/>
                <w:numId w:val="13"/>
              </w:numPr>
              <w:tabs>
                <w:tab w:val="left" w:pos="0"/>
              </w:tabs>
              <w:suppressAutoHyphens/>
              <w:overflowPunct w:val="0"/>
              <w:autoSpaceDE w:val="0"/>
              <w:autoSpaceDN w:val="0"/>
              <w:adjustRightInd w:val="0"/>
              <w:spacing w:after="0"/>
              <w:ind w:leftChars="0" w:left="709"/>
              <w:contextualSpacing/>
              <w:textAlignment w:val="baseline"/>
              <w:rPr>
                <w:rFonts w:eastAsia="Malgun Gothic"/>
                <w:lang w:eastAsia="zh-CN"/>
              </w:rPr>
            </w:pPr>
            <w:r w:rsidRPr="003177F6">
              <w:rPr>
                <w:rFonts w:eastAsia="Malgun Gothic"/>
                <w:lang w:eastAsia="zh-CN"/>
              </w:rPr>
              <w:t>Resource allocation in frequency domain</w:t>
            </w:r>
            <w:r w:rsidRPr="003177F6">
              <w:rPr>
                <w:rFonts w:eastAsia="Malgun Gothic" w:hint="eastAsia"/>
                <w:lang w:eastAsia="zh-CN"/>
              </w:rPr>
              <w:t xml:space="preserve"> including frequency hopping</w:t>
            </w:r>
          </w:p>
          <w:p w14:paraId="3F9EA315" w14:textId="77777777" w:rsidR="00046EF5" w:rsidRPr="003177F6" w:rsidRDefault="00046EF5">
            <w:pPr>
              <w:pStyle w:val="aff4"/>
              <w:numPr>
                <w:ilvl w:val="0"/>
                <w:numId w:val="13"/>
              </w:numPr>
              <w:tabs>
                <w:tab w:val="left" w:pos="0"/>
              </w:tabs>
              <w:suppressAutoHyphens/>
              <w:overflowPunct w:val="0"/>
              <w:autoSpaceDE w:val="0"/>
              <w:autoSpaceDN w:val="0"/>
              <w:adjustRightInd w:val="0"/>
              <w:spacing w:after="0"/>
              <w:ind w:leftChars="0" w:left="709"/>
              <w:contextualSpacing/>
              <w:textAlignment w:val="baseline"/>
              <w:rPr>
                <w:rFonts w:eastAsia="Malgun Gothic"/>
                <w:lang w:eastAsia="zh-CN"/>
              </w:rPr>
            </w:pPr>
            <w:r w:rsidRPr="003177F6">
              <w:rPr>
                <w:rFonts w:eastAsia="Malgun Gothic"/>
                <w:lang w:eastAsia="zh-CN"/>
              </w:rPr>
              <w:t>Resource allocation in time domain</w:t>
            </w:r>
          </w:p>
          <w:p w14:paraId="43E340CF" w14:textId="77777777" w:rsidR="00046EF5" w:rsidRPr="003177F6" w:rsidRDefault="00046EF5">
            <w:pPr>
              <w:pStyle w:val="aff4"/>
              <w:numPr>
                <w:ilvl w:val="0"/>
                <w:numId w:val="13"/>
              </w:numPr>
              <w:tabs>
                <w:tab w:val="left" w:pos="0"/>
              </w:tabs>
              <w:suppressAutoHyphens/>
              <w:overflowPunct w:val="0"/>
              <w:autoSpaceDE w:val="0"/>
              <w:autoSpaceDN w:val="0"/>
              <w:adjustRightInd w:val="0"/>
              <w:spacing w:after="0"/>
              <w:ind w:leftChars="0" w:left="709"/>
              <w:contextualSpacing/>
              <w:textAlignment w:val="baseline"/>
              <w:rPr>
                <w:rFonts w:eastAsia="Malgun Gothic"/>
                <w:lang w:eastAsia="zh-CN"/>
              </w:rPr>
            </w:pPr>
            <w:r w:rsidRPr="003177F6">
              <w:rPr>
                <w:rFonts w:eastAsia="Malgun Gothic"/>
                <w:lang w:eastAsia="zh-CN"/>
              </w:rPr>
              <w:t>P</w:t>
            </w:r>
            <w:r w:rsidRPr="003177F6">
              <w:rPr>
                <w:rFonts w:eastAsia="Malgun Gothic" w:hint="eastAsia"/>
                <w:lang w:eastAsia="zh-CN"/>
              </w:rPr>
              <w:t>ower domain</w:t>
            </w:r>
          </w:p>
          <w:p w14:paraId="003A196C" w14:textId="77777777" w:rsidR="00046EF5" w:rsidRPr="003177F6" w:rsidRDefault="00046EF5">
            <w:pPr>
              <w:pStyle w:val="aff4"/>
              <w:numPr>
                <w:ilvl w:val="0"/>
                <w:numId w:val="13"/>
              </w:numPr>
              <w:tabs>
                <w:tab w:val="left" w:pos="0"/>
              </w:tabs>
              <w:suppressAutoHyphens/>
              <w:overflowPunct w:val="0"/>
              <w:autoSpaceDE w:val="0"/>
              <w:autoSpaceDN w:val="0"/>
              <w:adjustRightInd w:val="0"/>
              <w:spacing w:after="0"/>
              <w:ind w:leftChars="0" w:left="709"/>
              <w:contextualSpacing/>
              <w:textAlignment w:val="baseline"/>
              <w:rPr>
                <w:rFonts w:eastAsia="Malgun Gothic"/>
                <w:lang w:eastAsia="zh-CN"/>
              </w:rPr>
            </w:pPr>
            <w:r w:rsidRPr="003177F6">
              <w:rPr>
                <w:rFonts w:eastAsia="Malgun Gothic" w:hint="eastAsia"/>
                <w:lang w:eastAsia="zh-CN"/>
              </w:rPr>
              <w:t xml:space="preserve">Spatial domain </w:t>
            </w:r>
          </w:p>
          <w:p w14:paraId="12F8C1DA" w14:textId="77777777" w:rsidR="00046EF5" w:rsidRDefault="00046EF5" w:rsidP="00002E6E">
            <w:pPr>
              <w:tabs>
                <w:tab w:val="left" w:pos="0"/>
              </w:tabs>
              <w:spacing w:after="0"/>
              <w:rPr>
                <w:rFonts w:eastAsia="Malgun Gothic"/>
                <w:lang w:eastAsia="zh-CN"/>
              </w:rPr>
            </w:pPr>
            <w:r w:rsidRPr="003177F6">
              <w:rPr>
                <w:rFonts w:eastAsia="Malgun Gothic"/>
                <w:lang w:eastAsia="zh-CN"/>
              </w:rPr>
              <w:t xml:space="preserve">FFS: If the </w:t>
            </w:r>
            <w:r w:rsidRPr="003177F6">
              <w:rPr>
                <w:rFonts w:eastAsia="Malgun Gothic"/>
              </w:rPr>
              <w:t>PUCCH/PUSCH/PDSCH</w:t>
            </w:r>
            <w:r w:rsidRPr="003177F6">
              <w:rPr>
                <w:rFonts w:eastAsia="Malgun Gothic"/>
                <w:lang w:eastAsia="zh-CN"/>
              </w:rPr>
              <w:t>/PDCCH can be mapped to SBFD and non-SBFD in the same slot if configured.</w:t>
            </w:r>
          </w:p>
          <w:p w14:paraId="55583584" w14:textId="77777777" w:rsidR="009535A8" w:rsidRDefault="009535A8" w:rsidP="00002E6E">
            <w:pPr>
              <w:tabs>
                <w:tab w:val="left" w:pos="0"/>
              </w:tabs>
              <w:spacing w:after="0"/>
              <w:rPr>
                <w:rFonts w:eastAsia="SimSun"/>
                <w:lang w:val="en-GB" w:eastAsia="zh-CN"/>
              </w:rPr>
            </w:pPr>
          </w:p>
          <w:p w14:paraId="4A80543F" w14:textId="3D45EC59" w:rsidR="009535A8" w:rsidRPr="007B3838" w:rsidRDefault="009535A8" w:rsidP="00803EF4">
            <w:pPr>
              <w:spacing w:after="0"/>
              <w:rPr>
                <w:rFonts w:eastAsia="Malgun Gothic"/>
                <w:b/>
                <w:highlight w:val="green"/>
                <w:lang w:eastAsia="zh-CN"/>
              </w:rPr>
            </w:pPr>
            <w:r w:rsidRPr="00803EF4">
              <w:rPr>
                <w:rFonts w:eastAsia="Malgun Gothic"/>
                <w:bCs/>
                <w:highlight w:val="green"/>
                <w:lang w:eastAsia="zh-CN"/>
              </w:rPr>
              <w:t>Agreement</w:t>
            </w:r>
            <w:r w:rsidRPr="00E753E6">
              <w:rPr>
                <w:lang w:eastAsia="ja-JP"/>
              </w:rPr>
              <w:t xml:space="preserve"> </w:t>
            </w:r>
            <w:r>
              <w:rPr>
                <w:lang w:eastAsia="ja-JP"/>
              </w:rPr>
              <w:t>(</w:t>
            </w:r>
            <w:r w:rsidRPr="00E753E6">
              <w:rPr>
                <w:lang w:eastAsia="ja-JP"/>
              </w:rPr>
              <w:t>RAN1#11</w:t>
            </w:r>
            <w:r>
              <w:rPr>
                <w:lang w:eastAsia="ja-JP"/>
              </w:rPr>
              <w:t>2</w:t>
            </w:r>
            <w:r w:rsidR="00EF4689">
              <w:rPr>
                <w:lang w:eastAsia="ja-JP"/>
              </w:rPr>
              <w:t>bis-e</w:t>
            </w:r>
            <w:r>
              <w:rPr>
                <w:lang w:eastAsia="ja-JP"/>
              </w:rPr>
              <w:t>)</w:t>
            </w:r>
          </w:p>
          <w:p w14:paraId="382CBF97" w14:textId="77777777" w:rsidR="009535A8" w:rsidRDefault="009535A8" w:rsidP="00803EF4">
            <w:pPr>
              <w:spacing w:after="0"/>
              <w:rPr>
                <w:rFonts w:eastAsia="SimSun"/>
                <w:lang w:eastAsia="zh-CN"/>
              </w:rPr>
            </w:pPr>
            <w:r>
              <w:rPr>
                <w:rFonts w:eastAsia="Malgun Gothic"/>
              </w:rPr>
              <w:t>For UL transmissions and DL receptions across SBFD symbols and non-SBFD symbols in different slots (each transmission/reception within a slot has either all SBFD or all non-SBFD symbols)</w:t>
            </w:r>
            <w:r w:rsidRPr="007B3838">
              <w:rPr>
                <w:rFonts w:eastAsia="Malgun Gothic"/>
                <w:lang w:eastAsia="zh-CN"/>
              </w:rPr>
              <w:t xml:space="preserve">, if the </w:t>
            </w:r>
            <w:r>
              <w:rPr>
                <w:rFonts w:eastAsia="Malgun Gothic"/>
              </w:rPr>
              <w:t>transmissions/receptions can be in SBFD symbols and non-SBFD symbols</w:t>
            </w:r>
            <w:r w:rsidRPr="007B3838">
              <w:rPr>
                <w:rFonts w:eastAsia="Malgun Gothic"/>
                <w:lang w:eastAsia="zh-CN"/>
              </w:rPr>
              <w:t xml:space="preserve"> with different available resources, study at least the following frequency resource allocation options for </w:t>
            </w:r>
            <w:r w:rsidRPr="008D32CA">
              <w:rPr>
                <w:rFonts w:eastAsia="SimSun"/>
                <w:lang w:eastAsia="zh-CN"/>
              </w:rPr>
              <w:t xml:space="preserve">PDSCH, CSI-RS, PUSCH, PUCCH, SRS </w:t>
            </w:r>
            <w:r>
              <w:rPr>
                <w:rFonts w:eastAsia="SimSun"/>
                <w:lang w:eastAsia="zh-CN"/>
              </w:rPr>
              <w:t>for SBFD-aware UE:</w:t>
            </w:r>
          </w:p>
          <w:p w14:paraId="27BEE15E" w14:textId="77777777" w:rsidR="009535A8" w:rsidRDefault="009535A8" w:rsidP="009535A8">
            <w:pPr>
              <w:numPr>
                <w:ilvl w:val="0"/>
                <w:numId w:val="35"/>
              </w:numPr>
              <w:suppressAutoHyphens/>
              <w:spacing w:after="0" w:line="259" w:lineRule="auto"/>
              <w:jc w:val="both"/>
              <w:rPr>
                <w:rFonts w:eastAsia="SimSun"/>
                <w:lang w:eastAsia="zh-CN"/>
              </w:rPr>
            </w:pPr>
            <w:r>
              <w:rPr>
                <w:rFonts w:eastAsia="SimSun"/>
                <w:lang w:eastAsia="zh-CN"/>
              </w:rPr>
              <w:lastRenderedPageBreak/>
              <w:t xml:space="preserve">Option 1: Separate FDRA determination for SBFD slots and non-SBFD slots. </w:t>
            </w:r>
          </w:p>
          <w:p w14:paraId="60D8A0FF" w14:textId="77777777" w:rsidR="009535A8" w:rsidRDefault="009535A8" w:rsidP="009535A8">
            <w:pPr>
              <w:numPr>
                <w:ilvl w:val="1"/>
                <w:numId w:val="35"/>
              </w:numPr>
              <w:suppressAutoHyphens/>
              <w:spacing w:after="0" w:line="259" w:lineRule="auto"/>
              <w:jc w:val="both"/>
              <w:rPr>
                <w:rFonts w:eastAsia="SimSun"/>
                <w:lang w:eastAsia="zh-CN"/>
              </w:rPr>
            </w:pPr>
            <w:r>
              <w:rPr>
                <w:rFonts w:eastAsia="SimSun"/>
                <w:lang w:eastAsia="zh-CN"/>
              </w:rPr>
              <w:t>Option 1-1: Separate FDRA configurations/indications for SBFD slots and non-SBFD slots</w:t>
            </w:r>
          </w:p>
          <w:p w14:paraId="71A54C45" w14:textId="77777777" w:rsidR="009535A8" w:rsidRDefault="009535A8" w:rsidP="009535A8">
            <w:pPr>
              <w:numPr>
                <w:ilvl w:val="1"/>
                <w:numId w:val="35"/>
              </w:numPr>
              <w:suppressAutoHyphens/>
              <w:spacing w:after="0" w:line="259" w:lineRule="auto"/>
              <w:jc w:val="both"/>
              <w:rPr>
                <w:rFonts w:eastAsia="SimSun"/>
                <w:lang w:eastAsia="zh-CN"/>
              </w:rPr>
            </w:pPr>
            <w:r>
              <w:rPr>
                <w:rFonts w:eastAsia="SimSun"/>
                <w:lang w:eastAsia="zh-CN"/>
              </w:rPr>
              <w:t>Option 1-2: Separate frequency resources determined for SBFD slots and non-SBFD slots based on single FDRA configuration/indication</w:t>
            </w:r>
            <w:r>
              <w:rPr>
                <w:rFonts w:eastAsia="SimSun"/>
                <w:strike/>
                <w:lang w:eastAsia="zh-CN"/>
              </w:rPr>
              <w:t xml:space="preserve"> </w:t>
            </w:r>
          </w:p>
          <w:p w14:paraId="6D6BFA03" w14:textId="77777777" w:rsidR="009535A8" w:rsidRPr="00CA1CB8" w:rsidRDefault="009535A8" w:rsidP="009535A8">
            <w:pPr>
              <w:numPr>
                <w:ilvl w:val="1"/>
                <w:numId w:val="35"/>
              </w:numPr>
              <w:suppressAutoHyphens/>
              <w:spacing w:after="0" w:line="259" w:lineRule="auto"/>
              <w:jc w:val="both"/>
              <w:rPr>
                <w:rFonts w:eastAsia="SimSun"/>
                <w:lang w:eastAsia="zh-CN"/>
              </w:rPr>
            </w:pPr>
            <w:r>
              <w:rPr>
                <w:rFonts w:eastAsia="SimSun"/>
                <w:lang w:eastAsia="zh-CN"/>
              </w:rPr>
              <w:t>Option 1-3</w:t>
            </w:r>
            <w:r w:rsidRPr="00CA1CB8">
              <w:rPr>
                <w:rFonts w:eastAsia="SimSun"/>
                <w:lang w:eastAsia="zh-CN"/>
              </w:rPr>
              <w:t xml:space="preserve">: </w:t>
            </w:r>
            <w:r w:rsidRPr="00CA1CB8">
              <w:rPr>
                <w:rFonts w:eastAsia="SimSun" w:hint="eastAsia"/>
                <w:lang w:eastAsia="zh-CN"/>
              </w:rPr>
              <w:t xml:space="preserve">single </w:t>
            </w:r>
            <w:r w:rsidRPr="00CA1CB8">
              <w:rPr>
                <w:rFonts w:eastAsia="SimSun"/>
                <w:lang w:eastAsia="zh-CN"/>
              </w:rPr>
              <w:t>FDRA configuration/indication and RB offset(s)</w:t>
            </w:r>
          </w:p>
          <w:p w14:paraId="6263242C" w14:textId="77777777" w:rsidR="009535A8" w:rsidRPr="00CA1CB8" w:rsidRDefault="009535A8" w:rsidP="009535A8">
            <w:pPr>
              <w:numPr>
                <w:ilvl w:val="0"/>
                <w:numId w:val="35"/>
              </w:numPr>
              <w:suppressAutoHyphens/>
              <w:spacing w:after="0" w:line="259" w:lineRule="auto"/>
              <w:jc w:val="both"/>
              <w:rPr>
                <w:rFonts w:eastAsia="SimSun"/>
                <w:lang w:eastAsia="zh-CN"/>
              </w:rPr>
            </w:pPr>
            <w:r w:rsidRPr="00CA1CB8">
              <w:rPr>
                <w:rFonts w:eastAsia="SimSun"/>
                <w:lang w:eastAsia="zh-CN"/>
              </w:rPr>
              <w:t xml:space="preserve">Option 2: Perform rate matching or puncturing on the RBs outside DL/UL subbands for DL/UL channels/signals. </w:t>
            </w:r>
          </w:p>
          <w:p w14:paraId="106F9928" w14:textId="77777777" w:rsidR="009535A8" w:rsidRDefault="009535A8" w:rsidP="009535A8">
            <w:pPr>
              <w:numPr>
                <w:ilvl w:val="0"/>
                <w:numId w:val="35"/>
              </w:numPr>
              <w:suppressAutoHyphens/>
              <w:spacing w:after="0" w:line="259" w:lineRule="auto"/>
              <w:jc w:val="both"/>
              <w:rPr>
                <w:rFonts w:eastAsia="SimSun"/>
                <w:lang w:eastAsia="zh-CN"/>
              </w:rPr>
            </w:pPr>
            <w:r w:rsidRPr="00CA1CB8">
              <w:rPr>
                <w:rFonts w:eastAsia="SimSun"/>
                <w:lang w:eastAsia="zh-CN"/>
              </w:rPr>
              <w:t>Option 3: A DL/UL cha</w:t>
            </w:r>
            <w:r>
              <w:rPr>
                <w:rFonts w:eastAsia="SimSun"/>
                <w:lang w:eastAsia="zh-CN"/>
              </w:rPr>
              <w:t>nnel/signal overlapping with RBs outside DL/UL subbands in a SBFD slot is dropped or postponed.</w:t>
            </w:r>
          </w:p>
          <w:p w14:paraId="116303F2" w14:textId="30BC3E30" w:rsidR="009535A8" w:rsidRPr="00803EF4" w:rsidRDefault="009535A8" w:rsidP="00803EF4">
            <w:pPr>
              <w:pStyle w:val="aff4"/>
              <w:spacing w:after="60"/>
              <w:ind w:leftChars="0" w:left="0"/>
              <w:rPr>
                <w:rFonts w:eastAsia="SimSun"/>
                <w:lang w:val="en-GB" w:eastAsia="ja-JP"/>
              </w:rPr>
            </w:pPr>
            <w:r>
              <w:rPr>
                <w:rFonts w:eastAsia="Malgun Gothic"/>
                <w:lang w:eastAsia="ko-KR"/>
              </w:rPr>
              <w:t>Note: Different options can be studied for different signals/channels.</w:t>
            </w:r>
          </w:p>
        </w:tc>
      </w:tr>
    </w:tbl>
    <w:p w14:paraId="765CF1AC" w14:textId="35C7C796" w:rsidR="009535A8" w:rsidRPr="00806E61" w:rsidRDefault="009535A8" w:rsidP="00002E6E">
      <w:pPr>
        <w:rPr>
          <w:lang w:eastAsia="ja-JP"/>
        </w:rPr>
      </w:pPr>
    </w:p>
    <w:p w14:paraId="6654F469" w14:textId="2992A96E" w:rsidR="00E861AB" w:rsidRDefault="00F14EA4" w:rsidP="00E861AB">
      <w:pPr>
        <w:pStyle w:val="3"/>
      </w:pPr>
      <w:r>
        <w:t>Configured UL transmission</w:t>
      </w:r>
    </w:p>
    <w:p w14:paraId="21E804EE" w14:textId="73273648" w:rsidR="00D43BF7" w:rsidRPr="00D43BF7" w:rsidRDefault="00D43BF7" w:rsidP="00D43BF7">
      <w:pPr>
        <w:rPr>
          <w:rFonts w:eastAsiaTheme="minorEastAsia"/>
          <w:lang w:eastAsia="ja-JP"/>
        </w:rPr>
      </w:pPr>
      <w:r w:rsidRPr="00D43BF7">
        <w:rPr>
          <w:rFonts w:eastAsiaTheme="minorEastAsia"/>
          <w:lang w:eastAsia="ja-JP"/>
        </w:rPr>
        <w:t xml:space="preserve">When the gNB operates with SBFD operation, the available UL frequency resources, as well as the interference situation, are different between a </w:t>
      </w:r>
      <w:r w:rsidR="003B6F64">
        <w:rPr>
          <w:rFonts w:eastAsiaTheme="minorEastAsia"/>
          <w:lang w:eastAsia="ja-JP"/>
        </w:rPr>
        <w:t xml:space="preserve">“normal” </w:t>
      </w:r>
      <w:r w:rsidRPr="00D43BF7">
        <w:rPr>
          <w:rFonts w:eastAsiaTheme="minorEastAsia"/>
          <w:lang w:eastAsia="ja-JP"/>
        </w:rPr>
        <w:t>UL symbol</w:t>
      </w:r>
      <w:r w:rsidR="00D541C5">
        <w:rPr>
          <w:rFonts w:eastAsiaTheme="minorEastAsia"/>
          <w:lang w:eastAsia="ja-JP"/>
        </w:rPr>
        <w:t>/</w:t>
      </w:r>
      <w:r w:rsidRPr="00D43BF7">
        <w:rPr>
          <w:rFonts w:eastAsiaTheme="minorEastAsia"/>
          <w:lang w:eastAsia="ja-JP"/>
        </w:rPr>
        <w:t xml:space="preserve"> slot (</w:t>
      </w:r>
      <w:r w:rsidR="00C24226">
        <w:rPr>
          <w:rFonts w:eastAsiaTheme="minorEastAsia"/>
          <w:lang w:eastAsia="ja-JP"/>
        </w:rPr>
        <w:t>containing no subband</w:t>
      </w:r>
      <w:r w:rsidRPr="00D43BF7">
        <w:rPr>
          <w:rFonts w:eastAsiaTheme="minorEastAsia"/>
          <w:lang w:eastAsia="ja-JP"/>
        </w:rPr>
        <w:t>) and an SBFD symbol</w:t>
      </w:r>
      <w:r w:rsidR="009A48B5">
        <w:rPr>
          <w:rFonts w:eastAsiaTheme="minorEastAsia"/>
          <w:lang w:eastAsia="ja-JP"/>
        </w:rPr>
        <w:t>/</w:t>
      </w:r>
      <w:r w:rsidRPr="00D43BF7">
        <w:rPr>
          <w:rFonts w:eastAsiaTheme="minorEastAsia"/>
          <w:lang w:eastAsia="ja-JP"/>
        </w:rPr>
        <w:t xml:space="preserve"> slot (where the subbands within the frequency band are used to separate the DL and UL transmission directions). </w:t>
      </w:r>
    </w:p>
    <w:p w14:paraId="58D53B59" w14:textId="0F4A9EEF" w:rsidR="000A638E" w:rsidRPr="00D43BF7" w:rsidRDefault="00D43BF7" w:rsidP="00D43BF7">
      <w:pPr>
        <w:rPr>
          <w:rFonts w:eastAsiaTheme="minorEastAsia"/>
          <w:lang w:eastAsia="ja-JP"/>
        </w:rPr>
      </w:pPr>
      <w:r w:rsidRPr="00D43BF7">
        <w:rPr>
          <w:rFonts w:eastAsiaTheme="minorEastAsia"/>
          <w:lang w:eastAsia="ja-JP"/>
        </w:rPr>
        <w:t xml:space="preserve">For </w:t>
      </w:r>
      <w:r w:rsidR="003D0C18">
        <w:rPr>
          <w:rFonts w:eastAsiaTheme="minorEastAsia"/>
          <w:lang w:eastAsia="ja-JP"/>
        </w:rPr>
        <w:t>configured UL transmission such as CG PUSCH, SRS, PUSCH/PUCCH repetition</w:t>
      </w:r>
      <w:r w:rsidRPr="00D43BF7">
        <w:rPr>
          <w:rFonts w:eastAsiaTheme="minorEastAsia"/>
          <w:lang w:eastAsia="ja-JP"/>
        </w:rPr>
        <w:t xml:space="preserve">, the </w:t>
      </w:r>
      <w:r w:rsidR="001316E9">
        <w:rPr>
          <w:rFonts w:eastAsiaTheme="minorEastAsia"/>
          <w:lang w:eastAsia="ja-JP"/>
        </w:rPr>
        <w:t>transmission occasions</w:t>
      </w:r>
      <w:r w:rsidRPr="00D43BF7">
        <w:rPr>
          <w:rFonts w:eastAsiaTheme="minorEastAsia"/>
          <w:lang w:eastAsia="ja-JP"/>
        </w:rPr>
        <w:t xml:space="preserve"> may at one instance overlap with UL </w:t>
      </w:r>
      <w:r w:rsidR="00877A70">
        <w:rPr>
          <w:rFonts w:eastAsiaTheme="minorEastAsia"/>
          <w:lang w:eastAsia="ja-JP"/>
        </w:rPr>
        <w:t xml:space="preserve">frequency </w:t>
      </w:r>
      <w:r w:rsidRPr="00D43BF7">
        <w:rPr>
          <w:rFonts w:eastAsiaTheme="minorEastAsia"/>
          <w:lang w:eastAsia="ja-JP"/>
        </w:rPr>
        <w:t>resources</w:t>
      </w:r>
      <w:r w:rsidR="006201E7">
        <w:rPr>
          <w:rFonts w:eastAsiaTheme="minorEastAsia"/>
          <w:lang w:eastAsia="ja-JP"/>
        </w:rPr>
        <w:t xml:space="preserve"> in normal UL symbol/slot</w:t>
      </w:r>
      <w:r w:rsidRPr="00D43BF7">
        <w:rPr>
          <w:rFonts w:eastAsiaTheme="minorEastAsia"/>
          <w:lang w:eastAsia="ja-JP"/>
        </w:rPr>
        <w:t xml:space="preserve">, but may at another instance be overlapping with </w:t>
      </w:r>
      <w:r w:rsidR="00B8549D">
        <w:rPr>
          <w:rFonts w:eastAsiaTheme="minorEastAsia"/>
          <w:lang w:eastAsia="ja-JP"/>
        </w:rPr>
        <w:t xml:space="preserve">a downlink subband </w:t>
      </w:r>
      <w:r w:rsidR="006201E7">
        <w:rPr>
          <w:rFonts w:eastAsiaTheme="minorEastAsia"/>
          <w:lang w:eastAsia="ja-JP"/>
        </w:rPr>
        <w:t>of SBFD symbol/slot</w:t>
      </w:r>
      <w:r w:rsidRPr="00D43BF7">
        <w:rPr>
          <w:rFonts w:eastAsiaTheme="minorEastAsia"/>
          <w:lang w:eastAsia="ja-JP"/>
        </w:rPr>
        <w:t xml:space="preserve">. These two cases are shown in </w:t>
      </w:r>
      <w:r w:rsidR="006201E7">
        <w:rPr>
          <w:rFonts w:eastAsiaTheme="minorEastAsia"/>
          <w:lang w:eastAsia="ja-JP"/>
        </w:rPr>
        <w:t xml:space="preserve">the following </w:t>
      </w:r>
      <w:r w:rsidR="004A3B86">
        <w:rPr>
          <w:rFonts w:eastAsiaTheme="minorEastAsia"/>
          <w:highlight w:val="yellow"/>
          <w:lang w:eastAsia="ja-JP"/>
        </w:rPr>
        <w:fldChar w:fldCharType="begin"/>
      </w:r>
      <w:r w:rsidR="004A3B86">
        <w:rPr>
          <w:rFonts w:eastAsiaTheme="minorEastAsia"/>
          <w:highlight w:val="yellow"/>
          <w:lang w:eastAsia="ja-JP"/>
        </w:rPr>
        <w:instrText xml:space="preserve"> REF _Ref111053971 \h </w:instrText>
      </w:r>
      <w:r w:rsidR="004A3B86">
        <w:rPr>
          <w:rFonts w:eastAsiaTheme="minorEastAsia"/>
          <w:highlight w:val="yellow"/>
          <w:lang w:eastAsia="ja-JP"/>
        </w:rPr>
      </w:r>
      <w:r w:rsidR="004A3B86">
        <w:rPr>
          <w:rFonts w:eastAsiaTheme="minorEastAsia"/>
          <w:highlight w:val="yellow"/>
          <w:lang w:eastAsia="ja-JP"/>
        </w:rPr>
        <w:fldChar w:fldCharType="separate"/>
      </w:r>
      <w:r w:rsidR="00461A99">
        <w:t xml:space="preserve">Figure </w:t>
      </w:r>
      <w:r w:rsidR="00461A99">
        <w:rPr>
          <w:noProof/>
        </w:rPr>
        <w:t>4</w:t>
      </w:r>
      <w:r w:rsidR="004A3B86">
        <w:rPr>
          <w:rFonts w:eastAsiaTheme="minorEastAsia"/>
          <w:highlight w:val="yellow"/>
          <w:lang w:eastAsia="ja-JP"/>
        </w:rPr>
        <w:fldChar w:fldCharType="end"/>
      </w:r>
      <w:r w:rsidRPr="00D43BF7">
        <w:rPr>
          <w:rFonts w:eastAsiaTheme="minorEastAsia"/>
          <w:lang w:eastAsia="ja-JP"/>
        </w:rPr>
        <w:t xml:space="preserve">. In the case of </w:t>
      </w:r>
      <w:r w:rsidR="004E6DA2">
        <w:rPr>
          <w:rFonts w:eastAsiaTheme="minorEastAsia"/>
          <w:lang w:eastAsia="ja-JP"/>
        </w:rPr>
        <w:t>configured UL transmission</w:t>
      </w:r>
      <w:r w:rsidRPr="00D43BF7">
        <w:rPr>
          <w:rFonts w:eastAsiaTheme="minorEastAsia"/>
          <w:lang w:eastAsia="ja-JP"/>
        </w:rPr>
        <w:t xml:space="preserve"> </w:t>
      </w:r>
      <w:r w:rsidR="0089337A">
        <w:rPr>
          <w:rFonts w:eastAsiaTheme="minorEastAsia"/>
          <w:lang w:eastAsia="ja-JP"/>
        </w:rPr>
        <w:t>instance</w:t>
      </w:r>
      <w:r w:rsidRPr="00D43BF7">
        <w:rPr>
          <w:rFonts w:eastAsiaTheme="minorEastAsia"/>
          <w:lang w:eastAsia="ja-JP"/>
        </w:rPr>
        <w:t xml:space="preserve"> overlapping with SBFD slots</w:t>
      </w:r>
      <w:r w:rsidR="004614DB">
        <w:rPr>
          <w:rFonts w:eastAsiaTheme="minorEastAsia"/>
          <w:lang w:eastAsia="ja-JP"/>
        </w:rPr>
        <w:t>/</w:t>
      </w:r>
      <w:r w:rsidRPr="00D43BF7">
        <w:rPr>
          <w:rFonts w:eastAsiaTheme="minorEastAsia"/>
          <w:lang w:eastAsia="ja-JP"/>
        </w:rPr>
        <w:t xml:space="preserve"> symbols, their resource allocation may deteriorate the performance of DL transmission allocated to </w:t>
      </w:r>
      <w:r w:rsidR="00A5702F">
        <w:rPr>
          <w:rFonts w:eastAsiaTheme="minorEastAsia"/>
          <w:lang w:eastAsia="ja-JP"/>
        </w:rPr>
        <w:t>the DL</w:t>
      </w:r>
      <w:r w:rsidRPr="00D43BF7">
        <w:rPr>
          <w:rFonts w:eastAsiaTheme="minorEastAsia"/>
          <w:lang w:eastAsia="ja-JP"/>
        </w:rPr>
        <w:t xml:space="preserve"> subband on the same symbol</w:t>
      </w:r>
      <w:r w:rsidR="00533107">
        <w:rPr>
          <w:rFonts w:eastAsiaTheme="minorEastAsia"/>
          <w:lang w:eastAsia="ja-JP"/>
        </w:rPr>
        <w:t>/</w:t>
      </w:r>
      <w:r w:rsidRPr="00D43BF7">
        <w:rPr>
          <w:rFonts w:eastAsiaTheme="minorEastAsia"/>
          <w:lang w:eastAsia="ja-JP"/>
        </w:rPr>
        <w:t xml:space="preserve"> slot (see slots #3 and #4 in </w:t>
      </w:r>
      <w:r w:rsidR="00DB4F85">
        <w:rPr>
          <w:rFonts w:eastAsiaTheme="minorEastAsia"/>
          <w:lang w:eastAsia="ja-JP"/>
        </w:rPr>
        <w:fldChar w:fldCharType="begin"/>
      </w:r>
      <w:r w:rsidR="00DB4F85">
        <w:rPr>
          <w:rFonts w:eastAsiaTheme="minorEastAsia"/>
          <w:lang w:eastAsia="ja-JP"/>
        </w:rPr>
        <w:instrText xml:space="preserve"> REF _Ref111053971 \h </w:instrText>
      </w:r>
      <w:r w:rsidR="00DB4F85">
        <w:rPr>
          <w:rFonts w:eastAsiaTheme="minorEastAsia"/>
          <w:lang w:eastAsia="ja-JP"/>
        </w:rPr>
      </w:r>
      <w:r w:rsidR="00DB4F85">
        <w:rPr>
          <w:rFonts w:eastAsiaTheme="minorEastAsia"/>
          <w:lang w:eastAsia="ja-JP"/>
        </w:rPr>
        <w:fldChar w:fldCharType="separate"/>
      </w:r>
      <w:r w:rsidR="00461A99">
        <w:t xml:space="preserve">Figure </w:t>
      </w:r>
      <w:r w:rsidR="00461A99">
        <w:rPr>
          <w:noProof/>
        </w:rPr>
        <w:t>4</w:t>
      </w:r>
      <w:r w:rsidR="00DB4F85">
        <w:rPr>
          <w:rFonts w:eastAsiaTheme="minorEastAsia"/>
          <w:lang w:eastAsia="ja-JP"/>
        </w:rPr>
        <w:fldChar w:fldCharType="end"/>
      </w:r>
      <w:r w:rsidRPr="00D43BF7">
        <w:rPr>
          <w:rFonts w:eastAsiaTheme="minorEastAsia"/>
          <w:lang w:eastAsia="ja-JP"/>
        </w:rPr>
        <w:t>).</w:t>
      </w:r>
    </w:p>
    <w:p w14:paraId="5D3E9C45" w14:textId="77777777" w:rsidR="00DB4F85" w:rsidRDefault="004C55F5" w:rsidP="00AA5E22">
      <w:pPr>
        <w:keepNext/>
        <w:jc w:val="center"/>
      </w:pPr>
      <w:r w:rsidRPr="004C55F5">
        <w:rPr>
          <w:rFonts w:eastAsiaTheme="minorEastAsia"/>
          <w:noProof/>
          <w:lang w:eastAsia="ja-JP"/>
        </w:rPr>
        <w:drawing>
          <wp:inline distT="0" distB="0" distL="0" distR="0" wp14:anchorId="7101CD97" wp14:editId="10AF785B">
            <wp:extent cx="5403273" cy="978643"/>
            <wp:effectExtent l="0" t="0" r="6985" b="0"/>
            <wp:docPr id="1" name="Picture 7">
              <a:extLst xmlns:a="http://schemas.openxmlformats.org/drawingml/2006/main">
                <a:ext uri="{FF2B5EF4-FFF2-40B4-BE49-F238E27FC236}">
                  <a16:creationId xmlns:a16="http://schemas.microsoft.com/office/drawing/2014/main" id="{C21AEA9E-F54F-43AC-9E87-680BD288BFA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7">
                      <a:extLst>
                        <a:ext uri="{FF2B5EF4-FFF2-40B4-BE49-F238E27FC236}">
                          <a16:creationId xmlns:a16="http://schemas.microsoft.com/office/drawing/2014/main" id="{C21AEA9E-F54F-43AC-9E87-680BD288BFAD}"/>
                        </a:ext>
                      </a:extLst>
                    </pic:cNvPr>
                    <pic:cNvPicPr>
                      <a:picLocks noChangeAspect="1"/>
                    </pic:cNvPicPr>
                  </pic:nvPicPr>
                  <pic:blipFill>
                    <a:blip r:embed="rId16"/>
                    <a:stretch>
                      <a:fillRect/>
                    </a:stretch>
                  </pic:blipFill>
                  <pic:spPr>
                    <a:xfrm>
                      <a:off x="0" y="0"/>
                      <a:ext cx="5413317" cy="980462"/>
                    </a:xfrm>
                    <a:prstGeom prst="rect">
                      <a:avLst/>
                    </a:prstGeom>
                  </pic:spPr>
                </pic:pic>
              </a:graphicData>
            </a:graphic>
          </wp:inline>
        </w:drawing>
      </w:r>
    </w:p>
    <w:p w14:paraId="29C33C67" w14:textId="02876ED9" w:rsidR="000A638E" w:rsidRDefault="00DB4F85" w:rsidP="00AA5E22">
      <w:pPr>
        <w:pStyle w:val="ac"/>
        <w:jc w:val="center"/>
        <w:rPr>
          <w:rFonts w:eastAsiaTheme="minorEastAsia"/>
          <w:lang w:val="en-GB" w:eastAsia="ja-JP"/>
        </w:rPr>
      </w:pPr>
      <w:bookmarkStart w:id="2" w:name="_Ref111053971"/>
      <w:r>
        <w:t xml:space="preserve">Figure </w:t>
      </w:r>
      <w:fldSimple w:instr=" SEQ Figure \* ARABIC ">
        <w:r w:rsidR="00461A99">
          <w:rPr>
            <w:noProof/>
          </w:rPr>
          <w:t>4</w:t>
        </w:r>
      </w:fldSimple>
      <w:bookmarkEnd w:id="2"/>
      <w:r>
        <w:t xml:space="preserve">  </w:t>
      </w:r>
      <w:r w:rsidR="004C55F5">
        <w:rPr>
          <w:rFonts w:eastAsiaTheme="minorEastAsia"/>
          <w:lang w:val="en-GB" w:eastAsia="ja-JP"/>
        </w:rPr>
        <w:t xml:space="preserve">Issue of </w:t>
      </w:r>
      <w:r w:rsidR="004E6DA2">
        <w:rPr>
          <w:rFonts w:eastAsiaTheme="minorEastAsia"/>
          <w:lang w:val="en-GB" w:eastAsia="ja-JP"/>
        </w:rPr>
        <w:t>configured UL transmission</w:t>
      </w:r>
      <w:r w:rsidR="004C55F5">
        <w:rPr>
          <w:rFonts w:eastAsiaTheme="minorEastAsia"/>
          <w:lang w:val="en-GB" w:eastAsia="ja-JP"/>
        </w:rPr>
        <w:t xml:space="preserve"> resource allocation</w:t>
      </w:r>
    </w:p>
    <w:p w14:paraId="55767CEE" w14:textId="3DA3880F" w:rsidR="000A638E" w:rsidRDefault="000A638E" w:rsidP="00B80898">
      <w:pPr>
        <w:rPr>
          <w:rFonts w:eastAsiaTheme="minorEastAsia"/>
          <w:lang w:val="en-GB" w:eastAsia="ja-JP"/>
        </w:rPr>
      </w:pPr>
    </w:p>
    <w:p w14:paraId="45A779DF" w14:textId="367EEA8B" w:rsidR="000A638E" w:rsidRDefault="00413BFE" w:rsidP="00B80898">
      <w:pPr>
        <w:rPr>
          <w:color w:val="000000" w:themeColor="text1"/>
        </w:rPr>
      </w:pPr>
      <w:r>
        <w:rPr>
          <w:color w:val="000000" w:themeColor="text1"/>
          <w:lang w:val="en-GB"/>
        </w:rPr>
        <w:t xml:space="preserve">It is </w:t>
      </w:r>
      <w:r w:rsidR="008358B6" w:rsidRPr="00973FA0">
        <w:rPr>
          <w:color w:val="000000" w:themeColor="text1"/>
        </w:rPr>
        <w:t xml:space="preserve">in principle by current spec </w:t>
      </w:r>
      <w:r w:rsidR="00E93C9A">
        <w:rPr>
          <w:color w:val="000000" w:themeColor="text1"/>
        </w:rPr>
        <w:t>that a configured UL transmission</w:t>
      </w:r>
      <w:r w:rsidR="008358B6" w:rsidRPr="00973FA0">
        <w:rPr>
          <w:color w:val="000000" w:themeColor="text1"/>
        </w:rPr>
        <w:t xml:space="preserve"> can be configured to align the periodicity and symbol offset with that of either normal UL symbol or SBFD symbol</w:t>
      </w:r>
      <w:r w:rsidR="001302FE">
        <w:rPr>
          <w:color w:val="000000" w:themeColor="text1"/>
        </w:rPr>
        <w:t xml:space="preserve">. </w:t>
      </w:r>
      <w:r w:rsidR="001302FE" w:rsidRPr="001302FE">
        <w:rPr>
          <w:color w:val="000000" w:themeColor="text1"/>
        </w:rPr>
        <w:t xml:space="preserve">However, such alignment is an additional constraint on </w:t>
      </w:r>
      <w:r w:rsidR="001302FE">
        <w:rPr>
          <w:color w:val="000000" w:themeColor="text1"/>
        </w:rPr>
        <w:t>the</w:t>
      </w:r>
      <w:r w:rsidR="001302FE" w:rsidRPr="001302FE">
        <w:rPr>
          <w:color w:val="000000" w:themeColor="text1"/>
        </w:rPr>
        <w:t xml:space="preserve"> configuration that needs to be taken care of by the gNB and which adds to the complexity of resource allocation. Furthermore, if the SBFD time pattern changes, reconfiguration of </w:t>
      </w:r>
      <w:r w:rsidR="006C1CF3">
        <w:rPr>
          <w:color w:val="000000" w:themeColor="text1"/>
        </w:rPr>
        <w:t>configured UL transmission</w:t>
      </w:r>
      <w:r w:rsidR="001302FE" w:rsidRPr="001302FE">
        <w:rPr>
          <w:color w:val="000000" w:themeColor="text1"/>
        </w:rPr>
        <w:t xml:space="preserve"> is needed for new alignment, which increases the signaling overhead.</w:t>
      </w:r>
      <w:r w:rsidR="00814489">
        <w:rPr>
          <w:color w:val="000000" w:themeColor="text1"/>
        </w:rPr>
        <w:t xml:space="preserve"> Note that this issue does not happen when SBFD operation is carried out in Flexible symbol/slot as configured UL transmission is disabled in Flexible symbol/slots.</w:t>
      </w:r>
    </w:p>
    <w:p w14:paraId="11EDF877" w14:textId="650AA87E" w:rsidR="00672C9A" w:rsidRDefault="0060022D" w:rsidP="00B80898">
      <w:pPr>
        <w:rPr>
          <w:rFonts w:eastAsiaTheme="minorEastAsia"/>
          <w:lang w:val="en-GB" w:eastAsia="ja-JP"/>
        </w:rPr>
      </w:pPr>
      <w:r>
        <w:rPr>
          <w:rFonts w:eastAsiaTheme="minorEastAsia"/>
          <w:lang w:val="en-GB" w:eastAsia="ja-JP"/>
        </w:rPr>
        <w:t xml:space="preserve">Therefore, it </w:t>
      </w:r>
      <w:r w:rsidR="004F76A9">
        <w:rPr>
          <w:rFonts w:eastAsiaTheme="minorEastAsia"/>
          <w:lang w:val="en-GB" w:eastAsia="ja-JP"/>
        </w:rPr>
        <w:t>is</w:t>
      </w:r>
      <w:r w:rsidR="00BF4D79">
        <w:rPr>
          <w:rFonts w:eastAsiaTheme="minorEastAsia"/>
          <w:lang w:val="en-GB" w:eastAsia="ja-JP"/>
        </w:rPr>
        <w:t xml:space="preserve"> preferable to </w:t>
      </w:r>
      <w:r w:rsidR="00BE0D1E">
        <w:rPr>
          <w:rFonts w:eastAsiaTheme="minorEastAsia"/>
          <w:lang w:val="en-GB" w:eastAsia="ja-JP"/>
        </w:rPr>
        <w:t>decouple</w:t>
      </w:r>
      <w:r w:rsidR="00BF4D79">
        <w:rPr>
          <w:rFonts w:eastAsiaTheme="minorEastAsia"/>
          <w:lang w:val="en-GB" w:eastAsia="ja-JP"/>
        </w:rPr>
        <w:t xml:space="preserve"> the </w:t>
      </w:r>
      <w:r w:rsidR="003A043B">
        <w:rPr>
          <w:rFonts w:eastAsiaTheme="minorEastAsia"/>
          <w:lang w:val="en-GB" w:eastAsia="ja-JP"/>
        </w:rPr>
        <w:t xml:space="preserve">configured UL transmission from the configuration/operation of SBFD symbol/slot. </w:t>
      </w:r>
      <w:r w:rsidR="00D05658">
        <w:rPr>
          <w:rFonts w:eastAsiaTheme="minorEastAsia"/>
          <w:lang w:val="en-GB" w:eastAsia="ja-JP"/>
        </w:rPr>
        <w:t xml:space="preserve">This motivates </w:t>
      </w:r>
      <w:r w:rsidR="00FE4868">
        <w:rPr>
          <w:rFonts w:eastAsiaTheme="minorEastAsia"/>
          <w:lang w:val="en-GB" w:eastAsia="ja-JP"/>
        </w:rPr>
        <w:t xml:space="preserve">to </w:t>
      </w:r>
      <w:r>
        <w:rPr>
          <w:rFonts w:eastAsiaTheme="minorEastAsia"/>
          <w:lang w:val="en-GB" w:eastAsia="ja-JP"/>
        </w:rPr>
        <w:t xml:space="preserve">study </w:t>
      </w:r>
      <w:r w:rsidR="00D114F5">
        <w:rPr>
          <w:rFonts w:eastAsiaTheme="minorEastAsia"/>
          <w:lang w:val="en-GB" w:eastAsia="ja-JP"/>
        </w:rPr>
        <w:t xml:space="preserve">methods for UE to </w:t>
      </w:r>
      <w:r w:rsidR="00FE4868">
        <w:rPr>
          <w:rFonts w:eastAsiaTheme="minorEastAsia"/>
          <w:lang w:val="en-GB" w:eastAsia="ja-JP"/>
        </w:rPr>
        <w:t>validate</w:t>
      </w:r>
      <w:r w:rsidR="00D114F5">
        <w:rPr>
          <w:rFonts w:eastAsiaTheme="minorEastAsia"/>
          <w:lang w:val="en-GB" w:eastAsia="ja-JP"/>
        </w:rPr>
        <w:t xml:space="preserve"> configured UL transmission instances</w:t>
      </w:r>
      <w:r w:rsidR="008F66A4">
        <w:rPr>
          <w:rFonts w:eastAsiaTheme="minorEastAsia"/>
          <w:lang w:val="en-GB" w:eastAsia="ja-JP"/>
        </w:rPr>
        <w:t xml:space="preserve">. </w:t>
      </w:r>
      <w:r w:rsidR="00C307F7">
        <w:rPr>
          <w:rFonts w:eastAsiaTheme="minorEastAsia"/>
          <w:lang w:val="en-GB" w:eastAsia="ja-JP"/>
        </w:rPr>
        <w:t xml:space="preserve">For example, the configured UL transmission can be associated with </w:t>
      </w:r>
      <w:r w:rsidR="001E3BC7">
        <w:rPr>
          <w:rFonts w:eastAsiaTheme="minorEastAsia"/>
          <w:lang w:val="en-GB" w:eastAsia="ja-JP"/>
        </w:rPr>
        <w:t>an applicable symbol type (e.g. SBFD symbol vs. normal UL symbol)</w:t>
      </w:r>
      <w:r w:rsidR="00290C5B">
        <w:rPr>
          <w:rFonts w:eastAsiaTheme="minorEastAsia"/>
          <w:lang w:val="en-GB" w:eastAsia="ja-JP"/>
        </w:rPr>
        <w:t xml:space="preserve">, such that UE will skip the UL transmission instance if it is </w:t>
      </w:r>
      <w:r w:rsidR="00672C9A">
        <w:rPr>
          <w:rFonts w:eastAsiaTheme="minorEastAsia"/>
          <w:lang w:val="en-GB" w:eastAsia="ja-JP"/>
        </w:rPr>
        <w:t xml:space="preserve">not overlapping with the applicable symbol type. </w:t>
      </w:r>
    </w:p>
    <w:p w14:paraId="4CAC6D00" w14:textId="660F3142" w:rsidR="00FC6E55" w:rsidRDefault="00672C9A" w:rsidP="00B80898">
      <w:pPr>
        <w:rPr>
          <w:rFonts w:eastAsiaTheme="minorEastAsia"/>
          <w:lang w:val="en-GB" w:eastAsia="ja-JP"/>
        </w:rPr>
      </w:pPr>
      <w:r>
        <w:rPr>
          <w:rFonts w:eastAsiaTheme="minorEastAsia"/>
          <w:lang w:val="en-GB" w:eastAsia="ja-JP"/>
        </w:rPr>
        <w:t xml:space="preserve">To define different symbol types, </w:t>
      </w:r>
      <w:r w:rsidR="00936F6A">
        <w:rPr>
          <w:rFonts w:eastAsiaTheme="minorEastAsia"/>
          <w:lang w:val="en-GB" w:eastAsia="ja-JP"/>
        </w:rPr>
        <w:t>the combination of legacy cell-common semi-static slot format and the new Rel-18 slot format mentioned in Section 2.1.</w:t>
      </w:r>
      <w:r w:rsidR="00A85810">
        <w:rPr>
          <w:rFonts w:eastAsiaTheme="minorEastAsia"/>
          <w:lang w:val="en-GB" w:eastAsia="ja-JP"/>
        </w:rPr>
        <w:t xml:space="preserve">4 </w:t>
      </w:r>
      <w:r w:rsidR="00936F6A">
        <w:rPr>
          <w:rFonts w:eastAsiaTheme="minorEastAsia"/>
          <w:lang w:val="en-GB" w:eastAsia="ja-JP"/>
        </w:rPr>
        <w:t xml:space="preserve">can be </w:t>
      </w:r>
      <w:r w:rsidR="0003730F">
        <w:rPr>
          <w:rFonts w:eastAsiaTheme="minorEastAsia"/>
          <w:lang w:val="en-GB" w:eastAsia="ja-JP"/>
        </w:rPr>
        <w:t xml:space="preserve">utilized. </w:t>
      </w:r>
      <w:r w:rsidR="0060247F">
        <w:rPr>
          <w:rFonts w:eastAsiaTheme="minorEastAsia"/>
          <w:lang w:val="en-GB" w:eastAsia="ja-JP"/>
        </w:rPr>
        <w:t>In more details, f</w:t>
      </w:r>
      <w:r w:rsidR="001E1F8A">
        <w:rPr>
          <w:rFonts w:eastAsiaTheme="minorEastAsia"/>
          <w:lang w:val="en-GB" w:eastAsia="ja-JP"/>
        </w:rPr>
        <w:t xml:space="preserve">rom Rel-18 UE </w:t>
      </w:r>
      <w:r w:rsidR="009A2F4F">
        <w:rPr>
          <w:rFonts w:eastAsiaTheme="minorEastAsia"/>
          <w:lang w:val="en-GB" w:eastAsia="ja-JP"/>
        </w:rPr>
        <w:t xml:space="preserve">(and beyond) point of view, the following table provides an example of </w:t>
      </w:r>
      <w:r w:rsidR="00FC6E55">
        <w:rPr>
          <w:rFonts w:eastAsiaTheme="minorEastAsia"/>
          <w:lang w:val="en-GB" w:eastAsia="ja-JP"/>
        </w:rPr>
        <w:t>slot format combinations:</w:t>
      </w:r>
    </w:p>
    <w:tbl>
      <w:tblPr>
        <w:tblW w:w="4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20" w:firstRow="1" w:lastRow="0" w:firstColumn="0" w:lastColumn="0" w:noHBand="0" w:noVBand="1"/>
      </w:tblPr>
      <w:tblGrid>
        <w:gridCol w:w="1480"/>
        <w:gridCol w:w="1400"/>
        <w:gridCol w:w="1935"/>
      </w:tblGrid>
      <w:tr w:rsidR="00266F88" w:rsidRPr="00266F88" w14:paraId="560395DE" w14:textId="77777777" w:rsidTr="000114CE">
        <w:trPr>
          <w:trHeight w:val="584"/>
          <w:jc w:val="center"/>
        </w:trPr>
        <w:tc>
          <w:tcPr>
            <w:tcW w:w="1480" w:type="dxa"/>
            <w:shd w:val="clear" w:color="auto" w:fill="auto"/>
            <w:tcMar>
              <w:top w:w="72" w:type="dxa"/>
              <w:left w:w="144" w:type="dxa"/>
              <w:bottom w:w="72" w:type="dxa"/>
              <w:right w:w="144" w:type="dxa"/>
            </w:tcMar>
            <w:hideMark/>
          </w:tcPr>
          <w:p w14:paraId="714C7AA6" w14:textId="3C3962DF" w:rsidR="00266F88" w:rsidRPr="00266F88" w:rsidRDefault="00266F88" w:rsidP="000114CE">
            <w:pPr>
              <w:spacing w:after="0"/>
              <w:rPr>
                <w:rFonts w:eastAsia="Times New Roman"/>
                <w:sz w:val="36"/>
                <w:szCs w:val="36"/>
                <w:lang w:eastAsia="de-DE"/>
              </w:rPr>
            </w:pPr>
            <w:r w:rsidRPr="00266F88">
              <w:rPr>
                <w:rFonts w:eastAsia="Times New Roman"/>
                <w:b/>
                <w:bCs/>
                <w:kern w:val="24"/>
                <w:lang w:eastAsia="de-DE"/>
              </w:rPr>
              <w:t>Legacy cell-common semi-static slot</w:t>
            </w:r>
            <w:r w:rsidR="00734505">
              <w:rPr>
                <w:rFonts w:eastAsia="Times New Roman"/>
                <w:b/>
                <w:bCs/>
                <w:kern w:val="24"/>
                <w:lang w:eastAsia="de-DE"/>
              </w:rPr>
              <w:t>/symbol</w:t>
            </w:r>
            <w:r w:rsidRPr="00266F88">
              <w:rPr>
                <w:rFonts w:eastAsia="Times New Roman"/>
                <w:b/>
                <w:bCs/>
                <w:kern w:val="24"/>
                <w:lang w:eastAsia="de-DE"/>
              </w:rPr>
              <w:t xml:space="preserve"> format</w:t>
            </w:r>
          </w:p>
        </w:tc>
        <w:tc>
          <w:tcPr>
            <w:tcW w:w="1400" w:type="dxa"/>
            <w:shd w:val="clear" w:color="auto" w:fill="auto"/>
            <w:tcMar>
              <w:top w:w="72" w:type="dxa"/>
              <w:left w:w="144" w:type="dxa"/>
              <w:bottom w:w="72" w:type="dxa"/>
              <w:right w:w="144" w:type="dxa"/>
            </w:tcMar>
            <w:hideMark/>
          </w:tcPr>
          <w:p w14:paraId="1E0A1D3B" w14:textId="03793787" w:rsidR="00266F88" w:rsidRPr="00266F88" w:rsidRDefault="00266F88" w:rsidP="000114CE">
            <w:pPr>
              <w:spacing w:after="0"/>
              <w:rPr>
                <w:rFonts w:eastAsia="Times New Roman"/>
                <w:sz w:val="36"/>
                <w:szCs w:val="36"/>
                <w:lang w:eastAsia="de-DE"/>
              </w:rPr>
            </w:pPr>
            <w:r w:rsidRPr="00266F88">
              <w:rPr>
                <w:rFonts w:eastAsia="Times New Roman"/>
                <w:b/>
                <w:bCs/>
                <w:kern w:val="24"/>
                <w:lang w:eastAsia="de-DE"/>
              </w:rPr>
              <w:t xml:space="preserve">New </w:t>
            </w:r>
            <w:r w:rsidR="00623045">
              <w:rPr>
                <w:rFonts w:eastAsia="Times New Roman"/>
                <w:b/>
                <w:bCs/>
                <w:kern w:val="24"/>
                <w:lang w:eastAsia="de-DE"/>
              </w:rPr>
              <w:t xml:space="preserve">Rel-18 </w:t>
            </w:r>
            <w:r w:rsidRPr="00266F88">
              <w:rPr>
                <w:rFonts w:eastAsia="Times New Roman"/>
                <w:b/>
                <w:bCs/>
                <w:kern w:val="24"/>
                <w:lang w:eastAsia="de-DE"/>
              </w:rPr>
              <w:t>semi-static slot</w:t>
            </w:r>
            <w:r w:rsidR="00734505">
              <w:rPr>
                <w:rFonts w:eastAsia="Times New Roman"/>
                <w:b/>
                <w:bCs/>
                <w:kern w:val="24"/>
                <w:lang w:eastAsia="de-DE"/>
              </w:rPr>
              <w:t>/symbol</w:t>
            </w:r>
            <w:r w:rsidRPr="00266F88">
              <w:rPr>
                <w:rFonts w:eastAsia="Times New Roman"/>
                <w:b/>
                <w:bCs/>
                <w:kern w:val="24"/>
                <w:lang w:eastAsia="de-DE"/>
              </w:rPr>
              <w:t xml:space="preserve"> format</w:t>
            </w:r>
          </w:p>
        </w:tc>
        <w:tc>
          <w:tcPr>
            <w:tcW w:w="1935" w:type="dxa"/>
            <w:shd w:val="clear" w:color="auto" w:fill="auto"/>
            <w:tcMar>
              <w:top w:w="72" w:type="dxa"/>
              <w:left w:w="144" w:type="dxa"/>
              <w:bottom w:w="72" w:type="dxa"/>
              <w:right w:w="144" w:type="dxa"/>
            </w:tcMar>
            <w:hideMark/>
          </w:tcPr>
          <w:p w14:paraId="05101BB5" w14:textId="77777777" w:rsidR="00266F88" w:rsidRPr="00266F88" w:rsidRDefault="00266F88" w:rsidP="000114CE">
            <w:pPr>
              <w:spacing w:after="0"/>
              <w:rPr>
                <w:rFonts w:eastAsia="Times New Roman"/>
                <w:sz w:val="36"/>
                <w:szCs w:val="36"/>
                <w:lang w:eastAsia="de-DE"/>
              </w:rPr>
            </w:pPr>
            <w:r w:rsidRPr="00266F88">
              <w:rPr>
                <w:rFonts w:eastAsia="Times New Roman"/>
                <w:b/>
                <w:bCs/>
                <w:kern w:val="24"/>
                <w:lang w:eastAsia="de-DE"/>
              </w:rPr>
              <w:t>Conflicting direction?</w:t>
            </w:r>
          </w:p>
        </w:tc>
      </w:tr>
      <w:tr w:rsidR="00266F88" w:rsidRPr="00266F88" w14:paraId="76C6ADFA" w14:textId="77777777" w:rsidTr="000114CE">
        <w:trPr>
          <w:trHeight w:val="123"/>
          <w:jc w:val="center"/>
        </w:trPr>
        <w:tc>
          <w:tcPr>
            <w:tcW w:w="1480" w:type="dxa"/>
            <w:shd w:val="clear" w:color="auto" w:fill="auto"/>
            <w:tcMar>
              <w:top w:w="72" w:type="dxa"/>
              <w:left w:w="144" w:type="dxa"/>
              <w:bottom w:w="72" w:type="dxa"/>
              <w:right w:w="144" w:type="dxa"/>
            </w:tcMar>
            <w:hideMark/>
          </w:tcPr>
          <w:p w14:paraId="62993871" w14:textId="77777777" w:rsidR="00266F88" w:rsidRPr="00266F88" w:rsidRDefault="00266F88" w:rsidP="000114CE">
            <w:pPr>
              <w:spacing w:after="0"/>
              <w:rPr>
                <w:rFonts w:eastAsia="Times New Roman"/>
                <w:sz w:val="36"/>
                <w:szCs w:val="36"/>
                <w:lang w:eastAsia="de-DE"/>
              </w:rPr>
            </w:pPr>
            <w:r w:rsidRPr="00266F88">
              <w:rPr>
                <w:rFonts w:eastAsia="Times New Roman"/>
                <w:kern w:val="24"/>
                <w:lang w:eastAsia="de-DE"/>
              </w:rPr>
              <w:t>D</w:t>
            </w:r>
          </w:p>
        </w:tc>
        <w:tc>
          <w:tcPr>
            <w:tcW w:w="1400" w:type="dxa"/>
            <w:shd w:val="clear" w:color="auto" w:fill="auto"/>
            <w:tcMar>
              <w:top w:w="72" w:type="dxa"/>
              <w:left w:w="144" w:type="dxa"/>
              <w:bottom w:w="72" w:type="dxa"/>
              <w:right w:w="144" w:type="dxa"/>
            </w:tcMar>
            <w:hideMark/>
          </w:tcPr>
          <w:p w14:paraId="2B173C3D" w14:textId="77777777" w:rsidR="00266F88" w:rsidRPr="00266F88" w:rsidRDefault="00266F88" w:rsidP="000114CE">
            <w:pPr>
              <w:spacing w:after="0"/>
              <w:rPr>
                <w:rFonts w:eastAsia="Times New Roman"/>
                <w:sz w:val="36"/>
                <w:szCs w:val="36"/>
                <w:lang w:eastAsia="de-DE"/>
              </w:rPr>
            </w:pPr>
            <w:r w:rsidRPr="00266F88">
              <w:rPr>
                <w:rFonts w:eastAsia="Times New Roman"/>
                <w:kern w:val="24"/>
                <w:lang w:eastAsia="de-DE"/>
              </w:rPr>
              <w:t>D</w:t>
            </w:r>
          </w:p>
        </w:tc>
        <w:tc>
          <w:tcPr>
            <w:tcW w:w="1935" w:type="dxa"/>
            <w:shd w:val="clear" w:color="auto" w:fill="auto"/>
            <w:tcMar>
              <w:top w:w="72" w:type="dxa"/>
              <w:left w:w="144" w:type="dxa"/>
              <w:bottom w:w="72" w:type="dxa"/>
              <w:right w:w="144" w:type="dxa"/>
            </w:tcMar>
            <w:hideMark/>
          </w:tcPr>
          <w:p w14:paraId="356ECD4C" w14:textId="77777777" w:rsidR="00266F88" w:rsidRPr="00266F88" w:rsidRDefault="00266F88" w:rsidP="000114CE">
            <w:pPr>
              <w:spacing w:after="0"/>
              <w:rPr>
                <w:rFonts w:eastAsia="Times New Roman"/>
                <w:sz w:val="36"/>
                <w:szCs w:val="36"/>
                <w:lang w:eastAsia="de-DE"/>
              </w:rPr>
            </w:pPr>
            <w:r w:rsidRPr="00266F88">
              <w:rPr>
                <w:rFonts w:eastAsia="Times New Roman"/>
                <w:kern w:val="24"/>
                <w:lang w:eastAsia="de-DE"/>
              </w:rPr>
              <w:t>Non-conflicting</w:t>
            </w:r>
          </w:p>
        </w:tc>
      </w:tr>
      <w:tr w:rsidR="00266F88" w:rsidRPr="00266F88" w14:paraId="5D1EE0C7" w14:textId="77777777" w:rsidTr="000114CE">
        <w:trPr>
          <w:trHeight w:val="233"/>
          <w:jc w:val="center"/>
        </w:trPr>
        <w:tc>
          <w:tcPr>
            <w:tcW w:w="1480" w:type="dxa"/>
            <w:shd w:val="clear" w:color="auto" w:fill="auto"/>
            <w:tcMar>
              <w:top w:w="72" w:type="dxa"/>
              <w:left w:w="144" w:type="dxa"/>
              <w:bottom w:w="72" w:type="dxa"/>
              <w:right w:w="144" w:type="dxa"/>
            </w:tcMar>
            <w:hideMark/>
          </w:tcPr>
          <w:p w14:paraId="3F0D5A10" w14:textId="77777777" w:rsidR="00266F88" w:rsidRPr="00266F88" w:rsidRDefault="00266F88" w:rsidP="000114CE">
            <w:pPr>
              <w:spacing w:after="0"/>
              <w:rPr>
                <w:rFonts w:eastAsia="Times New Roman"/>
                <w:sz w:val="36"/>
                <w:szCs w:val="36"/>
                <w:lang w:eastAsia="de-DE"/>
              </w:rPr>
            </w:pPr>
            <w:r w:rsidRPr="00266F88">
              <w:rPr>
                <w:rFonts w:eastAsia="Times New Roman"/>
                <w:kern w:val="24"/>
                <w:lang w:eastAsia="de-DE"/>
              </w:rPr>
              <w:t>D</w:t>
            </w:r>
          </w:p>
        </w:tc>
        <w:tc>
          <w:tcPr>
            <w:tcW w:w="1400" w:type="dxa"/>
            <w:shd w:val="clear" w:color="auto" w:fill="auto"/>
            <w:tcMar>
              <w:top w:w="72" w:type="dxa"/>
              <w:left w:w="144" w:type="dxa"/>
              <w:bottom w:w="72" w:type="dxa"/>
              <w:right w:w="144" w:type="dxa"/>
            </w:tcMar>
            <w:hideMark/>
          </w:tcPr>
          <w:p w14:paraId="7E44F698" w14:textId="77777777" w:rsidR="00266F88" w:rsidRPr="00266F88" w:rsidRDefault="00266F88" w:rsidP="000114CE">
            <w:pPr>
              <w:spacing w:after="0"/>
              <w:rPr>
                <w:rFonts w:eastAsia="Times New Roman"/>
                <w:sz w:val="36"/>
                <w:szCs w:val="36"/>
                <w:lang w:eastAsia="de-DE"/>
              </w:rPr>
            </w:pPr>
            <w:r w:rsidRPr="00266F88">
              <w:rPr>
                <w:rFonts w:eastAsia="Times New Roman"/>
                <w:kern w:val="24"/>
                <w:lang w:eastAsia="de-DE"/>
              </w:rPr>
              <w:t>U</w:t>
            </w:r>
          </w:p>
        </w:tc>
        <w:tc>
          <w:tcPr>
            <w:tcW w:w="1935" w:type="dxa"/>
            <w:shd w:val="clear" w:color="auto" w:fill="auto"/>
            <w:tcMar>
              <w:top w:w="72" w:type="dxa"/>
              <w:left w:w="144" w:type="dxa"/>
              <w:bottom w:w="72" w:type="dxa"/>
              <w:right w:w="144" w:type="dxa"/>
            </w:tcMar>
            <w:hideMark/>
          </w:tcPr>
          <w:p w14:paraId="36B51CCE" w14:textId="77777777" w:rsidR="00266F88" w:rsidRPr="00266F88" w:rsidRDefault="00266F88" w:rsidP="000114CE">
            <w:pPr>
              <w:spacing w:after="0"/>
              <w:rPr>
                <w:rFonts w:eastAsia="Times New Roman"/>
                <w:sz w:val="36"/>
                <w:szCs w:val="36"/>
                <w:lang w:eastAsia="de-DE"/>
              </w:rPr>
            </w:pPr>
            <w:r w:rsidRPr="00266F88">
              <w:rPr>
                <w:rFonts w:eastAsia="Times New Roman"/>
                <w:kern w:val="24"/>
                <w:lang w:eastAsia="de-DE"/>
              </w:rPr>
              <w:t>Conflicting</w:t>
            </w:r>
          </w:p>
        </w:tc>
      </w:tr>
      <w:tr w:rsidR="00266F88" w:rsidRPr="00266F88" w14:paraId="6002DBBF" w14:textId="77777777" w:rsidTr="000114CE">
        <w:trPr>
          <w:trHeight w:val="201"/>
          <w:jc w:val="center"/>
        </w:trPr>
        <w:tc>
          <w:tcPr>
            <w:tcW w:w="1480" w:type="dxa"/>
            <w:shd w:val="clear" w:color="auto" w:fill="auto"/>
            <w:tcMar>
              <w:top w:w="72" w:type="dxa"/>
              <w:left w:w="144" w:type="dxa"/>
              <w:bottom w:w="72" w:type="dxa"/>
              <w:right w:w="144" w:type="dxa"/>
            </w:tcMar>
            <w:hideMark/>
          </w:tcPr>
          <w:p w14:paraId="04A21940" w14:textId="77777777" w:rsidR="00266F88" w:rsidRPr="00266F88" w:rsidRDefault="00266F88" w:rsidP="000114CE">
            <w:pPr>
              <w:spacing w:after="0"/>
              <w:rPr>
                <w:rFonts w:eastAsia="Times New Roman"/>
                <w:sz w:val="36"/>
                <w:szCs w:val="36"/>
                <w:lang w:eastAsia="de-DE"/>
              </w:rPr>
            </w:pPr>
            <w:r w:rsidRPr="00266F88">
              <w:rPr>
                <w:rFonts w:eastAsia="Times New Roman"/>
                <w:kern w:val="24"/>
                <w:lang w:eastAsia="de-DE"/>
              </w:rPr>
              <w:t>D</w:t>
            </w:r>
          </w:p>
        </w:tc>
        <w:tc>
          <w:tcPr>
            <w:tcW w:w="1400" w:type="dxa"/>
            <w:shd w:val="clear" w:color="auto" w:fill="auto"/>
            <w:tcMar>
              <w:top w:w="72" w:type="dxa"/>
              <w:left w:w="144" w:type="dxa"/>
              <w:bottom w:w="72" w:type="dxa"/>
              <w:right w:w="144" w:type="dxa"/>
            </w:tcMar>
            <w:hideMark/>
          </w:tcPr>
          <w:p w14:paraId="59AF4F64" w14:textId="77777777" w:rsidR="00266F88" w:rsidRPr="00266F88" w:rsidRDefault="00266F88" w:rsidP="000114CE">
            <w:pPr>
              <w:spacing w:after="0"/>
              <w:rPr>
                <w:rFonts w:eastAsia="Times New Roman"/>
                <w:sz w:val="36"/>
                <w:szCs w:val="36"/>
                <w:lang w:eastAsia="de-DE"/>
              </w:rPr>
            </w:pPr>
            <w:r w:rsidRPr="00266F88">
              <w:rPr>
                <w:rFonts w:eastAsia="Times New Roman"/>
                <w:kern w:val="24"/>
                <w:lang w:eastAsia="de-DE"/>
              </w:rPr>
              <w:t>F</w:t>
            </w:r>
          </w:p>
        </w:tc>
        <w:tc>
          <w:tcPr>
            <w:tcW w:w="1935" w:type="dxa"/>
            <w:shd w:val="clear" w:color="auto" w:fill="auto"/>
            <w:tcMar>
              <w:top w:w="72" w:type="dxa"/>
              <w:left w:w="144" w:type="dxa"/>
              <w:bottom w:w="72" w:type="dxa"/>
              <w:right w:w="144" w:type="dxa"/>
            </w:tcMar>
            <w:hideMark/>
          </w:tcPr>
          <w:p w14:paraId="35859070" w14:textId="77777777" w:rsidR="00266F88" w:rsidRPr="00266F88" w:rsidRDefault="00266F88" w:rsidP="000114CE">
            <w:pPr>
              <w:spacing w:after="0"/>
              <w:rPr>
                <w:rFonts w:eastAsia="Times New Roman"/>
                <w:sz w:val="36"/>
                <w:szCs w:val="36"/>
                <w:lang w:eastAsia="de-DE"/>
              </w:rPr>
            </w:pPr>
            <w:r w:rsidRPr="00266F88">
              <w:rPr>
                <w:rFonts w:eastAsia="Times New Roman"/>
                <w:kern w:val="24"/>
                <w:lang w:eastAsia="de-DE"/>
              </w:rPr>
              <w:t>Conflicting</w:t>
            </w:r>
          </w:p>
        </w:tc>
      </w:tr>
      <w:tr w:rsidR="00266F88" w:rsidRPr="00266F88" w14:paraId="0FB0DFBE" w14:textId="77777777" w:rsidTr="000114CE">
        <w:trPr>
          <w:trHeight w:val="279"/>
          <w:jc w:val="center"/>
        </w:trPr>
        <w:tc>
          <w:tcPr>
            <w:tcW w:w="1480" w:type="dxa"/>
            <w:shd w:val="clear" w:color="auto" w:fill="auto"/>
            <w:tcMar>
              <w:top w:w="72" w:type="dxa"/>
              <w:left w:w="144" w:type="dxa"/>
              <w:bottom w:w="72" w:type="dxa"/>
              <w:right w:w="144" w:type="dxa"/>
            </w:tcMar>
            <w:hideMark/>
          </w:tcPr>
          <w:p w14:paraId="68B51E07" w14:textId="77777777" w:rsidR="00266F88" w:rsidRPr="00266F88" w:rsidRDefault="00266F88" w:rsidP="000114CE">
            <w:pPr>
              <w:spacing w:after="0"/>
              <w:rPr>
                <w:rFonts w:eastAsia="Times New Roman"/>
                <w:sz w:val="36"/>
                <w:szCs w:val="36"/>
                <w:lang w:eastAsia="de-DE"/>
              </w:rPr>
            </w:pPr>
            <w:r w:rsidRPr="00266F88">
              <w:rPr>
                <w:rFonts w:eastAsia="Times New Roman"/>
                <w:kern w:val="24"/>
                <w:lang w:eastAsia="de-DE"/>
              </w:rPr>
              <w:lastRenderedPageBreak/>
              <w:t>U</w:t>
            </w:r>
          </w:p>
        </w:tc>
        <w:tc>
          <w:tcPr>
            <w:tcW w:w="1400" w:type="dxa"/>
            <w:shd w:val="clear" w:color="auto" w:fill="auto"/>
            <w:tcMar>
              <w:top w:w="72" w:type="dxa"/>
              <w:left w:w="144" w:type="dxa"/>
              <w:bottom w:w="72" w:type="dxa"/>
              <w:right w:w="144" w:type="dxa"/>
            </w:tcMar>
            <w:hideMark/>
          </w:tcPr>
          <w:p w14:paraId="074DE51D" w14:textId="77777777" w:rsidR="00266F88" w:rsidRPr="00266F88" w:rsidRDefault="00266F88" w:rsidP="000114CE">
            <w:pPr>
              <w:spacing w:after="0"/>
              <w:rPr>
                <w:rFonts w:eastAsia="Times New Roman"/>
                <w:sz w:val="36"/>
                <w:szCs w:val="36"/>
                <w:lang w:eastAsia="de-DE"/>
              </w:rPr>
            </w:pPr>
            <w:r w:rsidRPr="00266F88">
              <w:rPr>
                <w:rFonts w:eastAsia="Times New Roman"/>
                <w:kern w:val="24"/>
                <w:lang w:eastAsia="de-DE"/>
              </w:rPr>
              <w:t>U</w:t>
            </w:r>
          </w:p>
        </w:tc>
        <w:tc>
          <w:tcPr>
            <w:tcW w:w="1935" w:type="dxa"/>
            <w:shd w:val="clear" w:color="auto" w:fill="auto"/>
            <w:tcMar>
              <w:top w:w="72" w:type="dxa"/>
              <w:left w:w="144" w:type="dxa"/>
              <w:bottom w:w="72" w:type="dxa"/>
              <w:right w:w="144" w:type="dxa"/>
            </w:tcMar>
            <w:hideMark/>
          </w:tcPr>
          <w:p w14:paraId="525B3298" w14:textId="77777777" w:rsidR="00266F88" w:rsidRPr="00266F88" w:rsidRDefault="00266F88" w:rsidP="000114CE">
            <w:pPr>
              <w:spacing w:after="0"/>
              <w:rPr>
                <w:rFonts w:eastAsia="Times New Roman"/>
                <w:sz w:val="36"/>
                <w:szCs w:val="36"/>
                <w:lang w:eastAsia="de-DE"/>
              </w:rPr>
            </w:pPr>
            <w:r w:rsidRPr="00266F88">
              <w:rPr>
                <w:rFonts w:eastAsia="Times New Roman"/>
                <w:kern w:val="24"/>
                <w:lang w:eastAsia="de-DE"/>
              </w:rPr>
              <w:t>Non-conflicting</w:t>
            </w:r>
          </w:p>
        </w:tc>
      </w:tr>
      <w:tr w:rsidR="00266F88" w:rsidRPr="00266F88" w14:paraId="082550CA" w14:textId="77777777" w:rsidTr="000114CE">
        <w:trPr>
          <w:trHeight w:val="289"/>
          <w:jc w:val="center"/>
        </w:trPr>
        <w:tc>
          <w:tcPr>
            <w:tcW w:w="1480" w:type="dxa"/>
            <w:shd w:val="clear" w:color="auto" w:fill="auto"/>
            <w:tcMar>
              <w:top w:w="72" w:type="dxa"/>
              <w:left w:w="144" w:type="dxa"/>
              <w:bottom w:w="72" w:type="dxa"/>
              <w:right w:w="144" w:type="dxa"/>
            </w:tcMar>
            <w:hideMark/>
          </w:tcPr>
          <w:p w14:paraId="0F842C6E" w14:textId="77777777" w:rsidR="00266F88" w:rsidRPr="00266F88" w:rsidRDefault="00266F88" w:rsidP="000114CE">
            <w:pPr>
              <w:spacing w:after="0"/>
              <w:rPr>
                <w:rFonts w:eastAsia="Times New Roman"/>
                <w:sz w:val="36"/>
                <w:szCs w:val="36"/>
                <w:lang w:eastAsia="de-DE"/>
              </w:rPr>
            </w:pPr>
            <w:r w:rsidRPr="00266F88">
              <w:rPr>
                <w:rFonts w:eastAsia="Times New Roman"/>
                <w:kern w:val="24"/>
                <w:lang w:eastAsia="de-DE"/>
              </w:rPr>
              <w:t>F</w:t>
            </w:r>
          </w:p>
        </w:tc>
        <w:tc>
          <w:tcPr>
            <w:tcW w:w="1400" w:type="dxa"/>
            <w:shd w:val="clear" w:color="auto" w:fill="auto"/>
            <w:tcMar>
              <w:top w:w="72" w:type="dxa"/>
              <w:left w:w="144" w:type="dxa"/>
              <w:bottom w:w="72" w:type="dxa"/>
              <w:right w:w="144" w:type="dxa"/>
            </w:tcMar>
            <w:hideMark/>
          </w:tcPr>
          <w:p w14:paraId="5CA93879" w14:textId="77777777" w:rsidR="00266F88" w:rsidRPr="00266F88" w:rsidRDefault="00266F88" w:rsidP="000114CE">
            <w:pPr>
              <w:spacing w:after="0"/>
              <w:rPr>
                <w:rFonts w:eastAsia="Times New Roman"/>
                <w:sz w:val="36"/>
                <w:szCs w:val="36"/>
                <w:lang w:eastAsia="de-DE"/>
              </w:rPr>
            </w:pPr>
            <w:r w:rsidRPr="00266F88">
              <w:rPr>
                <w:rFonts w:eastAsia="Times New Roman"/>
                <w:kern w:val="24"/>
                <w:lang w:eastAsia="de-DE"/>
              </w:rPr>
              <w:t>D</w:t>
            </w:r>
          </w:p>
        </w:tc>
        <w:tc>
          <w:tcPr>
            <w:tcW w:w="1935" w:type="dxa"/>
            <w:shd w:val="clear" w:color="auto" w:fill="auto"/>
            <w:tcMar>
              <w:top w:w="72" w:type="dxa"/>
              <w:left w:w="144" w:type="dxa"/>
              <w:bottom w:w="72" w:type="dxa"/>
              <w:right w:w="144" w:type="dxa"/>
            </w:tcMar>
            <w:hideMark/>
          </w:tcPr>
          <w:p w14:paraId="62E862DB" w14:textId="77777777" w:rsidR="00266F88" w:rsidRPr="00266F88" w:rsidRDefault="00266F88" w:rsidP="000114CE">
            <w:pPr>
              <w:spacing w:after="0"/>
              <w:rPr>
                <w:rFonts w:eastAsia="Times New Roman"/>
                <w:sz w:val="36"/>
                <w:szCs w:val="36"/>
                <w:lang w:eastAsia="de-DE"/>
              </w:rPr>
            </w:pPr>
            <w:r w:rsidRPr="00266F88">
              <w:rPr>
                <w:rFonts w:eastAsia="Times New Roman"/>
                <w:kern w:val="24"/>
                <w:lang w:eastAsia="de-DE"/>
              </w:rPr>
              <w:t>Non-conflicting</w:t>
            </w:r>
          </w:p>
        </w:tc>
      </w:tr>
      <w:tr w:rsidR="00266F88" w:rsidRPr="00266F88" w14:paraId="24EDE110" w14:textId="77777777" w:rsidTr="000114CE">
        <w:trPr>
          <w:trHeight w:val="253"/>
          <w:jc w:val="center"/>
        </w:trPr>
        <w:tc>
          <w:tcPr>
            <w:tcW w:w="1480" w:type="dxa"/>
            <w:shd w:val="clear" w:color="auto" w:fill="auto"/>
            <w:tcMar>
              <w:top w:w="72" w:type="dxa"/>
              <w:left w:w="144" w:type="dxa"/>
              <w:bottom w:w="72" w:type="dxa"/>
              <w:right w:w="144" w:type="dxa"/>
            </w:tcMar>
            <w:hideMark/>
          </w:tcPr>
          <w:p w14:paraId="1A991812" w14:textId="77777777" w:rsidR="00266F88" w:rsidRPr="00266F88" w:rsidRDefault="00266F88" w:rsidP="000114CE">
            <w:pPr>
              <w:spacing w:after="0"/>
              <w:rPr>
                <w:rFonts w:eastAsia="Times New Roman"/>
                <w:sz w:val="36"/>
                <w:szCs w:val="36"/>
                <w:lang w:eastAsia="de-DE"/>
              </w:rPr>
            </w:pPr>
            <w:r w:rsidRPr="00266F88">
              <w:rPr>
                <w:rFonts w:eastAsia="Times New Roman"/>
                <w:kern w:val="24"/>
                <w:lang w:eastAsia="de-DE"/>
              </w:rPr>
              <w:t>F</w:t>
            </w:r>
          </w:p>
        </w:tc>
        <w:tc>
          <w:tcPr>
            <w:tcW w:w="1400" w:type="dxa"/>
            <w:shd w:val="clear" w:color="auto" w:fill="auto"/>
            <w:tcMar>
              <w:top w:w="72" w:type="dxa"/>
              <w:left w:w="144" w:type="dxa"/>
              <w:bottom w:w="72" w:type="dxa"/>
              <w:right w:w="144" w:type="dxa"/>
            </w:tcMar>
            <w:hideMark/>
          </w:tcPr>
          <w:p w14:paraId="7E3D3756" w14:textId="77777777" w:rsidR="00266F88" w:rsidRPr="00266F88" w:rsidRDefault="00266F88" w:rsidP="000114CE">
            <w:pPr>
              <w:spacing w:after="0"/>
              <w:rPr>
                <w:rFonts w:eastAsia="Times New Roman"/>
                <w:sz w:val="36"/>
                <w:szCs w:val="36"/>
                <w:lang w:eastAsia="de-DE"/>
              </w:rPr>
            </w:pPr>
            <w:r w:rsidRPr="00266F88">
              <w:rPr>
                <w:rFonts w:eastAsia="Times New Roman"/>
                <w:kern w:val="24"/>
                <w:lang w:eastAsia="de-DE"/>
              </w:rPr>
              <w:t>U</w:t>
            </w:r>
          </w:p>
        </w:tc>
        <w:tc>
          <w:tcPr>
            <w:tcW w:w="1935" w:type="dxa"/>
            <w:shd w:val="clear" w:color="auto" w:fill="auto"/>
            <w:tcMar>
              <w:top w:w="72" w:type="dxa"/>
              <w:left w:w="144" w:type="dxa"/>
              <w:bottom w:w="72" w:type="dxa"/>
              <w:right w:w="144" w:type="dxa"/>
            </w:tcMar>
            <w:hideMark/>
          </w:tcPr>
          <w:p w14:paraId="0D80E56B" w14:textId="77777777" w:rsidR="00266F88" w:rsidRPr="00266F88" w:rsidRDefault="00266F88" w:rsidP="000114CE">
            <w:pPr>
              <w:spacing w:after="0"/>
              <w:rPr>
                <w:rFonts w:eastAsia="Times New Roman"/>
                <w:sz w:val="36"/>
                <w:szCs w:val="36"/>
                <w:lang w:eastAsia="de-DE"/>
              </w:rPr>
            </w:pPr>
            <w:r w:rsidRPr="00266F88">
              <w:rPr>
                <w:rFonts w:eastAsia="Times New Roman"/>
                <w:kern w:val="24"/>
                <w:lang w:eastAsia="de-DE"/>
              </w:rPr>
              <w:t>Non-conflicting</w:t>
            </w:r>
          </w:p>
        </w:tc>
      </w:tr>
      <w:tr w:rsidR="00266F88" w:rsidRPr="00266F88" w14:paraId="71A7EAD7" w14:textId="77777777" w:rsidTr="000114CE">
        <w:trPr>
          <w:trHeight w:val="287"/>
          <w:jc w:val="center"/>
        </w:trPr>
        <w:tc>
          <w:tcPr>
            <w:tcW w:w="1480" w:type="dxa"/>
            <w:shd w:val="clear" w:color="auto" w:fill="auto"/>
            <w:tcMar>
              <w:top w:w="72" w:type="dxa"/>
              <w:left w:w="144" w:type="dxa"/>
              <w:bottom w:w="72" w:type="dxa"/>
              <w:right w:w="144" w:type="dxa"/>
            </w:tcMar>
            <w:hideMark/>
          </w:tcPr>
          <w:p w14:paraId="54DFD636" w14:textId="77777777" w:rsidR="00266F88" w:rsidRPr="00266F88" w:rsidRDefault="00266F88" w:rsidP="000114CE">
            <w:pPr>
              <w:spacing w:after="0"/>
              <w:rPr>
                <w:rFonts w:eastAsia="Times New Roman"/>
                <w:sz w:val="36"/>
                <w:szCs w:val="36"/>
                <w:lang w:eastAsia="de-DE"/>
              </w:rPr>
            </w:pPr>
            <w:r w:rsidRPr="00266F88">
              <w:rPr>
                <w:rFonts w:eastAsia="Times New Roman"/>
                <w:kern w:val="24"/>
                <w:lang w:eastAsia="de-DE"/>
              </w:rPr>
              <w:t>F</w:t>
            </w:r>
          </w:p>
        </w:tc>
        <w:tc>
          <w:tcPr>
            <w:tcW w:w="1400" w:type="dxa"/>
            <w:shd w:val="clear" w:color="auto" w:fill="auto"/>
            <w:tcMar>
              <w:top w:w="72" w:type="dxa"/>
              <w:left w:w="144" w:type="dxa"/>
              <w:bottom w:w="72" w:type="dxa"/>
              <w:right w:w="144" w:type="dxa"/>
            </w:tcMar>
            <w:hideMark/>
          </w:tcPr>
          <w:p w14:paraId="2A29C6B0" w14:textId="77777777" w:rsidR="00266F88" w:rsidRPr="00266F88" w:rsidRDefault="00266F88" w:rsidP="000114CE">
            <w:pPr>
              <w:spacing w:after="0"/>
              <w:rPr>
                <w:rFonts w:eastAsia="Times New Roman"/>
                <w:sz w:val="36"/>
                <w:szCs w:val="36"/>
                <w:lang w:eastAsia="de-DE"/>
              </w:rPr>
            </w:pPr>
            <w:r w:rsidRPr="00266F88">
              <w:rPr>
                <w:rFonts w:eastAsia="Times New Roman"/>
                <w:kern w:val="24"/>
                <w:lang w:eastAsia="de-DE"/>
              </w:rPr>
              <w:t>F</w:t>
            </w:r>
          </w:p>
        </w:tc>
        <w:tc>
          <w:tcPr>
            <w:tcW w:w="1935" w:type="dxa"/>
            <w:shd w:val="clear" w:color="auto" w:fill="auto"/>
            <w:tcMar>
              <w:top w:w="72" w:type="dxa"/>
              <w:left w:w="144" w:type="dxa"/>
              <w:bottom w:w="72" w:type="dxa"/>
              <w:right w:w="144" w:type="dxa"/>
            </w:tcMar>
            <w:hideMark/>
          </w:tcPr>
          <w:p w14:paraId="1FB80516" w14:textId="77777777" w:rsidR="00266F88" w:rsidRPr="00266F88" w:rsidRDefault="00266F88" w:rsidP="000114CE">
            <w:pPr>
              <w:spacing w:after="0"/>
              <w:rPr>
                <w:rFonts w:eastAsia="Times New Roman"/>
                <w:sz w:val="36"/>
                <w:szCs w:val="36"/>
                <w:lang w:eastAsia="de-DE"/>
              </w:rPr>
            </w:pPr>
            <w:r w:rsidRPr="00266F88">
              <w:rPr>
                <w:rFonts w:eastAsia="Times New Roman"/>
                <w:kern w:val="24"/>
                <w:lang w:eastAsia="de-DE"/>
              </w:rPr>
              <w:t>Non-conflicting</w:t>
            </w:r>
          </w:p>
        </w:tc>
      </w:tr>
    </w:tbl>
    <w:p w14:paraId="51E92FBE" w14:textId="659FE3B1" w:rsidR="00266F88" w:rsidRPr="00266F88" w:rsidRDefault="00266F88" w:rsidP="00266F88">
      <w:pPr>
        <w:spacing w:before="240" w:after="0" w:line="360" w:lineRule="auto"/>
        <w:jc w:val="center"/>
        <w:rPr>
          <w:b/>
          <w:iCs/>
        </w:rPr>
      </w:pPr>
      <w:r w:rsidRPr="00266F88">
        <w:rPr>
          <w:b/>
          <w:iCs/>
        </w:rPr>
        <w:t xml:space="preserve">Table </w:t>
      </w:r>
      <w:r w:rsidRPr="00AA5E22">
        <w:rPr>
          <w:b/>
          <w:iCs/>
        </w:rPr>
        <w:t>1</w:t>
      </w:r>
      <w:r w:rsidR="00DB146F">
        <w:rPr>
          <w:b/>
          <w:iCs/>
        </w:rPr>
        <w:t xml:space="preserve">. The conflict </w:t>
      </w:r>
      <w:r w:rsidR="00233634">
        <w:rPr>
          <w:b/>
          <w:iCs/>
        </w:rPr>
        <w:t xml:space="preserve">symbol </w:t>
      </w:r>
      <w:r w:rsidR="00DB146F">
        <w:rPr>
          <w:b/>
          <w:iCs/>
        </w:rPr>
        <w:t>relation between legacy and new semi-static slot</w:t>
      </w:r>
      <w:r w:rsidR="0026625A">
        <w:rPr>
          <w:b/>
          <w:iCs/>
        </w:rPr>
        <w:t>/symbol</w:t>
      </w:r>
      <w:r w:rsidR="00DB146F">
        <w:rPr>
          <w:b/>
          <w:iCs/>
        </w:rPr>
        <w:t xml:space="preserve"> format</w:t>
      </w:r>
    </w:p>
    <w:p w14:paraId="1A707379" w14:textId="77777777" w:rsidR="003C600C" w:rsidRDefault="003C600C" w:rsidP="00B80898">
      <w:pPr>
        <w:rPr>
          <w:rFonts w:eastAsiaTheme="minorEastAsia"/>
          <w:lang w:val="en-GB" w:eastAsia="ja-JP"/>
        </w:rPr>
      </w:pPr>
      <w:r>
        <w:rPr>
          <w:rFonts w:eastAsiaTheme="minorEastAsia"/>
          <w:lang w:val="en-GB" w:eastAsia="ja-JP"/>
        </w:rPr>
        <w:t>As shown in the table, the two symbol types can be defined:</w:t>
      </w:r>
    </w:p>
    <w:p w14:paraId="74142D53" w14:textId="77777777" w:rsidR="00623045" w:rsidRPr="00623045" w:rsidRDefault="00623045">
      <w:pPr>
        <w:pStyle w:val="aff4"/>
        <w:numPr>
          <w:ilvl w:val="0"/>
          <w:numId w:val="10"/>
        </w:numPr>
        <w:ind w:leftChars="0"/>
        <w:rPr>
          <w:rFonts w:eastAsiaTheme="minorEastAsia"/>
          <w:lang w:val="en-GB" w:eastAsia="ja-JP"/>
        </w:rPr>
      </w:pPr>
      <w:r w:rsidRPr="00623045">
        <w:rPr>
          <w:rFonts w:eastAsiaTheme="minorEastAsia"/>
          <w:lang w:val="en-GB" w:eastAsia="ja-JP"/>
        </w:rPr>
        <w:t>Conflicting symbol direction between legacy semi-static and new Rel-18 semi-static slot format, e.g. D-&gt;U and D-&gt;F</w:t>
      </w:r>
    </w:p>
    <w:p w14:paraId="39968F75" w14:textId="599DB083" w:rsidR="004755EE" w:rsidRPr="008F1E89" w:rsidRDefault="00D114F5">
      <w:pPr>
        <w:pStyle w:val="aff4"/>
        <w:numPr>
          <w:ilvl w:val="0"/>
          <w:numId w:val="10"/>
        </w:numPr>
        <w:ind w:leftChars="0"/>
        <w:rPr>
          <w:rFonts w:eastAsiaTheme="minorEastAsia"/>
          <w:lang w:val="en-GB" w:eastAsia="ja-JP"/>
        </w:rPr>
      </w:pPr>
      <w:r w:rsidRPr="008F1E89">
        <w:rPr>
          <w:rFonts w:eastAsiaTheme="minorEastAsia"/>
          <w:lang w:val="en-GB" w:eastAsia="ja-JP"/>
        </w:rPr>
        <w:t xml:space="preserve"> </w:t>
      </w:r>
      <w:r w:rsidR="008F1E89" w:rsidRPr="008F1E89">
        <w:rPr>
          <w:rFonts w:eastAsiaTheme="minorEastAsia"/>
          <w:lang w:eastAsia="ja-JP"/>
        </w:rPr>
        <w:t>Non-conflicting symbol direction between the above two semi-static slot formats, e.g. U-&gt;U, F-&gt;U, and F-&gt;F</w:t>
      </w:r>
    </w:p>
    <w:p w14:paraId="5D4051A1" w14:textId="38A3A0E2" w:rsidR="0060247F" w:rsidRDefault="00E51A41" w:rsidP="00B80898">
      <w:pPr>
        <w:rPr>
          <w:rFonts w:eastAsiaTheme="minorEastAsia"/>
          <w:lang w:val="en-GB" w:eastAsia="ja-JP"/>
        </w:rPr>
      </w:pPr>
      <w:r>
        <w:rPr>
          <w:rFonts w:eastAsiaTheme="minorEastAsia"/>
          <w:lang w:val="en-GB" w:eastAsia="ja-JP"/>
        </w:rPr>
        <w:t xml:space="preserve">For a configured UL transmission, it can be associated with one of the symbol type or both. </w:t>
      </w:r>
      <w:r w:rsidR="00DC0DC7">
        <w:rPr>
          <w:rFonts w:eastAsiaTheme="minorEastAsia"/>
          <w:lang w:val="en-GB" w:eastAsia="ja-JP"/>
        </w:rPr>
        <w:t>Since the conflicting</w:t>
      </w:r>
      <w:r w:rsidR="003B652C">
        <w:rPr>
          <w:rFonts w:eastAsiaTheme="minorEastAsia"/>
          <w:lang w:val="en-GB" w:eastAsia="ja-JP"/>
        </w:rPr>
        <w:t xml:space="preserve"> and non-conflicting</w:t>
      </w:r>
      <w:r w:rsidR="00DC0DC7">
        <w:rPr>
          <w:rFonts w:eastAsiaTheme="minorEastAsia"/>
          <w:lang w:val="en-GB" w:eastAsia="ja-JP"/>
        </w:rPr>
        <w:t xml:space="preserve"> symbol </w:t>
      </w:r>
      <w:r w:rsidR="003B652C">
        <w:rPr>
          <w:rFonts w:eastAsiaTheme="minorEastAsia"/>
          <w:lang w:val="en-GB" w:eastAsia="ja-JP"/>
        </w:rPr>
        <w:t xml:space="preserve">correspond to </w:t>
      </w:r>
      <w:r w:rsidR="008076C4">
        <w:rPr>
          <w:rFonts w:eastAsiaTheme="minorEastAsia"/>
          <w:lang w:val="en-GB" w:eastAsia="ja-JP"/>
        </w:rPr>
        <w:t xml:space="preserve">SBFD-ready and SBFD-forbidden </w:t>
      </w:r>
      <w:r w:rsidR="00CD242D">
        <w:rPr>
          <w:rFonts w:eastAsiaTheme="minorEastAsia"/>
          <w:lang w:val="en-GB" w:eastAsia="ja-JP"/>
        </w:rPr>
        <w:t>at gNB side</w:t>
      </w:r>
      <w:r w:rsidR="000959F9">
        <w:rPr>
          <w:rFonts w:eastAsiaTheme="minorEastAsia"/>
          <w:lang w:val="en-GB" w:eastAsia="ja-JP"/>
        </w:rPr>
        <w:t xml:space="preserve">, </w:t>
      </w:r>
      <w:r w:rsidR="00CD242D">
        <w:rPr>
          <w:rFonts w:eastAsiaTheme="minorEastAsia"/>
          <w:lang w:val="en-GB" w:eastAsia="ja-JP"/>
        </w:rPr>
        <w:t xml:space="preserve">respectively, </w:t>
      </w:r>
      <w:r w:rsidR="005F12D1">
        <w:rPr>
          <w:rFonts w:eastAsiaTheme="minorEastAsia"/>
          <w:lang w:val="en-GB" w:eastAsia="ja-JP"/>
        </w:rPr>
        <w:t>the configured UL transmission can now be transmitted or dropped in a controlled way</w:t>
      </w:r>
      <w:r w:rsidR="008F6D55">
        <w:rPr>
          <w:rFonts w:eastAsiaTheme="minorEastAsia"/>
          <w:lang w:val="en-GB" w:eastAsia="ja-JP"/>
        </w:rPr>
        <w:t>.</w:t>
      </w:r>
    </w:p>
    <w:p w14:paraId="2BA561A5" w14:textId="6FE1AE07" w:rsidR="00311668" w:rsidRDefault="00090820" w:rsidP="00B80898">
      <w:pPr>
        <w:rPr>
          <w:rFonts w:eastAsiaTheme="minorEastAsia"/>
          <w:lang w:val="en-GB" w:eastAsia="ja-JP"/>
        </w:rPr>
      </w:pPr>
      <w:r>
        <w:rPr>
          <w:rFonts w:eastAsiaTheme="minorEastAsia"/>
          <w:lang w:val="en-GB" w:eastAsia="ja-JP"/>
        </w:rPr>
        <w:t>R</w:t>
      </w:r>
      <w:r>
        <w:rPr>
          <w:lang w:eastAsia="ja-JP"/>
        </w:rPr>
        <w:t xml:space="preserve">egarding </w:t>
      </w:r>
      <w:r w:rsidR="00C1163D">
        <w:rPr>
          <w:lang w:eastAsia="ja-JP"/>
        </w:rPr>
        <w:t xml:space="preserve">the agreement on </w:t>
      </w:r>
      <w:r w:rsidR="00C1163D" w:rsidRPr="007B3838">
        <w:rPr>
          <w:rFonts w:eastAsia="Malgun Gothic"/>
          <w:lang w:eastAsia="zh-CN"/>
        </w:rPr>
        <w:t>different frequency resource allocation</w:t>
      </w:r>
      <w:r w:rsidR="00C1163D">
        <w:rPr>
          <w:rFonts w:eastAsia="Malgun Gothic"/>
          <w:lang w:eastAsia="zh-CN"/>
        </w:rPr>
        <w:t xml:space="preserve"> </w:t>
      </w:r>
      <w:r w:rsidR="00174D48">
        <w:rPr>
          <w:rFonts w:eastAsia="Malgun Gothic"/>
          <w:lang w:eastAsia="zh-CN"/>
        </w:rPr>
        <w:t>for</w:t>
      </w:r>
      <w:r w:rsidR="00C1163D">
        <w:rPr>
          <w:rFonts w:eastAsia="Malgun Gothic"/>
          <w:lang w:eastAsia="zh-CN"/>
        </w:rPr>
        <w:t xml:space="preserve"> </w:t>
      </w:r>
      <w:r w:rsidR="00C1163D">
        <w:rPr>
          <w:rFonts w:eastAsia="Malgun Gothic"/>
        </w:rPr>
        <w:t xml:space="preserve">SBFD and non-SBFD symbols in RAN1#112bis-e, our preference is Option </w:t>
      </w:r>
      <w:r w:rsidR="0047702E">
        <w:rPr>
          <w:rFonts w:eastAsia="Malgun Gothic"/>
        </w:rPr>
        <w:t>1</w:t>
      </w:r>
      <w:r w:rsidR="00225F04">
        <w:rPr>
          <w:rFonts w:eastAsia="Malgun Gothic"/>
        </w:rPr>
        <w:t>-1</w:t>
      </w:r>
      <w:r w:rsidR="00C1163D">
        <w:rPr>
          <w:rFonts w:eastAsia="Malgun Gothic"/>
        </w:rPr>
        <w:t xml:space="preserve"> (</w:t>
      </w:r>
      <w:r w:rsidR="00225F04">
        <w:rPr>
          <w:rFonts w:eastAsia="SimSun"/>
          <w:lang w:eastAsia="zh-CN"/>
        </w:rPr>
        <w:t>Separate FDRA configurations/indications for SBFD slots and non-SBFD slots</w:t>
      </w:r>
      <w:r w:rsidR="00174D48">
        <w:rPr>
          <w:rFonts w:eastAsia="Malgun Gothic"/>
        </w:rPr>
        <w:t>)</w:t>
      </w:r>
      <w:r w:rsidR="00674382">
        <w:rPr>
          <w:rFonts w:eastAsia="Malgun Gothic"/>
        </w:rPr>
        <w:t>.</w:t>
      </w:r>
      <w:r w:rsidR="0047702E">
        <w:rPr>
          <w:rFonts w:eastAsia="Malgun Gothic"/>
        </w:rPr>
        <w:t xml:space="preserve"> However, </w:t>
      </w:r>
      <w:r w:rsidR="00F75FC3">
        <w:rPr>
          <w:rFonts w:eastAsia="Malgun Gothic"/>
        </w:rPr>
        <w:t xml:space="preserve">from our perspective, </w:t>
      </w:r>
      <w:r w:rsidR="0047702E">
        <w:rPr>
          <w:rFonts w:eastAsia="Malgun Gothic"/>
        </w:rPr>
        <w:t xml:space="preserve">not only FDRA but also </w:t>
      </w:r>
      <w:r w:rsidR="00225F04">
        <w:rPr>
          <w:rFonts w:eastAsia="Malgun Gothic"/>
        </w:rPr>
        <w:t xml:space="preserve">other </w:t>
      </w:r>
      <w:r w:rsidR="008C1420">
        <w:rPr>
          <w:rFonts w:eastAsiaTheme="minorEastAsia" w:hint="eastAsia"/>
          <w:lang w:eastAsia="ja-JP"/>
        </w:rPr>
        <w:t>p</w:t>
      </w:r>
      <w:r w:rsidR="008C1420">
        <w:rPr>
          <w:rFonts w:eastAsiaTheme="minorEastAsia"/>
          <w:lang w:eastAsia="ja-JP"/>
        </w:rPr>
        <w:t xml:space="preserve">arameters </w:t>
      </w:r>
      <w:r w:rsidR="00972083">
        <w:rPr>
          <w:rFonts w:eastAsia="Malgun Gothic"/>
        </w:rPr>
        <w:t xml:space="preserve">would </w:t>
      </w:r>
      <w:r w:rsidR="00240F99">
        <w:rPr>
          <w:rFonts w:eastAsia="Malgun Gothic"/>
        </w:rPr>
        <w:t xml:space="preserve">need to be separated because link quality </w:t>
      </w:r>
      <w:r w:rsidR="00C83194">
        <w:rPr>
          <w:rFonts w:eastAsia="Malgun Gothic"/>
        </w:rPr>
        <w:t xml:space="preserve">can be </w:t>
      </w:r>
      <w:r w:rsidR="00240F99">
        <w:rPr>
          <w:rFonts w:eastAsia="Malgun Gothic"/>
        </w:rPr>
        <w:t xml:space="preserve">different among SBFD </w:t>
      </w:r>
      <w:r w:rsidR="00420919">
        <w:rPr>
          <w:rFonts w:eastAsia="Malgun Gothic"/>
        </w:rPr>
        <w:t>a</w:t>
      </w:r>
      <w:r w:rsidR="00240F99">
        <w:rPr>
          <w:rFonts w:eastAsia="Malgun Gothic"/>
        </w:rPr>
        <w:t>nd non-SBFD symbol</w:t>
      </w:r>
      <w:r w:rsidR="00420919">
        <w:rPr>
          <w:rFonts w:eastAsia="Malgun Gothic"/>
        </w:rPr>
        <w:t>s</w:t>
      </w:r>
      <w:r w:rsidR="00590AA2">
        <w:rPr>
          <w:rFonts w:eastAsia="Malgun Gothic"/>
        </w:rPr>
        <w:t xml:space="preserve">. </w:t>
      </w:r>
      <w:r w:rsidR="00420919">
        <w:rPr>
          <w:rFonts w:eastAsia="Malgun Gothic"/>
        </w:rPr>
        <w:t xml:space="preserve">In order to </w:t>
      </w:r>
      <w:r w:rsidR="00CF189D">
        <w:rPr>
          <w:rFonts w:eastAsia="Malgun Gothic"/>
        </w:rPr>
        <w:t xml:space="preserve">achieve </w:t>
      </w:r>
      <w:r w:rsidR="00CF189D">
        <w:rPr>
          <w:rFonts w:eastAsia="SimSun"/>
          <w:lang w:eastAsia="zh-CN"/>
        </w:rPr>
        <w:t xml:space="preserve">separate configurations for SBFD and non-SBFD </w:t>
      </w:r>
      <w:r w:rsidR="000A0F71">
        <w:rPr>
          <w:rFonts w:eastAsia="SimSun"/>
          <w:lang w:eastAsia="zh-CN"/>
        </w:rPr>
        <w:t xml:space="preserve">symbols (including FDRA and other </w:t>
      </w:r>
      <w:r w:rsidR="00E73565">
        <w:rPr>
          <w:rFonts w:eastAsiaTheme="minorEastAsia" w:hint="eastAsia"/>
          <w:lang w:eastAsia="ja-JP"/>
        </w:rPr>
        <w:t>p</w:t>
      </w:r>
      <w:r w:rsidR="00E73565">
        <w:rPr>
          <w:rFonts w:eastAsiaTheme="minorEastAsia"/>
          <w:lang w:eastAsia="ja-JP"/>
        </w:rPr>
        <w:t>arameters</w:t>
      </w:r>
      <w:r w:rsidR="000A0F71">
        <w:rPr>
          <w:rFonts w:eastAsia="SimSun"/>
          <w:lang w:eastAsia="zh-CN"/>
        </w:rPr>
        <w:t xml:space="preserve">), </w:t>
      </w:r>
      <w:r w:rsidR="005A7CC0">
        <w:rPr>
          <w:rFonts w:eastAsia="SimSun"/>
          <w:lang w:eastAsia="zh-CN"/>
        </w:rPr>
        <w:t>as</w:t>
      </w:r>
      <w:r w:rsidR="001C18C5">
        <w:rPr>
          <w:rFonts w:eastAsia="SimSun"/>
          <w:lang w:eastAsia="zh-CN"/>
        </w:rPr>
        <w:t xml:space="preserve"> described</w:t>
      </w:r>
      <w:r w:rsidR="005A7CC0">
        <w:rPr>
          <w:rFonts w:eastAsia="SimSun"/>
          <w:lang w:eastAsia="zh-CN"/>
        </w:rPr>
        <w:t xml:space="preserve"> above, </w:t>
      </w:r>
      <w:r w:rsidR="00037142">
        <w:rPr>
          <w:rFonts w:eastAsia="SimSun"/>
          <w:lang w:eastAsia="zh-CN"/>
        </w:rPr>
        <w:t xml:space="preserve">one </w:t>
      </w:r>
      <w:r w:rsidR="0037291B">
        <w:rPr>
          <w:rFonts w:eastAsia="SimSun"/>
          <w:lang w:eastAsia="zh-CN"/>
        </w:rPr>
        <w:t>solution</w:t>
      </w:r>
      <w:r w:rsidR="00037142">
        <w:rPr>
          <w:rFonts w:eastAsia="SimSun"/>
          <w:lang w:eastAsia="zh-CN"/>
        </w:rPr>
        <w:t xml:space="preserve"> can be </w:t>
      </w:r>
      <w:r w:rsidR="00A32F42" w:rsidRPr="00037142">
        <w:rPr>
          <w:rFonts w:eastAsia="SimSun"/>
          <w:lang w:eastAsia="zh-CN"/>
        </w:rPr>
        <w:t>associat</w:t>
      </w:r>
      <w:r w:rsidR="00A32F42">
        <w:rPr>
          <w:rFonts w:eastAsia="SimSun"/>
          <w:lang w:eastAsia="zh-CN"/>
        </w:rPr>
        <w:t xml:space="preserve">ing </w:t>
      </w:r>
      <w:r w:rsidR="00160F79">
        <w:rPr>
          <w:rFonts w:eastAsia="SimSun"/>
          <w:lang w:eastAsia="zh-CN"/>
        </w:rPr>
        <w:t>the</w:t>
      </w:r>
      <w:r w:rsidR="00037142">
        <w:rPr>
          <w:rFonts w:eastAsia="SimSun"/>
          <w:lang w:eastAsia="zh-CN"/>
        </w:rPr>
        <w:t xml:space="preserve"> configuration</w:t>
      </w:r>
      <w:r w:rsidR="005A7CC0">
        <w:rPr>
          <w:rFonts w:eastAsia="SimSun"/>
          <w:lang w:eastAsia="zh-CN"/>
        </w:rPr>
        <w:t xml:space="preserve"> for</w:t>
      </w:r>
      <w:r w:rsidR="00037142">
        <w:rPr>
          <w:rFonts w:eastAsia="SimSun"/>
          <w:lang w:eastAsia="zh-CN"/>
        </w:rPr>
        <w:t xml:space="preserve"> </w:t>
      </w:r>
      <w:r w:rsidR="00037142" w:rsidRPr="00037142">
        <w:rPr>
          <w:rFonts w:eastAsia="SimSun"/>
          <w:lang w:eastAsia="zh-CN"/>
        </w:rPr>
        <w:t>configured UL transmission with an applicable symbol type</w:t>
      </w:r>
      <w:r w:rsidR="00037142">
        <w:rPr>
          <w:rFonts w:eastAsia="SimSun"/>
          <w:lang w:eastAsia="zh-CN"/>
        </w:rPr>
        <w:t xml:space="preserve"> (i.e., SBFD symbol or non-SBFD symbol).</w:t>
      </w:r>
    </w:p>
    <w:p w14:paraId="49D649AE" w14:textId="4DDB3B69" w:rsidR="00342EF1" w:rsidRDefault="00674382" w:rsidP="00B80898">
      <w:pPr>
        <w:rPr>
          <w:rFonts w:eastAsiaTheme="minorEastAsia"/>
          <w:b/>
          <w:bCs/>
          <w:lang w:val="en-GB" w:eastAsia="ja-JP"/>
        </w:rPr>
      </w:pPr>
      <w:r w:rsidRPr="00674382">
        <w:rPr>
          <w:rFonts w:eastAsiaTheme="minorEastAsia"/>
          <w:b/>
          <w:bCs/>
          <w:lang w:val="en-GB" w:eastAsia="ja-JP"/>
        </w:rPr>
        <w:t xml:space="preserve">Proposal </w:t>
      </w:r>
      <w:r w:rsidR="00311668">
        <w:rPr>
          <w:rFonts w:eastAsiaTheme="minorEastAsia"/>
          <w:b/>
          <w:bCs/>
          <w:lang w:val="en-GB" w:eastAsia="ja-JP"/>
        </w:rPr>
        <w:t>5</w:t>
      </w:r>
      <w:r w:rsidRPr="00674382">
        <w:rPr>
          <w:rFonts w:eastAsiaTheme="minorEastAsia"/>
          <w:b/>
          <w:bCs/>
          <w:lang w:val="en-GB" w:eastAsia="ja-JP"/>
        </w:rPr>
        <w:t>:</w:t>
      </w:r>
      <w:r>
        <w:rPr>
          <w:rFonts w:eastAsiaTheme="minorEastAsia"/>
          <w:b/>
          <w:bCs/>
          <w:lang w:val="en-GB" w:eastAsia="ja-JP"/>
        </w:rPr>
        <w:t xml:space="preserve"> For </w:t>
      </w:r>
      <w:r w:rsidRPr="00674382">
        <w:rPr>
          <w:rFonts w:eastAsiaTheme="minorEastAsia"/>
          <w:b/>
          <w:bCs/>
          <w:lang w:val="en-GB" w:eastAsia="ja-JP"/>
        </w:rPr>
        <w:t>configured UL transmission</w:t>
      </w:r>
      <w:r>
        <w:rPr>
          <w:rFonts w:eastAsiaTheme="minorEastAsia"/>
          <w:b/>
          <w:bCs/>
          <w:lang w:val="en-GB" w:eastAsia="ja-JP"/>
        </w:rPr>
        <w:t xml:space="preserve">, </w:t>
      </w:r>
      <w:r w:rsidR="00995066">
        <w:rPr>
          <w:rFonts w:eastAsiaTheme="minorEastAsia"/>
          <w:b/>
          <w:bCs/>
          <w:lang w:val="en-GB" w:eastAsia="ja-JP"/>
        </w:rPr>
        <w:t xml:space="preserve">support </w:t>
      </w:r>
      <w:r w:rsidR="00541EE3">
        <w:rPr>
          <w:rFonts w:eastAsiaTheme="minorEastAsia"/>
          <w:b/>
          <w:bCs/>
          <w:lang w:val="en-GB" w:eastAsia="ja-JP"/>
        </w:rPr>
        <w:t>s</w:t>
      </w:r>
      <w:r w:rsidR="00541EE3" w:rsidRPr="00541EE3">
        <w:rPr>
          <w:rFonts w:eastAsiaTheme="minorEastAsia"/>
          <w:b/>
          <w:bCs/>
          <w:lang w:val="en-GB" w:eastAsia="ja-JP"/>
        </w:rPr>
        <w:t xml:space="preserve">eparate configurations for SBFD </w:t>
      </w:r>
      <w:r w:rsidR="003D32C6">
        <w:rPr>
          <w:rFonts w:eastAsiaTheme="minorEastAsia"/>
          <w:b/>
          <w:bCs/>
          <w:lang w:val="en-GB" w:eastAsia="ja-JP"/>
        </w:rPr>
        <w:t xml:space="preserve">symbols </w:t>
      </w:r>
      <w:r w:rsidR="00541EE3" w:rsidRPr="00541EE3">
        <w:rPr>
          <w:rFonts w:eastAsiaTheme="minorEastAsia"/>
          <w:b/>
          <w:bCs/>
          <w:lang w:val="en-GB" w:eastAsia="ja-JP"/>
        </w:rPr>
        <w:t xml:space="preserve">and non-SBFD </w:t>
      </w:r>
      <w:r w:rsidR="00541EE3">
        <w:rPr>
          <w:rFonts w:eastAsiaTheme="minorEastAsia"/>
          <w:b/>
          <w:bCs/>
          <w:lang w:val="en-GB" w:eastAsia="ja-JP"/>
        </w:rPr>
        <w:t xml:space="preserve">symbols by </w:t>
      </w:r>
      <w:r w:rsidR="00541EE3" w:rsidRPr="008814BF">
        <w:rPr>
          <w:rFonts w:eastAsiaTheme="minorEastAsia"/>
          <w:b/>
          <w:bCs/>
          <w:lang w:val="en-GB" w:eastAsia="ja-JP"/>
        </w:rPr>
        <w:t>associat</w:t>
      </w:r>
      <w:r w:rsidR="00995066">
        <w:rPr>
          <w:rFonts w:eastAsiaTheme="minorEastAsia"/>
          <w:b/>
          <w:bCs/>
          <w:lang w:val="en-GB" w:eastAsia="ja-JP"/>
        </w:rPr>
        <w:t>ing the configuration</w:t>
      </w:r>
      <w:r w:rsidR="00541EE3" w:rsidRPr="008814BF">
        <w:rPr>
          <w:rFonts w:eastAsiaTheme="minorEastAsia"/>
          <w:b/>
          <w:bCs/>
          <w:lang w:val="en-GB" w:eastAsia="ja-JP"/>
        </w:rPr>
        <w:t xml:space="preserve"> with either SBFD symbol</w:t>
      </w:r>
      <w:r w:rsidR="007470F6">
        <w:rPr>
          <w:rFonts w:eastAsiaTheme="minorEastAsia"/>
          <w:b/>
          <w:bCs/>
          <w:lang w:val="en-GB" w:eastAsia="ja-JP"/>
        </w:rPr>
        <w:t xml:space="preserve"> or </w:t>
      </w:r>
      <w:r w:rsidR="00E81052">
        <w:rPr>
          <w:rFonts w:eastAsiaTheme="minorEastAsia"/>
          <w:b/>
          <w:bCs/>
          <w:lang w:val="en-GB" w:eastAsia="ja-JP"/>
        </w:rPr>
        <w:t>non-SBFD symbol</w:t>
      </w:r>
      <w:r w:rsidR="00541EE3" w:rsidRPr="008814BF">
        <w:rPr>
          <w:rFonts w:eastAsiaTheme="minorEastAsia"/>
          <w:b/>
          <w:bCs/>
          <w:lang w:val="en-GB" w:eastAsia="ja-JP"/>
        </w:rPr>
        <w:t>.</w:t>
      </w:r>
    </w:p>
    <w:p w14:paraId="34276A7E" w14:textId="77777777" w:rsidR="00674382" w:rsidRDefault="00674382" w:rsidP="00B80898">
      <w:pPr>
        <w:rPr>
          <w:rFonts w:eastAsiaTheme="minorEastAsia"/>
          <w:b/>
          <w:bCs/>
          <w:lang w:val="en-GB" w:eastAsia="ja-JP"/>
        </w:rPr>
      </w:pPr>
    </w:p>
    <w:p w14:paraId="4778E6D0" w14:textId="7B03D91E" w:rsidR="00FF4A20" w:rsidRPr="00470688" w:rsidRDefault="00046EF5" w:rsidP="00AB5419">
      <w:pPr>
        <w:pStyle w:val="3"/>
      </w:pPr>
      <w:r>
        <w:t xml:space="preserve">Dynamic </w:t>
      </w:r>
      <w:r w:rsidR="00F720EE">
        <w:t>grant PUSCH</w:t>
      </w:r>
    </w:p>
    <w:p w14:paraId="265E3E80" w14:textId="53E618C1" w:rsidR="007C35B7" w:rsidRDefault="00D96B72" w:rsidP="00B80898">
      <w:pPr>
        <w:rPr>
          <w:lang w:val="en-GB" w:eastAsia="ja-JP"/>
        </w:rPr>
      </w:pPr>
      <w:r>
        <w:rPr>
          <w:lang w:val="en-GB" w:eastAsia="ja-JP"/>
        </w:rPr>
        <w:t xml:space="preserve">For PUSCH </w:t>
      </w:r>
      <w:r w:rsidR="00BC0A32">
        <w:rPr>
          <w:lang w:val="en-GB" w:eastAsia="ja-JP"/>
        </w:rPr>
        <w:t xml:space="preserve">scheduled by dynamic grant, the frequency resources can be allocated dynamically. </w:t>
      </w:r>
      <w:r w:rsidR="00776804">
        <w:rPr>
          <w:lang w:val="en-GB" w:eastAsia="ja-JP"/>
        </w:rPr>
        <w:t xml:space="preserve">However, the available frequency resources for allocation are </w:t>
      </w:r>
      <w:r w:rsidR="00450060">
        <w:rPr>
          <w:lang w:val="en-GB" w:eastAsia="ja-JP"/>
        </w:rPr>
        <w:t xml:space="preserve">different between normal UL symbol and SBFD symbol. </w:t>
      </w:r>
      <w:r w:rsidR="00BC651A">
        <w:rPr>
          <w:lang w:val="en-GB" w:eastAsia="ja-JP"/>
        </w:rPr>
        <w:t xml:space="preserve">Therefore, it is within the scope of the discussion whether the reference resource set can or should be changed </w:t>
      </w:r>
      <w:r w:rsidR="00DE2300">
        <w:rPr>
          <w:lang w:val="en-GB" w:eastAsia="ja-JP"/>
        </w:rPr>
        <w:t xml:space="preserve">between normal UL symbol and SBFD symbol. One possible way is to </w:t>
      </w:r>
      <w:r w:rsidR="00A860EE">
        <w:rPr>
          <w:lang w:val="en-GB" w:eastAsia="ja-JP"/>
        </w:rPr>
        <w:t xml:space="preserve">activate a narrow UL BWP for SBFD symbol and a wide UL BWP for normal UL symbol. The merit would be some savings in the DCI overhead. However, </w:t>
      </w:r>
      <w:r w:rsidR="0009369A">
        <w:rPr>
          <w:lang w:val="en-GB" w:eastAsia="ja-JP"/>
        </w:rPr>
        <w:t xml:space="preserve">the BWP switching would incur considerable switching delay, if the existing BWP switching </w:t>
      </w:r>
      <w:r w:rsidR="00506E6F">
        <w:rPr>
          <w:lang w:val="en-GB" w:eastAsia="ja-JP"/>
        </w:rPr>
        <w:t xml:space="preserve">definition is reused. The relative long switching delay makes such </w:t>
      </w:r>
      <w:r w:rsidR="008133B2">
        <w:rPr>
          <w:lang w:val="en-GB" w:eastAsia="ja-JP"/>
        </w:rPr>
        <w:t xml:space="preserve">scheme unattractive. </w:t>
      </w:r>
      <w:r w:rsidR="006A7520">
        <w:rPr>
          <w:lang w:val="en-GB" w:eastAsia="ja-JP"/>
        </w:rPr>
        <w:t>Therefore, the baseline operation would be</w:t>
      </w:r>
      <w:r w:rsidR="00863CA0">
        <w:rPr>
          <w:lang w:val="en-GB" w:eastAsia="ja-JP"/>
        </w:rPr>
        <w:t xml:space="preserve"> to use the same F</w:t>
      </w:r>
      <w:r w:rsidR="0024589C">
        <w:rPr>
          <w:lang w:val="en-GB" w:eastAsia="ja-JP"/>
        </w:rPr>
        <w:t xml:space="preserve">DRA field between SBFD symbol and normal UL symbol. </w:t>
      </w:r>
      <w:r w:rsidR="00BA54A8">
        <w:rPr>
          <w:lang w:val="en-GB" w:eastAsia="ja-JP"/>
        </w:rPr>
        <w:t xml:space="preserve">This also provides the benefit of </w:t>
      </w:r>
      <w:r w:rsidR="00AF478E">
        <w:rPr>
          <w:lang w:val="en-GB" w:eastAsia="ja-JP"/>
        </w:rPr>
        <w:t xml:space="preserve">reducing the BD complexity. </w:t>
      </w:r>
      <w:r w:rsidR="002C6245">
        <w:rPr>
          <w:lang w:val="en-GB" w:eastAsia="ja-JP"/>
        </w:rPr>
        <w:t>The UL BWP can be set to the whole carrier BW</w:t>
      </w:r>
      <w:r w:rsidR="00FC08F0">
        <w:rPr>
          <w:lang w:val="en-GB" w:eastAsia="ja-JP"/>
        </w:rPr>
        <w:t xml:space="preserve"> that is applicable to both SBFD symbol and normal UL symbol. </w:t>
      </w:r>
      <w:r w:rsidR="005B4035">
        <w:rPr>
          <w:lang w:val="en-GB" w:eastAsia="ja-JP"/>
        </w:rPr>
        <w:t>It is up to the schedul</w:t>
      </w:r>
      <w:r w:rsidR="00F01617">
        <w:rPr>
          <w:lang w:val="en-GB" w:eastAsia="ja-JP"/>
        </w:rPr>
        <w:t xml:space="preserve">ing decision to ensure the allocated frequency resources </w:t>
      </w:r>
      <w:r w:rsidR="00E75715">
        <w:rPr>
          <w:lang w:val="en-GB" w:eastAsia="ja-JP"/>
        </w:rPr>
        <w:t xml:space="preserve">fulfil the restriction of UL subband </w:t>
      </w:r>
      <w:r w:rsidR="008A4120">
        <w:rPr>
          <w:lang w:val="en-GB" w:eastAsia="ja-JP"/>
        </w:rPr>
        <w:t xml:space="preserve">for SBFD symbols. </w:t>
      </w:r>
    </w:p>
    <w:p w14:paraId="3A951C84" w14:textId="64EEDE96" w:rsidR="0036397E" w:rsidRDefault="00663B33" w:rsidP="00B80898">
      <w:pPr>
        <w:rPr>
          <w:lang w:val="en-GB" w:eastAsia="ja-JP"/>
        </w:rPr>
      </w:pPr>
      <w:r>
        <w:rPr>
          <w:lang w:val="en-GB" w:eastAsia="ja-JP"/>
        </w:rPr>
        <w:t xml:space="preserve">In case of PUSCH repetition, since </w:t>
      </w:r>
      <w:r w:rsidR="00252E22">
        <w:rPr>
          <w:lang w:val="en-GB" w:eastAsia="ja-JP"/>
        </w:rPr>
        <w:t>the same FDRA field is applied to all repetition</w:t>
      </w:r>
      <w:r w:rsidR="00EE0086">
        <w:rPr>
          <w:lang w:val="en-GB" w:eastAsia="ja-JP"/>
        </w:rPr>
        <w:t xml:space="preserve">, the resource allocation would </w:t>
      </w:r>
      <w:r w:rsidR="00AD7CEE">
        <w:rPr>
          <w:lang w:val="en-GB" w:eastAsia="ja-JP"/>
        </w:rPr>
        <w:t>have to be</w:t>
      </w:r>
      <w:r w:rsidR="00EE0086">
        <w:rPr>
          <w:lang w:val="en-GB" w:eastAsia="ja-JP"/>
        </w:rPr>
        <w:t xml:space="preserve"> limited to </w:t>
      </w:r>
      <w:r w:rsidR="00BE425D">
        <w:rPr>
          <w:lang w:val="en-GB" w:eastAsia="ja-JP"/>
        </w:rPr>
        <w:t>within UL subband</w:t>
      </w:r>
      <w:r w:rsidR="00AD7CEE">
        <w:rPr>
          <w:lang w:val="en-GB" w:eastAsia="ja-JP"/>
        </w:rPr>
        <w:t xml:space="preserve">, if the repetitions occur over both SBFD symbol and normal UL symbol. </w:t>
      </w:r>
      <w:r w:rsidR="004C7A84">
        <w:rPr>
          <w:lang w:val="en-GB" w:eastAsia="ja-JP"/>
        </w:rPr>
        <w:t>Th</w:t>
      </w:r>
      <w:r w:rsidR="00250A5A">
        <w:rPr>
          <w:lang w:val="en-GB" w:eastAsia="ja-JP"/>
        </w:rPr>
        <w:t>is</w:t>
      </w:r>
      <w:r w:rsidR="0052652B">
        <w:rPr>
          <w:lang w:val="en-GB" w:eastAsia="ja-JP"/>
        </w:rPr>
        <w:t xml:space="preserve"> </w:t>
      </w:r>
      <w:r w:rsidR="00250A5A">
        <w:rPr>
          <w:lang w:val="en-GB" w:eastAsia="ja-JP"/>
        </w:rPr>
        <w:t>operation has the merit of simplicity</w:t>
      </w:r>
      <w:r w:rsidR="0052652B">
        <w:rPr>
          <w:lang w:val="en-GB" w:eastAsia="ja-JP"/>
        </w:rPr>
        <w:t xml:space="preserve">. </w:t>
      </w:r>
      <w:r w:rsidR="003C3FB0">
        <w:rPr>
          <w:lang w:val="en-GB" w:eastAsia="ja-JP"/>
        </w:rPr>
        <w:t xml:space="preserve">Any further optimization </w:t>
      </w:r>
      <w:r w:rsidR="00BE260B">
        <w:rPr>
          <w:lang w:val="en-GB" w:eastAsia="ja-JP"/>
        </w:rPr>
        <w:t xml:space="preserve">for frequency domain allocation needs to be justified. </w:t>
      </w:r>
      <w:r w:rsidR="0052652B">
        <w:rPr>
          <w:lang w:val="en-GB" w:eastAsia="ja-JP"/>
        </w:rPr>
        <w:t xml:space="preserve"> </w:t>
      </w:r>
      <w:r w:rsidR="00EE0086">
        <w:rPr>
          <w:lang w:val="en-GB" w:eastAsia="ja-JP"/>
        </w:rPr>
        <w:t xml:space="preserve"> </w:t>
      </w:r>
    </w:p>
    <w:p w14:paraId="2E8299B5" w14:textId="22D94BAF" w:rsidR="0036397E" w:rsidRDefault="00AA47D8" w:rsidP="00B80898">
      <w:pPr>
        <w:rPr>
          <w:lang w:val="en-GB" w:eastAsia="ja-JP"/>
        </w:rPr>
      </w:pPr>
      <w:r w:rsidRPr="00AB5419">
        <w:rPr>
          <w:rFonts w:eastAsiaTheme="minorEastAsia"/>
          <w:b/>
          <w:bCs/>
          <w:lang w:val="en-GB" w:eastAsia="ja-JP"/>
        </w:rPr>
        <w:t xml:space="preserve">Proposal </w:t>
      </w:r>
      <w:r w:rsidR="00C1206B">
        <w:rPr>
          <w:rFonts w:eastAsiaTheme="minorEastAsia"/>
          <w:b/>
          <w:bCs/>
          <w:lang w:val="en-GB" w:eastAsia="ja-JP"/>
        </w:rPr>
        <w:t>6</w:t>
      </w:r>
      <w:r w:rsidRPr="00AB5419">
        <w:rPr>
          <w:rFonts w:eastAsiaTheme="minorEastAsia"/>
          <w:b/>
          <w:bCs/>
          <w:lang w:val="en-GB" w:eastAsia="ja-JP"/>
        </w:rPr>
        <w:t>:</w:t>
      </w:r>
      <w:r w:rsidRPr="00470688">
        <w:rPr>
          <w:rFonts w:eastAsiaTheme="minorEastAsia"/>
          <w:b/>
          <w:bCs/>
          <w:lang w:val="en-GB" w:eastAsia="ja-JP"/>
        </w:rPr>
        <w:t xml:space="preserve"> </w:t>
      </w:r>
      <w:r w:rsidRPr="00AA47D8">
        <w:rPr>
          <w:rFonts w:eastAsiaTheme="minorEastAsia" w:hint="eastAsia"/>
          <w:b/>
          <w:bCs/>
          <w:lang w:eastAsia="ja-JP"/>
        </w:rPr>
        <w:t>For PUSCH</w:t>
      </w:r>
      <w:r>
        <w:rPr>
          <w:rFonts w:eastAsiaTheme="minorEastAsia"/>
          <w:b/>
          <w:bCs/>
          <w:lang w:eastAsia="ja-JP"/>
        </w:rPr>
        <w:t xml:space="preserve"> with dynamic grant</w:t>
      </w:r>
      <w:r w:rsidRPr="00AA47D8">
        <w:rPr>
          <w:rFonts w:eastAsiaTheme="minorEastAsia" w:hint="eastAsia"/>
          <w:b/>
          <w:bCs/>
          <w:lang w:eastAsia="ja-JP"/>
        </w:rPr>
        <w:t>, the same FDRA is used between SBFD symbol and normal symbol</w:t>
      </w:r>
      <w:r w:rsidRPr="00470688">
        <w:rPr>
          <w:rFonts w:eastAsiaTheme="minorEastAsia"/>
          <w:b/>
          <w:bCs/>
          <w:lang w:val="en-GB" w:eastAsia="ja-JP"/>
        </w:rPr>
        <w:t xml:space="preserve">. </w:t>
      </w:r>
    </w:p>
    <w:p w14:paraId="79BE0F89" w14:textId="43ADAEB0" w:rsidR="0036397E" w:rsidRDefault="0036397E" w:rsidP="00B80898">
      <w:pPr>
        <w:rPr>
          <w:lang w:val="en-GB" w:eastAsia="ja-JP"/>
        </w:rPr>
      </w:pPr>
    </w:p>
    <w:p w14:paraId="3B3AE0A7" w14:textId="20B0AF78" w:rsidR="00B36196" w:rsidRPr="00470688" w:rsidRDefault="00B36196" w:rsidP="00B36196">
      <w:pPr>
        <w:pStyle w:val="3"/>
      </w:pPr>
      <w:r>
        <w:t>PDCCH</w:t>
      </w:r>
    </w:p>
    <w:p w14:paraId="45DC8AF8" w14:textId="77777777" w:rsidR="009A55B4" w:rsidRDefault="009A55B4" w:rsidP="009A55B4">
      <w:pPr>
        <w:rPr>
          <w:lang w:val="en-GB" w:eastAsia="ja-JP"/>
        </w:rPr>
      </w:pPr>
      <w:r w:rsidRPr="00E753E6">
        <w:rPr>
          <w:lang w:eastAsia="ja-JP"/>
        </w:rPr>
        <w:t>In RAN1#11</w:t>
      </w:r>
      <w:r>
        <w:rPr>
          <w:lang w:eastAsia="ja-JP"/>
        </w:rPr>
        <w:t>2bis-e</w:t>
      </w:r>
      <w:r w:rsidRPr="00E753E6">
        <w:rPr>
          <w:lang w:eastAsia="ja-JP"/>
        </w:rPr>
        <w:t>,</w:t>
      </w:r>
      <w:r>
        <w:rPr>
          <w:rFonts w:hint="eastAsia"/>
          <w:lang w:eastAsia="ja-JP"/>
        </w:rPr>
        <w:t xml:space="preserve"> </w:t>
      </w:r>
      <w:r>
        <w:rPr>
          <w:lang w:eastAsia="ja-JP"/>
        </w:rPr>
        <w:t>whether/how to enhance PDCCH for SBFD operation was discussed and the following agreement was made.</w:t>
      </w:r>
    </w:p>
    <w:tbl>
      <w:tblPr>
        <w:tblStyle w:val="afc"/>
        <w:tblW w:w="0" w:type="auto"/>
        <w:tblLook w:val="04A0" w:firstRow="1" w:lastRow="0" w:firstColumn="1" w:lastColumn="0" w:noHBand="0" w:noVBand="1"/>
      </w:tblPr>
      <w:tblGrid>
        <w:gridCol w:w="9630"/>
      </w:tblGrid>
      <w:tr w:rsidR="009A55B4" w14:paraId="3407F570" w14:textId="77777777" w:rsidTr="007D077F">
        <w:tc>
          <w:tcPr>
            <w:tcW w:w="9630" w:type="dxa"/>
          </w:tcPr>
          <w:p w14:paraId="38CC3166" w14:textId="77777777" w:rsidR="009A55B4" w:rsidRPr="00874C09" w:rsidRDefault="009A55B4" w:rsidP="007D077F">
            <w:pPr>
              <w:spacing w:after="0"/>
              <w:rPr>
                <w:rFonts w:eastAsia="Malgun Gothic" w:cs="Times"/>
                <w:bCs/>
                <w:highlight w:val="green"/>
                <w:lang w:eastAsia="zh-CN"/>
              </w:rPr>
            </w:pPr>
            <w:r w:rsidRPr="00874C09">
              <w:rPr>
                <w:rFonts w:eastAsia="Malgun Gothic" w:cs="Times"/>
                <w:bCs/>
                <w:highlight w:val="green"/>
                <w:lang w:eastAsia="zh-CN"/>
              </w:rPr>
              <w:t>Agreement</w:t>
            </w:r>
          </w:p>
          <w:p w14:paraId="0C8FDFB6" w14:textId="77777777" w:rsidR="009A55B4" w:rsidRPr="00874C09" w:rsidRDefault="009A55B4" w:rsidP="007D077F">
            <w:pPr>
              <w:spacing w:after="0"/>
              <w:rPr>
                <w:rFonts w:eastAsia="Microsoft YaHei" w:cs="Times"/>
              </w:rPr>
            </w:pPr>
            <w:r w:rsidRPr="00874C09">
              <w:rPr>
                <w:rFonts w:eastAsia="Microsoft YaHei" w:cs="Times"/>
              </w:rPr>
              <w:t xml:space="preserve">For the case that: </w:t>
            </w:r>
          </w:p>
          <w:p w14:paraId="068611CD" w14:textId="77777777" w:rsidR="009A55B4" w:rsidRPr="00874C09" w:rsidRDefault="009A55B4" w:rsidP="007D077F">
            <w:pPr>
              <w:numPr>
                <w:ilvl w:val="0"/>
                <w:numId w:val="31"/>
              </w:numPr>
              <w:suppressAutoHyphens/>
              <w:spacing w:after="0"/>
              <w:rPr>
                <w:rFonts w:eastAsia="Microsoft YaHei" w:cs="Times"/>
              </w:rPr>
            </w:pPr>
            <w:r w:rsidRPr="00874C09">
              <w:rPr>
                <w:rFonts w:eastAsia="Microsoft YaHei" w:cs="Times"/>
              </w:rPr>
              <w:t>The monitoring periodicity of a search space is such that different monitoring occasions</w:t>
            </w:r>
            <w:r w:rsidRPr="00874C09">
              <w:rPr>
                <w:rFonts w:eastAsia="SimHei" w:cs="Times"/>
              </w:rPr>
              <w:t xml:space="preserve"> </w:t>
            </w:r>
            <w:r w:rsidRPr="00874C09">
              <w:rPr>
                <w:rFonts w:eastAsia="Microsoft YaHei" w:cs="Times"/>
              </w:rPr>
              <w:t>in different slots occur in SBFD and non-SBFD symbols, respectively, and,</w:t>
            </w:r>
          </w:p>
          <w:p w14:paraId="6065A04A" w14:textId="77777777" w:rsidR="009A55B4" w:rsidRPr="00874C09" w:rsidRDefault="009A55B4" w:rsidP="007D077F">
            <w:pPr>
              <w:numPr>
                <w:ilvl w:val="0"/>
                <w:numId w:val="31"/>
              </w:numPr>
              <w:suppressAutoHyphens/>
              <w:spacing w:after="0"/>
              <w:rPr>
                <w:rFonts w:eastAsia="Microsoft YaHei" w:cs="Times"/>
              </w:rPr>
            </w:pPr>
            <w:r w:rsidRPr="00874C09">
              <w:rPr>
                <w:rFonts w:eastAsia="Microsoft YaHei" w:cs="Times"/>
              </w:rPr>
              <w:lastRenderedPageBreak/>
              <w:t>The associated CORESET overlaps the boundary of a DL subband in SBFD symbols</w:t>
            </w:r>
          </w:p>
          <w:p w14:paraId="35C32747" w14:textId="77777777" w:rsidR="009A55B4" w:rsidRPr="00874C09" w:rsidRDefault="009A55B4" w:rsidP="007D077F">
            <w:pPr>
              <w:spacing w:after="0"/>
              <w:rPr>
                <w:rFonts w:eastAsia="Microsoft YaHei" w:cs="Times"/>
              </w:rPr>
            </w:pPr>
            <w:r w:rsidRPr="00874C09">
              <w:rPr>
                <w:rFonts w:eastAsia="Microsoft YaHei" w:cs="Times"/>
              </w:rPr>
              <w:t>Consider whether/how the above could be supported considering both existing tools in specifications on CORESET and search space configuration as well as</w:t>
            </w:r>
            <w:r w:rsidRPr="00874C09">
              <w:rPr>
                <w:rFonts w:eastAsia="Microsoft YaHei" w:cs="Times"/>
                <w:lang w:eastAsia="zh-CN"/>
              </w:rPr>
              <w:t xml:space="preserve"> at least</w:t>
            </w:r>
            <w:r w:rsidRPr="00874C09">
              <w:rPr>
                <w:rFonts w:eastAsia="Microsoft YaHei" w:cs="Times"/>
              </w:rPr>
              <w:t xml:space="preserve"> the following options for potential enhancement for SBFD-aware UE:</w:t>
            </w:r>
          </w:p>
          <w:p w14:paraId="1AC693F4" w14:textId="77777777" w:rsidR="009A55B4" w:rsidRPr="00874C09" w:rsidRDefault="009A55B4" w:rsidP="007D077F">
            <w:pPr>
              <w:numPr>
                <w:ilvl w:val="0"/>
                <w:numId w:val="32"/>
              </w:numPr>
              <w:spacing w:after="0"/>
              <w:rPr>
                <w:rFonts w:eastAsia="Malgun Gothic" w:cs="Times"/>
                <w:lang w:eastAsia="zh-CN"/>
              </w:rPr>
            </w:pPr>
            <w:r w:rsidRPr="00874C09">
              <w:rPr>
                <w:rFonts w:eastAsia="Malgun Gothic" w:cs="Times"/>
                <w:lang w:eastAsia="zh-CN"/>
              </w:rPr>
              <w:t>Option 1: Separate valid resources for the CORESET in SBFD symbols and in non-SBFD symbols.</w:t>
            </w:r>
          </w:p>
          <w:p w14:paraId="4F26C437" w14:textId="77777777" w:rsidR="009A55B4" w:rsidRPr="00874C09" w:rsidRDefault="009A55B4" w:rsidP="007D077F">
            <w:pPr>
              <w:numPr>
                <w:ilvl w:val="0"/>
                <w:numId w:val="32"/>
              </w:numPr>
              <w:spacing w:after="0"/>
              <w:rPr>
                <w:rFonts w:eastAsia="Malgun Gothic" w:cs="Times"/>
                <w:lang w:eastAsia="zh-CN"/>
              </w:rPr>
            </w:pPr>
            <w:r w:rsidRPr="00874C09">
              <w:rPr>
                <w:rFonts w:eastAsia="Malgun Gothic" w:cs="Times"/>
                <w:lang w:eastAsia="zh-CN"/>
              </w:rPr>
              <w:t xml:space="preserve">Option 2: Rate matching or puncturing on the REG(s) of a PDCCH outside DL subband(s). </w:t>
            </w:r>
          </w:p>
          <w:p w14:paraId="1D426440" w14:textId="77777777" w:rsidR="009A55B4" w:rsidRPr="00874C09" w:rsidRDefault="009A55B4" w:rsidP="007D077F">
            <w:pPr>
              <w:numPr>
                <w:ilvl w:val="0"/>
                <w:numId w:val="32"/>
              </w:numPr>
              <w:spacing w:after="0"/>
              <w:rPr>
                <w:rFonts w:eastAsia="Malgun Gothic" w:cs="Times"/>
                <w:lang w:eastAsia="zh-CN"/>
              </w:rPr>
            </w:pPr>
            <w:r w:rsidRPr="00874C09">
              <w:rPr>
                <w:rFonts w:eastAsia="Malgun Gothic" w:cs="Times"/>
                <w:lang w:eastAsia="zh-CN"/>
              </w:rPr>
              <w:t>Option 3: UE does not monitor a PDCCH candidate if it is mapped to one or more REs that overlap with REs outside DL subband(s).</w:t>
            </w:r>
          </w:p>
          <w:p w14:paraId="170C9ECE" w14:textId="77777777" w:rsidR="009A55B4" w:rsidRPr="00874C09" w:rsidRDefault="009A55B4" w:rsidP="007D077F">
            <w:pPr>
              <w:numPr>
                <w:ilvl w:val="0"/>
                <w:numId w:val="32"/>
              </w:numPr>
              <w:spacing w:after="0"/>
              <w:rPr>
                <w:rFonts w:eastAsia="Malgun Gothic" w:cs="Times"/>
                <w:lang w:eastAsia="zh-CN"/>
              </w:rPr>
            </w:pPr>
            <w:r w:rsidRPr="00874C09">
              <w:rPr>
                <w:rFonts w:eastAsia="Malgun Gothic" w:cs="Times"/>
                <w:lang w:eastAsia="zh-CN"/>
              </w:rPr>
              <w:t>Option 4: Drop search space(s) when the associated CORESET overlaps with RBs outside DL subband(s)</w:t>
            </w:r>
          </w:p>
          <w:p w14:paraId="5A34F71D" w14:textId="77777777" w:rsidR="009A55B4" w:rsidRPr="00874C09" w:rsidRDefault="009A55B4" w:rsidP="007D077F">
            <w:pPr>
              <w:numPr>
                <w:ilvl w:val="0"/>
                <w:numId w:val="32"/>
              </w:numPr>
              <w:spacing w:after="0"/>
              <w:rPr>
                <w:rFonts w:eastAsia="Malgun Gothic" w:cs="Times"/>
                <w:lang w:eastAsia="zh-CN"/>
              </w:rPr>
            </w:pPr>
            <w:r w:rsidRPr="00874C09">
              <w:rPr>
                <w:rFonts w:eastAsia="Malgun Gothic" w:cs="Times"/>
                <w:lang w:eastAsia="zh-CN"/>
              </w:rPr>
              <w:t>Option 5: Separate search spaces associated with a CORESET in SBFD and non-SBFD symbols</w:t>
            </w:r>
          </w:p>
          <w:p w14:paraId="3CF8E8CE" w14:textId="77777777" w:rsidR="009A55B4" w:rsidRDefault="009A55B4" w:rsidP="007D077F">
            <w:pPr>
              <w:spacing w:after="120"/>
              <w:rPr>
                <w:lang w:val="en-GB" w:eastAsia="ja-JP"/>
              </w:rPr>
            </w:pPr>
            <w:r w:rsidRPr="00874C09">
              <w:rPr>
                <w:rFonts w:eastAsia="Microsoft YaHei" w:cs="Times"/>
                <w:iCs/>
                <w:lang w:eastAsia="x-none"/>
              </w:rPr>
              <w:t>Note: Whether these enhancements are applicable to only USS or also CSS</w:t>
            </w:r>
            <w:r>
              <w:rPr>
                <w:rFonts w:eastAsia="Malgun Gothic" w:cs="Times"/>
                <w:lang w:eastAsia="x-none"/>
              </w:rPr>
              <w:t>.</w:t>
            </w:r>
          </w:p>
        </w:tc>
      </w:tr>
    </w:tbl>
    <w:p w14:paraId="305F91EB" w14:textId="77777777" w:rsidR="009A55B4" w:rsidRDefault="009A55B4" w:rsidP="009A55B4">
      <w:pPr>
        <w:spacing w:after="0"/>
        <w:rPr>
          <w:lang w:val="en-GB" w:eastAsia="ja-JP"/>
        </w:rPr>
      </w:pPr>
    </w:p>
    <w:p w14:paraId="5D6DC21B" w14:textId="2A547F57" w:rsidR="009A55B4" w:rsidRDefault="009A55B4" w:rsidP="009A55B4">
      <w:pPr>
        <w:rPr>
          <w:lang w:val="en-GB" w:eastAsia="ja-JP"/>
        </w:rPr>
      </w:pPr>
      <w:r w:rsidRPr="00C87614">
        <w:rPr>
          <w:lang w:val="en-GB" w:eastAsia="ja-JP"/>
        </w:rPr>
        <w:t>We are open to discuss whether the existing tools in specifications on CORESET and search space configuration can be applied for SBFD operation.</w:t>
      </w:r>
      <w:r>
        <w:rPr>
          <w:lang w:val="en-GB" w:eastAsia="ja-JP"/>
        </w:rPr>
        <w:t xml:space="preserve"> One potential need of the enhancement can be use with dynamic SBFD. </w:t>
      </w:r>
      <w:r w:rsidRPr="00C87614">
        <w:rPr>
          <w:lang w:val="en-GB" w:eastAsia="ja-JP"/>
        </w:rPr>
        <w:t>If dynamic SBFD is supported, symbol type can be changed dynamically (</w:t>
      </w:r>
      <w:r w:rsidR="00B17F08">
        <w:rPr>
          <w:lang w:val="en-GB" w:eastAsia="ja-JP"/>
        </w:rPr>
        <w:t>then</w:t>
      </w:r>
      <w:r w:rsidRPr="00C87614">
        <w:rPr>
          <w:lang w:val="en-GB" w:eastAsia="ja-JP"/>
        </w:rPr>
        <w:t xml:space="preserve"> available DL resource can be changed</w:t>
      </w:r>
      <w:r w:rsidRPr="004E7438">
        <w:rPr>
          <w:lang w:val="en-GB" w:eastAsia="ja-JP"/>
        </w:rPr>
        <w:t xml:space="preserve"> </w:t>
      </w:r>
      <w:r w:rsidRPr="00C87614">
        <w:rPr>
          <w:lang w:val="en-GB" w:eastAsia="ja-JP"/>
        </w:rPr>
        <w:t xml:space="preserve">dynamically). </w:t>
      </w:r>
      <w:r w:rsidR="00DF4ED6">
        <w:rPr>
          <w:lang w:val="en-GB" w:eastAsia="ja-JP"/>
        </w:rPr>
        <w:t>T</w:t>
      </w:r>
      <w:r w:rsidRPr="00C87614">
        <w:rPr>
          <w:lang w:val="en-GB" w:eastAsia="ja-JP"/>
        </w:rPr>
        <w:t>he current specification</w:t>
      </w:r>
      <w:r w:rsidR="00DF4ED6">
        <w:rPr>
          <w:lang w:val="en-GB" w:eastAsia="ja-JP"/>
        </w:rPr>
        <w:t xml:space="preserve"> does not support </w:t>
      </w:r>
      <w:r w:rsidRPr="00C87614">
        <w:rPr>
          <w:lang w:val="en-GB" w:eastAsia="ja-JP"/>
        </w:rPr>
        <w:t>dynamic change of CORESET resources.</w:t>
      </w:r>
    </w:p>
    <w:p w14:paraId="59BAC028" w14:textId="7BCFA843" w:rsidR="00BE6537" w:rsidRDefault="000744DD" w:rsidP="009A55B4">
      <w:pPr>
        <w:rPr>
          <w:lang w:val="en-GB" w:eastAsia="ja-JP"/>
        </w:rPr>
      </w:pPr>
      <w:r>
        <w:rPr>
          <w:lang w:val="en-GB" w:eastAsia="ja-JP"/>
        </w:rPr>
        <w:t>Even i</w:t>
      </w:r>
      <w:r w:rsidR="009A55B4">
        <w:rPr>
          <w:lang w:val="en-GB" w:eastAsia="ja-JP"/>
        </w:rPr>
        <w:t>f enhancement</w:t>
      </w:r>
      <w:r w:rsidR="00FE1571">
        <w:rPr>
          <w:lang w:val="en-GB" w:eastAsia="ja-JP"/>
        </w:rPr>
        <w:t xml:space="preserve"> of PDCCH</w:t>
      </w:r>
      <w:r w:rsidR="009A55B4">
        <w:rPr>
          <w:lang w:val="en-GB" w:eastAsia="ja-JP"/>
        </w:rPr>
        <w:t xml:space="preserve"> is </w:t>
      </w:r>
      <w:r w:rsidR="00861328">
        <w:rPr>
          <w:lang w:val="en-GB" w:eastAsia="ja-JP"/>
        </w:rPr>
        <w:t>needed</w:t>
      </w:r>
      <w:r w:rsidR="009A55B4">
        <w:rPr>
          <w:lang w:val="en-GB" w:eastAsia="ja-JP"/>
        </w:rPr>
        <w:t xml:space="preserve">, the increase of complexity should be minimized. Option 1 would be straightforward, but </w:t>
      </w:r>
      <w:r w:rsidR="00CF6B4F">
        <w:rPr>
          <w:lang w:val="en-GB" w:eastAsia="ja-JP"/>
        </w:rPr>
        <w:t xml:space="preserve">additional </w:t>
      </w:r>
      <w:r w:rsidR="009A55B4">
        <w:rPr>
          <w:lang w:val="en-GB" w:eastAsia="ja-JP"/>
        </w:rPr>
        <w:t xml:space="preserve">configuration of the CORESET is needed. Option 2 </w:t>
      </w:r>
      <w:r w:rsidR="007B10AA">
        <w:rPr>
          <w:lang w:val="en-GB" w:eastAsia="ja-JP"/>
        </w:rPr>
        <w:t xml:space="preserve">does not need additional </w:t>
      </w:r>
      <w:r w:rsidR="00CF6B4F">
        <w:rPr>
          <w:lang w:val="en-GB" w:eastAsia="ja-JP"/>
        </w:rPr>
        <w:t>configuration</w:t>
      </w:r>
      <w:r w:rsidR="007B10AA">
        <w:rPr>
          <w:lang w:val="en-GB" w:eastAsia="ja-JP"/>
        </w:rPr>
        <w:t xml:space="preserve">, but the functionality for rate matching or puncturing needs to be specified. </w:t>
      </w:r>
      <w:r w:rsidR="00BE6537">
        <w:rPr>
          <w:lang w:val="en-GB" w:eastAsia="ja-JP"/>
        </w:rPr>
        <w:t xml:space="preserve">Option 3 </w:t>
      </w:r>
      <w:r w:rsidR="00F71CD1">
        <w:rPr>
          <w:lang w:val="en-GB" w:eastAsia="ja-JP"/>
        </w:rPr>
        <w:t>can</w:t>
      </w:r>
      <w:r w:rsidR="008B1529">
        <w:rPr>
          <w:lang w:val="en-GB" w:eastAsia="ja-JP"/>
        </w:rPr>
        <w:t xml:space="preserve"> be</w:t>
      </w:r>
      <w:r w:rsidR="00BE6537">
        <w:rPr>
          <w:lang w:val="en-GB" w:eastAsia="ja-JP"/>
        </w:rPr>
        <w:t xml:space="preserve"> </w:t>
      </w:r>
      <w:r w:rsidR="003C0CB8" w:rsidRPr="003C0CB8">
        <w:rPr>
          <w:lang w:val="en-GB" w:eastAsia="ja-JP"/>
        </w:rPr>
        <w:t>achieved</w:t>
      </w:r>
      <w:r w:rsidR="003C0CB8">
        <w:rPr>
          <w:lang w:val="en-GB" w:eastAsia="ja-JP"/>
        </w:rPr>
        <w:t xml:space="preserve"> </w:t>
      </w:r>
      <w:r w:rsidR="009E443C">
        <w:rPr>
          <w:lang w:val="en-GB" w:eastAsia="ja-JP"/>
        </w:rPr>
        <w:t xml:space="preserve">with </w:t>
      </w:r>
      <w:r w:rsidR="00BE6537" w:rsidRPr="00BE6537">
        <w:rPr>
          <w:lang w:val="en-GB" w:eastAsia="ja-JP"/>
        </w:rPr>
        <w:t>low complexity</w:t>
      </w:r>
      <w:r w:rsidR="00BE6537">
        <w:rPr>
          <w:lang w:val="en-GB" w:eastAsia="ja-JP"/>
        </w:rPr>
        <w:t xml:space="preserve">, but interleaved CCE-to-REG mapping </w:t>
      </w:r>
      <w:r w:rsidR="00F8265E">
        <w:rPr>
          <w:lang w:val="en-GB" w:eastAsia="ja-JP"/>
        </w:rPr>
        <w:t>is</w:t>
      </w:r>
      <w:r w:rsidR="00BE6537">
        <w:rPr>
          <w:lang w:val="en-GB" w:eastAsia="ja-JP"/>
        </w:rPr>
        <w:t xml:space="preserve"> difficult to be used. </w:t>
      </w:r>
      <w:r w:rsidR="009817C6">
        <w:rPr>
          <w:lang w:val="en-GB" w:eastAsia="ja-JP"/>
        </w:rPr>
        <w:t xml:space="preserve">Option 4 </w:t>
      </w:r>
      <w:r w:rsidR="00F71CD1">
        <w:rPr>
          <w:lang w:val="en-GB" w:eastAsia="ja-JP"/>
        </w:rPr>
        <w:t xml:space="preserve">can </w:t>
      </w:r>
      <w:r w:rsidR="009817C6">
        <w:rPr>
          <w:lang w:val="en-GB" w:eastAsia="ja-JP"/>
        </w:rPr>
        <w:t xml:space="preserve">also be </w:t>
      </w:r>
      <w:r w:rsidR="002C7DFE" w:rsidRPr="002C7DFE">
        <w:rPr>
          <w:lang w:val="en-GB" w:eastAsia="ja-JP"/>
        </w:rPr>
        <w:t>achieved</w:t>
      </w:r>
      <w:r w:rsidR="007647C8">
        <w:rPr>
          <w:lang w:val="en-GB" w:eastAsia="ja-JP"/>
        </w:rPr>
        <w:t xml:space="preserve"> </w:t>
      </w:r>
      <w:r w:rsidR="009817C6">
        <w:rPr>
          <w:lang w:val="en-GB" w:eastAsia="ja-JP"/>
        </w:rPr>
        <w:t xml:space="preserve">with </w:t>
      </w:r>
      <w:r w:rsidR="009817C6" w:rsidRPr="00BE6537">
        <w:rPr>
          <w:lang w:val="en-GB" w:eastAsia="ja-JP"/>
        </w:rPr>
        <w:t>low complexity</w:t>
      </w:r>
      <w:r w:rsidR="009817C6">
        <w:rPr>
          <w:lang w:val="en-GB" w:eastAsia="ja-JP"/>
        </w:rPr>
        <w:t xml:space="preserve"> </w:t>
      </w:r>
      <w:r w:rsidR="00B930EC">
        <w:rPr>
          <w:lang w:val="en-GB" w:eastAsia="ja-JP"/>
        </w:rPr>
        <w:t xml:space="preserve">by reusing existing search space set dropping rule </w:t>
      </w:r>
      <w:r w:rsidR="009817C6">
        <w:rPr>
          <w:lang w:val="en-GB" w:eastAsia="ja-JP"/>
        </w:rPr>
        <w:t xml:space="preserve">and a similar functionality </w:t>
      </w:r>
      <w:r w:rsidR="00367FF9">
        <w:rPr>
          <w:lang w:val="en-GB" w:eastAsia="ja-JP"/>
        </w:rPr>
        <w:t>to</w:t>
      </w:r>
      <w:r w:rsidR="009817C6">
        <w:rPr>
          <w:lang w:val="en-GB" w:eastAsia="ja-JP"/>
        </w:rPr>
        <w:t xml:space="preserve"> option 1 can be </w:t>
      </w:r>
      <w:r w:rsidR="008B1529">
        <w:rPr>
          <w:lang w:val="en-GB" w:eastAsia="ja-JP"/>
        </w:rPr>
        <w:t>achieved (example is shows in the following)</w:t>
      </w:r>
      <w:r w:rsidR="009817C6">
        <w:rPr>
          <w:lang w:val="en-GB" w:eastAsia="ja-JP"/>
        </w:rPr>
        <w:t xml:space="preserve">. </w:t>
      </w:r>
      <w:r w:rsidR="000072F4">
        <w:rPr>
          <w:lang w:val="en-GB" w:eastAsia="ja-JP"/>
        </w:rPr>
        <w:t>O</w:t>
      </w:r>
      <w:r w:rsidR="009E443C">
        <w:rPr>
          <w:lang w:val="en-GB" w:eastAsia="ja-JP"/>
        </w:rPr>
        <w:t xml:space="preserve">ption 5 </w:t>
      </w:r>
      <w:r w:rsidR="000072F4">
        <w:rPr>
          <w:lang w:val="en-GB" w:eastAsia="ja-JP"/>
        </w:rPr>
        <w:t xml:space="preserve">would need to be clarified </w:t>
      </w:r>
      <w:r w:rsidR="002342F4">
        <w:rPr>
          <w:lang w:val="en-GB" w:eastAsia="ja-JP"/>
        </w:rPr>
        <w:t>since</w:t>
      </w:r>
      <w:r w:rsidR="005D7566">
        <w:rPr>
          <w:lang w:val="en-GB" w:eastAsia="ja-JP"/>
        </w:rPr>
        <w:t xml:space="preserve"> difference </w:t>
      </w:r>
      <w:r w:rsidR="000072F4">
        <w:rPr>
          <w:lang w:val="en-GB" w:eastAsia="ja-JP"/>
        </w:rPr>
        <w:t>from</w:t>
      </w:r>
      <w:r w:rsidR="005D7566">
        <w:rPr>
          <w:lang w:val="en-GB" w:eastAsia="ja-JP"/>
        </w:rPr>
        <w:t xml:space="preserve"> the </w:t>
      </w:r>
      <w:r w:rsidR="005636FE">
        <w:rPr>
          <w:lang w:val="en-GB" w:eastAsia="ja-JP"/>
        </w:rPr>
        <w:t>existing</w:t>
      </w:r>
      <w:r w:rsidR="005D7566">
        <w:rPr>
          <w:lang w:val="en-GB" w:eastAsia="ja-JP"/>
        </w:rPr>
        <w:t xml:space="preserve"> specification</w:t>
      </w:r>
      <w:r w:rsidR="002342F4">
        <w:rPr>
          <w:lang w:val="en-GB" w:eastAsia="ja-JP"/>
        </w:rPr>
        <w:t xml:space="preserve"> </w:t>
      </w:r>
      <w:r w:rsidR="00F8646F">
        <w:rPr>
          <w:lang w:val="en-GB" w:eastAsia="ja-JP"/>
        </w:rPr>
        <w:t>would be unclear</w:t>
      </w:r>
      <w:r w:rsidR="009E443C">
        <w:rPr>
          <w:lang w:val="en-GB" w:eastAsia="ja-JP"/>
        </w:rPr>
        <w:t>.</w:t>
      </w:r>
    </w:p>
    <w:p w14:paraId="01907E2C" w14:textId="376EAA86" w:rsidR="004F4E4D" w:rsidRDefault="00BA3661" w:rsidP="00BA3661">
      <w:pPr>
        <w:rPr>
          <w:lang w:val="en-GB" w:eastAsia="ja-JP"/>
        </w:rPr>
      </w:pPr>
      <w:r w:rsidRPr="00803EF4">
        <w:rPr>
          <w:lang w:eastAsia="ja-JP"/>
        </w:rPr>
        <w:fldChar w:fldCharType="begin"/>
      </w:r>
      <w:r w:rsidRPr="00803EF4">
        <w:rPr>
          <w:lang w:eastAsia="ja-JP"/>
        </w:rPr>
        <w:instrText xml:space="preserve"> REF _Ref127534211 \h </w:instrText>
      </w:r>
      <w:r w:rsidRPr="00803EF4">
        <w:rPr>
          <w:lang w:eastAsia="ja-JP"/>
        </w:rPr>
      </w:r>
      <w:r w:rsidRPr="00803EF4">
        <w:rPr>
          <w:lang w:eastAsia="ja-JP"/>
        </w:rPr>
        <w:fldChar w:fldCharType="separate"/>
      </w:r>
      <w:r w:rsidR="00461A99">
        <w:t xml:space="preserve">Figure </w:t>
      </w:r>
      <w:r w:rsidR="00461A99">
        <w:rPr>
          <w:noProof/>
        </w:rPr>
        <w:t>5</w:t>
      </w:r>
      <w:r w:rsidRPr="00803EF4">
        <w:rPr>
          <w:lang w:eastAsia="ja-JP"/>
        </w:rPr>
        <w:fldChar w:fldCharType="end"/>
      </w:r>
      <w:r w:rsidRPr="00803EF4">
        <w:rPr>
          <w:lang w:eastAsia="ja-JP"/>
        </w:rPr>
        <w:t xml:space="preserve"> </w:t>
      </w:r>
      <w:r w:rsidR="004F4E4D" w:rsidRPr="00803EF4">
        <w:rPr>
          <w:lang w:eastAsia="ja-JP"/>
        </w:rPr>
        <w:t>shows an example</w:t>
      </w:r>
      <w:r w:rsidR="00B21C33" w:rsidRPr="00803EF4">
        <w:rPr>
          <w:lang w:eastAsia="ja-JP"/>
        </w:rPr>
        <w:t xml:space="preserve"> </w:t>
      </w:r>
      <w:r w:rsidR="0016042B" w:rsidRPr="00803EF4">
        <w:rPr>
          <w:lang w:eastAsia="ja-JP"/>
        </w:rPr>
        <w:t xml:space="preserve">on </w:t>
      </w:r>
      <w:r w:rsidR="005636FE" w:rsidRPr="00803EF4">
        <w:rPr>
          <w:lang w:eastAsia="ja-JP"/>
        </w:rPr>
        <w:t xml:space="preserve">how </w:t>
      </w:r>
      <w:r w:rsidR="00B21C33" w:rsidRPr="00803EF4">
        <w:rPr>
          <w:lang w:eastAsia="ja-JP"/>
        </w:rPr>
        <w:t xml:space="preserve">Option </w:t>
      </w:r>
      <w:r w:rsidR="005636FE" w:rsidRPr="00803EF4">
        <w:rPr>
          <w:lang w:eastAsia="ja-JP"/>
        </w:rPr>
        <w:t>4 is applied for SBFD and non-SBFD symbol</w:t>
      </w:r>
      <w:r w:rsidR="00623E9A" w:rsidRPr="00803EF4">
        <w:rPr>
          <w:lang w:eastAsia="ja-JP"/>
        </w:rPr>
        <w:t>s</w:t>
      </w:r>
      <w:r w:rsidR="00CD6FF9" w:rsidRPr="00803EF4">
        <w:rPr>
          <w:lang w:eastAsia="ja-JP"/>
        </w:rPr>
        <w:t xml:space="preserve">. </w:t>
      </w:r>
      <w:r w:rsidR="00B21C33">
        <w:rPr>
          <w:lang w:val="en-GB" w:eastAsia="ja-JP"/>
        </w:rPr>
        <w:t>In this example, two CORESETs are configured. For CORESET#1, SS#1</w:t>
      </w:r>
      <w:r w:rsidR="007826D5">
        <w:rPr>
          <w:lang w:val="en-GB" w:eastAsia="ja-JP"/>
        </w:rPr>
        <w:t xml:space="preserve"> </w:t>
      </w:r>
      <w:r w:rsidR="007826D5">
        <w:rPr>
          <w:bCs/>
          <w:lang w:val="en-GB" w:eastAsia="ja-JP"/>
        </w:rPr>
        <w:t>(search space set #1)</w:t>
      </w:r>
      <w:r w:rsidR="00B21C33">
        <w:rPr>
          <w:lang w:val="en-GB" w:eastAsia="ja-JP"/>
        </w:rPr>
        <w:t xml:space="preserve"> is configured. For CORESET#2, SS#2</w:t>
      </w:r>
      <w:r w:rsidR="007826D5">
        <w:rPr>
          <w:lang w:val="en-GB" w:eastAsia="ja-JP"/>
        </w:rPr>
        <w:t xml:space="preserve"> </w:t>
      </w:r>
      <w:r w:rsidR="007826D5">
        <w:rPr>
          <w:bCs/>
          <w:lang w:val="en-GB" w:eastAsia="ja-JP"/>
        </w:rPr>
        <w:t>(search space set #2)</w:t>
      </w:r>
      <w:r w:rsidR="00B21C33">
        <w:rPr>
          <w:lang w:val="en-GB" w:eastAsia="ja-JP"/>
        </w:rPr>
        <w:t xml:space="preserve"> is configured. The number of BDs for both SS#1 and SS#2 are 44 BDs. The maximum number of BDs is also 44 BDs. The monitoring occasion of SS#1 and SS#2 is the same. For DL slot case (case 1), </w:t>
      </w:r>
      <w:r w:rsidR="008C66D1">
        <w:rPr>
          <w:bCs/>
          <w:lang w:val="en-GB" w:eastAsia="ja-JP"/>
        </w:rPr>
        <w:t>SS#2 (and CORESET#2)</w:t>
      </w:r>
      <w:r w:rsidR="00B21C33">
        <w:rPr>
          <w:lang w:val="en-GB" w:eastAsia="ja-JP"/>
        </w:rPr>
        <w:t xml:space="preserve"> is dropped due to </w:t>
      </w:r>
      <w:r w:rsidR="009B501F">
        <w:rPr>
          <w:lang w:val="en-GB" w:eastAsia="ja-JP"/>
        </w:rPr>
        <w:t xml:space="preserve">search space set </w:t>
      </w:r>
      <w:r w:rsidR="00B21C33">
        <w:rPr>
          <w:lang w:val="en-GB" w:eastAsia="ja-JP"/>
        </w:rPr>
        <w:t>dropping rule because</w:t>
      </w:r>
      <w:r w:rsidR="00DC687F">
        <w:rPr>
          <w:lang w:val="en-GB" w:eastAsia="ja-JP"/>
        </w:rPr>
        <w:t xml:space="preserve"> the</w:t>
      </w:r>
      <w:r w:rsidR="00B21C33">
        <w:rPr>
          <w:lang w:val="en-GB" w:eastAsia="ja-JP"/>
        </w:rPr>
        <w:t xml:space="preserve"> total </w:t>
      </w:r>
      <w:r w:rsidR="008C66D1">
        <w:rPr>
          <w:lang w:val="en-GB" w:eastAsia="ja-JP"/>
        </w:rPr>
        <w:t xml:space="preserve">number of </w:t>
      </w:r>
      <w:r w:rsidR="00B21C33">
        <w:rPr>
          <w:lang w:val="en-GB" w:eastAsia="ja-JP"/>
        </w:rPr>
        <w:t xml:space="preserve">BDs of two CORESETs exceed the </w:t>
      </w:r>
      <w:r w:rsidR="00CC4328">
        <w:rPr>
          <w:lang w:val="en-GB" w:eastAsia="ja-JP"/>
        </w:rPr>
        <w:t>limit</w:t>
      </w:r>
      <w:r w:rsidR="00B21C33">
        <w:rPr>
          <w:lang w:val="en-GB" w:eastAsia="ja-JP"/>
        </w:rPr>
        <w:t xml:space="preserve"> and SS ID</w:t>
      </w:r>
      <w:r w:rsidR="00DD7DA8">
        <w:rPr>
          <w:lang w:val="en-GB" w:eastAsia="ja-JP"/>
        </w:rPr>
        <w:t xml:space="preserve"> of </w:t>
      </w:r>
      <w:r w:rsidR="00B21C33">
        <w:rPr>
          <w:lang w:val="en-GB" w:eastAsia="ja-JP"/>
        </w:rPr>
        <w:t xml:space="preserve">SS#2 is higher than SS#1. For SBFD slot case (case 2), </w:t>
      </w:r>
      <w:r w:rsidR="00F62FDC">
        <w:rPr>
          <w:bCs/>
          <w:lang w:val="en-GB" w:eastAsia="ja-JP"/>
        </w:rPr>
        <w:t xml:space="preserve">SS#1 (and </w:t>
      </w:r>
      <w:r w:rsidR="00F62FDC">
        <w:rPr>
          <w:bCs/>
          <w:lang w:eastAsia="ja-JP"/>
        </w:rPr>
        <w:t xml:space="preserve">CORESET#1) </w:t>
      </w:r>
      <w:r w:rsidR="00B21C33" w:rsidRPr="00552886">
        <w:rPr>
          <w:lang w:eastAsia="ja-JP"/>
        </w:rPr>
        <w:t>is dropped due to overlapping with UL subband</w:t>
      </w:r>
      <w:r w:rsidR="00B21C33">
        <w:rPr>
          <w:lang w:eastAsia="ja-JP"/>
        </w:rPr>
        <w:t>.</w:t>
      </w:r>
      <w:r w:rsidR="00324331">
        <w:rPr>
          <w:lang w:val="en-GB" w:eastAsia="ja-JP"/>
        </w:rPr>
        <w:t xml:space="preserve"> </w:t>
      </w:r>
      <w:r w:rsidR="00324331">
        <w:rPr>
          <w:bCs/>
          <w:lang w:eastAsia="ja-JP"/>
        </w:rPr>
        <w:t xml:space="preserve">Thus, a similar functionality to option 1 can be </w:t>
      </w:r>
      <w:r w:rsidR="00B75411">
        <w:rPr>
          <w:bCs/>
          <w:lang w:eastAsia="ja-JP"/>
        </w:rPr>
        <w:t>achieved</w:t>
      </w:r>
      <w:r w:rsidR="00324331">
        <w:rPr>
          <w:bCs/>
          <w:lang w:eastAsia="ja-JP"/>
        </w:rPr>
        <w:t xml:space="preserve"> without additional </w:t>
      </w:r>
      <w:r w:rsidR="00B37954">
        <w:rPr>
          <w:rFonts w:hint="eastAsia"/>
          <w:bCs/>
          <w:lang w:eastAsia="ja-JP"/>
        </w:rPr>
        <w:t>s</w:t>
      </w:r>
      <w:r w:rsidR="00B37954">
        <w:rPr>
          <w:bCs/>
          <w:lang w:eastAsia="ja-JP"/>
        </w:rPr>
        <w:t>ignaling/</w:t>
      </w:r>
      <w:r w:rsidR="00B17AAB" w:rsidRPr="00BE6537">
        <w:rPr>
          <w:lang w:val="en-GB" w:eastAsia="ja-JP"/>
        </w:rPr>
        <w:t>complexity</w:t>
      </w:r>
      <w:r w:rsidR="00324331">
        <w:rPr>
          <w:bCs/>
          <w:lang w:eastAsia="ja-JP"/>
        </w:rPr>
        <w:t>.</w:t>
      </w:r>
    </w:p>
    <w:p w14:paraId="57F1DECE" w14:textId="05394EE5" w:rsidR="0021224A" w:rsidRDefault="0021224A" w:rsidP="00BA3661">
      <w:r w:rsidRPr="00002E6E">
        <w:rPr>
          <w:rFonts w:eastAsiaTheme="minorEastAsia"/>
          <w:b/>
          <w:bCs/>
          <w:lang w:val="en-GB" w:eastAsia="ja-JP"/>
        </w:rPr>
        <w:t xml:space="preserve">Proposal </w:t>
      </w:r>
      <w:r w:rsidR="00D3622A">
        <w:rPr>
          <w:rFonts w:eastAsiaTheme="minorEastAsia"/>
          <w:b/>
          <w:bCs/>
          <w:lang w:val="en-GB" w:eastAsia="ja-JP"/>
        </w:rPr>
        <w:t>7</w:t>
      </w:r>
      <w:r w:rsidRPr="00002E6E">
        <w:rPr>
          <w:rFonts w:eastAsiaTheme="minorEastAsia"/>
          <w:b/>
          <w:bCs/>
          <w:lang w:val="en-GB" w:eastAsia="ja-JP"/>
        </w:rPr>
        <w:t xml:space="preserve">: </w:t>
      </w:r>
      <w:r w:rsidR="003D1B9E">
        <w:rPr>
          <w:rFonts w:eastAsiaTheme="minorEastAsia"/>
          <w:b/>
          <w:bCs/>
          <w:lang w:val="en-GB" w:eastAsia="ja-JP"/>
        </w:rPr>
        <w:t>I</w:t>
      </w:r>
      <w:r w:rsidR="00FE7562" w:rsidRPr="00FE7562">
        <w:rPr>
          <w:rFonts w:eastAsiaTheme="minorEastAsia"/>
          <w:b/>
          <w:bCs/>
          <w:lang w:val="en-GB" w:eastAsia="ja-JP"/>
        </w:rPr>
        <w:t xml:space="preserve">f enhancement is </w:t>
      </w:r>
      <w:r w:rsidR="00FE7562">
        <w:rPr>
          <w:rFonts w:eastAsiaTheme="minorEastAsia"/>
          <w:b/>
          <w:bCs/>
          <w:lang w:val="en-GB" w:eastAsia="ja-JP"/>
        </w:rPr>
        <w:t>required</w:t>
      </w:r>
      <w:r w:rsidR="003D1B9E">
        <w:rPr>
          <w:rFonts w:eastAsiaTheme="minorEastAsia"/>
          <w:b/>
          <w:bCs/>
          <w:lang w:val="en-GB" w:eastAsia="ja-JP"/>
        </w:rPr>
        <w:t xml:space="preserve"> f</w:t>
      </w:r>
      <w:r w:rsidR="003D1B9E" w:rsidRPr="003D1B9E">
        <w:rPr>
          <w:rFonts w:eastAsiaTheme="minorEastAsia"/>
          <w:b/>
          <w:bCs/>
          <w:lang w:val="en-GB" w:eastAsia="ja-JP"/>
        </w:rPr>
        <w:t xml:space="preserve">or PDCCH </w:t>
      </w:r>
      <w:r w:rsidR="00FF4AF1">
        <w:rPr>
          <w:rFonts w:eastAsiaTheme="minorEastAsia"/>
          <w:b/>
          <w:bCs/>
          <w:lang w:val="en-GB" w:eastAsia="ja-JP"/>
        </w:rPr>
        <w:t>transmission/reception</w:t>
      </w:r>
      <w:r w:rsidR="00FE7562" w:rsidRPr="00FE7562">
        <w:rPr>
          <w:rFonts w:eastAsiaTheme="minorEastAsia"/>
          <w:b/>
          <w:bCs/>
          <w:lang w:val="en-GB" w:eastAsia="ja-JP"/>
        </w:rPr>
        <w:t xml:space="preserve">, support </w:t>
      </w:r>
      <w:r w:rsidR="00386A6A">
        <w:rPr>
          <w:rFonts w:eastAsiaTheme="minorEastAsia"/>
          <w:b/>
          <w:bCs/>
          <w:lang w:val="en-GB" w:eastAsia="ja-JP"/>
        </w:rPr>
        <w:t>O</w:t>
      </w:r>
      <w:r w:rsidR="00386A6A" w:rsidRPr="00FE7562">
        <w:rPr>
          <w:rFonts w:eastAsiaTheme="minorEastAsia"/>
          <w:b/>
          <w:bCs/>
          <w:lang w:val="en-GB" w:eastAsia="ja-JP"/>
        </w:rPr>
        <w:t xml:space="preserve">ption </w:t>
      </w:r>
      <w:r w:rsidR="00FE7562" w:rsidRPr="00FE7562">
        <w:rPr>
          <w:rFonts w:eastAsiaTheme="minorEastAsia"/>
          <w:b/>
          <w:bCs/>
          <w:lang w:val="en-GB" w:eastAsia="ja-JP"/>
        </w:rPr>
        <w:t>4</w:t>
      </w:r>
      <w:r w:rsidR="00386A6A">
        <w:rPr>
          <w:rFonts w:eastAsiaTheme="minorEastAsia"/>
          <w:b/>
          <w:bCs/>
          <w:lang w:val="en-GB" w:eastAsia="ja-JP"/>
        </w:rPr>
        <w:t xml:space="preserve"> (</w:t>
      </w:r>
      <w:r w:rsidR="00386A6A" w:rsidRPr="00386A6A">
        <w:rPr>
          <w:rFonts w:eastAsiaTheme="minorEastAsia"/>
          <w:b/>
          <w:bCs/>
          <w:lang w:val="en-GB" w:eastAsia="ja-JP"/>
        </w:rPr>
        <w:t>Drop search space(s) when the associated CORESET overlaps with RBs outside DL subband(s)</w:t>
      </w:r>
      <w:r w:rsidR="00386A6A">
        <w:rPr>
          <w:rFonts w:eastAsiaTheme="minorEastAsia"/>
          <w:b/>
          <w:bCs/>
          <w:lang w:val="en-GB" w:eastAsia="ja-JP"/>
        </w:rPr>
        <w:t>)</w:t>
      </w:r>
      <w:r w:rsidR="00FE7562" w:rsidRPr="00FE7562">
        <w:rPr>
          <w:rFonts w:eastAsiaTheme="minorEastAsia"/>
          <w:b/>
          <w:bCs/>
          <w:lang w:val="en-GB" w:eastAsia="ja-JP"/>
        </w:rPr>
        <w:t>.</w:t>
      </w:r>
    </w:p>
    <w:p w14:paraId="0659CE85" w14:textId="0BDE76D1" w:rsidR="002566DF" w:rsidRDefault="00D41206" w:rsidP="004F4E4D">
      <w:pPr>
        <w:pStyle w:val="ac"/>
        <w:jc w:val="center"/>
      </w:pPr>
      <w:bookmarkStart w:id="3" w:name="_Ref127447759"/>
      <w:r w:rsidRPr="00D41206">
        <w:rPr>
          <w:noProof/>
        </w:rPr>
        <w:drawing>
          <wp:inline distT="0" distB="0" distL="0" distR="0" wp14:anchorId="100C22B9" wp14:editId="011CFDA0">
            <wp:extent cx="3571759" cy="1986328"/>
            <wp:effectExtent l="0" t="0" r="0" b="0"/>
            <wp:docPr id="3" name="グラフィックス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extLst>
                        <a:ext uri="{96DAC541-7B7A-43D3-8B79-37D633B846F1}">
                          <asvg:svgBlip xmlns:asvg="http://schemas.microsoft.com/office/drawing/2016/SVG/main" r:embed="rId18"/>
                        </a:ext>
                      </a:extLst>
                    </a:blip>
                    <a:stretch>
                      <a:fillRect/>
                    </a:stretch>
                  </pic:blipFill>
                  <pic:spPr>
                    <a:xfrm>
                      <a:off x="0" y="0"/>
                      <a:ext cx="3573110" cy="1987079"/>
                    </a:xfrm>
                    <a:prstGeom prst="rect">
                      <a:avLst/>
                    </a:prstGeom>
                  </pic:spPr>
                </pic:pic>
              </a:graphicData>
            </a:graphic>
          </wp:inline>
        </w:drawing>
      </w:r>
    </w:p>
    <w:p w14:paraId="4B01AE37" w14:textId="572075F4" w:rsidR="004D7F17" w:rsidRDefault="004F4E4D" w:rsidP="00002E6E">
      <w:pPr>
        <w:pStyle w:val="ac"/>
        <w:jc w:val="center"/>
        <w:rPr>
          <w:lang w:val="en-GB" w:eastAsia="ja-JP"/>
        </w:rPr>
      </w:pPr>
      <w:bookmarkStart w:id="4" w:name="_Ref127534211"/>
      <w:r>
        <w:t xml:space="preserve">Figure </w:t>
      </w:r>
      <w:fldSimple w:instr=" SEQ Figure \* ARABIC ">
        <w:r w:rsidR="00461A99">
          <w:rPr>
            <w:noProof/>
          </w:rPr>
          <w:t>5</w:t>
        </w:r>
      </w:fldSimple>
      <w:bookmarkEnd w:id="3"/>
      <w:bookmarkEnd w:id="4"/>
      <w:r w:rsidR="003A6AC3">
        <w:t xml:space="preserve">  </w:t>
      </w:r>
      <w:r w:rsidR="00623E9A">
        <w:t xml:space="preserve">Example of </w:t>
      </w:r>
      <w:r w:rsidR="003A6AC3">
        <w:rPr>
          <w:lang w:val="en-GB" w:eastAsia="ja-JP"/>
        </w:rPr>
        <w:t xml:space="preserve">Option </w:t>
      </w:r>
      <w:r w:rsidR="00623E9A">
        <w:rPr>
          <w:lang w:val="en-GB" w:eastAsia="ja-JP"/>
        </w:rPr>
        <w:t>4</w:t>
      </w:r>
    </w:p>
    <w:p w14:paraId="098C9CAF" w14:textId="77777777" w:rsidR="004F4E4D" w:rsidRDefault="004F4E4D" w:rsidP="00B80898">
      <w:pPr>
        <w:rPr>
          <w:lang w:val="en-GB" w:eastAsia="ja-JP"/>
        </w:rPr>
      </w:pPr>
    </w:p>
    <w:p w14:paraId="038EA00B" w14:textId="09F9ED82" w:rsidR="00B36196" w:rsidRPr="00470688" w:rsidRDefault="00B36196" w:rsidP="00B36196">
      <w:pPr>
        <w:pStyle w:val="3"/>
      </w:pPr>
      <w:r>
        <w:t>PDSCH</w:t>
      </w:r>
      <w:r w:rsidR="00806E61">
        <w:rPr>
          <w:rFonts w:hint="eastAsia"/>
        </w:rPr>
        <w:t xml:space="preserve"> </w:t>
      </w:r>
    </w:p>
    <w:p w14:paraId="4127614C" w14:textId="31A981E4" w:rsidR="003537C3" w:rsidRPr="00470688" w:rsidRDefault="003537C3" w:rsidP="00C1206B">
      <w:pPr>
        <w:pStyle w:val="4"/>
      </w:pPr>
      <w:r>
        <w:t>PRG</w:t>
      </w:r>
      <w:r>
        <w:rPr>
          <w:rFonts w:hint="eastAsia"/>
        </w:rPr>
        <w:t xml:space="preserve"> </w:t>
      </w:r>
    </w:p>
    <w:p w14:paraId="5A5891BC" w14:textId="77777777" w:rsidR="00E06389" w:rsidRDefault="00E06389" w:rsidP="00E06389">
      <w:pPr>
        <w:spacing w:before="120"/>
        <w:rPr>
          <w:rFonts w:eastAsiaTheme="minorEastAsia"/>
          <w:lang w:val="en-GB" w:eastAsia="ja-JP"/>
        </w:rPr>
      </w:pPr>
      <w:r>
        <w:rPr>
          <w:rFonts w:eastAsiaTheme="minorEastAsia" w:hint="eastAsia"/>
          <w:lang w:val="en-GB" w:eastAsia="ja-JP"/>
        </w:rPr>
        <w:t>I</w:t>
      </w:r>
      <w:r>
        <w:rPr>
          <w:rFonts w:eastAsiaTheme="minorEastAsia"/>
          <w:lang w:val="en-GB" w:eastAsia="ja-JP"/>
        </w:rPr>
        <w:t>n RAN1#112bis-e, the following agreement was made for wideband PRG.</w:t>
      </w:r>
    </w:p>
    <w:tbl>
      <w:tblPr>
        <w:tblStyle w:val="afc"/>
        <w:tblW w:w="0" w:type="auto"/>
        <w:tblLook w:val="04A0" w:firstRow="1" w:lastRow="0" w:firstColumn="1" w:lastColumn="0" w:noHBand="0" w:noVBand="1"/>
      </w:tblPr>
      <w:tblGrid>
        <w:gridCol w:w="9630"/>
      </w:tblGrid>
      <w:tr w:rsidR="00E06389" w14:paraId="6CC26F59" w14:textId="77777777" w:rsidTr="0078556F">
        <w:tc>
          <w:tcPr>
            <w:tcW w:w="9630" w:type="dxa"/>
          </w:tcPr>
          <w:p w14:paraId="12DBCEA3" w14:textId="77777777" w:rsidR="00E06389" w:rsidRPr="00614748" w:rsidRDefault="00E06389" w:rsidP="0078556F">
            <w:pPr>
              <w:spacing w:after="0"/>
              <w:rPr>
                <w:rFonts w:eastAsia="Malgun Gothic"/>
                <w:b/>
                <w:highlight w:val="green"/>
                <w:lang w:eastAsia="zh-CN"/>
              </w:rPr>
            </w:pPr>
            <w:r w:rsidRPr="00614748">
              <w:rPr>
                <w:rFonts w:eastAsia="Malgun Gothic"/>
                <w:b/>
                <w:highlight w:val="green"/>
                <w:lang w:eastAsia="zh-CN"/>
              </w:rPr>
              <w:t>Agreement</w:t>
            </w:r>
          </w:p>
          <w:p w14:paraId="159307ED" w14:textId="77777777" w:rsidR="00E06389" w:rsidRPr="009E5FE7" w:rsidRDefault="00E06389" w:rsidP="0078556F">
            <w:pPr>
              <w:pStyle w:val="aff4"/>
              <w:tabs>
                <w:tab w:val="left" w:pos="0"/>
              </w:tabs>
              <w:spacing w:after="0"/>
              <w:ind w:leftChars="0" w:left="0"/>
              <w:rPr>
                <w:rFonts w:eastAsia="Malgun Gothic"/>
              </w:rPr>
            </w:pPr>
            <w:r w:rsidRPr="009E5FE7">
              <w:rPr>
                <w:rFonts w:eastAsia="Malgun Gothic"/>
              </w:rPr>
              <w:lastRenderedPageBreak/>
              <w:t>If PRG is determined as wideband, study the following two options:</w:t>
            </w:r>
          </w:p>
          <w:p w14:paraId="44A3D83A" w14:textId="77777777" w:rsidR="00E06389" w:rsidRPr="009E5FE7" w:rsidRDefault="00E06389" w:rsidP="0078556F">
            <w:pPr>
              <w:pStyle w:val="2a"/>
              <w:numPr>
                <w:ilvl w:val="0"/>
                <w:numId w:val="36"/>
              </w:numPr>
              <w:spacing w:after="0" w:line="259" w:lineRule="auto"/>
              <w:jc w:val="both"/>
              <w:rPr>
                <w:rFonts w:ascii="Times New Roman" w:eastAsia="Malgun Gothic" w:hAnsi="Times New Roman" w:cs="Times New Roman"/>
                <w:lang w:eastAsia="zh-CN"/>
              </w:rPr>
            </w:pPr>
            <w:r w:rsidRPr="009E5FE7">
              <w:rPr>
                <w:rFonts w:ascii="Times New Roman" w:eastAsia="Malgun Gothic" w:hAnsi="Times New Roman" w:cs="Times New Roman"/>
                <w:lang w:eastAsia="zh-CN"/>
              </w:rPr>
              <w:t>Option 1: non-contiguous frequency resources across two DL subbands but contiguous frequency resource within each DL subband can be allocated</w:t>
            </w:r>
          </w:p>
          <w:p w14:paraId="5CAB0DB3" w14:textId="77777777" w:rsidR="00E06389" w:rsidRPr="009E5FE7" w:rsidRDefault="00E06389" w:rsidP="0078556F">
            <w:pPr>
              <w:pStyle w:val="2a"/>
              <w:numPr>
                <w:ilvl w:val="1"/>
                <w:numId w:val="36"/>
              </w:numPr>
              <w:spacing w:after="0" w:line="259" w:lineRule="auto"/>
              <w:jc w:val="both"/>
              <w:rPr>
                <w:rFonts w:ascii="Times New Roman" w:eastAsia="Malgun Gothic" w:hAnsi="Times New Roman" w:cs="Times New Roman"/>
                <w:lang w:eastAsia="zh-CN"/>
              </w:rPr>
            </w:pPr>
            <w:r>
              <w:rPr>
                <w:rFonts w:ascii="Times New Roman" w:eastAsia="Malgun Gothic" w:hAnsi="Times New Roman" w:cs="Times New Roman"/>
                <w:lang w:eastAsia="zh-CN"/>
              </w:rPr>
              <w:t>FFS: Precoding assumption within and across the two DL subbands</w:t>
            </w:r>
          </w:p>
          <w:p w14:paraId="293963B2" w14:textId="77777777" w:rsidR="00E06389" w:rsidRPr="000A2BCB" w:rsidRDefault="00E06389" w:rsidP="0078556F">
            <w:pPr>
              <w:pStyle w:val="2a"/>
              <w:numPr>
                <w:ilvl w:val="0"/>
                <w:numId w:val="36"/>
              </w:numPr>
              <w:spacing w:after="0" w:line="259" w:lineRule="auto"/>
              <w:jc w:val="both"/>
              <w:rPr>
                <w:rFonts w:ascii="Times New Roman" w:eastAsia="Malgun Gothic" w:hAnsi="Times New Roman" w:cs="Times New Roman"/>
                <w:lang w:eastAsia="zh-CN"/>
              </w:rPr>
            </w:pPr>
            <w:r w:rsidRPr="009E5FE7">
              <w:rPr>
                <w:rFonts w:ascii="Times New Roman" w:eastAsia="Malgun Gothic" w:hAnsi="Times New Roman" w:cs="Times New Roman"/>
                <w:lang w:eastAsia="zh-CN"/>
              </w:rPr>
              <w:t>Option 2: non-contiguous frequency resources across two DL subbands cannot be allocated</w:t>
            </w:r>
          </w:p>
          <w:p w14:paraId="19B26B13" w14:textId="77777777" w:rsidR="00E06389" w:rsidRDefault="00E06389" w:rsidP="0078556F">
            <w:pPr>
              <w:spacing w:after="120"/>
              <w:rPr>
                <w:rFonts w:eastAsiaTheme="minorEastAsia"/>
                <w:lang w:val="en-GB" w:eastAsia="ja-JP"/>
              </w:rPr>
            </w:pPr>
            <w:r>
              <w:rPr>
                <w:lang w:eastAsia="ko-KR"/>
              </w:rPr>
              <w:t>The study should include the impact on UE complexity</w:t>
            </w:r>
          </w:p>
        </w:tc>
      </w:tr>
    </w:tbl>
    <w:p w14:paraId="7A36930D" w14:textId="77777777" w:rsidR="00E06389" w:rsidRDefault="00E06389" w:rsidP="00E06389">
      <w:pPr>
        <w:spacing w:after="0"/>
        <w:rPr>
          <w:rFonts w:eastAsiaTheme="minorEastAsia"/>
          <w:lang w:val="en-GB" w:eastAsia="ja-JP"/>
        </w:rPr>
      </w:pPr>
    </w:p>
    <w:p w14:paraId="1AB46551" w14:textId="04B3E826" w:rsidR="00E06389" w:rsidRDefault="00E06389" w:rsidP="00C1206B">
      <w:pPr>
        <w:rPr>
          <w:rFonts w:eastAsiaTheme="minorEastAsia"/>
          <w:lang w:val="en-GB" w:eastAsia="ja-JP"/>
        </w:rPr>
      </w:pPr>
      <w:r w:rsidRPr="000A2BCB">
        <w:rPr>
          <w:rFonts w:eastAsiaTheme="minorEastAsia"/>
          <w:lang w:val="en-GB" w:eastAsia="ja-JP"/>
        </w:rPr>
        <w:t>According to the discussion in RAN1#112bis-e, option 1 may increases UE complexity (e.g., double complexity of channel estimation and associated parameter estimation)</w:t>
      </w:r>
      <w:r>
        <w:rPr>
          <w:rFonts w:eastAsiaTheme="minorEastAsia"/>
          <w:lang w:val="en-GB" w:eastAsia="ja-JP"/>
        </w:rPr>
        <w:t>. However, w</w:t>
      </w:r>
      <w:r w:rsidRPr="000A2BCB">
        <w:rPr>
          <w:rFonts w:eastAsiaTheme="minorEastAsia"/>
          <w:lang w:val="en-GB" w:eastAsia="ja-JP"/>
        </w:rPr>
        <w:t xml:space="preserve">e think that the complexity of </w:t>
      </w:r>
      <w:r w:rsidR="00B106AC">
        <w:rPr>
          <w:rFonts w:eastAsiaTheme="minorEastAsia"/>
          <w:lang w:val="en-GB" w:eastAsia="ja-JP"/>
        </w:rPr>
        <w:t>O</w:t>
      </w:r>
      <w:r w:rsidRPr="000A2BCB">
        <w:rPr>
          <w:rFonts w:eastAsiaTheme="minorEastAsia"/>
          <w:lang w:val="en-GB" w:eastAsia="ja-JP"/>
        </w:rPr>
        <w:t>ption 1 would be similar to non-wideband PRG case.</w:t>
      </w:r>
      <w:r>
        <w:rPr>
          <w:rFonts w:eastAsiaTheme="minorEastAsia"/>
          <w:lang w:val="en-GB" w:eastAsia="ja-JP"/>
        </w:rPr>
        <w:t xml:space="preserve"> </w:t>
      </w:r>
      <w:r w:rsidRPr="000A2BCB">
        <w:rPr>
          <w:rFonts w:eastAsiaTheme="minorEastAsia"/>
          <w:lang w:val="en-GB" w:eastAsia="ja-JP"/>
        </w:rPr>
        <w:t>For the current specification, support of non-wideband PRG is mandatory.</w:t>
      </w:r>
      <w:r>
        <w:rPr>
          <w:rFonts w:eastAsiaTheme="minorEastAsia"/>
          <w:lang w:val="en-GB" w:eastAsia="ja-JP"/>
        </w:rPr>
        <w:t xml:space="preserve"> </w:t>
      </w:r>
      <w:r>
        <w:rPr>
          <w:rFonts w:eastAsiaTheme="minorEastAsia"/>
          <w:lang w:val="en-GB" w:eastAsia="ja-JP"/>
        </w:rPr>
        <w:fldChar w:fldCharType="begin"/>
      </w:r>
      <w:r>
        <w:rPr>
          <w:rFonts w:eastAsiaTheme="minorEastAsia"/>
          <w:lang w:val="en-GB" w:eastAsia="ja-JP"/>
        </w:rPr>
        <w:instrText xml:space="preserve"> REF _Ref134804204 \h </w:instrText>
      </w:r>
      <w:r>
        <w:rPr>
          <w:rFonts w:eastAsiaTheme="minorEastAsia"/>
          <w:lang w:val="en-GB" w:eastAsia="ja-JP"/>
        </w:rPr>
      </w:r>
      <w:r>
        <w:rPr>
          <w:rFonts w:eastAsiaTheme="minorEastAsia"/>
          <w:lang w:val="en-GB" w:eastAsia="ja-JP"/>
        </w:rPr>
        <w:fldChar w:fldCharType="separate"/>
      </w:r>
      <w:r>
        <w:t xml:space="preserve">Table </w:t>
      </w:r>
      <w:r>
        <w:rPr>
          <w:noProof/>
        </w:rPr>
        <w:t>1</w:t>
      </w:r>
      <w:r>
        <w:rPr>
          <w:rFonts w:eastAsiaTheme="minorEastAsia"/>
          <w:lang w:val="en-GB" w:eastAsia="ja-JP"/>
        </w:rPr>
        <w:fldChar w:fldCharType="end"/>
      </w:r>
      <w:r>
        <w:rPr>
          <w:rFonts w:eastAsiaTheme="minorEastAsia"/>
          <w:lang w:val="en-GB" w:eastAsia="ja-JP"/>
        </w:rPr>
        <w:t xml:space="preserve"> shows </w:t>
      </w:r>
      <w:r w:rsidRPr="000A2BCB">
        <w:rPr>
          <w:rFonts w:eastAsiaTheme="minorEastAsia"/>
          <w:lang w:val="en-GB" w:eastAsia="ja-JP"/>
        </w:rPr>
        <w:t>FG 2-11</w:t>
      </w:r>
      <w:r w:rsidR="00F022D7">
        <w:rPr>
          <w:rFonts w:eastAsiaTheme="minorEastAsia"/>
          <w:lang w:val="en-GB" w:eastAsia="ja-JP"/>
        </w:rPr>
        <w:t xml:space="preserve"> in UE feature list </w:t>
      </w:r>
      <w:r>
        <w:rPr>
          <w:rFonts w:eastAsiaTheme="minorEastAsia"/>
          <w:lang w:val="en-GB" w:eastAsia="ja-JP"/>
        </w:rPr>
        <w:t xml:space="preserve">(from TR38.822 </w:t>
      </w:r>
      <w:r>
        <w:rPr>
          <w:rFonts w:eastAsiaTheme="minorEastAsia"/>
          <w:lang w:val="en-GB" w:eastAsia="ja-JP"/>
        </w:rPr>
        <w:fldChar w:fldCharType="begin"/>
      </w:r>
      <w:r>
        <w:rPr>
          <w:rFonts w:eastAsiaTheme="minorEastAsia"/>
          <w:lang w:val="en-GB" w:eastAsia="ja-JP"/>
        </w:rPr>
        <w:instrText xml:space="preserve"> REF _Ref134804261 \n \h </w:instrText>
      </w:r>
      <w:r>
        <w:rPr>
          <w:rFonts w:eastAsiaTheme="minorEastAsia"/>
          <w:lang w:val="en-GB" w:eastAsia="ja-JP"/>
        </w:rPr>
      </w:r>
      <w:r>
        <w:rPr>
          <w:rFonts w:eastAsiaTheme="minorEastAsia"/>
          <w:lang w:val="en-GB" w:eastAsia="ja-JP"/>
        </w:rPr>
        <w:fldChar w:fldCharType="separate"/>
      </w:r>
      <w:r>
        <w:rPr>
          <w:rFonts w:eastAsiaTheme="minorEastAsia"/>
          <w:lang w:val="en-GB" w:eastAsia="ja-JP"/>
        </w:rPr>
        <w:t>[3]</w:t>
      </w:r>
      <w:r>
        <w:rPr>
          <w:rFonts w:eastAsiaTheme="minorEastAsia"/>
          <w:lang w:val="en-GB" w:eastAsia="ja-JP"/>
        </w:rPr>
        <w:fldChar w:fldCharType="end"/>
      </w:r>
      <w:r>
        <w:rPr>
          <w:rFonts w:eastAsiaTheme="minorEastAsia"/>
          <w:lang w:val="en-GB" w:eastAsia="ja-JP"/>
        </w:rPr>
        <w:t xml:space="preserve">). </w:t>
      </w:r>
      <w:r w:rsidRPr="000A2BCB">
        <w:rPr>
          <w:rFonts w:eastAsiaTheme="minorEastAsia"/>
          <w:lang w:val="en-GB" w:eastAsia="ja-JP"/>
        </w:rPr>
        <w:t>According to FG 2-11, dynamic PRB bundling (i.e., PRG size is dynamically indicated by DCI) is optional. However, according to the note of FG 2-11 (bule part in the table), semi-static PRB bundling is mandatory. Since semi-static PRB bundling supports {4, wideband}, non-wideband PRG is mandatory.</w:t>
      </w:r>
      <w:r w:rsidR="00435B3C">
        <w:rPr>
          <w:rFonts w:eastAsiaTheme="minorEastAsia"/>
          <w:lang w:val="en-GB" w:eastAsia="ja-JP"/>
        </w:rPr>
        <w:t xml:space="preserve"> </w:t>
      </w:r>
      <w:r w:rsidR="00435B3C" w:rsidRPr="00435B3C">
        <w:rPr>
          <w:rFonts w:eastAsiaTheme="minorEastAsia"/>
          <w:lang w:val="en-GB" w:eastAsia="ja-JP"/>
        </w:rPr>
        <w:t xml:space="preserve">If non-wideband PRG is supported by all UEs, </w:t>
      </w:r>
      <w:r w:rsidR="00CB7AFD">
        <w:rPr>
          <w:rFonts w:eastAsiaTheme="minorEastAsia"/>
          <w:lang w:val="en-GB" w:eastAsia="ja-JP"/>
        </w:rPr>
        <w:t xml:space="preserve">it would be considered that </w:t>
      </w:r>
      <w:r w:rsidR="00F24104">
        <w:rPr>
          <w:rFonts w:eastAsiaTheme="minorEastAsia"/>
          <w:lang w:val="en-GB" w:eastAsia="ja-JP"/>
        </w:rPr>
        <w:t xml:space="preserve">Option 1 </w:t>
      </w:r>
      <w:r w:rsidR="006452CB">
        <w:rPr>
          <w:rFonts w:eastAsiaTheme="minorEastAsia"/>
          <w:lang w:val="en-GB" w:eastAsia="ja-JP"/>
        </w:rPr>
        <w:t>(precoding</w:t>
      </w:r>
      <w:r w:rsidR="00AE2313">
        <w:rPr>
          <w:rFonts w:eastAsiaTheme="minorEastAsia"/>
          <w:lang w:val="en-GB" w:eastAsia="ja-JP"/>
        </w:rPr>
        <w:t xml:space="preserve"> of</w:t>
      </w:r>
      <w:r w:rsidR="006452CB">
        <w:rPr>
          <w:rFonts w:eastAsiaTheme="minorEastAsia"/>
          <w:lang w:val="en-GB" w:eastAsia="ja-JP"/>
        </w:rPr>
        <w:t xml:space="preserve"> non-contiguous</w:t>
      </w:r>
      <w:r w:rsidR="00392D2C">
        <w:rPr>
          <w:rFonts w:eastAsiaTheme="minorEastAsia"/>
          <w:lang w:val="en-GB" w:eastAsia="ja-JP"/>
        </w:rPr>
        <w:t xml:space="preserve"> </w:t>
      </w:r>
      <w:r w:rsidR="00472981">
        <w:rPr>
          <w:rFonts w:eastAsiaTheme="minorEastAsia"/>
          <w:lang w:val="en-GB" w:eastAsia="ja-JP"/>
        </w:rPr>
        <w:t>frequency</w:t>
      </w:r>
      <w:r w:rsidR="00392D2C" w:rsidRPr="009E5FE7">
        <w:rPr>
          <w:rFonts w:eastAsia="Malgun Gothic"/>
          <w:lang w:eastAsia="zh-CN"/>
        </w:rPr>
        <w:t xml:space="preserve"> resources</w:t>
      </w:r>
      <w:r w:rsidR="006452CB">
        <w:rPr>
          <w:rFonts w:eastAsiaTheme="minorEastAsia"/>
          <w:lang w:val="en-GB" w:eastAsia="ja-JP"/>
        </w:rPr>
        <w:t xml:space="preserve">) </w:t>
      </w:r>
      <w:r w:rsidR="00435B3C" w:rsidRPr="00435B3C">
        <w:rPr>
          <w:rFonts w:eastAsiaTheme="minorEastAsia"/>
          <w:lang w:val="en-GB" w:eastAsia="ja-JP"/>
        </w:rPr>
        <w:t>can also be supported</w:t>
      </w:r>
      <w:r w:rsidR="00596357">
        <w:rPr>
          <w:rFonts w:eastAsiaTheme="minorEastAsia"/>
          <w:lang w:val="en-GB" w:eastAsia="ja-JP"/>
        </w:rPr>
        <w:t xml:space="preserve"> but the requirement of the performance should be s</w:t>
      </w:r>
      <w:r w:rsidR="005B59EA">
        <w:rPr>
          <w:rFonts w:eastAsiaTheme="minorEastAsia"/>
          <w:lang w:val="en-GB" w:eastAsia="ja-JP"/>
        </w:rPr>
        <w:t>ame</w:t>
      </w:r>
      <w:r w:rsidR="00596357">
        <w:rPr>
          <w:rFonts w:eastAsiaTheme="minorEastAsia"/>
          <w:lang w:val="en-GB" w:eastAsia="ja-JP"/>
        </w:rPr>
        <w:t xml:space="preserve"> </w:t>
      </w:r>
      <w:r w:rsidR="005B59EA">
        <w:rPr>
          <w:rFonts w:eastAsiaTheme="minorEastAsia"/>
          <w:lang w:val="en-GB" w:eastAsia="ja-JP"/>
        </w:rPr>
        <w:t xml:space="preserve">with </w:t>
      </w:r>
      <w:r w:rsidR="00596357">
        <w:rPr>
          <w:rFonts w:eastAsiaTheme="minorEastAsia"/>
          <w:lang w:val="en-GB" w:eastAsia="ja-JP"/>
        </w:rPr>
        <w:t>non-wideband PRG case</w:t>
      </w:r>
      <w:r w:rsidR="00435B3C" w:rsidRPr="00435B3C">
        <w:rPr>
          <w:rFonts w:eastAsiaTheme="minorEastAsia"/>
          <w:lang w:val="en-GB" w:eastAsia="ja-JP"/>
        </w:rPr>
        <w:t>.</w:t>
      </w:r>
    </w:p>
    <w:p w14:paraId="2677E036" w14:textId="02946443" w:rsidR="00E06389" w:rsidRDefault="00E06389" w:rsidP="00E06389">
      <w:pPr>
        <w:rPr>
          <w:rFonts w:eastAsiaTheme="minorEastAsia"/>
          <w:lang w:val="en-GB" w:eastAsia="ja-JP"/>
        </w:rPr>
      </w:pPr>
      <w:r w:rsidRPr="00002E6E">
        <w:rPr>
          <w:rFonts w:eastAsiaTheme="minorEastAsia"/>
          <w:b/>
          <w:bCs/>
          <w:lang w:val="en-GB" w:eastAsia="ja-JP"/>
        </w:rPr>
        <w:t xml:space="preserve">Proposal </w:t>
      </w:r>
      <w:r w:rsidR="00D3622A">
        <w:rPr>
          <w:rFonts w:eastAsiaTheme="minorEastAsia"/>
          <w:b/>
          <w:bCs/>
          <w:lang w:val="en-GB" w:eastAsia="ja-JP"/>
        </w:rPr>
        <w:t>8</w:t>
      </w:r>
      <w:r w:rsidRPr="00002E6E">
        <w:rPr>
          <w:rFonts w:eastAsiaTheme="minorEastAsia"/>
          <w:b/>
          <w:bCs/>
          <w:lang w:val="en-GB" w:eastAsia="ja-JP"/>
        </w:rPr>
        <w:t xml:space="preserve">: </w:t>
      </w:r>
      <w:r w:rsidR="00433415" w:rsidRPr="00433415">
        <w:rPr>
          <w:rFonts w:eastAsiaTheme="minorEastAsia"/>
          <w:b/>
          <w:bCs/>
          <w:lang w:val="en-GB" w:eastAsia="ja-JP"/>
        </w:rPr>
        <w:t>If PRG is determined as wideband</w:t>
      </w:r>
      <w:r>
        <w:rPr>
          <w:rFonts w:eastAsiaTheme="minorEastAsia"/>
          <w:b/>
          <w:bCs/>
          <w:lang w:val="en-GB" w:eastAsia="ja-JP"/>
        </w:rPr>
        <w:t>, support Option 1</w:t>
      </w:r>
      <w:r w:rsidR="00433415">
        <w:rPr>
          <w:rFonts w:eastAsiaTheme="minorEastAsia"/>
          <w:b/>
          <w:bCs/>
          <w:lang w:val="en-GB" w:eastAsia="ja-JP"/>
        </w:rPr>
        <w:t xml:space="preserve"> (</w:t>
      </w:r>
      <w:r w:rsidR="00433415" w:rsidRPr="00433415">
        <w:rPr>
          <w:rFonts w:eastAsiaTheme="minorEastAsia"/>
          <w:b/>
          <w:bCs/>
          <w:lang w:val="en-GB" w:eastAsia="ja-JP"/>
        </w:rPr>
        <w:t>non-contiguous frequency resources across two DL subbands but contiguous frequency resource within each DL subband can be allocated</w:t>
      </w:r>
      <w:r w:rsidR="00433415">
        <w:rPr>
          <w:rFonts w:eastAsiaTheme="minorEastAsia"/>
          <w:b/>
          <w:bCs/>
          <w:lang w:val="en-GB" w:eastAsia="ja-JP"/>
        </w:rPr>
        <w:t>)</w:t>
      </w:r>
      <w:r w:rsidR="00596357">
        <w:rPr>
          <w:rFonts w:eastAsiaTheme="minorEastAsia"/>
          <w:b/>
          <w:bCs/>
          <w:lang w:val="en-GB" w:eastAsia="ja-JP"/>
        </w:rPr>
        <w:t xml:space="preserve"> but the performance requirement should be same as non-wideband </w:t>
      </w:r>
      <w:r w:rsidR="005B59EA">
        <w:rPr>
          <w:rFonts w:eastAsiaTheme="minorEastAsia"/>
          <w:b/>
          <w:bCs/>
          <w:lang w:val="en-GB" w:eastAsia="ja-JP"/>
        </w:rPr>
        <w:t xml:space="preserve">PRG </w:t>
      </w:r>
      <w:r w:rsidR="00596357">
        <w:rPr>
          <w:rFonts w:eastAsiaTheme="minorEastAsia"/>
          <w:b/>
          <w:bCs/>
          <w:lang w:val="en-GB" w:eastAsia="ja-JP"/>
        </w:rPr>
        <w:t>case</w:t>
      </w:r>
      <w:r>
        <w:rPr>
          <w:rFonts w:eastAsiaTheme="minorEastAsia"/>
          <w:b/>
          <w:bCs/>
          <w:lang w:val="en-GB" w:eastAsia="ja-JP"/>
        </w:rPr>
        <w:t>.</w:t>
      </w:r>
    </w:p>
    <w:p w14:paraId="5FE12DF0" w14:textId="54DCD7B0" w:rsidR="00E06389" w:rsidRDefault="00E06389" w:rsidP="00E06389">
      <w:pPr>
        <w:pStyle w:val="ac"/>
        <w:keepNext/>
        <w:jc w:val="center"/>
      </w:pPr>
      <w:bookmarkStart w:id="5" w:name="_Ref134804204"/>
      <w:r>
        <w:t xml:space="preserve">Table </w:t>
      </w:r>
      <w:fldSimple w:instr=" SEQ Table \* ARABIC ">
        <w:r>
          <w:rPr>
            <w:noProof/>
          </w:rPr>
          <w:t>1</w:t>
        </w:r>
      </w:fldSimple>
      <w:bookmarkEnd w:id="5"/>
      <w:r>
        <w:t xml:space="preserve">  TG2-11 in UE feature list (from TR38.822)</w:t>
      </w:r>
    </w:p>
    <w:tbl>
      <w:tblPr>
        <w:tblW w:w="9641" w:type="dxa"/>
        <w:tblLayout w:type="fixed"/>
        <w:tblCellMar>
          <w:top w:w="28" w:type="dxa"/>
          <w:left w:w="28" w:type="dxa"/>
          <w:bottom w:w="28" w:type="dxa"/>
          <w:right w:w="28" w:type="dxa"/>
        </w:tblCellMar>
        <w:tblLook w:val="04A0" w:firstRow="1" w:lastRow="0" w:firstColumn="1" w:lastColumn="0" w:noHBand="0" w:noVBand="1"/>
      </w:tblPr>
      <w:tblGrid>
        <w:gridCol w:w="675"/>
        <w:gridCol w:w="504"/>
        <w:gridCol w:w="717"/>
        <w:gridCol w:w="889"/>
        <w:gridCol w:w="852"/>
        <w:gridCol w:w="1041"/>
        <w:gridCol w:w="1134"/>
        <w:gridCol w:w="895"/>
        <w:gridCol w:w="949"/>
        <w:gridCol w:w="1133"/>
        <w:gridCol w:w="852"/>
      </w:tblGrid>
      <w:tr w:rsidR="00E06389" w:rsidRPr="000E3724" w14:paraId="793E5C81" w14:textId="77777777" w:rsidTr="0078556F">
        <w:trPr>
          <w:trHeight w:val="218"/>
        </w:trPr>
        <w:tc>
          <w:tcPr>
            <w:tcW w:w="675" w:type="dxa"/>
          </w:tcPr>
          <w:p w14:paraId="5CAC447A" w14:textId="77777777" w:rsidR="00E06389" w:rsidRPr="0048599C" w:rsidRDefault="00E06389" w:rsidP="0078556F">
            <w:pPr>
              <w:pStyle w:val="TAH"/>
              <w:rPr>
                <w:sz w:val="12"/>
                <w:szCs w:val="14"/>
              </w:rPr>
            </w:pPr>
            <w:r w:rsidRPr="0048599C">
              <w:rPr>
                <w:sz w:val="12"/>
                <w:szCs w:val="14"/>
              </w:rPr>
              <w:t>Features</w:t>
            </w:r>
          </w:p>
        </w:tc>
        <w:tc>
          <w:tcPr>
            <w:tcW w:w="504" w:type="dxa"/>
          </w:tcPr>
          <w:p w14:paraId="57CBD290" w14:textId="77777777" w:rsidR="00E06389" w:rsidRPr="0048599C" w:rsidRDefault="00E06389" w:rsidP="0078556F">
            <w:pPr>
              <w:pStyle w:val="TAH"/>
              <w:rPr>
                <w:sz w:val="12"/>
                <w:szCs w:val="14"/>
              </w:rPr>
            </w:pPr>
            <w:r w:rsidRPr="0048599C">
              <w:rPr>
                <w:sz w:val="12"/>
                <w:szCs w:val="14"/>
              </w:rPr>
              <w:t>Index</w:t>
            </w:r>
          </w:p>
        </w:tc>
        <w:tc>
          <w:tcPr>
            <w:tcW w:w="717" w:type="dxa"/>
          </w:tcPr>
          <w:p w14:paraId="4159BAC6" w14:textId="77777777" w:rsidR="00E06389" w:rsidRPr="0048599C" w:rsidRDefault="00E06389" w:rsidP="0078556F">
            <w:pPr>
              <w:pStyle w:val="TAH"/>
              <w:rPr>
                <w:sz w:val="12"/>
                <w:szCs w:val="14"/>
              </w:rPr>
            </w:pPr>
            <w:r w:rsidRPr="0048599C">
              <w:rPr>
                <w:sz w:val="12"/>
                <w:szCs w:val="14"/>
              </w:rPr>
              <w:t>Feature group</w:t>
            </w:r>
          </w:p>
        </w:tc>
        <w:tc>
          <w:tcPr>
            <w:tcW w:w="889" w:type="dxa"/>
          </w:tcPr>
          <w:p w14:paraId="2A5F1D51" w14:textId="77777777" w:rsidR="00E06389" w:rsidRPr="0048599C" w:rsidRDefault="00E06389" w:rsidP="0078556F">
            <w:pPr>
              <w:pStyle w:val="TAH"/>
              <w:rPr>
                <w:sz w:val="12"/>
                <w:szCs w:val="14"/>
              </w:rPr>
            </w:pPr>
            <w:r w:rsidRPr="0048599C">
              <w:rPr>
                <w:sz w:val="12"/>
                <w:szCs w:val="14"/>
              </w:rPr>
              <w:t>Components</w:t>
            </w:r>
          </w:p>
        </w:tc>
        <w:tc>
          <w:tcPr>
            <w:tcW w:w="852" w:type="dxa"/>
          </w:tcPr>
          <w:p w14:paraId="1DF468AC" w14:textId="77777777" w:rsidR="00E06389" w:rsidRPr="0048599C" w:rsidRDefault="00E06389" w:rsidP="0078556F">
            <w:pPr>
              <w:pStyle w:val="TAH"/>
              <w:rPr>
                <w:sz w:val="12"/>
                <w:szCs w:val="14"/>
              </w:rPr>
            </w:pPr>
            <w:r w:rsidRPr="0048599C">
              <w:rPr>
                <w:sz w:val="12"/>
                <w:szCs w:val="14"/>
              </w:rPr>
              <w:t>Prerequisite feature groups</w:t>
            </w:r>
          </w:p>
        </w:tc>
        <w:tc>
          <w:tcPr>
            <w:tcW w:w="1041" w:type="dxa"/>
          </w:tcPr>
          <w:p w14:paraId="44604375" w14:textId="77777777" w:rsidR="00E06389" w:rsidRPr="0048599C" w:rsidRDefault="00E06389" w:rsidP="0078556F">
            <w:pPr>
              <w:pStyle w:val="TAH"/>
              <w:rPr>
                <w:sz w:val="12"/>
                <w:szCs w:val="14"/>
              </w:rPr>
            </w:pPr>
            <w:r w:rsidRPr="0048599C">
              <w:rPr>
                <w:sz w:val="12"/>
                <w:szCs w:val="14"/>
              </w:rPr>
              <w:t>Field name in TS 38.331</w:t>
            </w:r>
          </w:p>
        </w:tc>
        <w:tc>
          <w:tcPr>
            <w:tcW w:w="1134" w:type="dxa"/>
          </w:tcPr>
          <w:p w14:paraId="3C08C974" w14:textId="77777777" w:rsidR="00E06389" w:rsidRPr="00434484" w:rsidRDefault="00E06389" w:rsidP="0078556F">
            <w:pPr>
              <w:pStyle w:val="TAN"/>
              <w:ind w:left="0" w:firstLine="0"/>
              <w:rPr>
                <w:b/>
                <w:bCs/>
                <w:sz w:val="12"/>
                <w:szCs w:val="14"/>
              </w:rPr>
            </w:pPr>
            <w:r w:rsidRPr="00434484">
              <w:rPr>
                <w:b/>
                <w:bCs/>
                <w:sz w:val="12"/>
                <w:szCs w:val="14"/>
              </w:rPr>
              <w:t>Parent IE in TS 38.331</w:t>
            </w:r>
          </w:p>
        </w:tc>
        <w:tc>
          <w:tcPr>
            <w:tcW w:w="895" w:type="dxa"/>
          </w:tcPr>
          <w:p w14:paraId="38253AD6" w14:textId="77777777" w:rsidR="00E06389" w:rsidRPr="0048599C" w:rsidRDefault="00E06389" w:rsidP="0078556F">
            <w:pPr>
              <w:pStyle w:val="TAH"/>
              <w:rPr>
                <w:sz w:val="12"/>
                <w:szCs w:val="14"/>
              </w:rPr>
            </w:pPr>
            <w:r w:rsidRPr="0048599C">
              <w:rPr>
                <w:sz w:val="12"/>
                <w:szCs w:val="14"/>
              </w:rPr>
              <w:t>Need of FDD/TDD differentiation</w:t>
            </w:r>
          </w:p>
        </w:tc>
        <w:tc>
          <w:tcPr>
            <w:tcW w:w="949" w:type="dxa"/>
          </w:tcPr>
          <w:p w14:paraId="074EF977" w14:textId="77777777" w:rsidR="00E06389" w:rsidRPr="0048599C" w:rsidRDefault="00E06389" w:rsidP="0078556F">
            <w:pPr>
              <w:pStyle w:val="TAH"/>
              <w:rPr>
                <w:sz w:val="12"/>
                <w:szCs w:val="14"/>
              </w:rPr>
            </w:pPr>
            <w:r w:rsidRPr="0048599C">
              <w:rPr>
                <w:sz w:val="12"/>
                <w:szCs w:val="14"/>
              </w:rPr>
              <w:t>Need of FR1/FR2 differentiation</w:t>
            </w:r>
          </w:p>
        </w:tc>
        <w:tc>
          <w:tcPr>
            <w:tcW w:w="1133" w:type="dxa"/>
          </w:tcPr>
          <w:p w14:paraId="7BC4F5E9" w14:textId="77777777" w:rsidR="00E06389" w:rsidRPr="0048599C" w:rsidRDefault="00E06389" w:rsidP="0078556F">
            <w:pPr>
              <w:pStyle w:val="TAH"/>
              <w:rPr>
                <w:sz w:val="12"/>
                <w:szCs w:val="14"/>
              </w:rPr>
            </w:pPr>
            <w:r w:rsidRPr="0048599C">
              <w:rPr>
                <w:sz w:val="12"/>
                <w:szCs w:val="14"/>
              </w:rPr>
              <w:t>Note</w:t>
            </w:r>
          </w:p>
        </w:tc>
        <w:tc>
          <w:tcPr>
            <w:tcW w:w="852" w:type="dxa"/>
          </w:tcPr>
          <w:p w14:paraId="4E1AE7E0" w14:textId="77777777" w:rsidR="00E06389" w:rsidRPr="0048599C" w:rsidRDefault="00E06389" w:rsidP="0078556F">
            <w:pPr>
              <w:pStyle w:val="TAH"/>
              <w:rPr>
                <w:sz w:val="12"/>
                <w:szCs w:val="14"/>
              </w:rPr>
            </w:pPr>
            <w:r w:rsidRPr="0048599C">
              <w:rPr>
                <w:sz w:val="12"/>
                <w:szCs w:val="14"/>
              </w:rPr>
              <w:t>Mandatory/Optional</w:t>
            </w:r>
          </w:p>
        </w:tc>
      </w:tr>
      <w:tr w:rsidR="00E06389" w:rsidRPr="000E3724" w14:paraId="1105AE1F" w14:textId="77777777" w:rsidTr="0078556F">
        <w:trPr>
          <w:trHeight w:val="523"/>
        </w:trPr>
        <w:tc>
          <w:tcPr>
            <w:tcW w:w="675" w:type="dxa"/>
          </w:tcPr>
          <w:p w14:paraId="686FC2C9" w14:textId="77777777" w:rsidR="00E06389" w:rsidRPr="0048599C" w:rsidRDefault="00E06389" w:rsidP="0078556F">
            <w:pPr>
              <w:pStyle w:val="TAL"/>
              <w:rPr>
                <w:sz w:val="12"/>
                <w:szCs w:val="14"/>
              </w:rPr>
            </w:pPr>
            <w:r w:rsidRPr="0048599C">
              <w:rPr>
                <w:sz w:val="12"/>
                <w:szCs w:val="14"/>
              </w:rPr>
              <w:t>2. MIMO</w:t>
            </w:r>
          </w:p>
        </w:tc>
        <w:tc>
          <w:tcPr>
            <w:tcW w:w="504" w:type="dxa"/>
          </w:tcPr>
          <w:p w14:paraId="22909806" w14:textId="77777777" w:rsidR="00E06389" w:rsidRPr="0048599C" w:rsidRDefault="00E06389" w:rsidP="0078556F">
            <w:pPr>
              <w:pStyle w:val="TAL"/>
              <w:rPr>
                <w:sz w:val="12"/>
                <w:szCs w:val="14"/>
              </w:rPr>
            </w:pPr>
            <w:r w:rsidRPr="0048599C">
              <w:rPr>
                <w:sz w:val="12"/>
                <w:szCs w:val="14"/>
              </w:rPr>
              <w:t>2-11</w:t>
            </w:r>
          </w:p>
        </w:tc>
        <w:tc>
          <w:tcPr>
            <w:tcW w:w="717" w:type="dxa"/>
          </w:tcPr>
          <w:p w14:paraId="2024F373" w14:textId="77777777" w:rsidR="00E06389" w:rsidRPr="0048599C" w:rsidRDefault="00E06389" w:rsidP="0078556F">
            <w:pPr>
              <w:pStyle w:val="TAL"/>
              <w:rPr>
                <w:sz w:val="12"/>
                <w:szCs w:val="14"/>
              </w:rPr>
            </w:pPr>
            <w:r w:rsidRPr="0048599C">
              <w:rPr>
                <w:sz w:val="12"/>
                <w:szCs w:val="14"/>
              </w:rPr>
              <w:t>Downlink dynamic PRB bundling (downlink)</w:t>
            </w:r>
          </w:p>
        </w:tc>
        <w:tc>
          <w:tcPr>
            <w:tcW w:w="889" w:type="dxa"/>
          </w:tcPr>
          <w:p w14:paraId="449C5161" w14:textId="77777777" w:rsidR="00E06389" w:rsidRPr="0048599C" w:rsidRDefault="00E06389" w:rsidP="0078556F">
            <w:pPr>
              <w:pStyle w:val="TAL"/>
              <w:rPr>
                <w:sz w:val="12"/>
                <w:szCs w:val="14"/>
              </w:rPr>
            </w:pPr>
            <w:r w:rsidRPr="0048599C">
              <w:rPr>
                <w:sz w:val="12"/>
                <w:szCs w:val="14"/>
              </w:rPr>
              <w:t>Support dynamic PRB bundling indication via DCI</w:t>
            </w:r>
          </w:p>
        </w:tc>
        <w:tc>
          <w:tcPr>
            <w:tcW w:w="852" w:type="dxa"/>
          </w:tcPr>
          <w:p w14:paraId="3BEABE78" w14:textId="77777777" w:rsidR="00E06389" w:rsidRPr="0048599C" w:rsidRDefault="00E06389" w:rsidP="0078556F">
            <w:pPr>
              <w:pStyle w:val="TAL"/>
              <w:rPr>
                <w:sz w:val="12"/>
                <w:szCs w:val="14"/>
              </w:rPr>
            </w:pPr>
            <w:r w:rsidRPr="0048599C">
              <w:rPr>
                <w:sz w:val="12"/>
                <w:szCs w:val="14"/>
              </w:rPr>
              <w:t>2-1</w:t>
            </w:r>
          </w:p>
        </w:tc>
        <w:tc>
          <w:tcPr>
            <w:tcW w:w="1041" w:type="dxa"/>
          </w:tcPr>
          <w:p w14:paraId="3799DF54" w14:textId="77777777" w:rsidR="00E06389" w:rsidRPr="0048599C" w:rsidRDefault="00E06389" w:rsidP="0078556F">
            <w:pPr>
              <w:pStyle w:val="TAL"/>
              <w:rPr>
                <w:i/>
                <w:sz w:val="12"/>
                <w:szCs w:val="14"/>
              </w:rPr>
            </w:pPr>
            <w:r w:rsidRPr="0048599C">
              <w:rPr>
                <w:i/>
                <w:sz w:val="12"/>
                <w:szCs w:val="14"/>
              </w:rPr>
              <w:t>dynamicPRB-BundlingDL</w:t>
            </w:r>
          </w:p>
        </w:tc>
        <w:tc>
          <w:tcPr>
            <w:tcW w:w="1134" w:type="dxa"/>
          </w:tcPr>
          <w:p w14:paraId="25197C46" w14:textId="77777777" w:rsidR="00E06389" w:rsidRPr="0048599C" w:rsidRDefault="00E06389" w:rsidP="0078556F">
            <w:pPr>
              <w:pStyle w:val="TAL"/>
              <w:rPr>
                <w:i/>
                <w:sz w:val="12"/>
                <w:szCs w:val="14"/>
              </w:rPr>
            </w:pPr>
            <w:r w:rsidRPr="0048599C">
              <w:rPr>
                <w:i/>
                <w:sz w:val="12"/>
                <w:szCs w:val="14"/>
              </w:rPr>
              <w:t>Phy-ParametersCommon</w:t>
            </w:r>
          </w:p>
        </w:tc>
        <w:tc>
          <w:tcPr>
            <w:tcW w:w="895" w:type="dxa"/>
          </w:tcPr>
          <w:p w14:paraId="5DC14C57" w14:textId="77777777" w:rsidR="00E06389" w:rsidRPr="0048599C" w:rsidRDefault="00E06389" w:rsidP="0078556F">
            <w:pPr>
              <w:pStyle w:val="TAL"/>
              <w:rPr>
                <w:sz w:val="12"/>
                <w:szCs w:val="14"/>
              </w:rPr>
            </w:pPr>
            <w:r w:rsidRPr="0048599C">
              <w:rPr>
                <w:sz w:val="12"/>
                <w:szCs w:val="14"/>
              </w:rPr>
              <w:t>No</w:t>
            </w:r>
          </w:p>
        </w:tc>
        <w:tc>
          <w:tcPr>
            <w:tcW w:w="949" w:type="dxa"/>
          </w:tcPr>
          <w:p w14:paraId="5B9A8750" w14:textId="77777777" w:rsidR="00E06389" w:rsidRPr="0048599C" w:rsidRDefault="00E06389" w:rsidP="0078556F">
            <w:pPr>
              <w:pStyle w:val="TAL"/>
              <w:rPr>
                <w:sz w:val="12"/>
                <w:szCs w:val="14"/>
              </w:rPr>
            </w:pPr>
            <w:r w:rsidRPr="0048599C">
              <w:rPr>
                <w:sz w:val="12"/>
                <w:szCs w:val="14"/>
              </w:rPr>
              <w:t>No</w:t>
            </w:r>
          </w:p>
        </w:tc>
        <w:tc>
          <w:tcPr>
            <w:tcW w:w="1133" w:type="dxa"/>
          </w:tcPr>
          <w:p w14:paraId="5245DC82" w14:textId="77777777" w:rsidR="00E06389" w:rsidRPr="0048599C" w:rsidRDefault="00E06389" w:rsidP="0078556F">
            <w:pPr>
              <w:pStyle w:val="TAL"/>
              <w:rPr>
                <w:sz w:val="12"/>
                <w:szCs w:val="14"/>
              </w:rPr>
            </w:pPr>
            <w:r w:rsidRPr="0048599C">
              <w:rPr>
                <w:sz w:val="12"/>
                <w:szCs w:val="14"/>
                <w:highlight w:val="cyan"/>
              </w:rPr>
              <w:t>Support of semi-static PRB bundling is mandatory</w:t>
            </w:r>
          </w:p>
        </w:tc>
        <w:tc>
          <w:tcPr>
            <w:tcW w:w="852" w:type="dxa"/>
          </w:tcPr>
          <w:p w14:paraId="5D2935E6" w14:textId="77777777" w:rsidR="00E06389" w:rsidRPr="0048599C" w:rsidRDefault="00E06389" w:rsidP="0078556F">
            <w:pPr>
              <w:pStyle w:val="TAL"/>
              <w:rPr>
                <w:sz w:val="12"/>
                <w:szCs w:val="14"/>
              </w:rPr>
            </w:pPr>
            <w:r w:rsidRPr="0048599C">
              <w:rPr>
                <w:sz w:val="12"/>
                <w:szCs w:val="14"/>
              </w:rPr>
              <w:t>Optional with capability signalling</w:t>
            </w:r>
          </w:p>
        </w:tc>
      </w:tr>
    </w:tbl>
    <w:p w14:paraId="56826B0C" w14:textId="77777777" w:rsidR="0053072A" w:rsidRDefault="0053072A" w:rsidP="000A2BCB">
      <w:pPr>
        <w:spacing w:before="120"/>
        <w:rPr>
          <w:rFonts w:eastAsiaTheme="minorEastAsia"/>
          <w:lang w:val="en-GB" w:eastAsia="ja-JP"/>
        </w:rPr>
      </w:pPr>
    </w:p>
    <w:p w14:paraId="3B53CB23" w14:textId="5C9F0FFF" w:rsidR="003537C3" w:rsidRPr="00470688" w:rsidRDefault="00A84993" w:rsidP="003537C3">
      <w:pPr>
        <w:pStyle w:val="4"/>
      </w:pPr>
      <w:r>
        <w:t>RA t</w:t>
      </w:r>
      <w:r w:rsidR="003537C3">
        <w:t xml:space="preserve">ype </w:t>
      </w:r>
      <w:r w:rsidR="00302221">
        <w:t>1</w:t>
      </w:r>
    </w:p>
    <w:p w14:paraId="2FC74F56" w14:textId="1EDF1C3A" w:rsidR="00AB6D0E" w:rsidRPr="00FC2259" w:rsidRDefault="003E446F" w:rsidP="00920F8E">
      <w:pPr>
        <w:spacing w:before="120"/>
        <w:rPr>
          <w:rFonts w:eastAsiaTheme="minorEastAsia"/>
          <w:lang w:eastAsia="ja-JP"/>
        </w:rPr>
      </w:pPr>
      <w:r w:rsidRPr="00FC2259">
        <w:rPr>
          <w:rFonts w:eastAsiaTheme="minorEastAsia"/>
          <w:lang w:val="en-GB" w:eastAsia="ja-JP"/>
        </w:rPr>
        <w:t>For</w:t>
      </w:r>
      <w:r w:rsidR="00697BDE" w:rsidRPr="00FC2259">
        <w:rPr>
          <w:rFonts w:eastAsiaTheme="minorEastAsia"/>
          <w:lang w:val="en-GB" w:eastAsia="ja-JP"/>
        </w:rPr>
        <w:t xml:space="preserve"> {DUD} subband </w:t>
      </w:r>
      <w:r w:rsidRPr="00FC2259">
        <w:rPr>
          <w:rFonts w:eastAsiaTheme="minorEastAsia"/>
          <w:lang w:val="en-GB" w:eastAsia="ja-JP"/>
        </w:rPr>
        <w:t>p</w:t>
      </w:r>
      <w:r w:rsidR="00697BDE" w:rsidRPr="00FC2259">
        <w:rPr>
          <w:rFonts w:eastAsiaTheme="minorEastAsia"/>
          <w:lang w:val="en-GB" w:eastAsia="ja-JP"/>
        </w:rPr>
        <w:t xml:space="preserve">attern, </w:t>
      </w:r>
      <w:r w:rsidR="001A4218" w:rsidRPr="00FC2259">
        <w:rPr>
          <w:rFonts w:eastAsiaTheme="minorEastAsia"/>
          <w:lang w:val="en-GB" w:eastAsia="ja-JP"/>
        </w:rPr>
        <w:t>DL resources are</w:t>
      </w:r>
      <w:r w:rsidR="00CD05F2" w:rsidRPr="00FC2259">
        <w:rPr>
          <w:rFonts w:eastAsiaTheme="minorEastAsia" w:hint="eastAsia"/>
          <w:lang w:val="en-GB" w:eastAsia="ja-JP"/>
        </w:rPr>
        <w:t xml:space="preserve"> </w:t>
      </w:r>
      <w:r w:rsidR="00CD05F2" w:rsidRPr="00FC2259">
        <w:rPr>
          <w:rFonts w:eastAsiaTheme="minorEastAsia"/>
          <w:lang w:eastAsia="ja-JP"/>
        </w:rPr>
        <w:t>splitted</w:t>
      </w:r>
      <w:r w:rsidR="00CD05F2" w:rsidRPr="00FC2259">
        <w:rPr>
          <w:rFonts w:eastAsiaTheme="minorEastAsia"/>
          <w:lang w:val="en-GB" w:eastAsia="ja-JP"/>
        </w:rPr>
        <w:t xml:space="preserve"> into two</w:t>
      </w:r>
      <w:r w:rsidR="001A4218" w:rsidRPr="00FC2259">
        <w:rPr>
          <w:rFonts w:eastAsiaTheme="minorEastAsia"/>
          <w:lang w:val="en-GB" w:eastAsia="ja-JP"/>
        </w:rPr>
        <w:t xml:space="preserve"> non-contiguous</w:t>
      </w:r>
      <w:r w:rsidR="00CD05F2" w:rsidRPr="00FC2259">
        <w:rPr>
          <w:rFonts w:eastAsiaTheme="minorEastAsia"/>
          <w:lang w:val="en-GB" w:eastAsia="ja-JP"/>
        </w:rPr>
        <w:t xml:space="preserve"> subbands</w:t>
      </w:r>
      <w:r w:rsidR="001A4218" w:rsidRPr="00FC2259">
        <w:rPr>
          <w:rFonts w:eastAsiaTheme="minorEastAsia"/>
          <w:lang w:val="en-GB" w:eastAsia="ja-JP"/>
        </w:rPr>
        <w:t xml:space="preserve">. RA type 0 can be used for non-contiguous resource allocation. However, the granularity of </w:t>
      </w:r>
      <w:r w:rsidR="008E052F" w:rsidRPr="00FC2259">
        <w:rPr>
          <w:rFonts w:eastAsiaTheme="minorEastAsia"/>
          <w:lang w:val="en-GB" w:eastAsia="ja-JP"/>
        </w:rPr>
        <w:t xml:space="preserve">resource allocation for </w:t>
      </w:r>
      <w:r w:rsidR="001A4218" w:rsidRPr="00FC2259">
        <w:rPr>
          <w:rFonts w:eastAsiaTheme="minorEastAsia"/>
          <w:lang w:val="en-GB" w:eastAsia="ja-JP"/>
        </w:rPr>
        <w:t>RA type 0 is coarser than RA type 1. RA type 0 cannot be used for fallback DCI. Then, whether/</w:t>
      </w:r>
      <w:r w:rsidR="00697BDE" w:rsidRPr="00FC2259">
        <w:rPr>
          <w:rFonts w:eastAsiaTheme="minorEastAsia"/>
          <w:lang w:val="en-GB" w:eastAsia="ja-JP"/>
        </w:rPr>
        <w:t>how to allocate PDSCH resource in non-contiguous DL subbands</w:t>
      </w:r>
      <w:r w:rsidR="006E437B" w:rsidRPr="00FC2259">
        <w:rPr>
          <w:rFonts w:eastAsiaTheme="minorEastAsia"/>
          <w:lang w:val="en-GB" w:eastAsia="ja-JP"/>
        </w:rPr>
        <w:t xml:space="preserve"> </w:t>
      </w:r>
      <w:r w:rsidR="001A4218" w:rsidRPr="00FC2259">
        <w:rPr>
          <w:rFonts w:eastAsiaTheme="minorEastAsia"/>
          <w:lang w:val="en-GB" w:eastAsia="ja-JP"/>
        </w:rPr>
        <w:t xml:space="preserve">by RA type 1 </w:t>
      </w:r>
      <w:r w:rsidR="006E437B" w:rsidRPr="00FC2259">
        <w:rPr>
          <w:rFonts w:eastAsiaTheme="minorEastAsia"/>
          <w:lang w:val="en-GB" w:eastAsia="ja-JP"/>
        </w:rPr>
        <w:t xml:space="preserve">needs to be </w:t>
      </w:r>
      <w:r w:rsidR="001D4140" w:rsidRPr="00FC2259">
        <w:rPr>
          <w:rFonts w:eastAsiaTheme="minorEastAsia"/>
          <w:lang w:val="en-GB" w:eastAsia="ja-JP"/>
        </w:rPr>
        <w:t>considered</w:t>
      </w:r>
      <w:r w:rsidR="00697BDE" w:rsidRPr="00FC2259">
        <w:rPr>
          <w:rFonts w:eastAsiaTheme="minorEastAsia"/>
          <w:lang w:val="en-GB" w:eastAsia="ja-JP"/>
        </w:rPr>
        <w:t>.</w:t>
      </w:r>
      <w:r w:rsidR="005E4FC3" w:rsidRPr="00FC2259" w:rsidDel="005E4FC3">
        <w:rPr>
          <w:rFonts w:eastAsiaTheme="minorEastAsia"/>
          <w:lang w:val="en-GB" w:eastAsia="ja-JP"/>
        </w:rPr>
        <w:t xml:space="preserve"> </w:t>
      </w:r>
      <w:r w:rsidR="00AB6D0E" w:rsidRPr="00FC2259">
        <w:rPr>
          <w:rFonts w:eastAsiaTheme="minorEastAsia"/>
          <w:lang w:eastAsia="ja-JP"/>
        </w:rPr>
        <w:t>The following options can be considered.</w:t>
      </w:r>
      <w:r w:rsidR="00AB6D0E" w:rsidRPr="00FC2259">
        <w:rPr>
          <w:u w:val="single"/>
          <w:lang w:eastAsia="ja-JP"/>
        </w:rPr>
        <w:t xml:space="preserve"> </w:t>
      </w:r>
    </w:p>
    <w:p w14:paraId="0C3B59AE" w14:textId="77777777" w:rsidR="00AB6D0E" w:rsidRPr="00FC2259" w:rsidRDefault="00AB6D0E">
      <w:pPr>
        <w:pStyle w:val="aff4"/>
        <w:numPr>
          <w:ilvl w:val="0"/>
          <w:numId w:val="19"/>
        </w:numPr>
        <w:spacing w:after="120"/>
        <w:ind w:leftChars="0"/>
        <w:textAlignment w:val="center"/>
        <w:rPr>
          <w:rFonts w:eastAsia="SimSun"/>
          <w:lang w:val="en-GB" w:eastAsia="zh-CN"/>
        </w:rPr>
      </w:pPr>
      <w:r w:rsidRPr="00FC2259">
        <w:rPr>
          <w:rFonts w:eastAsiaTheme="minorEastAsia"/>
          <w:b/>
          <w:bCs/>
          <w:lang w:val="en-GB" w:eastAsia="ja-JP"/>
        </w:rPr>
        <w:t>Option 1</w:t>
      </w:r>
      <w:r w:rsidRPr="00FC2259">
        <w:rPr>
          <w:rFonts w:eastAsiaTheme="minorEastAsia"/>
          <w:lang w:val="en-GB" w:eastAsia="ja-JP"/>
        </w:rPr>
        <w:t>: Enhanced VRB-to-PRB mapping for SBFD is introduced</w:t>
      </w:r>
    </w:p>
    <w:p w14:paraId="06142763" w14:textId="77777777" w:rsidR="00AB6D0E" w:rsidRPr="00FC2259" w:rsidRDefault="00AB6D0E">
      <w:pPr>
        <w:pStyle w:val="aff4"/>
        <w:numPr>
          <w:ilvl w:val="0"/>
          <w:numId w:val="19"/>
        </w:numPr>
        <w:spacing w:after="120"/>
        <w:ind w:leftChars="0"/>
        <w:textAlignment w:val="center"/>
        <w:rPr>
          <w:rFonts w:eastAsia="SimSun"/>
          <w:lang w:val="en-GB" w:eastAsia="zh-CN"/>
        </w:rPr>
      </w:pPr>
      <w:r w:rsidRPr="00FC2259">
        <w:rPr>
          <w:rFonts w:eastAsiaTheme="minorEastAsia"/>
          <w:b/>
          <w:bCs/>
          <w:lang w:val="en-GB" w:eastAsia="ja-JP"/>
        </w:rPr>
        <w:t>Option 2</w:t>
      </w:r>
      <w:r w:rsidRPr="00FC2259">
        <w:rPr>
          <w:rFonts w:eastAsiaTheme="minorEastAsia"/>
          <w:lang w:val="en-GB" w:eastAsia="ja-JP"/>
        </w:rPr>
        <w:t>: Rate matching around UL subband and guard band is used</w:t>
      </w:r>
    </w:p>
    <w:p w14:paraId="4A87FF6C" w14:textId="77777777" w:rsidR="00AB6D0E" w:rsidRPr="00FC2259" w:rsidRDefault="00AB6D0E">
      <w:pPr>
        <w:pStyle w:val="aff4"/>
        <w:numPr>
          <w:ilvl w:val="0"/>
          <w:numId w:val="19"/>
        </w:numPr>
        <w:spacing w:after="120"/>
        <w:ind w:leftChars="0"/>
        <w:textAlignment w:val="center"/>
        <w:rPr>
          <w:rFonts w:eastAsia="SimSun"/>
          <w:lang w:val="en-GB" w:eastAsia="zh-CN"/>
        </w:rPr>
      </w:pPr>
      <w:r w:rsidRPr="00FC2259">
        <w:rPr>
          <w:rFonts w:eastAsiaTheme="minorEastAsia"/>
          <w:b/>
          <w:bCs/>
          <w:lang w:val="en-GB" w:eastAsia="ja-JP"/>
        </w:rPr>
        <w:t>Option 3</w:t>
      </w:r>
      <w:r w:rsidRPr="00FC2259">
        <w:rPr>
          <w:rFonts w:eastAsiaTheme="minorEastAsia"/>
          <w:lang w:val="en-GB" w:eastAsia="ja-JP"/>
        </w:rPr>
        <w:t xml:space="preserve">: </w:t>
      </w:r>
      <w:r w:rsidRPr="00FC2259">
        <w:rPr>
          <w:rFonts w:eastAsiaTheme="minorEastAsia"/>
          <w:lang w:eastAsia="ja-JP"/>
        </w:rPr>
        <w:t>Actual PDSCH transmission is based on DL subband regardless of resource allocation</w:t>
      </w:r>
    </w:p>
    <w:p w14:paraId="4D9099EE" w14:textId="77777777" w:rsidR="00AD7C9F" w:rsidRPr="00002E6E" w:rsidRDefault="00AD7C9F" w:rsidP="00002E6E">
      <w:pPr>
        <w:spacing w:after="0"/>
        <w:textAlignment w:val="center"/>
        <w:rPr>
          <w:rFonts w:eastAsia="SimSun"/>
          <w:lang w:val="en-GB" w:eastAsia="zh-CN"/>
        </w:rPr>
      </w:pPr>
    </w:p>
    <w:p w14:paraId="35D4B3A8" w14:textId="3AEA93EB" w:rsidR="00AD7C9F" w:rsidRDefault="00AD7C9F" w:rsidP="00AD7C9F">
      <w:pPr>
        <w:spacing w:after="120"/>
        <w:textAlignment w:val="center"/>
        <w:rPr>
          <w:lang w:eastAsia="ja-JP"/>
        </w:rPr>
      </w:pPr>
      <w:r>
        <w:rPr>
          <w:lang w:eastAsia="ja-JP"/>
        </w:rPr>
        <w:t xml:space="preserve">For Option 1, </w:t>
      </w:r>
      <w:r w:rsidRPr="00002E6E">
        <w:rPr>
          <w:rFonts w:eastAsia="SimSun"/>
          <w:color w:val="000000"/>
        </w:rPr>
        <w:t xml:space="preserve">VRBs are consist </w:t>
      </w:r>
      <w:r w:rsidRPr="00002E6E">
        <w:rPr>
          <w:rFonts w:eastAsiaTheme="minorEastAsia"/>
          <w:color w:val="000000"/>
          <w:lang w:eastAsia="ja-JP"/>
        </w:rPr>
        <w:t xml:space="preserve">only </w:t>
      </w:r>
      <w:r w:rsidRPr="00002E6E">
        <w:rPr>
          <w:rFonts w:eastAsia="SimSun"/>
          <w:color w:val="000000"/>
        </w:rPr>
        <w:t>of PRBs for DL subbands (i.e., the VRBs are indexed only DL subband. UL subband and guardband are excluded).</w:t>
      </w:r>
      <w:r>
        <w:rPr>
          <w:rFonts w:eastAsia="SimSun"/>
          <w:color w:val="000000"/>
        </w:rPr>
        <w:t xml:space="preserve"> </w:t>
      </w:r>
      <w:r>
        <w:rPr>
          <w:rFonts w:eastAsia="SimSun"/>
          <w:color w:val="000000"/>
        </w:rPr>
        <w:fldChar w:fldCharType="begin"/>
      </w:r>
      <w:r>
        <w:rPr>
          <w:rFonts w:eastAsia="SimSun"/>
          <w:color w:val="000000"/>
        </w:rPr>
        <w:instrText xml:space="preserve"> REF _Ref127375261 \h </w:instrText>
      </w:r>
      <w:r>
        <w:rPr>
          <w:rFonts w:eastAsia="SimSun"/>
          <w:color w:val="000000"/>
        </w:rPr>
      </w:r>
      <w:r>
        <w:rPr>
          <w:rFonts w:eastAsia="SimSun"/>
          <w:color w:val="000000"/>
        </w:rPr>
        <w:fldChar w:fldCharType="separate"/>
      </w:r>
      <w:r w:rsidR="00461A99">
        <w:t xml:space="preserve">Figure </w:t>
      </w:r>
      <w:r w:rsidR="00461A99">
        <w:rPr>
          <w:noProof/>
        </w:rPr>
        <w:t>6</w:t>
      </w:r>
      <w:r>
        <w:rPr>
          <w:rFonts w:eastAsia="SimSun"/>
          <w:color w:val="000000"/>
        </w:rPr>
        <w:fldChar w:fldCharType="end"/>
      </w:r>
      <w:r w:rsidR="009E6487">
        <w:rPr>
          <w:rFonts w:eastAsia="SimSun"/>
          <w:color w:val="000000"/>
        </w:rPr>
        <w:t xml:space="preserve"> shows an example</w:t>
      </w:r>
      <w:r>
        <w:rPr>
          <w:rFonts w:eastAsia="SimSun"/>
          <w:color w:val="000000"/>
        </w:rPr>
        <w:t>.</w:t>
      </w:r>
      <w:r w:rsidR="009E6487">
        <w:rPr>
          <w:rFonts w:eastAsia="SimSun"/>
          <w:color w:val="000000"/>
        </w:rPr>
        <w:t xml:space="preserve"> </w:t>
      </w:r>
      <w:r w:rsidR="00F12C2D">
        <w:rPr>
          <w:rFonts w:eastAsia="SimSun"/>
          <w:color w:val="000000"/>
        </w:rPr>
        <w:t xml:space="preserve">In this example, </w:t>
      </w:r>
      <w:r w:rsidR="009E6487" w:rsidRPr="009E6487">
        <w:rPr>
          <w:rFonts w:eastAsia="SimSun"/>
          <w:color w:val="000000"/>
        </w:rPr>
        <w:t xml:space="preserve">PRBs consist of 30 RBs and VRBs consist of 18 RBs of DL subbands. </w:t>
      </w:r>
      <w:r>
        <w:rPr>
          <w:rFonts w:eastAsia="SimSun"/>
          <w:color w:val="000000"/>
        </w:rPr>
        <w:t>One potential issue would be that r</w:t>
      </w:r>
      <w:r w:rsidR="00AB6D0E">
        <w:rPr>
          <w:rFonts w:eastAsiaTheme="minorEastAsia"/>
          <w:lang w:eastAsia="ja-JP"/>
        </w:rPr>
        <w:t>esource fragmentation can be occurred due to</w:t>
      </w:r>
      <w:r w:rsidR="00AB6D0E">
        <w:rPr>
          <w:lang w:eastAsia="ja-JP"/>
        </w:rPr>
        <w:t xml:space="preserve"> different VRB mapping between SBFD aware UE and non-SBFD aware UE. </w:t>
      </w:r>
    </w:p>
    <w:p w14:paraId="683DE55C" w14:textId="77777777" w:rsidR="00AD7C9F" w:rsidRDefault="00AD7C9F" w:rsidP="00AD7C9F">
      <w:pPr>
        <w:spacing w:after="120"/>
        <w:textAlignment w:val="center"/>
        <w:rPr>
          <w:rFonts w:eastAsia="SimSun"/>
          <w:lang w:val="en-GB" w:eastAsia="zh-CN"/>
        </w:rPr>
      </w:pPr>
      <w:r>
        <w:rPr>
          <w:rFonts w:hint="eastAsia"/>
          <w:lang w:eastAsia="ja-JP"/>
        </w:rPr>
        <w:t>F</w:t>
      </w:r>
      <w:r>
        <w:rPr>
          <w:lang w:eastAsia="ja-JP"/>
        </w:rPr>
        <w:t xml:space="preserve">or Option 2, </w:t>
      </w:r>
      <w:r>
        <w:rPr>
          <w:rFonts w:hint="eastAsia"/>
          <w:lang w:eastAsia="ja-JP"/>
        </w:rPr>
        <w:t>t</w:t>
      </w:r>
      <w:r w:rsidRPr="00AD7C9F">
        <w:rPr>
          <w:rFonts w:hint="eastAsia"/>
          <w:lang w:eastAsia="ja-JP"/>
        </w:rPr>
        <w:t>he existing rate matching techniques are reused (i.e., RBs of UL band and guardband are not used for PDSCH transmission).</w:t>
      </w:r>
      <w:r>
        <w:rPr>
          <w:lang w:eastAsia="ja-JP"/>
        </w:rPr>
        <w:t xml:space="preserve"> T</w:t>
      </w:r>
      <w:r w:rsidR="00AB6D0E" w:rsidRPr="00482013">
        <w:rPr>
          <w:rFonts w:eastAsia="SimSun"/>
          <w:lang w:val="en-GB" w:eastAsia="zh-CN"/>
        </w:rPr>
        <w:t>he definition of TBS determination based on actual resource allocation could need to be clarified</w:t>
      </w:r>
      <w:r w:rsidR="00AB6D0E" w:rsidRPr="00A81243">
        <w:rPr>
          <w:rFonts w:eastAsia="SimSun"/>
          <w:lang w:val="en-GB" w:eastAsia="zh-CN"/>
        </w:rPr>
        <w:t>.</w:t>
      </w:r>
      <w:r w:rsidR="000D4798">
        <w:rPr>
          <w:rFonts w:eastAsia="SimSun"/>
          <w:lang w:val="en-GB" w:eastAsia="zh-CN"/>
        </w:rPr>
        <w:t xml:space="preserve"> </w:t>
      </w:r>
    </w:p>
    <w:p w14:paraId="5A95ACCC" w14:textId="6DD4F896" w:rsidR="00AD7C9F" w:rsidRDefault="00AD7C9F" w:rsidP="00AD7C9F">
      <w:pPr>
        <w:spacing w:after="120"/>
        <w:textAlignment w:val="center"/>
        <w:rPr>
          <w:rFonts w:eastAsia="SimSun"/>
          <w:lang w:val="en-GB" w:eastAsia="zh-CN"/>
        </w:rPr>
      </w:pPr>
      <w:r>
        <w:rPr>
          <w:rFonts w:hint="eastAsia"/>
          <w:lang w:eastAsia="ja-JP"/>
        </w:rPr>
        <w:t>F</w:t>
      </w:r>
      <w:r>
        <w:rPr>
          <w:lang w:eastAsia="ja-JP"/>
        </w:rPr>
        <w:t>or Option 3,</w:t>
      </w:r>
      <w:r>
        <w:rPr>
          <w:rFonts w:hint="eastAsia"/>
          <w:lang w:eastAsia="ja-JP"/>
        </w:rPr>
        <w:tab/>
        <w:t>PDSCH resource is allocated regardless of subbands, but actual transmission is carried out on DL subband.</w:t>
      </w:r>
      <w:r>
        <w:rPr>
          <w:lang w:eastAsia="ja-JP"/>
        </w:rPr>
        <w:t xml:space="preserve"> </w:t>
      </w:r>
      <w:r>
        <w:rPr>
          <w:rFonts w:hint="eastAsia"/>
          <w:lang w:eastAsia="ja-JP"/>
        </w:rPr>
        <w:t xml:space="preserve">This option can be similar behavior to </w:t>
      </w:r>
      <w:r w:rsidR="009B6B6A">
        <w:rPr>
          <w:lang w:eastAsia="ja-JP"/>
        </w:rPr>
        <w:t>O</w:t>
      </w:r>
      <w:r>
        <w:rPr>
          <w:rFonts w:hint="eastAsia"/>
          <w:lang w:eastAsia="ja-JP"/>
        </w:rPr>
        <w:t>ption 2, but the rate matching functionality is not used.</w:t>
      </w:r>
    </w:p>
    <w:p w14:paraId="38F95DB6" w14:textId="6051E2AD" w:rsidR="000D4798" w:rsidRPr="000D4798" w:rsidRDefault="001F71C2" w:rsidP="00002E6E">
      <w:pPr>
        <w:spacing w:after="120"/>
        <w:textAlignment w:val="center"/>
        <w:rPr>
          <w:rFonts w:eastAsia="SimSun"/>
          <w:lang w:val="en-GB" w:eastAsia="zh-CN"/>
        </w:rPr>
      </w:pPr>
      <w:r>
        <w:rPr>
          <w:rFonts w:eastAsia="SimSun"/>
          <w:lang w:val="en-GB" w:eastAsia="zh-CN"/>
        </w:rPr>
        <w:t>For each option</w:t>
      </w:r>
      <w:r w:rsidR="000D4798">
        <w:rPr>
          <w:rFonts w:eastAsia="SimSun"/>
          <w:lang w:val="en-GB" w:eastAsia="zh-CN"/>
        </w:rPr>
        <w:t xml:space="preserve">, how to adjust guardband size </w:t>
      </w:r>
      <w:r w:rsidR="008A6D5E">
        <w:rPr>
          <w:rFonts w:eastAsia="SimSun"/>
          <w:lang w:val="en-GB" w:eastAsia="zh-CN"/>
        </w:rPr>
        <w:t>can</w:t>
      </w:r>
      <w:r w:rsidR="000D4798">
        <w:rPr>
          <w:rFonts w:eastAsia="SimSun"/>
          <w:lang w:val="en-GB" w:eastAsia="zh-CN"/>
        </w:rPr>
        <w:t xml:space="preserve"> be </w:t>
      </w:r>
      <w:r w:rsidR="004317F0">
        <w:rPr>
          <w:rFonts w:eastAsia="SimSun"/>
          <w:lang w:val="en-GB" w:eastAsia="zh-CN"/>
        </w:rPr>
        <w:t>a</w:t>
      </w:r>
      <w:r w:rsidR="000D4798">
        <w:rPr>
          <w:rFonts w:eastAsia="SimSun"/>
          <w:lang w:val="en-GB" w:eastAsia="zh-CN"/>
        </w:rPr>
        <w:t xml:space="preserve"> potential discussion point. </w:t>
      </w:r>
      <w:r w:rsidR="00D37E7B">
        <w:rPr>
          <w:rFonts w:eastAsia="SimSun"/>
          <w:lang w:val="en-GB" w:eastAsia="zh-CN"/>
        </w:rPr>
        <w:t>Since t</w:t>
      </w:r>
      <w:r w:rsidR="000D4798" w:rsidRPr="000D4798">
        <w:rPr>
          <w:rFonts w:eastAsia="SimSun"/>
          <w:lang w:val="en-GB" w:eastAsia="zh-CN"/>
        </w:rPr>
        <w:t xml:space="preserve">he required guardband size </w:t>
      </w:r>
      <w:r w:rsidR="000413C7">
        <w:rPr>
          <w:rFonts w:eastAsia="SimSun"/>
          <w:lang w:val="en-GB" w:eastAsia="zh-CN"/>
        </w:rPr>
        <w:t>can</w:t>
      </w:r>
      <w:r w:rsidR="000D4798" w:rsidRPr="000D4798">
        <w:rPr>
          <w:rFonts w:eastAsia="SimSun"/>
          <w:lang w:val="en-GB" w:eastAsia="zh-CN"/>
        </w:rPr>
        <w:t xml:space="preserve"> be dependent on CLI</w:t>
      </w:r>
      <w:r w:rsidR="00D37E7B">
        <w:rPr>
          <w:rFonts w:eastAsia="SimSun"/>
          <w:lang w:val="en-GB" w:eastAsia="zh-CN"/>
        </w:rPr>
        <w:t xml:space="preserve">, </w:t>
      </w:r>
      <w:r w:rsidR="000413C7">
        <w:rPr>
          <w:rFonts w:eastAsia="SimSun"/>
          <w:lang w:val="en-GB" w:eastAsia="zh-CN"/>
        </w:rPr>
        <w:t xml:space="preserve">the adjustment of guardband size by resource allocation would be beneficial </w:t>
      </w:r>
      <w:r w:rsidR="000371F9">
        <w:rPr>
          <w:rFonts w:eastAsia="SimSun"/>
          <w:lang w:val="en-GB" w:eastAsia="zh-CN"/>
        </w:rPr>
        <w:t>(e.g.,</w:t>
      </w:r>
      <w:r w:rsidR="00926693">
        <w:rPr>
          <w:rFonts w:eastAsia="SimSun"/>
          <w:lang w:val="en-GB" w:eastAsia="zh-CN"/>
        </w:rPr>
        <w:t xml:space="preserve"> guardband size can be increased by</w:t>
      </w:r>
      <w:r w:rsidR="000371F9">
        <w:rPr>
          <w:rFonts w:eastAsia="SimSun"/>
          <w:lang w:val="en-GB" w:eastAsia="zh-CN"/>
        </w:rPr>
        <w:t xml:space="preserve"> </w:t>
      </w:r>
      <w:r w:rsidR="00926693">
        <w:rPr>
          <w:rFonts w:eastAsia="SimSun"/>
          <w:lang w:val="en-GB" w:eastAsia="zh-CN"/>
        </w:rPr>
        <w:t xml:space="preserve">not allocating </w:t>
      </w:r>
      <w:r w:rsidR="000371F9" w:rsidRPr="000371F9">
        <w:rPr>
          <w:rFonts w:eastAsia="SimSun"/>
          <w:lang w:val="en-GB" w:eastAsia="zh-CN"/>
        </w:rPr>
        <w:t>DL resource at edge of DL subband</w:t>
      </w:r>
      <w:r w:rsidR="000371F9">
        <w:rPr>
          <w:rFonts w:eastAsia="SimSun"/>
          <w:lang w:val="en-GB" w:eastAsia="zh-CN"/>
        </w:rPr>
        <w:t xml:space="preserve">, or </w:t>
      </w:r>
      <w:r w:rsidR="00926693">
        <w:rPr>
          <w:rFonts w:eastAsia="SimSun"/>
          <w:lang w:val="en-GB" w:eastAsia="zh-CN"/>
        </w:rPr>
        <w:t xml:space="preserve">guardband size can be reduced by allocating </w:t>
      </w:r>
      <w:r w:rsidR="000371F9" w:rsidRPr="000371F9">
        <w:rPr>
          <w:rFonts w:eastAsia="SimSun"/>
          <w:lang w:val="en-GB" w:eastAsia="zh-CN"/>
        </w:rPr>
        <w:t xml:space="preserve">DL resource </w:t>
      </w:r>
      <w:r w:rsidR="000371F9">
        <w:rPr>
          <w:rFonts w:eastAsia="SimSun"/>
          <w:lang w:val="en-GB" w:eastAsia="zh-CN"/>
        </w:rPr>
        <w:t>on</w:t>
      </w:r>
      <w:r w:rsidR="000371F9" w:rsidRPr="000371F9">
        <w:rPr>
          <w:rFonts w:eastAsia="SimSun"/>
          <w:lang w:val="en-GB" w:eastAsia="zh-CN"/>
        </w:rPr>
        <w:t xml:space="preserve"> guardband</w:t>
      </w:r>
      <w:r w:rsidR="000371F9">
        <w:rPr>
          <w:rFonts w:eastAsia="SimSun"/>
          <w:lang w:val="en-GB" w:eastAsia="zh-CN"/>
        </w:rPr>
        <w:t>).</w:t>
      </w:r>
    </w:p>
    <w:p w14:paraId="546CB279" w14:textId="11D7133E" w:rsidR="00484B7C" w:rsidRDefault="00484B7C" w:rsidP="00484B7C">
      <w:pPr>
        <w:textAlignment w:val="center"/>
        <w:rPr>
          <w:rFonts w:eastAsia="Microsoft YaHei"/>
          <w:b/>
          <w:bCs/>
          <w:lang w:val="en-GB" w:eastAsia="zh-CN"/>
        </w:rPr>
      </w:pPr>
      <w:r w:rsidRPr="009A1635">
        <w:rPr>
          <w:rFonts w:eastAsiaTheme="minorEastAsia"/>
          <w:b/>
          <w:bCs/>
          <w:lang w:val="en-GB" w:eastAsia="ja-JP"/>
        </w:rPr>
        <w:t xml:space="preserve">Proposal </w:t>
      </w:r>
      <w:r w:rsidR="00377D3C">
        <w:rPr>
          <w:rFonts w:eastAsiaTheme="minorEastAsia"/>
          <w:b/>
          <w:bCs/>
          <w:lang w:val="en-GB" w:eastAsia="ja-JP"/>
        </w:rPr>
        <w:t>9</w:t>
      </w:r>
      <w:r w:rsidRPr="009A1635">
        <w:rPr>
          <w:rFonts w:eastAsiaTheme="minorEastAsia"/>
          <w:b/>
          <w:bCs/>
          <w:lang w:val="en-GB" w:eastAsia="ja-JP"/>
        </w:rPr>
        <w:t xml:space="preserve">: </w:t>
      </w:r>
      <w:r w:rsidRPr="00482013">
        <w:rPr>
          <w:rFonts w:eastAsiaTheme="minorEastAsia"/>
          <w:b/>
          <w:bCs/>
          <w:lang w:eastAsia="zh-CN"/>
        </w:rPr>
        <w:t xml:space="preserve">Study </w:t>
      </w:r>
      <w:r w:rsidRPr="00482013">
        <w:rPr>
          <w:rFonts w:eastAsia="Microsoft YaHei"/>
          <w:b/>
          <w:bCs/>
          <w:lang w:val="en-GB" w:eastAsia="zh-CN"/>
        </w:rPr>
        <w:t>impact and potential enhancements for RA type 1 for PDSCH</w:t>
      </w:r>
      <w:r w:rsidR="00295488">
        <w:rPr>
          <w:rFonts w:eastAsia="Microsoft YaHei"/>
          <w:b/>
          <w:bCs/>
          <w:lang w:val="en-GB" w:eastAsia="zh-CN"/>
        </w:rPr>
        <w:t>.</w:t>
      </w:r>
    </w:p>
    <w:p w14:paraId="426505D4" w14:textId="77777777" w:rsidR="00295488" w:rsidRPr="00482013" w:rsidRDefault="00295488" w:rsidP="00484B7C">
      <w:pPr>
        <w:textAlignment w:val="center"/>
        <w:rPr>
          <w:rFonts w:eastAsia="SimSun"/>
          <w:b/>
          <w:bCs/>
          <w:lang w:val="en-GB" w:eastAsia="zh-CN"/>
        </w:rPr>
      </w:pPr>
    </w:p>
    <w:p w14:paraId="198623F4" w14:textId="60087C0D" w:rsidR="009A1635" w:rsidRDefault="001556B2" w:rsidP="00002E6E">
      <w:pPr>
        <w:keepNext/>
        <w:jc w:val="center"/>
      </w:pPr>
      <w:r>
        <w:rPr>
          <w:noProof/>
        </w:rPr>
        <w:lastRenderedPageBreak/>
        <w:drawing>
          <wp:inline distT="0" distB="0" distL="0" distR="0" wp14:anchorId="355246E9" wp14:editId="3C6C86F0">
            <wp:extent cx="2410210" cy="3197113"/>
            <wp:effectExtent l="0" t="0" r="0"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418222" cy="3207741"/>
                    </a:xfrm>
                    <a:prstGeom prst="rect">
                      <a:avLst/>
                    </a:prstGeom>
                    <a:noFill/>
                    <a:ln>
                      <a:noFill/>
                    </a:ln>
                  </pic:spPr>
                </pic:pic>
              </a:graphicData>
            </a:graphic>
          </wp:inline>
        </w:drawing>
      </w:r>
    </w:p>
    <w:p w14:paraId="5CF50B64" w14:textId="3371D010" w:rsidR="00BC7D37" w:rsidRDefault="009A1635" w:rsidP="00002E6E">
      <w:pPr>
        <w:pStyle w:val="ac"/>
        <w:jc w:val="center"/>
        <w:rPr>
          <w:lang w:val="en-GB" w:eastAsia="ja-JP"/>
        </w:rPr>
      </w:pPr>
      <w:bookmarkStart w:id="6" w:name="_Ref127375261"/>
      <w:r>
        <w:t xml:space="preserve">Figure </w:t>
      </w:r>
      <w:fldSimple w:instr=" SEQ Figure \* ARABIC ">
        <w:r w:rsidR="00461A99">
          <w:rPr>
            <w:noProof/>
          </w:rPr>
          <w:t>6</w:t>
        </w:r>
      </w:fldSimple>
      <w:bookmarkEnd w:id="6"/>
      <w:r w:rsidR="0033053E">
        <w:t xml:space="preserve">  </w:t>
      </w:r>
      <w:r w:rsidR="0033053E" w:rsidRPr="0033053E">
        <w:t>Enhanced VRB-to-PRB mapping</w:t>
      </w:r>
    </w:p>
    <w:p w14:paraId="746BFCB9" w14:textId="77777777" w:rsidR="009A1635" w:rsidRDefault="009A1635" w:rsidP="00B80898">
      <w:pPr>
        <w:rPr>
          <w:lang w:val="en-GB" w:eastAsia="ja-JP"/>
        </w:rPr>
      </w:pPr>
    </w:p>
    <w:p w14:paraId="14417A94" w14:textId="37612E4D" w:rsidR="00B36196" w:rsidRPr="00046EF5" w:rsidRDefault="00B36196" w:rsidP="00002E6E">
      <w:pPr>
        <w:pStyle w:val="3"/>
      </w:pPr>
      <w:r>
        <w:t>CSI-RS</w:t>
      </w:r>
    </w:p>
    <w:p w14:paraId="37CA3AE7" w14:textId="5AFDA0D7" w:rsidR="009B183D" w:rsidRDefault="005E4FC3" w:rsidP="009B183D">
      <w:pPr>
        <w:rPr>
          <w:lang w:val="en-GB" w:eastAsia="ja-JP"/>
        </w:rPr>
      </w:pPr>
      <w:r>
        <w:rPr>
          <w:rFonts w:hint="eastAsia"/>
          <w:lang w:val="en-GB" w:eastAsia="ja-JP"/>
        </w:rPr>
        <w:t>F</w:t>
      </w:r>
      <w:r>
        <w:rPr>
          <w:lang w:val="en-GB" w:eastAsia="ja-JP"/>
        </w:rPr>
        <w:t>or CSI-RS resource, the following agreement was made in RAN1#112.</w:t>
      </w:r>
    </w:p>
    <w:tbl>
      <w:tblPr>
        <w:tblStyle w:val="afc"/>
        <w:tblW w:w="0" w:type="auto"/>
        <w:tblLook w:val="04A0" w:firstRow="1" w:lastRow="0" w:firstColumn="1" w:lastColumn="0" w:noHBand="0" w:noVBand="1"/>
      </w:tblPr>
      <w:tblGrid>
        <w:gridCol w:w="9630"/>
      </w:tblGrid>
      <w:tr w:rsidR="009B183D" w14:paraId="300A1C31" w14:textId="10168537" w:rsidTr="00DD613C">
        <w:tc>
          <w:tcPr>
            <w:tcW w:w="9630" w:type="dxa"/>
          </w:tcPr>
          <w:p w14:paraId="644289C1" w14:textId="094278BD" w:rsidR="009B183D" w:rsidRDefault="009B183D" w:rsidP="00DD613C">
            <w:pPr>
              <w:spacing w:after="0"/>
              <w:jc w:val="both"/>
              <w:rPr>
                <w:rFonts w:eastAsia="Malgun Gothic" w:cs="Times"/>
                <w:b/>
                <w:highlight w:val="green"/>
                <w:lang w:eastAsia="zh-CN"/>
              </w:rPr>
            </w:pPr>
            <w:r w:rsidRPr="00803EF4">
              <w:rPr>
                <w:rFonts w:eastAsia="Malgun Gothic" w:cs="Times"/>
                <w:bCs/>
                <w:highlight w:val="green"/>
                <w:lang w:eastAsia="zh-CN"/>
              </w:rPr>
              <w:t>Agreement</w:t>
            </w:r>
          </w:p>
          <w:p w14:paraId="67ABA925" w14:textId="32FD912B" w:rsidR="009B183D" w:rsidRDefault="009B183D" w:rsidP="00DD613C">
            <w:pPr>
              <w:spacing w:after="0"/>
              <w:rPr>
                <w:rFonts w:eastAsia="Malgun Gothic" w:cs="Times"/>
                <w:lang w:eastAsia="zh-CN"/>
              </w:rPr>
            </w:pPr>
            <w:r>
              <w:rPr>
                <w:rFonts w:eastAsia="Malgun Gothic" w:cs="Times"/>
                <w:lang w:eastAsia="zh-CN"/>
              </w:rPr>
              <w:t>Study the frequency resource allocation for CSI-RS across downlink subbands for SBFD-aware UEs considering the following options:</w:t>
            </w:r>
          </w:p>
          <w:p w14:paraId="3F84F032" w14:textId="36C9022F" w:rsidR="009B183D" w:rsidRDefault="009B183D" w:rsidP="00DD613C">
            <w:pPr>
              <w:pStyle w:val="2a"/>
              <w:numPr>
                <w:ilvl w:val="1"/>
                <w:numId w:val="26"/>
              </w:numPr>
              <w:suppressAutoHyphens w:val="0"/>
              <w:spacing w:after="0"/>
              <w:rPr>
                <w:rFonts w:ascii="Times" w:eastAsia="Malgun Gothic" w:hAnsi="Times" w:cs="Times"/>
                <w:lang w:eastAsia="zh-CN"/>
              </w:rPr>
            </w:pPr>
            <w:r>
              <w:rPr>
                <w:rFonts w:ascii="Times" w:eastAsia="Malgun Gothic" w:hAnsi="Times" w:cs="Times"/>
                <w:lang w:eastAsia="zh-CN"/>
              </w:rPr>
              <w:t>Option 1: Two contiguous CSI-RS resources that are linked</w:t>
            </w:r>
          </w:p>
          <w:p w14:paraId="69FF7C63" w14:textId="4B21649D" w:rsidR="009B183D" w:rsidRDefault="009B183D" w:rsidP="00DD613C">
            <w:pPr>
              <w:pStyle w:val="2a"/>
              <w:numPr>
                <w:ilvl w:val="1"/>
                <w:numId w:val="26"/>
              </w:numPr>
              <w:suppressAutoHyphens w:val="0"/>
              <w:spacing w:after="0"/>
              <w:rPr>
                <w:rFonts w:ascii="Times" w:eastAsia="Malgun Gothic" w:hAnsi="Times" w:cs="Times"/>
                <w:lang w:eastAsia="zh-CN"/>
              </w:rPr>
            </w:pPr>
            <w:r>
              <w:rPr>
                <w:rFonts w:ascii="Times" w:eastAsia="Malgun Gothic" w:hAnsi="Times" w:cs="Times"/>
                <w:lang w:eastAsia="zh-CN"/>
              </w:rPr>
              <w:t>Option 2: One CSI-RS resource</w:t>
            </w:r>
          </w:p>
          <w:p w14:paraId="0953D416" w14:textId="1ECA7A60" w:rsidR="009B183D" w:rsidRPr="00DD613C" w:rsidRDefault="009B183D" w:rsidP="00DD613C">
            <w:pPr>
              <w:pStyle w:val="2a"/>
              <w:numPr>
                <w:ilvl w:val="2"/>
                <w:numId w:val="26"/>
              </w:numPr>
              <w:suppressAutoHyphens w:val="0"/>
              <w:spacing w:after="0"/>
              <w:rPr>
                <w:lang w:val="en-GB" w:eastAsia="ja-JP"/>
              </w:rPr>
            </w:pPr>
            <w:r>
              <w:rPr>
                <w:rFonts w:ascii="Times" w:eastAsia="Malgun Gothic" w:hAnsi="Times" w:cs="Times"/>
                <w:lang w:eastAsia="zh-CN"/>
              </w:rPr>
              <w:t>Option 2-1: Non-contiguous CSI-RS resource allocation</w:t>
            </w:r>
          </w:p>
          <w:p w14:paraId="6FFBF59B" w14:textId="0CED8BBD" w:rsidR="009B183D" w:rsidRPr="00DD613C" w:rsidRDefault="009B183D" w:rsidP="00803EF4">
            <w:pPr>
              <w:pStyle w:val="2a"/>
              <w:numPr>
                <w:ilvl w:val="2"/>
                <w:numId w:val="26"/>
              </w:numPr>
              <w:suppressAutoHyphens w:val="0"/>
              <w:spacing w:after="120"/>
              <w:ind w:left="1259"/>
              <w:rPr>
                <w:rFonts w:ascii="Times" w:hAnsi="Times" w:cs="Times"/>
                <w:lang w:val="en-GB" w:eastAsia="ja-JP"/>
              </w:rPr>
            </w:pPr>
            <w:r w:rsidRPr="00DD613C">
              <w:rPr>
                <w:rFonts w:ascii="Times" w:eastAsia="Malgun Gothic" w:hAnsi="Times" w:cs="Times"/>
                <w:lang w:eastAsia="zh-CN"/>
              </w:rPr>
              <w:t>Option 2-2: One contiguous CSI-RS resource allocation with non-contiguous CSI-RS resource derived by excluding frequency resources outside DL subband (s)</w:t>
            </w:r>
          </w:p>
        </w:tc>
      </w:tr>
    </w:tbl>
    <w:p w14:paraId="0EE85866" w14:textId="4B014142" w:rsidR="009B183D" w:rsidRDefault="009B183D" w:rsidP="009B183D">
      <w:pPr>
        <w:spacing w:after="0"/>
        <w:rPr>
          <w:lang w:val="en-GB" w:eastAsia="ja-JP"/>
        </w:rPr>
      </w:pPr>
    </w:p>
    <w:p w14:paraId="27D16023" w14:textId="7F1CC67D" w:rsidR="00A512B3" w:rsidRDefault="00A512B3" w:rsidP="00A512B3">
      <w:pPr>
        <w:rPr>
          <w:lang w:val="en-GB" w:eastAsia="ja-JP"/>
        </w:rPr>
      </w:pPr>
      <w:r>
        <w:rPr>
          <w:lang w:val="en-GB" w:eastAsia="ja-JP"/>
        </w:rPr>
        <w:t xml:space="preserve">In RAN1#112bis-e, </w:t>
      </w:r>
      <w:r w:rsidR="00E64309">
        <w:rPr>
          <w:lang w:val="en-GB" w:eastAsia="ja-JP"/>
        </w:rPr>
        <w:t xml:space="preserve">observations for each option were discussed and the following </w:t>
      </w:r>
      <w:r w:rsidR="00BF547E">
        <w:rPr>
          <w:lang w:val="en-GB" w:eastAsia="ja-JP"/>
        </w:rPr>
        <w:t>conclusion</w:t>
      </w:r>
      <w:r w:rsidR="00E64309">
        <w:rPr>
          <w:lang w:val="en-GB" w:eastAsia="ja-JP"/>
        </w:rPr>
        <w:t xml:space="preserve"> was made</w:t>
      </w:r>
      <w:r>
        <w:rPr>
          <w:lang w:val="en-GB" w:eastAsia="ja-JP"/>
        </w:rPr>
        <w:t>.</w:t>
      </w:r>
    </w:p>
    <w:tbl>
      <w:tblPr>
        <w:tblStyle w:val="afc"/>
        <w:tblW w:w="0" w:type="auto"/>
        <w:tblLook w:val="04A0" w:firstRow="1" w:lastRow="0" w:firstColumn="1" w:lastColumn="0" w:noHBand="0" w:noVBand="1"/>
      </w:tblPr>
      <w:tblGrid>
        <w:gridCol w:w="9630"/>
      </w:tblGrid>
      <w:tr w:rsidR="00A512B3" w14:paraId="592F5F1A" w14:textId="77777777" w:rsidTr="00A512B3">
        <w:tc>
          <w:tcPr>
            <w:tcW w:w="9630" w:type="dxa"/>
          </w:tcPr>
          <w:p w14:paraId="2F84E4EC" w14:textId="77777777" w:rsidR="00A512B3" w:rsidRPr="00874C09" w:rsidRDefault="00A512B3" w:rsidP="00803EF4">
            <w:pPr>
              <w:spacing w:after="0"/>
              <w:rPr>
                <w:u w:val="single"/>
                <w:lang w:eastAsia="ko-KR"/>
              </w:rPr>
            </w:pPr>
            <w:r w:rsidRPr="00874C09">
              <w:rPr>
                <w:u w:val="single"/>
                <w:lang w:eastAsia="ko-KR"/>
              </w:rPr>
              <w:t>Conclusion</w:t>
            </w:r>
          </w:p>
          <w:p w14:paraId="184EF8FE" w14:textId="77777777" w:rsidR="00A512B3" w:rsidRPr="00874C09" w:rsidRDefault="00A512B3" w:rsidP="00803EF4">
            <w:pPr>
              <w:spacing w:after="0"/>
              <w:rPr>
                <w:rFonts w:eastAsia="Malgun Gothic"/>
                <w:lang w:eastAsia="zh-CN"/>
              </w:rPr>
            </w:pPr>
            <w:r w:rsidRPr="00874C09">
              <w:rPr>
                <w:rFonts w:eastAsia="Malgun Gothic"/>
                <w:lang w:eastAsia="zh-CN"/>
              </w:rPr>
              <w:t xml:space="preserve">For the options agreed to study in RAN1#112 for </w:t>
            </w:r>
            <w:r w:rsidRPr="00874C09">
              <w:rPr>
                <w:rFonts w:eastAsia="Malgun Gothic"/>
              </w:rPr>
              <w:t>frequency resource allocation for CSI-RS across downlink subbands for SBFD-aware UEs</w:t>
            </w:r>
            <w:r w:rsidRPr="00874C09">
              <w:rPr>
                <w:rFonts w:eastAsia="Malgun Gothic"/>
                <w:lang w:eastAsia="zh-CN"/>
              </w:rPr>
              <w:t>, the following observations are agreed.</w:t>
            </w:r>
          </w:p>
          <w:p w14:paraId="28B2F826" w14:textId="77777777" w:rsidR="00A512B3" w:rsidRPr="00874C09" w:rsidRDefault="00A512B3" w:rsidP="00A512B3">
            <w:pPr>
              <w:numPr>
                <w:ilvl w:val="0"/>
                <w:numId w:val="33"/>
              </w:numPr>
              <w:spacing w:after="0"/>
              <w:rPr>
                <w:rFonts w:eastAsia="Malgun Gothic"/>
                <w:lang w:eastAsia="zh-CN"/>
              </w:rPr>
            </w:pPr>
            <w:r w:rsidRPr="00874C09">
              <w:rPr>
                <w:rFonts w:eastAsia="Malgun Gothic"/>
                <w:lang w:eastAsia="zh-CN"/>
              </w:rPr>
              <w:t>For all the options, there is no impact on CSI-RS sequence generation.</w:t>
            </w:r>
          </w:p>
          <w:p w14:paraId="74E69568" w14:textId="77777777" w:rsidR="00A512B3" w:rsidRPr="00874C09" w:rsidRDefault="00A512B3" w:rsidP="00A512B3">
            <w:pPr>
              <w:numPr>
                <w:ilvl w:val="0"/>
                <w:numId w:val="33"/>
              </w:numPr>
              <w:spacing w:after="0"/>
              <w:rPr>
                <w:rFonts w:eastAsia="Malgun Gothic"/>
                <w:lang w:eastAsia="zh-CN"/>
              </w:rPr>
            </w:pPr>
            <w:r w:rsidRPr="00874C09">
              <w:rPr>
                <w:rFonts w:eastAsia="Malgun Gothic"/>
                <w:lang w:eastAsia="zh-CN"/>
              </w:rPr>
              <w:t xml:space="preserve">Option 1 requires additional signalling to link two CSI-RS resources in two DL subbands. </w:t>
            </w:r>
          </w:p>
          <w:p w14:paraId="4CFE9B2F" w14:textId="77777777" w:rsidR="00A512B3" w:rsidRPr="00874C09" w:rsidRDefault="00A512B3" w:rsidP="00A512B3">
            <w:pPr>
              <w:numPr>
                <w:ilvl w:val="0"/>
                <w:numId w:val="33"/>
              </w:numPr>
              <w:spacing w:after="0"/>
              <w:rPr>
                <w:rFonts w:eastAsia="Malgun Gothic"/>
                <w:lang w:eastAsia="zh-CN"/>
              </w:rPr>
            </w:pPr>
            <w:r w:rsidRPr="00874C09">
              <w:rPr>
                <w:rFonts w:eastAsia="Malgun Gothic"/>
                <w:lang w:eastAsia="zh-CN"/>
              </w:rPr>
              <w:t xml:space="preserve">Option 2-1 requires new RRC structure to configure non-contiguous RBs for one CSI-RS resource, which may require additional signalling overhead. </w:t>
            </w:r>
          </w:p>
          <w:p w14:paraId="5E944332" w14:textId="77777777" w:rsidR="00A512B3" w:rsidRPr="00874C09" w:rsidRDefault="00A512B3" w:rsidP="00A512B3">
            <w:pPr>
              <w:numPr>
                <w:ilvl w:val="0"/>
                <w:numId w:val="33"/>
              </w:numPr>
              <w:spacing w:after="0"/>
              <w:rPr>
                <w:rFonts w:eastAsia="Malgun Gothic"/>
                <w:lang w:eastAsia="zh-CN"/>
              </w:rPr>
            </w:pPr>
            <w:r w:rsidRPr="00874C09">
              <w:rPr>
                <w:rFonts w:eastAsia="Malgun Gothic"/>
                <w:lang w:eastAsia="zh-CN"/>
              </w:rPr>
              <w:t>Option 2-2 can reuse the existing signalling design for CSI-RS resource configuration. Option 2-2 can be used to resolve the potential unaligned boundaries between CSI-RS resource configuration and SBFD subbands</w:t>
            </w:r>
          </w:p>
          <w:p w14:paraId="78E2CF4B" w14:textId="77777777" w:rsidR="00A512B3" w:rsidRPr="00874C09" w:rsidRDefault="00A512B3" w:rsidP="00A512B3">
            <w:pPr>
              <w:numPr>
                <w:ilvl w:val="0"/>
                <w:numId w:val="33"/>
              </w:numPr>
              <w:spacing w:after="0"/>
              <w:rPr>
                <w:rFonts w:eastAsia="Malgun Gothic"/>
                <w:lang w:eastAsia="zh-CN"/>
              </w:rPr>
            </w:pPr>
            <w:r w:rsidRPr="00874C09">
              <w:rPr>
                <w:rFonts w:eastAsia="Malgun Gothic"/>
                <w:lang w:eastAsia="zh-CN"/>
              </w:rPr>
              <w:t>Further discussion is required on the UE complexity due to</w:t>
            </w:r>
            <w:r w:rsidRPr="00874C09">
              <w:rPr>
                <w:rFonts w:eastAsia="Malgun Gothic" w:hint="eastAsia"/>
                <w:lang w:eastAsia="zh-CN"/>
              </w:rPr>
              <w:t>:</w:t>
            </w:r>
          </w:p>
          <w:p w14:paraId="3037734C" w14:textId="77777777" w:rsidR="00A512B3" w:rsidRPr="00874C09" w:rsidRDefault="00A512B3" w:rsidP="00A512B3">
            <w:pPr>
              <w:numPr>
                <w:ilvl w:val="1"/>
                <w:numId w:val="33"/>
              </w:numPr>
              <w:spacing w:after="0"/>
              <w:rPr>
                <w:rFonts w:eastAsia="Malgun Gothic"/>
                <w:lang w:eastAsia="zh-CN"/>
              </w:rPr>
            </w:pPr>
            <w:r w:rsidRPr="00874C09">
              <w:rPr>
                <w:rFonts w:eastAsia="Malgun Gothic"/>
                <w:lang w:eastAsia="zh-CN"/>
              </w:rPr>
              <w:t>UE capability of maximum number of configured CSI-RS resources</w:t>
            </w:r>
          </w:p>
          <w:p w14:paraId="0A9D8CCE" w14:textId="697F2FE4" w:rsidR="00A512B3" w:rsidRDefault="00A512B3" w:rsidP="00803EF4">
            <w:pPr>
              <w:numPr>
                <w:ilvl w:val="1"/>
                <w:numId w:val="33"/>
              </w:numPr>
              <w:spacing w:after="120"/>
              <w:ind w:left="1434" w:hanging="357"/>
              <w:rPr>
                <w:lang w:val="en-GB" w:eastAsia="ja-JP"/>
              </w:rPr>
            </w:pPr>
            <w:r w:rsidRPr="00874C09">
              <w:rPr>
                <w:rFonts w:eastAsia="Malgun Gothic"/>
                <w:lang w:eastAsia="zh-CN"/>
              </w:rPr>
              <w:t>Processing non-contiguous CSI-RS</w:t>
            </w:r>
          </w:p>
        </w:tc>
      </w:tr>
    </w:tbl>
    <w:p w14:paraId="4E09054C" w14:textId="77777777" w:rsidR="00A512B3" w:rsidRDefault="00A512B3" w:rsidP="00803EF4">
      <w:pPr>
        <w:spacing w:after="0"/>
        <w:rPr>
          <w:lang w:val="en-GB" w:eastAsia="ja-JP"/>
        </w:rPr>
      </w:pPr>
    </w:p>
    <w:p w14:paraId="5B42FD9C" w14:textId="751E5213" w:rsidR="005E4FC3" w:rsidRDefault="00A512B3" w:rsidP="007F32A5">
      <w:pPr>
        <w:rPr>
          <w:lang w:val="en-GB" w:eastAsia="ja-JP"/>
        </w:rPr>
      </w:pPr>
      <w:r>
        <w:rPr>
          <w:lang w:val="en-GB" w:eastAsia="ja-JP"/>
        </w:rPr>
        <w:t>From</w:t>
      </w:r>
      <w:r w:rsidR="00665315">
        <w:rPr>
          <w:rFonts w:hint="eastAsia"/>
          <w:lang w:val="en-GB" w:eastAsia="ja-JP"/>
        </w:rPr>
        <w:t xml:space="preserve"> UE</w:t>
      </w:r>
      <w:r w:rsidR="00665315">
        <w:rPr>
          <w:lang w:val="en-GB" w:eastAsia="ja-JP"/>
        </w:rPr>
        <w:t xml:space="preserve"> </w:t>
      </w:r>
      <w:r>
        <w:rPr>
          <w:lang w:val="en-GB" w:eastAsia="ja-JP"/>
        </w:rPr>
        <w:t xml:space="preserve">complexity perspective, </w:t>
      </w:r>
      <w:r w:rsidR="00DC6512">
        <w:rPr>
          <w:lang w:val="en-GB" w:eastAsia="ja-JP"/>
        </w:rPr>
        <w:t xml:space="preserve">option 1 would </w:t>
      </w:r>
      <w:r w:rsidR="003C7DC9">
        <w:rPr>
          <w:lang w:val="en-GB" w:eastAsia="ja-JP"/>
        </w:rPr>
        <w:t xml:space="preserve">be more </w:t>
      </w:r>
      <w:r w:rsidR="00DC6512">
        <w:rPr>
          <w:lang w:val="en-GB" w:eastAsia="ja-JP"/>
        </w:rPr>
        <w:t>complex</w:t>
      </w:r>
      <w:r w:rsidR="003C7DC9">
        <w:rPr>
          <w:lang w:val="en-GB" w:eastAsia="ja-JP"/>
        </w:rPr>
        <w:t xml:space="preserve"> on how to link two CSI-RS resources. If </w:t>
      </w:r>
      <w:r w:rsidR="009E7368" w:rsidRPr="009E7368">
        <w:rPr>
          <w:lang w:val="en-GB" w:eastAsia="ja-JP"/>
        </w:rPr>
        <w:t>two CSI-RS resources with different configurations other than frequency domain resource allocation are allowed to be linked</w:t>
      </w:r>
      <w:r w:rsidR="003C7DC9">
        <w:rPr>
          <w:lang w:val="en-GB" w:eastAsia="ja-JP"/>
        </w:rPr>
        <w:t xml:space="preserve">, </w:t>
      </w:r>
      <w:r w:rsidR="009E7368">
        <w:rPr>
          <w:lang w:val="en-GB" w:eastAsia="ja-JP"/>
        </w:rPr>
        <w:t>i</w:t>
      </w:r>
      <w:r w:rsidR="009E7368" w:rsidRPr="009E7368">
        <w:rPr>
          <w:lang w:val="en-GB" w:eastAsia="ja-JP"/>
        </w:rPr>
        <w:t xml:space="preserve">t is necessary to specify how to handle </w:t>
      </w:r>
      <w:r w:rsidR="00B03F02" w:rsidRPr="00B03F02">
        <w:rPr>
          <w:lang w:val="en-GB" w:eastAsia="ja-JP"/>
        </w:rPr>
        <w:t>CSI-RS resources with different configurations</w:t>
      </w:r>
      <w:r w:rsidR="009E7368" w:rsidRPr="009E7368">
        <w:rPr>
          <w:lang w:val="en-GB" w:eastAsia="ja-JP"/>
        </w:rPr>
        <w:t xml:space="preserve">, and such handling </w:t>
      </w:r>
      <w:r w:rsidR="009E7368">
        <w:rPr>
          <w:lang w:val="en-GB" w:eastAsia="ja-JP"/>
        </w:rPr>
        <w:t xml:space="preserve">would </w:t>
      </w:r>
      <w:r w:rsidR="009E7368" w:rsidRPr="009E7368">
        <w:rPr>
          <w:lang w:val="en-GB" w:eastAsia="ja-JP"/>
        </w:rPr>
        <w:t xml:space="preserve">increase </w:t>
      </w:r>
      <w:r w:rsidR="009E7368">
        <w:rPr>
          <w:lang w:val="en-GB" w:eastAsia="ja-JP"/>
        </w:rPr>
        <w:t>UE</w:t>
      </w:r>
      <w:r w:rsidR="009E7368" w:rsidRPr="009E7368">
        <w:rPr>
          <w:lang w:val="en-GB" w:eastAsia="ja-JP"/>
        </w:rPr>
        <w:t xml:space="preserve"> complexity.</w:t>
      </w:r>
      <w:r w:rsidR="009E7368">
        <w:rPr>
          <w:lang w:val="en-GB" w:eastAsia="ja-JP"/>
        </w:rPr>
        <w:t xml:space="preserve"> </w:t>
      </w:r>
      <w:r w:rsidR="00030252">
        <w:rPr>
          <w:lang w:val="en-GB" w:eastAsia="ja-JP"/>
        </w:rPr>
        <w:t xml:space="preserve">If </w:t>
      </w:r>
      <w:r w:rsidR="002700D9">
        <w:rPr>
          <w:lang w:val="en-GB" w:eastAsia="ja-JP"/>
        </w:rPr>
        <w:t xml:space="preserve">only frequency domain resource allocation is the </w:t>
      </w:r>
      <w:r w:rsidR="009E7368">
        <w:rPr>
          <w:lang w:val="en-GB" w:eastAsia="ja-JP"/>
        </w:rPr>
        <w:t xml:space="preserve">difference </w:t>
      </w:r>
      <w:r w:rsidR="00767815">
        <w:rPr>
          <w:lang w:val="en-GB" w:eastAsia="ja-JP"/>
        </w:rPr>
        <w:t>between</w:t>
      </w:r>
      <w:r w:rsidR="009E7368">
        <w:rPr>
          <w:lang w:val="en-GB" w:eastAsia="ja-JP"/>
        </w:rPr>
        <w:t xml:space="preserve"> two CSI-RS resource</w:t>
      </w:r>
      <w:r w:rsidR="00CD32B7">
        <w:rPr>
          <w:lang w:val="en-GB" w:eastAsia="ja-JP"/>
        </w:rPr>
        <w:t>s</w:t>
      </w:r>
      <w:r w:rsidR="009E7368">
        <w:rPr>
          <w:lang w:val="en-GB" w:eastAsia="ja-JP"/>
        </w:rPr>
        <w:t xml:space="preserve">, </w:t>
      </w:r>
      <w:r w:rsidR="00CD32B7">
        <w:rPr>
          <w:lang w:val="en-GB" w:eastAsia="ja-JP"/>
        </w:rPr>
        <w:t xml:space="preserve">it just </w:t>
      </w:r>
      <w:r w:rsidR="00CD32B7">
        <w:rPr>
          <w:lang w:val="en-GB" w:eastAsia="ja-JP"/>
        </w:rPr>
        <w:lastRenderedPageBreak/>
        <w:t xml:space="preserve">increases </w:t>
      </w:r>
      <w:r w:rsidR="00344DBA">
        <w:rPr>
          <w:lang w:val="en-GB" w:eastAsia="ja-JP"/>
        </w:rPr>
        <w:t>sig</w:t>
      </w:r>
      <w:r w:rsidR="009B7405">
        <w:rPr>
          <w:lang w:val="en-GB" w:eastAsia="ja-JP"/>
        </w:rPr>
        <w:t>n</w:t>
      </w:r>
      <w:r w:rsidR="00344DBA">
        <w:rPr>
          <w:lang w:val="en-GB" w:eastAsia="ja-JP"/>
        </w:rPr>
        <w:t xml:space="preserve">aling </w:t>
      </w:r>
      <w:r w:rsidR="00CD32B7">
        <w:rPr>
          <w:lang w:val="en-GB" w:eastAsia="ja-JP"/>
        </w:rPr>
        <w:t>overhead.</w:t>
      </w:r>
      <w:r w:rsidR="00CB17B1">
        <w:rPr>
          <w:lang w:val="en-GB" w:eastAsia="ja-JP"/>
        </w:rPr>
        <w:t xml:space="preserve"> </w:t>
      </w:r>
      <w:r w:rsidR="00415F84">
        <w:rPr>
          <w:lang w:val="en-GB" w:eastAsia="ja-JP"/>
        </w:rPr>
        <w:t xml:space="preserve">Thus, our preference is option 2. </w:t>
      </w:r>
      <w:r w:rsidR="00F76FBB">
        <w:rPr>
          <w:lang w:val="en-GB" w:eastAsia="ja-JP"/>
        </w:rPr>
        <w:t>Comparing</w:t>
      </w:r>
      <w:r w:rsidR="00A61F35">
        <w:rPr>
          <w:lang w:val="en-GB" w:eastAsia="ja-JP"/>
        </w:rPr>
        <w:t xml:space="preserve"> </w:t>
      </w:r>
      <w:r w:rsidR="00F76FBB">
        <w:rPr>
          <w:rFonts w:eastAsia="Malgun Gothic"/>
          <w:lang w:eastAsia="zh-CN"/>
        </w:rPr>
        <w:t>o</w:t>
      </w:r>
      <w:r w:rsidR="00A61F35" w:rsidRPr="00874C09">
        <w:rPr>
          <w:rFonts w:eastAsia="Malgun Gothic"/>
          <w:lang w:eastAsia="zh-CN"/>
        </w:rPr>
        <w:t>ption 2-1</w:t>
      </w:r>
      <w:r w:rsidR="00A61F35">
        <w:rPr>
          <w:rFonts w:eastAsia="Malgun Gothic"/>
          <w:lang w:eastAsia="zh-CN"/>
        </w:rPr>
        <w:t xml:space="preserve"> and </w:t>
      </w:r>
      <w:r w:rsidR="00F76FBB">
        <w:rPr>
          <w:rFonts w:eastAsia="Malgun Gothic"/>
          <w:lang w:eastAsia="zh-CN"/>
        </w:rPr>
        <w:t>o</w:t>
      </w:r>
      <w:r w:rsidR="00A61F35" w:rsidRPr="00874C09">
        <w:rPr>
          <w:rFonts w:eastAsia="Malgun Gothic"/>
          <w:lang w:eastAsia="zh-CN"/>
        </w:rPr>
        <w:t>ption 2-</w:t>
      </w:r>
      <w:r w:rsidR="00A61F35">
        <w:rPr>
          <w:rFonts w:eastAsia="Malgun Gothic"/>
          <w:lang w:eastAsia="zh-CN"/>
        </w:rPr>
        <w:t xml:space="preserve">2, </w:t>
      </w:r>
      <w:r w:rsidR="00F76FBB">
        <w:rPr>
          <w:rFonts w:eastAsia="Malgun Gothic"/>
          <w:lang w:eastAsia="zh-CN"/>
        </w:rPr>
        <w:t>o</w:t>
      </w:r>
      <w:r w:rsidR="00A61F35" w:rsidRPr="00874C09">
        <w:rPr>
          <w:rFonts w:eastAsia="Malgun Gothic"/>
          <w:lang w:eastAsia="zh-CN"/>
        </w:rPr>
        <w:t>ption 2-1</w:t>
      </w:r>
      <w:r w:rsidR="00A61F35">
        <w:rPr>
          <w:rFonts w:eastAsia="Malgun Gothic"/>
          <w:lang w:eastAsia="zh-CN"/>
        </w:rPr>
        <w:t xml:space="preserve"> is </w:t>
      </w:r>
      <w:r w:rsidR="00F76FBB">
        <w:rPr>
          <w:rFonts w:eastAsia="Malgun Gothic"/>
          <w:lang w:eastAsia="zh-CN"/>
        </w:rPr>
        <w:t xml:space="preserve">more </w:t>
      </w:r>
      <w:r w:rsidR="00A61F35">
        <w:rPr>
          <w:rFonts w:eastAsia="Malgun Gothic"/>
          <w:lang w:eastAsia="zh-CN"/>
        </w:rPr>
        <w:t xml:space="preserve">flexible than </w:t>
      </w:r>
      <w:r w:rsidR="00F76FBB">
        <w:rPr>
          <w:rFonts w:eastAsia="Malgun Gothic"/>
          <w:lang w:eastAsia="zh-CN"/>
        </w:rPr>
        <w:t>o</w:t>
      </w:r>
      <w:r w:rsidR="00A61F35" w:rsidRPr="00874C09">
        <w:rPr>
          <w:rFonts w:eastAsia="Malgun Gothic"/>
          <w:lang w:eastAsia="zh-CN"/>
        </w:rPr>
        <w:t>ption 2-</w:t>
      </w:r>
      <w:r w:rsidR="00A61F35">
        <w:rPr>
          <w:rFonts w:eastAsia="Malgun Gothic"/>
          <w:lang w:eastAsia="zh-CN"/>
        </w:rPr>
        <w:t xml:space="preserve">2, </w:t>
      </w:r>
      <w:r w:rsidR="008C2025">
        <w:rPr>
          <w:rFonts w:eastAsia="Malgun Gothic"/>
          <w:lang w:eastAsia="zh-CN"/>
        </w:rPr>
        <w:t xml:space="preserve">but </w:t>
      </w:r>
      <w:r w:rsidR="00F76FBB">
        <w:rPr>
          <w:rFonts w:eastAsia="Malgun Gothic"/>
          <w:lang w:eastAsia="zh-CN"/>
        </w:rPr>
        <w:t>o</w:t>
      </w:r>
      <w:r w:rsidR="00A61F35">
        <w:rPr>
          <w:rFonts w:eastAsia="Malgun Gothic"/>
          <w:lang w:eastAsia="zh-CN"/>
        </w:rPr>
        <w:t xml:space="preserve">ption 2-2 </w:t>
      </w:r>
      <w:r w:rsidR="008C2025">
        <w:rPr>
          <w:rFonts w:eastAsia="Malgun Gothic"/>
          <w:lang w:eastAsia="zh-CN"/>
        </w:rPr>
        <w:t>can reduce</w:t>
      </w:r>
      <w:r w:rsidR="00A61F35">
        <w:rPr>
          <w:rFonts w:eastAsia="Malgun Gothic"/>
          <w:lang w:eastAsia="zh-CN"/>
        </w:rPr>
        <w:t xml:space="preserve"> signaling overhead. </w:t>
      </w:r>
      <w:r w:rsidR="0097589A" w:rsidRPr="0097589A">
        <w:rPr>
          <w:lang w:val="en-GB" w:eastAsia="ja-JP"/>
        </w:rPr>
        <w:t>We are open to study option 2-1 and option 2-2.</w:t>
      </w:r>
    </w:p>
    <w:p w14:paraId="576AF1D5" w14:textId="0309EE26" w:rsidR="00642956" w:rsidRDefault="00642956" w:rsidP="007F32A5">
      <w:pPr>
        <w:rPr>
          <w:lang w:val="en-GB" w:eastAsia="ja-JP"/>
        </w:rPr>
      </w:pPr>
      <w:r w:rsidRPr="00CF600D">
        <w:rPr>
          <w:b/>
          <w:bCs/>
          <w:lang w:eastAsia="ja-JP"/>
        </w:rPr>
        <w:t xml:space="preserve">Proposal </w:t>
      </w:r>
      <w:r w:rsidR="00D3622A">
        <w:rPr>
          <w:b/>
          <w:bCs/>
          <w:lang w:eastAsia="ja-JP"/>
        </w:rPr>
        <w:t>10</w:t>
      </w:r>
      <w:r w:rsidRPr="00140F96">
        <w:rPr>
          <w:rFonts w:hint="eastAsia"/>
          <w:b/>
          <w:bCs/>
          <w:lang w:eastAsia="ja-JP"/>
        </w:rPr>
        <w:t>:</w:t>
      </w:r>
      <w:r w:rsidRPr="000B3CDF">
        <w:rPr>
          <w:rFonts w:hint="eastAsia"/>
          <w:b/>
          <w:bCs/>
          <w:lang w:eastAsia="ja-JP"/>
        </w:rPr>
        <w:t xml:space="preserve"> </w:t>
      </w:r>
      <w:r>
        <w:rPr>
          <w:b/>
          <w:bCs/>
          <w:lang w:eastAsia="ja-JP"/>
        </w:rPr>
        <w:t xml:space="preserve">For </w:t>
      </w:r>
      <w:r w:rsidRPr="00642956">
        <w:rPr>
          <w:b/>
          <w:bCs/>
          <w:lang w:eastAsia="ja-JP"/>
        </w:rPr>
        <w:t>the frequency resource allocation for CSI-RS across downlink subbands</w:t>
      </w:r>
      <w:r>
        <w:rPr>
          <w:b/>
          <w:bCs/>
          <w:lang w:eastAsia="ja-JP"/>
        </w:rPr>
        <w:t xml:space="preserve">, support </w:t>
      </w:r>
      <w:r w:rsidR="00422648">
        <w:rPr>
          <w:b/>
          <w:bCs/>
          <w:lang w:eastAsia="ja-JP"/>
        </w:rPr>
        <w:t>O</w:t>
      </w:r>
      <w:r>
        <w:rPr>
          <w:b/>
          <w:bCs/>
          <w:lang w:eastAsia="ja-JP"/>
        </w:rPr>
        <w:t>ption 2 (o</w:t>
      </w:r>
      <w:r w:rsidRPr="00642956">
        <w:rPr>
          <w:b/>
          <w:bCs/>
          <w:lang w:eastAsia="ja-JP"/>
        </w:rPr>
        <w:t>ne CSI-RS resource</w:t>
      </w:r>
      <w:r>
        <w:rPr>
          <w:b/>
          <w:bCs/>
          <w:lang w:eastAsia="ja-JP"/>
        </w:rPr>
        <w:t>).</w:t>
      </w:r>
    </w:p>
    <w:p w14:paraId="291439B9" w14:textId="77777777" w:rsidR="00A9049F" w:rsidRPr="00B80898" w:rsidRDefault="00A9049F" w:rsidP="0007044A">
      <w:pPr>
        <w:rPr>
          <w:lang w:val="en-GB" w:eastAsia="ja-JP"/>
        </w:rPr>
      </w:pPr>
    </w:p>
    <w:p w14:paraId="1C8AC581" w14:textId="6ECBE88E" w:rsidR="00046EF5" w:rsidRPr="00B36196" w:rsidRDefault="00046EF5" w:rsidP="00046EF5">
      <w:pPr>
        <w:pStyle w:val="2"/>
        <w:tabs>
          <w:tab w:val="clear" w:pos="1135"/>
        </w:tabs>
      </w:pPr>
      <w:r>
        <w:rPr>
          <w:rFonts w:hint="eastAsia"/>
        </w:rPr>
        <w:t>Oth</w:t>
      </w:r>
      <w:r>
        <w:t>e</w:t>
      </w:r>
      <w:r>
        <w:rPr>
          <w:rFonts w:hint="eastAsia"/>
        </w:rPr>
        <w:t>r</w:t>
      </w:r>
      <w:r w:rsidRPr="00A65A9C">
        <w:t xml:space="preserve"> </w:t>
      </w:r>
      <w:r w:rsidR="00D67833">
        <w:t xml:space="preserve">potential </w:t>
      </w:r>
      <w:r w:rsidRPr="00A65A9C">
        <w:t>enhancements</w:t>
      </w:r>
    </w:p>
    <w:p w14:paraId="5D23244F" w14:textId="38597540" w:rsidR="00E861AB" w:rsidRPr="005B433D" w:rsidRDefault="00C11351" w:rsidP="00E861AB">
      <w:pPr>
        <w:pStyle w:val="3"/>
      </w:pPr>
      <w:r>
        <w:t>Timing alignment</w:t>
      </w:r>
      <w:r w:rsidR="00FC341B">
        <w:t xml:space="preserve"> </w:t>
      </w:r>
    </w:p>
    <w:p w14:paraId="2A8D780A" w14:textId="3F304AF2" w:rsidR="00CB17B1" w:rsidRPr="00803EF4" w:rsidRDefault="00A85810" w:rsidP="002729D2">
      <w:pPr>
        <w:rPr>
          <w:rFonts w:eastAsiaTheme="minorEastAsia"/>
          <w:lang w:eastAsia="ja-JP"/>
        </w:rPr>
      </w:pPr>
      <w:r w:rsidRPr="00803EF4">
        <w:rPr>
          <w:rFonts w:eastAsiaTheme="minorEastAsia"/>
          <w:lang w:eastAsia="ja-JP"/>
        </w:rPr>
        <w:t xml:space="preserve">In </w:t>
      </w:r>
      <w:r w:rsidR="0043077A">
        <w:rPr>
          <w:rFonts w:eastAsiaTheme="minorEastAsia"/>
          <w:lang w:eastAsia="ja-JP"/>
        </w:rPr>
        <w:t>RAN1#</w:t>
      </w:r>
      <w:r w:rsidR="00E04296">
        <w:rPr>
          <w:rFonts w:eastAsiaTheme="minorEastAsia"/>
          <w:lang w:eastAsia="ja-JP"/>
        </w:rPr>
        <w:t xml:space="preserve">112bis-e, </w:t>
      </w:r>
      <w:r w:rsidR="007D27D5">
        <w:rPr>
          <w:rFonts w:eastAsiaTheme="minorEastAsia"/>
          <w:lang w:eastAsia="ja-JP"/>
        </w:rPr>
        <w:t xml:space="preserve">the following conclusion </w:t>
      </w:r>
      <w:r w:rsidR="00FE7446">
        <w:rPr>
          <w:rFonts w:eastAsiaTheme="minorEastAsia"/>
          <w:lang w:eastAsia="ja-JP"/>
        </w:rPr>
        <w:t xml:space="preserve">was made on </w:t>
      </w:r>
      <w:r w:rsidR="00FE7446">
        <w:rPr>
          <w:rFonts w:cs="Times"/>
          <w:lang w:eastAsia="zh-CN"/>
        </w:rPr>
        <w:t>t</w:t>
      </w:r>
      <w:r w:rsidR="00FE7446" w:rsidRPr="0058764F">
        <w:rPr>
          <w:rFonts w:cs="Times"/>
          <w:lang w:eastAsia="zh-CN"/>
        </w:rPr>
        <w:t>ime misalignment at gNB between UL receptions and DL transmissions</w:t>
      </w:r>
      <w:r w:rsidR="00FE7446">
        <w:rPr>
          <w:rFonts w:cs="Times"/>
          <w:lang w:eastAsia="zh-CN"/>
        </w:rPr>
        <w:t>.</w:t>
      </w:r>
    </w:p>
    <w:tbl>
      <w:tblPr>
        <w:tblStyle w:val="afc"/>
        <w:tblW w:w="0" w:type="auto"/>
        <w:tblLook w:val="04A0" w:firstRow="1" w:lastRow="0" w:firstColumn="1" w:lastColumn="0" w:noHBand="0" w:noVBand="1"/>
      </w:tblPr>
      <w:tblGrid>
        <w:gridCol w:w="9630"/>
      </w:tblGrid>
      <w:tr w:rsidR="00CB17B1" w14:paraId="2522F7D1" w14:textId="77777777" w:rsidTr="00CB17B1">
        <w:tc>
          <w:tcPr>
            <w:tcW w:w="9630" w:type="dxa"/>
          </w:tcPr>
          <w:p w14:paraId="3CC4775C" w14:textId="77777777" w:rsidR="00CB17B1" w:rsidRPr="00803EF4" w:rsidRDefault="00CB17B1" w:rsidP="00803EF4">
            <w:pPr>
              <w:spacing w:after="0"/>
              <w:rPr>
                <w:rFonts w:eastAsia="Malgun Gothic" w:cs="Times"/>
                <w:szCs w:val="21"/>
                <w:u w:val="single"/>
                <w:lang w:eastAsia="zh-CN"/>
              </w:rPr>
            </w:pPr>
            <w:r w:rsidRPr="00803EF4">
              <w:rPr>
                <w:rFonts w:cs="Times"/>
                <w:u w:val="single"/>
                <w:lang w:eastAsia="zh-CN"/>
              </w:rPr>
              <w:t>Conclusion</w:t>
            </w:r>
          </w:p>
          <w:p w14:paraId="5823E095" w14:textId="77777777" w:rsidR="00CB17B1" w:rsidRPr="0058764F" w:rsidRDefault="00CB17B1" w:rsidP="00803EF4">
            <w:pPr>
              <w:spacing w:after="0"/>
              <w:rPr>
                <w:rFonts w:cs="Times"/>
                <w:lang w:eastAsia="zh-CN"/>
              </w:rPr>
            </w:pPr>
            <w:r w:rsidRPr="0058764F">
              <w:rPr>
                <w:rFonts w:cs="Times"/>
                <w:lang w:eastAsia="zh-CN"/>
              </w:rPr>
              <w:t>Time misalignment at gNB between UL receptions and DL transmissions due to configuration of non-zero N</w:t>
            </w:r>
            <w:r w:rsidRPr="0058764F">
              <w:rPr>
                <w:rFonts w:cs="Times"/>
                <w:vertAlign w:val="subscript"/>
                <w:lang w:eastAsia="zh-CN"/>
              </w:rPr>
              <w:t xml:space="preserve">TA,offset </w:t>
            </w:r>
            <w:r w:rsidRPr="0058764F">
              <w:rPr>
                <w:rFonts w:cs="Times"/>
                <w:lang w:eastAsia="zh-CN"/>
              </w:rPr>
              <w:t>at UE can lead to increased interference assuming no gNB transmit chain impairments and no filtering of DL subband(s) in the gNB Rx chain.</w:t>
            </w:r>
          </w:p>
          <w:p w14:paraId="736B9E00" w14:textId="3BEEE556" w:rsidR="00CB17B1" w:rsidRDefault="00CB17B1" w:rsidP="00CB17B1">
            <w:pPr>
              <w:numPr>
                <w:ilvl w:val="0"/>
                <w:numId w:val="34"/>
              </w:numPr>
              <w:spacing w:after="0"/>
              <w:rPr>
                <w:rFonts w:eastAsia="Malgun Gothic"/>
                <w:lang w:eastAsia="zh-CN"/>
              </w:rPr>
            </w:pPr>
            <w:r w:rsidRPr="0058764F">
              <w:rPr>
                <w:rFonts w:eastAsia="Malgun Gothic"/>
                <w:lang w:eastAsia="zh-CN"/>
              </w:rPr>
              <w:t>FFS the case with gNB transmit chain impairments and/or filtering of DL subband(s) in the gNB Rx chain</w:t>
            </w:r>
          </w:p>
          <w:p w14:paraId="559736ED" w14:textId="4F026921" w:rsidR="00CB17B1" w:rsidRDefault="00CB17B1" w:rsidP="00803EF4">
            <w:pPr>
              <w:numPr>
                <w:ilvl w:val="0"/>
                <w:numId w:val="34"/>
              </w:numPr>
              <w:spacing w:after="120"/>
              <w:ind w:hanging="357"/>
              <w:rPr>
                <w:rFonts w:eastAsiaTheme="minorEastAsia"/>
                <w:i/>
                <w:iCs/>
              </w:rPr>
            </w:pPr>
            <w:r w:rsidRPr="0058764F">
              <w:rPr>
                <w:rFonts w:eastAsia="Malgun Gothic"/>
                <w:lang w:eastAsia="zh-CN"/>
              </w:rPr>
              <w:t>FFS whether/how to mitigate the interference increase, including impact to legacy UEs</w:t>
            </w:r>
          </w:p>
        </w:tc>
      </w:tr>
    </w:tbl>
    <w:p w14:paraId="32B2564E" w14:textId="77777777" w:rsidR="00CB17B1" w:rsidRDefault="00CB17B1" w:rsidP="00803EF4">
      <w:pPr>
        <w:spacing w:after="0"/>
        <w:rPr>
          <w:rFonts w:eastAsiaTheme="minorEastAsia"/>
          <w:i/>
          <w:iCs/>
        </w:rPr>
      </w:pPr>
    </w:p>
    <w:p w14:paraId="319BF60E" w14:textId="190A141D" w:rsidR="002729D2" w:rsidRDefault="002729D2" w:rsidP="002729D2">
      <w:pPr>
        <w:rPr>
          <w:rFonts w:eastAsiaTheme="minorEastAsia"/>
        </w:rPr>
      </w:pPr>
      <w:r w:rsidRPr="00D11DDC">
        <w:rPr>
          <w:rFonts w:eastAsiaTheme="minorEastAsia"/>
          <w:i/>
          <w:iCs/>
        </w:rPr>
        <w:t>N</w:t>
      </w:r>
      <w:r w:rsidRPr="005732BA">
        <w:rPr>
          <w:rFonts w:eastAsiaTheme="minorEastAsia"/>
          <w:vertAlign w:val="subscript"/>
        </w:rPr>
        <w:t>TA,offset</w:t>
      </w:r>
      <w:r>
        <w:rPr>
          <w:rFonts w:eastAsiaTheme="minorEastAsia"/>
        </w:rPr>
        <w:t xml:space="preserve"> can be used for switching gap from UL symbol to DL symbol at gNB. On</w:t>
      </w:r>
      <w:r w:rsidRPr="00862B17">
        <w:rPr>
          <w:rFonts w:eastAsiaTheme="minorEastAsia"/>
        </w:rPr>
        <w:t xml:space="preserve"> SBFD </w:t>
      </w:r>
      <w:r>
        <w:rPr>
          <w:rFonts w:eastAsiaTheme="minorEastAsia"/>
        </w:rPr>
        <w:t>symbol</w:t>
      </w:r>
      <w:r w:rsidRPr="00862B17">
        <w:rPr>
          <w:rFonts w:eastAsiaTheme="minorEastAsia"/>
        </w:rPr>
        <w:t xml:space="preserve">, there </w:t>
      </w:r>
      <w:r w:rsidR="00423FDD">
        <w:rPr>
          <w:rFonts w:eastAsiaTheme="minorEastAsia"/>
        </w:rPr>
        <w:t>are</w:t>
      </w:r>
      <w:r w:rsidRPr="00862B17">
        <w:rPr>
          <w:rFonts w:eastAsiaTheme="minorEastAsia"/>
        </w:rPr>
        <w:t xml:space="preserve"> DL subband and UL subband in </w:t>
      </w:r>
      <w:r>
        <w:rPr>
          <w:rFonts w:eastAsiaTheme="minorEastAsia"/>
        </w:rPr>
        <w:t xml:space="preserve">the same </w:t>
      </w:r>
      <w:r w:rsidRPr="00862B17">
        <w:rPr>
          <w:rFonts w:eastAsiaTheme="minorEastAsia"/>
        </w:rPr>
        <w:t>symbol.</w:t>
      </w:r>
      <w:r>
        <w:rPr>
          <w:rFonts w:eastAsiaTheme="minorEastAsia"/>
        </w:rPr>
        <w:t xml:space="preserve"> </w:t>
      </w:r>
      <w:r w:rsidRPr="00862B17">
        <w:rPr>
          <w:rFonts w:eastAsiaTheme="minorEastAsia"/>
        </w:rPr>
        <w:t xml:space="preserve">If </w:t>
      </w:r>
      <w:r w:rsidRPr="00481463">
        <w:rPr>
          <w:rFonts w:eastAsiaTheme="minorEastAsia"/>
          <w:i/>
          <w:iCs/>
        </w:rPr>
        <w:t>N</w:t>
      </w:r>
      <w:r w:rsidRPr="002E569B">
        <w:rPr>
          <w:rFonts w:eastAsiaTheme="minorEastAsia"/>
          <w:vertAlign w:val="subscript"/>
        </w:rPr>
        <w:t>TA,offset</w:t>
      </w:r>
      <w:r w:rsidRPr="00862B17">
        <w:rPr>
          <w:rFonts w:eastAsiaTheme="minorEastAsia"/>
        </w:rPr>
        <w:t xml:space="preserve"> </w:t>
      </w:r>
      <w:r w:rsidR="00BE1C06">
        <w:rPr>
          <w:rFonts w:eastAsiaTheme="minorEastAsia"/>
        </w:rPr>
        <w:t>(</w:t>
      </w:r>
      <w:r w:rsidRPr="00862B17">
        <w:rPr>
          <w:rFonts w:eastAsiaTheme="minorEastAsia"/>
        </w:rPr>
        <w:t xml:space="preserve">and </w:t>
      </w:r>
      <w:r w:rsidRPr="00481463">
        <w:rPr>
          <w:rFonts w:eastAsiaTheme="minorEastAsia"/>
          <w:i/>
          <w:iCs/>
        </w:rPr>
        <w:t>N</w:t>
      </w:r>
      <w:r w:rsidRPr="002E569B">
        <w:rPr>
          <w:rFonts w:eastAsiaTheme="minorEastAsia"/>
          <w:vertAlign w:val="subscript"/>
        </w:rPr>
        <w:t>TA</w:t>
      </w:r>
      <w:r w:rsidR="00BE1C06">
        <w:rPr>
          <w:rFonts w:eastAsiaTheme="minorEastAsia"/>
        </w:rPr>
        <w:t xml:space="preserve">) </w:t>
      </w:r>
      <w:r>
        <w:rPr>
          <w:rFonts w:eastAsiaTheme="minorEastAsia"/>
        </w:rPr>
        <w:t>are</w:t>
      </w:r>
      <w:r w:rsidRPr="00862B17">
        <w:rPr>
          <w:rFonts w:eastAsiaTheme="minorEastAsia"/>
        </w:rPr>
        <w:t xml:space="preserve"> set to non-zero value, DL and UL boundar</w:t>
      </w:r>
      <w:r>
        <w:rPr>
          <w:rFonts w:eastAsiaTheme="minorEastAsia"/>
        </w:rPr>
        <w:t xml:space="preserve">ies are </w:t>
      </w:r>
      <w:r w:rsidRPr="00862B17">
        <w:rPr>
          <w:rFonts w:eastAsiaTheme="minorEastAsia"/>
        </w:rPr>
        <w:t>not aligned at gNB.</w:t>
      </w:r>
      <w:r>
        <w:rPr>
          <w:rFonts w:eastAsiaTheme="minorEastAsia"/>
        </w:rPr>
        <w:t xml:space="preserve"> </w:t>
      </w:r>
      <w:r w:rsidR="005C3997">
        <w:rPr>
          <w:rFonts w:eastAsiaTheme="minorEastAsia" w:hint="eastAsia"/>
          <w:lang w:eastAsia="ja-JP"/>
        </w:rPr>
        <w:t>Thu</w:t>
      </w:r>
      <w:r w:rsidR="005C3997">
        <w:rPr>
          <w:rFonts w:eastAsiaTheme="minorEastAsia"/>
          <w:lang w:eastAsia="ja-JP"/>
        </w:rPr>
        <w:t xml:space="preserve">s, whether/how to align </w:t>
      </w:r>
      <w:r w:rsidR="005C3997" w:rsidRPr="00862B17">
        <w:rPr>
          <w:rFonts w:eastAsiaTheme="minorEastAsia"/>
        </w:rPr>
        <w:t>DL and UL boundar</w:t>
      </w:r>
      <w:r w:rsidR="005C3997">
        <w:rPr>
          <w:rFonts w:eastAsiaTheme="minorEastAsia"/>
        </w:rPr>
        <w:t>ies needs to be considered</w:t>
      </w:r>
      <w:r w:rsidR="005C3997">
        <w:rPr>
          <w:rFonts w:eastAsiaTheme="minorEastAsia"/>
          <w:lang w:eastAsia="ja-JP"/>
        </w:rPr>
        <w:t xml:space="preserve">. </w:t>
      </w:r>
      <w:r>
        <w:rPr>
          <w:rFonts w:eastAsiaTheme="minorEastAsia"/>
        </w:rPr>
        <w:t>The following options can be considered.</w:t>
      </w:r>
    </w:p>
    <w:p w14:paraId="473B5007" w14:textId="60D82FD4" w:rsidR="002729D2" w:rsidRPr="00D11DDC" w:rsidRDefault="002729D2" w:rsidP="00D11DDC">
      <w:pPr>
        <w:tabs>
          <w:tab w:val="left" w:pos="0"/>
        </w:tabs>
        <w:rPr>
          <w:rFonts w:eastAsiaTheme="minorEastAsia"/>
          <w:lang w:eastAsia="ja-JP"/>
        </w:rPr>
      </w:pPr>
      <w:r w:rsidRPr="00D11DDC">
        <w:rPr>
          <w:rFonts w:eastAsiaTheme="minorEastAsia" w:hint="eastAsia"/>
          <w:b/>
          <w:bCs/>
          <w:lang w:eastAsia="ja-JP"/>
        </w:rPr>
        <w:t>O</w:t>
      </w:r>
      <w:r w:rsidRPr="00D11DDC">
        <w:rPr>
          <w:rFonts w:eastAsiaTheme="minorEastAsia"/>
          <w:b/>
          <w:bCs/>
          <w:lang w:eastAsia="ja-JP"/>
        </w:rPr>
        <w:t>ption 1</w:t>
      </w:r>
      <w:r w:rsidRPr="00D11DDC">
        <w:rPr>
          <w:rFonts w:eastAsiaTheme="minorEastAsia"/>
          <w:lang w:eastAsia="ja-JP"/>
        </w:rPr>
        <w:t>: DL and UL timings are aligned regardless of SBFD symbol</w:t>
      </w:r>
      <w:r w:rsidR="00A3771C">
        <w:rPr>
          <w:rFonts w:eastAsiaTheme="minorEastAsia"/>
          <w:lang w:eastAsia="ja-JP"/>
        </w:rPr>
        <w:t>s</w:t>
      </w:r>
      <w:r w:rsidRPr="00D11DDC">
        <w:rPr>
          <w:rFonts w:eastAsiaTheme="minorEastAsia"/>
          <w:lang w:eastAsia="ja-JP"/>
        </w:rPr>
        <w:t xml:space="preserve"> and </w:t>
      </w:r>
      <w:r w:rsidR="00304933">
        <w:rPr>
          <w:rFonts w:eastAsiaTheme="minorEastAsia"/>
          <w:lang w:eastAsia="ja-JP"/>
        </w:rPr>
        <w:t>non-SBFD</w:t>
      </w:r>
      <w:r w:rsidR="00304933" w:rsidRPr="00D11DDC" w:rsidDel="00304933">
        <w:rPr>
          <w:rFonts w:eastAsiaTheme="minorEastAsia"/>
          <w:lang w:eastAsia="ja-JP"/>
        </w:rPr>
        <w:t xml:space="preserve"> </w:t>
      </w:r>
      <w:r w:rsidRPr="00D11DDC">
        <w:rPr>
          <w:rFonts w:eastAsiaTheme="minorEastAsia"/>
          <w:lang w:eastAsia="ja-JP"/>
        </w:rPr>
        <w:t>symbol</w:t>
      </w:r>
      <w:r w:rsidR="00A3771C">
        <w:rPr>
          <w:rFonts w:eastAsiaTheme="minorEastAsia"/>
          <w:lang w:eastAsia="ja-JP"/>
        </w:rPr>
        <w:t>s</w:t>
      </w:r>
      <w:r w:rsidR="00D339F4">
        <w:rPr>
          <w:rFonts w:eastAsiaTheme="minorEastAsia"/>
          <w:lang w:eastAsia="ja-JP"/>
        </w:rPr>
        <w:t xml:space="preserve"> (</w:t>
      </w:r>
      <w:r w:rsidR="000E2945">
        <w:rPr>
          <w:rFonts w:eastAsiaTheme="minorEastAsia"/>
          <w:lang w:eastAsia="ja-JP"/>
        </w:rPr>
        <w:t xml:space="preserve">i.e., </w:t>
      </w:r>
      <w:r w:rsidR="00F2341A">
        <w:rPr>
          <w:rFonts w:eastAsiaTheme="minorEastAsia"/>
          <w:lang w:eastAsia="ja-JP"/>
        </w:rPr>
        <w:t xml:space="preserve">zero value of </w:t>
      </w:r>
      <w:r w:rsidR="00F2341A" w:rsidRPr="00D11DDC">
        <w:rPr>
          <w:rFonts w:eastAsiaTheme="minorEastAsia"/>
          <w:i/>
          <w:iCs/>
          <w:lang w:eastAsia="ja-JP"/>
        </w:rPr>
        <w:t>N</w:t>
      </w:r>
      <w:r w:rsidR="00F2341A" w:rsidRPr="000F2AD5">
        <w:rPr>
          <w:rFonts w:eastAsiaTheme="minorEastAsia"/>
          <w:vertAlign w:val="subscript"/>
          <w:lang w:eastAsia="ja-JP"/>
        </w:rPr>
        <w:t>TA,offset</w:t>
      </w:r>
      <w:r w:rsidR="00F2341A">
        <w:rPr>
          <w:rFonts w:eastAsiaTheme="minorEastAsia"/>
          <w:b/>
          <w:bCs/>
          <w:vertAlign w:val="subscript"/>
          <w:lang w:eastAsia="ja-JP"/>
        </w:rPr>
        <w:t xml:space="preserve"> </w:t>
      </w:r>
      <w:r w:rsidR="00F2341A">
        <w:rPr>
          <w:rFonts w:eastAsiaTheme="minorEastAsia"/>
          <w:lang w:eastAsia="ja-JP"/>
        </w:rPr>
        <w:t>is applied for both</w:t>
      </w:r>
      <w:r w:rsidR="000E2945">
        <w:rPr>
          <w:rFonts w:eastAsiaTheme="minorEastAsia"/>
          <w:lang w:eastAsia="ja-JP"/>
        </w:rPr>
        <w:t xml:space="preserve"> </w:t>
      </w:r>
      <w:r w:rsidR="00CB2AF7">
        <w:rPr>
          <w:rFonts w:eastAsiaTheme="minorEastAsia"/>
          <w:lang w:eastAsia="ja-JP"/>
        </w:rPr>
        <w:t xml:space="preserve">SBFD and </w:t>
      </w:r>
      <w:r w:rsidR="00F2341A">
        <w:rPr>
          <w:rFonts w:eastAsiaTheme="minorEastAsia"/>
          <w:lang w:eastAsia="ja-JP"/>
        </w:rPr>
        <w:t>UL</w:t>
      </w:r>
      <w:r w:rsidR="00CB2AF7">
        <w:rPr>
          <w:rFonts w:eastAsiaTheme="minorEastAsia"/>
          <w:lang w:eastAsia="ja-JP"/>
        </w:rPr>
        <w:t xml:space="preserve"> symbol</w:t>
      </w:r>
      <w:r w:rsidR="00F2341A">
        <w:rPr>
          <w:rFonts w:eastAsiaTheme="minorEastAsia"/>
          <w:lang w:eastAsia="ja-JP"/>
        </w:rPr>
        <w:t>s</w:t>
      </w:r>
      <w:r w:rsidR="00D339F4">
        <w:rPr>
          <w:rFonts w:eastAsiaTheme="minorEastAsia"/>
          <w:lang w:eastAsia="ja-JP"/>
        </w:rPr>
        <w:t>)</w:t>
      </w:r>
    </w:p>
    <w:p w14:paraId="4979E752" w14:textId="60AFC197" w:rsidR="002729D2" w:rsidRPr="00D11DDC" w:rsidRDefault="002729D2" w:rsidP="00D11DDC">
      <w:pPr>
        <w:tabs>
          <w:tab w:val="left" w:pos="0"/>
        </w:tabs>
        <w:rPr>
          <w:rFonts w:eastAsiaTheme="minorEastAsia"/>
          <w:lang w:eastAsia="ja-JP"/>
        </w:rPr>
      </w:pPr>
      <w:r w:rsidRPr="00D11DDC">
        <w:rPr>
          <w:rFonts w:eastAsiaTheme="minorEastAsia" w:hint="eastAsia"/>
          <w:b/>
          <w:bCs/>
          <w:lang w:eastAsia="ja-JP"/>
        </w:rPr>
        <w:t>O</w:t>
      </w:r>
      <w:r w:rsidRPr="00D11DDC">
        <w:rPr>
          <w:rFonts w:eastAsiaTheme="minorEastAsia"/>
          <w:b/>
          <w:bCs/>
          <w:lang w:eastAsia="ja-JP"/>
        </w:rPr>
        <w:t>ption 2</w:t>
      </w:r>
      <w:r w:rsidRPr="00D11DDC">
        <w:rPr>
          <w:rFonts w:eastAsiaTheme="minorEastAsia"/>
          <w:lang w:eastAsia="ja-JP"/>
        </w:rPr>
        <w:t>: DL and UL timings are aligned within SBFD symbol</w:t>
      </w:r>
      <w:r w:rsidR="00A3771C">
        <w:rPr>
          <w:rFonts w:eastAsiaTheme="minorEastAsia"/>
          <w:lang w:eastAsia="ja-JP"/>
        </w:rPr>
        <w:t>s</w:t>
      </w:r>
      <w:r w:rsidRPr="00D11DDC">
        <w:rPr>
          <w:rFonts w:eastAsiaTheme="minorEastAsia"/>
          <w:lang w:eastAsia="ja-JP"/>
        </w:rPr>
        <w:t>, but UL timings between SBFD symbol</w:t>
      </w:r>
      <w:r w:rsidR="00A3771C">
        <w:rPr>
          <w:rFonts w:eastAsiaTheme="minorEastAsia"/>
          <w:lang w:eastAsia="ja-JP"/>
        </w:rPr>
        <w:t>s</w:t>
      </w:r>
      <w:r w:rsidRPr="00D11DDC">
        <w:rPr>
          <w:rFonts w:eastAsiaTheme="minorEastAsia"/>
          <w:lang w:eastAsia="ja-JP"/>
        </w:rPr>
        <w:t xml:space="preserve"> and </w:t>
      </w:r>
      <w:r w:rsidR="007B15CF">
        <w:rPr>
          <w:rFonts w:eastAsiaTheme="minorEastAsia"/>
          <w:lang w:eastAsia="ja-JP"/>
        </w:rPr>
        <w:t>non-SBFD</w:t>
      </w:r>
      <w:r w:rsidR="007B15CF" w:rsidRPr="00D11DDC" w:rsidDel="007B15CF">
        <w:rPr>
          <w:rFonts w:eastAsiaTheme="minorEastAsia"/>
          <w:lang w:eastAsia="ja-JP"/>
        </w:rPr>
        <w:t xml:space="preserve"> </w:t>
      </w:r>
      <w:r w:rsidRPr="00D11DDC">
        <w:rPr>
          <w:rFonts w:eastAsiaTheme="minorEastAsia"/>
          <w:lang w:eastAsia="ja-JP"/>
        </w:rPr>
        <w:t>symbol</w:t>
      </w:r>
      <w:r w:rsidR="00A3771C">
        <w:rPr>
          <w:rFonts w:eastAsiaTheme="minorEastAsia"/>
          <w:lang w:eastAsia="ja-JP"/>
        </w:rPr>
        <w:t>s</w:t>
      </w:r>
      <w:r w:rsidRPr="00D11DDC">
        <w:rPr>
          <w:rFonts w:eastAsiaTheme="minorEastAsia"/>
          <w:lang w:eastAsia="ja-JP"/>
        </w:rPr>
        <w:t xml:space="preserve"> are not aligned</w:t>
      </w:r>
      <w:r w:rsidR="007B15CF">
        <w:rPr>
          <w:rFonts w:eastAsiaTheme="minorEastAsia"/>
          <w:lang w:eastAsia="ja-JP"/>
        </w:rPr>
        <w:t xml:space="preserve"> (</w:t>
      </w:r>
      <w:r w:rsidR="000E2945">
        <w:rPr>
          <w:rFonts w:eastAsiaTheme="minorEastAsia"/>
          <w:lang w:eastAsia="ja-JP"/>
        </w:rPr>
        <w:t xml:space="preserve">i.e., </w:t>
      </w:r>
      <w:r w:rsidR="00F2341A">
        <w:rPr>
          <w:rFonts w:eastAsiaTheme="minorEastAsia"/>
          <w:lang w:eastAsia="ja-JP"/>
        </w:rPr>
        <w:t xml:space="preserve">zero value of </w:t>
      </w:r>
      <w:r w:rsidR="00F2341A" w:rsidRPr="00D11DDC">
        <w:rPr>
          <w:rFonts w:eastAsiaTheme="minorEastAsia"/>
          <w:i/>
          <w:iCs/>
          <w:lang w:eastAsia="ja-JP"/>
        </w:rPr>
        <w:t>N</w:t>
      </w:r>
      <w:r w:rsidR="00F2341A" w:rsidRPr="000F2AD5">
        <w:rPr>
          <w:rFonts w:eastAsiaTheme="minorEastAsia"/>
          <w:vertAlign w:val="subscript"/>
          <w:lang w:eastAsia="ja-JP"/>
        </w:rPr>
        <w:t>TA,offset</w:t>
      </w:r>
      <w:r w:rsidR="00F2341A">
        <w:rPr>
          <w:rFonts w:eastAsiaTheme="minorEastAsia"/>
          <w:vertAlign w:val="subscript"/>
          <w:lang w:eastAsia="ja-JP"/>
        </w:rPr>
        <w:t xml:space="preserve"> </w:t>
      </w:r>
      <w:r w:rsidR="00F2341A">
        <w:rPr>
          <w:rFonts w:eastAsiaTheme="minorEastAsia"/>
          <w:lang w:eastAsia="ja-JP"/>
        </w:rPr>
        <w:t xml:space="preserve">is applied for SBFD symbols and non-zero value of </w:t>
      </w:r>
      <w:r w:rsidR="00F2341A" w:rsidRPr="00D11DDC">
        <w:rPr>
          <w:rFonts w:eastAsiaTheme="minorEastAsia"/>
          <w:i/>
          <w:iCs/>
          <w:lang w:eastAsia="ja-JP"/>
        </w:rPr>
        <w:t>N</w:t>
      </w:r>
      <w:r w:rsidR="00F2341A" w:rsidRPr="000F2AD5">
        <w:rPr>
          <w:rFonts w:eastAsiaTheme="minorEastAsia"/>
          <w:vertAlign w:val="subscript"/>
          <w:lang w:eastAsia="ja-JP"/>
        </w:rPr>
        <w:t>TA,offset</w:t>
      </w:r>
      <w:r w:rsidR="00F2341A">
        <w:rPr>
          <w:rFonts w:eastAsiaTheme="minorEastAsia"/>
          <w:vertAlign w:val="subscript"/>
          <w:lang w:eastAsia="ja-JP"/>
        </w:rPr>
        <w:t xml:space="preserve"> </w:t>
      </w:r>
      <w:r w:rsidR="00F2341A">
        <w:rPr>
          <w:rFonts w:eastAsiaTheme="minorEastAsia"/>
          <w:lang w:eastAsia="ja-JP"/>
        </w:rPr>
        <w:t>is applied for UL symbols</w:t>
      </w:r>
      <w:r w:rsidR="007B15CF">
        <w:rPr>
          <w:rFonts w:eastAsiaTheme="minorEastAsia"/>
          <w:lang w:eastAsia="ja-JP"/>
        </w:rPr>
        <w:t>)</w:t>
      </w:r>
    </w:p>
    <w:p w14:paraId="64AC1944" w14:textId="51A29512" w:rsidR="002729D2" w:rsidRPr="00D11DDC" w:rsidRDefault="002729D2" w:rsidP="00D11DDC">
      <w:pPr>
        <w:tabs>
          <w:tab w:val="left" w:pos="0"/>
        </w:tabs>
        <w:rPr>
          <w:rFonts w:eastAsiaTheme="minorEastAsia"/>
          <w:lang w:eastAsia="ja-JP"/>
        </w:rPr>
      </w:pPr>
      <w:r w:rsidRPr="00D11DDC">
        <w:rPr>
          <w:rFonts w:eastAsiaTheme="minorEastAsia" w:hint="eastAsia"/>
          <w:b/>
          <w:bCs/>
          <w:lang w:eastAsia="ja-JP"/>
        </w:rPr>
        <w:t>O</w:t>
      </w:r>
      <w:r w:rsidRPr="00D11DDC">
        <w:rPr>
          <w:rFonts w:eastAsiaTheme="minorEastAsia"/>
          <w:b/>
          <w:bCs/>
          <w:lang w:eastAsia="ja-JP"/>
        </w:rPr>
        <w:t>ption 3</w:t>
      </w:r>
      <w:r w:rsidRPr="00D11DDC">
        <w:rPr>
          <w:rFonts w:eastAsiaTheme="minorEastAsia"/>
          <w:lang w:eastAsia="ja-JP"/>
        </w:rPr>
        <w:t>: DL and UL timings are not aligned within SBFD symbol</w:t>
      </w:r>
      <w:r w:rsidR="005A6177">
        <w:rPr>
          <w:rFonts w:eastAsiaTheme="minorEastAsia"/>
          <w:lang w:eastAsia="ja-JP"/>
        </w:rPr>
        <w:t>s</w:t>
      </w:r>
      <w:r w:rsidRPr="00D11DDC">
        <w:rPr>
          <w:rFonts w:eastAsiaTheme="minorEastAsia"/>
          <w:lang w:eastAsia="ja-JP"/>
        </w:rPr>
        <w:t>, but UL timings between SBFD symbol</w:t>
      </w:r>
      <w:r w:rsidR="005A6177">
        <w:rPr>
          <w:rFonts w:eastAsiaTheme="minorEastAsia"/>
          <w:lang w:eastAsia="ja-JP"/>
        </w:rPr>
        <w:t>s</w:t>
      </w:r>
      <w:r w:rsidRPr="00D11DDC">
        <w:rPr>
          <w:rFonts w:eastAsiaTheme="minorEastAsia"/>
          <w:lang w:eastAsia="ja-JP"/>
        </w:rPr>
        <w:t xml:space="preserve"> and </w:t>
      </w:r>
      <w:r w:rsidR="007B15CF">
        <w:rPr>
          <w:rFonts w:eastAsiaTheme="minorEastAsia"/>
          <w:lang w:eastAsia="ja-JP"/>
        </w:rPr>
        <w:t>non-SBFD</w:t>
      </w:r>
      <w:r w:rsidR="007B15CF" w:rsidRPr="00D11DDC">
        <w:rPr>
          <w:rFonts w:eastAsiaTheme="minorEastAsia"/>
          <w:lang w:eastAsia="ja-JP"/>
        </w:rPr>
        <w:t xml:space="preserve"> </w:t>
      </w:r>
      <w:r w:rsidRPr="00D11DDC">
        <w:rPr>
          <w:rFonts w:eastAsiaTheme="minorEastAsia"/>
          <w:lang w:eastAsia="ja-JP"/>
        </w:rPr>
        <w:t>symbol</w:t>
      </w:r>
      <w:r w:rsidR="005A6177">
        <w:rPr>
          <w:rFonts w:eastAsiaTheme="minorEastAsia"/>
          <w:lang w:eastAsia="ja-JP"/>
        </w:rPr>
        <w:t>s</w:t>
      </w:r>
      <w:r w:rsidRPr="00D11DDC">
        <w:rPr>
          <w:rFonts w:eastAsiaTheme="minorEastAsia"/>
          <w:lang w:eastAsia="ja-JP"/>
        </w:rPr>
        <w:t xml:space="preserve"> are aligned</w:t>
      </w:r>
      <w:r w:rsidR="00C8048C">
        <w:rPr>
          <w:rFonts w:eastAsiaTheme="minorEastAsia"/>
          <w:lang w:eastAsia="ja-JP"/>
        </w:rPr>
        <w:t xml:space="preserve"> (i.e., </w:t>
      </w:r>
      <w:r w:rsidR="00F2341A">
        <w:rPr>
          <w:rFonts w:eastAsiaTheme="minorEastAsia"/>
          <w:lang w:eastAsia="ja-JP"/>
        </w:rPr>
        <w:t xml:space="preserve">non-zero value of </w:t>
      </w:r>
      <w:r w:rsidR="00F2341A" w:rsidRPr="00D11DDC">
        <w:rPr>
          <w:rFonts w:eastAsiaTheme="minorEastAsia"/>
          <w:i/>
          <w:iCs/>
          <w:lang w:eastAsia="ja-JP"/>
        </w:rPr>
        <w:t>N</w:t>
      </w:r>
      <w:r w:rsidR="00F2341A" w:rsidRPr="000F2AD5">
        <w:rPr>
          <w:rFonts w:eastAsiaTheme="minorEastAsia"/>
          <w:vertAlign w:val="subscript"/>
          <w:lang w:eastAsia="ja-JP"/>
        </w:rPr>
        <w:t>TA,offset</w:t>
      </w:r>
      <w:r w:rsidR="00F2341A">
        <w:rPr>
          <w:rFonts w:eastAsiaTheme="minorEastAsia"/>
          <w:vertAlign w:val="subscript"/>
          <w:lang w:eastAsia="ja-JP"/>
        </w:rPr>
        <w:t xml:space="preserve"> </w:t>
      </w:r>
      <w:r w:rsidR="00F2341A">
        <w:rPr>
          <w:rFonts w:eastAsiaTheme="minorEastAsia"/>
          <w:lang w:eastAsia="ja-JP"/>
        </w:rPr>
        <w:t>is commonly applied for both SBFD and UL symbols</w:t>
      </w:r>
      <w:r w:rsidR="00C8048C">
        <w:rPr>
          <w:rFonts w:eastAsiaTheme="minorEastAsia"/>
          <w:lang w:eastAsia="ja-JP"/>
        </w:rPr>
        <w:t>)</w:t>
      </w:r>
    </w:p>
    <w:p w14:paraId="395235CC" w14:textId="2D7C351B" w:rsidR="002729D2" w:rsidRDefault="008C3BD2" w:rsidP="00803EF4">
      <w:pPr>
        <w:tabs>
          <w:tab w:val="left" w:pos="0"/>
        </w:tabs>
        <w:rPr>
          <w:rFonts w:eastAsiaTheme="minorEastAsia"/>
          <w:lang w:eastAsia="ja-JP"/>
        </w:rPr>
      </w:pPr>
      <w:r>
        <w:rPr>
          <w:rFonts w:eastAsiaTheme="minorEastAsia"/>
          <w:b/>
          <w:lang w:eastAsia="ja-JP"/>
        </w:rPr>
        <w:fldChar w:fldCharType="begin"/>
      </w:r>
      <w:r>
        <w:rPr>
          <w:rFonts w:eastAsiaTheme="minorEastAsia"/>
          <w:b/>
          <w:lang w:eastAsia="ja-JP"/>
        </w:rPr>
        <w:instrText xml:space="preserve"> REF _Ref115250434 \h </w:instrText>
      </w:r>
      <w:r>
        <w:rPr>
          <w:rFonts w:eastAsiaTheme="minorEastAsia"/>
          <w:b/>
          <w:lang w:eastAsia="ja-JP"/>
        </w:rPr>
      </w:r>
      <w:r>
        <w:rPr>
          <w:rFonts w:eastAsiaTheme="minorEastAsia"/>
          <w:b/>
          <w:lang w:eastAsia="ja-JP"/>
        </w:rPr>
        <w:fldChar w:fldCharType="separate"/>
      </w:r>
      <w:r w:rsidR="00461A99">
        <w:t xml:space="preserve">Figure </w:t>
      </w:r>
      <w:r w:rsidR="00461A99">
        <w:rPr>
          <w:noProof/>
        </w:rPr>
        <w:t>7</w:t>
      </w:r>
      <w:r>
        <w:rPr>
          <w:rFonts w:eastAsiaTheme="minorEastAsia"/>
          <w:b/>
          <w:lang w:eastAsia="ja-JP"/>
        </w:rPr>
        <w:fldChar w:fldCharType="end"/>
      </w:r>
      <w:r>
        <w:rPr>
          <w:rFonts w:eastAsiaTheme="minorEastAsia"/>
          <w:b/>
          <w:lang w:eastAsia="ja-JP"/>
        </w:rPr>
        <w:t xml:space="preserve"> </w:t>
      </w:r>
      <w:r w:rsidR="002729D2">
        <w:rPr>
          <w:rFonts w:eastAsiaTheme="minorEastAsia"/>
          <w:lang w:eastAsia="ja-JP"/>
        </w:rPr>
        <w:t>shows an example of each option. In this example, slot#0 and #4 are DL slots (i.e., slot consists of DL symbols), slot#3 are UL slot, slot#1 and #2 are SBFD slots. There are three subbands in SBFD</w:t>
      </w:r>
      <w:r w:rsidR="0061469C">
        <w:rPr>
          <w:rFonts w:eastAsiaTheme="minorEastAsia"/>
          <w:lang w:eastAsia="ja-JP"/>
        </w:rPr>
        <w:t xml:space="preserve"> slots</w:t>
      </w:r>
      <w:r w:rsidR="002729D2">
        <w:rPr>
          <w:rFonts w:eastAsiaTheme="minorEastAsia"/>
          <w:lang w:eastAsia="ja-JP"/>
        </w:rPr>
        <w:t>. In this figure, gap symbols from DL to UL are omitted. “</w:t>
      </w:r>
      <w:r w:rsidR="002729D2" w:rsidRPr="00D004D2">
        <w:rPr>
          <w:rFonts w:eastAsiaTheme="minorEastAsia"/>
          <w:lang w:eastAsia="ja-JP"/>
        </w:rPr>
        <w:t xml:space="preserve">DL/UL relation” </w:t>
      </w:r>
      <w:r w:rsidR="002729D2">
        <w:rPr>
          <w:rFonts w:eastAsiaTheme="minorEastAsia"/>
          <w:lang w:eastAsia="ja-JP"/>
        </w:rPr>
        <w:t xml:space="preserve">in the figure </w:t>
      </w:r>
      <w:r w:rsidR="002729D2" w:rsidRPr="00D004D2">
        <w:rPr>
          <w:rFonts w:eastAsiaTheme="minorEastAsia"/>
          <w:lang w:eastAsia="ja-JP"/>
        </w:rPr>
        <w:t>shows</w:t>
      </w:r>
      <w:r w:rsidR="002B3C61">
        <w:rPr>
          <w:rFonts w:eastAsiaTheme="minorEastAsia"/>
          <w:lang w:eastAsia="ja-JP"/>
        </w:rPr>
        <w:t xml:space="preserve"> the</w:t>
      </w:r>
      <w:r w:rsidR="002729D2" w:rsidRPr="00D004D2">
        <w:rPr>
          <w:rFonts w:eastAsiaTheme="minorEastAsia"/>
          <w:lang w:eastAsia="ja-JP"/>
        </w:rPr>
        <w:t xml:space="preserve"> </w:t>
      </w:r>
      <w:r w:rsidR="002729D2">
        <w:rPr>
          <w:rFonts w:eastAsiaTheme="minorEastAsia"/>
          <w:lang w:eastAsia="ja-JP"/>
        </w:rPr>
        <w:t>symbol</w:t>
      </w:r>
      <w:r w:rsidR="002729D2" w:rsidRPr="00D004D2">
        <w:rPr>
          <w:rFonts w:eastAsiaTheme="minorEastAsia"/>
          <w:lang w:eastAsia="ja-JP"/>
        </w:rPr>
        <w:t xml:space="preserve"> type and symbol timing at gNB.</w:t>
      </w:r>
      <w:r w:rsidR="002729D2">
        <w:rPr>
          <w:rFonts w:eastAsiaTheme="minorEastAsia"/>
          <w:lang w:eastAsia="ja-JP"/>
        </w:rPr>
        <w:t xml:space="preserve"> </w:t>
      </w:r>
    </w:p>
    <w:p w14:paraId="72A29179" w14:textId="77777777" w:rsidR="00463ACD" w:rsidRDefault="002729D2" w:rsidP="002729D2">
      <w:pPr>
        <w:rPr>
          <w:rFonts w:eastAsiaTheme="minorEastAsia"/>
          <w:lang w:eastAsia="ja-JP"/>
        </w:rPr>
      </w:pPr>
      <w:r>
        <w:rPr>
          <w:rFonts w:eastAsiaTheme="minorEastAsia" w:hint="eastAsia"/>
          <w:lang w:eastAsia="ja-JP"/>
        </w:rPr>
        <w:t>F</w:t>
      </w:r>
      <w:r>
        <w:rPr>
          <w:rFonts w:eastAsiaTheme="minorEastAsia"/>
          <w:lang w:eastAsia="ja-JP"/>
        </w:rPr>
        <w:t xml:space="preserve">or option 1, </w:t>
      </w:r>
      <w:r w:rsidRPr="00862B17">
        <w:rPr>
          <w:rFonts w:eastAsiaTheme="minorEastAsia"/>
        </w:rPr>
        <w:t>DL and UL boundar</w:t>
      </w:r>
      <w:r>
        <w:rPr>
          <w:rFonts w:eastAsiaTheme="minorEastAsia"/>
        </w:rPr>
        <w:t>ies are</w:t>
      </w:r>
      <w:r w:rsidRPr="00862B17">
        <w:rPr>
          <w:rFonts w:eastAsiaTheme="minorEastAsia"/>
        </w:rPr>
        <w:t xml:space="preserve"> aligned</w:t>
      </w:r>
      <w:r w:rsidR="008214F1">
        <w:rPr>
          <w:rFonts w:eastAsiaTheme="minorEastAsia"/>
        </w:rPr>
        <w:t xml:space="preserve"> in any symbols</w:t>
      </w:r>
      <w:r>
        <w:rPr>
          <w:rFonts w:eastAsiaTheme="minorEastAsia"/>
        </w:rPr>
        <w:t xml:space="preserve">. However, there is no switching gap from UL to DL (between slot#3 and #4). If switching gap is necessary, it can be realized, e.g., by </w:t>
      </w:r>
      <w:r>
        <w:rPr>
          <w:lang w:val="en-GB" w:eastAsia="ja-JP"/>
        </w:rPr>
        <w:t xml:space="preserve">setting proper </w:t>
      </w:r>
      <m:oMath>
        <m:sSub>
          <m:sSubPr>
            <m:ctrlPr>
              <w:rPr>
                <w:rFonts w:ascii="Cambria Math" w:hAnsi="Cambria Math"/>
                <w:i/>
              </w:rPr>
            </m:ctrlPr>
          </m:sSubPr>
          <m:e>
            <m:r>
              <w:rPr>
                <w:rFonts w:ascii="Cambria Math"/>
              </w:rPr>
              <m:t>N</m:t>
            </m:r>
          </m:e>
          <m:sub>
            <m:r>
              <m:rPr>
                <m:nor/>
              </m:rPr>
              <w:rPr>
                <w:rFonts w:ascii="Cambria Math"/>
              </w:rPr>
              <m:t>TA</m:t>
            </m:r>
            <m:ctrlPr>
              <w:rPr>
                <w:rFonts w:ascii="Cambria Math" w:hAnsi="Cambria Math"/>
              </w:rPr>
            </m:ctrlPr>
          </m:sub>
        </m:sSub>
      </m:oMath>
      <w:r>
        <w:rPr>
          <w:rFonts w:hint="eastAsia"/>
          <w:lang w:eastAsia="ja-JP"/>
        </w:rPr>
        <w:t>,</w:t>
      </w:r>
      <w:r>
        <w:rPr>
          <w:lang w:eastAsia="ja-JP"/>
        </w:rPr>
        <w:t xml:space="preserve"> allocating gap symbol</w:t>
      </w:r>
      <w:r w:rsidR="00FA641B">
        <w:rPr>
          <w:lang w:eastAsia="ja-JP"/>
        </w:rPr>
        <w:t xml:space="preserve"> by the gNB resource assignment</w:t>
      </w:r>
      <w:r>
        <w:rPr>
          <w:lang w:eastAsia="ja-JP"/>
        </w:rPr>
        <w:t xml:space="preserve">, </w:t>
      </w:r>
      <w:r w:rsidRPr="007658FD">
        <w:rPr>
          <w:lang w:eastAsia="ja-JP"/>
        </w:rPr>
        <w:t>not receiving some part of symbol by gNB.</w:t>
      </w:r>
      <w:r>
        <w:rPr>
          <w:lang w:eastAsia="ja-JP"/>
        </w:rPr>
        <w:t xml:space="preserve"> </w:t>
      </w:r>
      <w:r w:rsidR="008214F1">
        <w:rPr>
          <w:lang w:eastAsia="ja-JP"/>
        </w:rPr>
        <w:t xml:space="preserve">When the existing deployment is not </w:t>
      </w:r>
      <w:r w:rsidR="008214F1">
        <w:rPr>
          <w:rFonts w:eastAsiaTheme="minorEastAsia"/>
          <w:lang w:eastAsia="ja-JP"/>
        </w:rPr>
        <w:t xml:space="preserve">zero value of </w:t>
      </w:r>
      <w:r w:rsidR="008214F1" w:rsidRPr="00D11DDC">
        <w:rPr>
          <w:rFonts w:eastAsiaTheme="minorEastAsia"/>
          <w:i/>
          <w:iCs/>
          <w:lang w:eastAsia="ja-JP"/>
        </w:rPr>
        <w:t>N</w:t>
      </w:r>
      <w:r w:rsidR="008214F1" w:rsidRPr="000F2AD5">
        <w:rPr>
          <w:rFonts w:eastAsiaTheme="minorEastAsia"/>
          <w:vertAlign w:val="subscript"/>
          <w:lang w:eastAsia="ja-JP"/>
        </w:rPr>
        <w:t>TA,offset</w:t>
      </w:r>
      <w:r w:rsidR="008214F1">
        <w:rPr>
          <w:rFonts w:eastAsiaTheme="minorEastAsia"/>
          <w:b/>
          <w:bCs/>
          <w:vertAlign w:val="subscript"/>
          <w:lang w:eastAsia="ja-JP"/>
        </w:rPr>
        <w:t xml:space="preserve"> </w:t>
      </w:r>
      <w:r w:rsidR="008214F1">
        <w:rPr>
          <w:rFonts w:eastAsiaTheme="minorEastAsia"/>
          <w:lang w:eastAsia="ja-JP"/>
        </w:rPr>
        <w:t xml:space="preserve"> i.e. not small cell, it can have the backward compatibility to legacy deployment. </w:t>
      </w:r>
    </w:p>
    <w:p w14:paraId="62494817" w14:textId="021B1C45" w:rsidR="00463ACD" w:rsidRDefault="002729D2" w:rsidP="002729D2">
      <w:pPr>
        <w:rPr>
          <w:rFonts w:eastAsiaTheme="minorEastAsia"/>
        </w:rPr>
      </w:pPr>
      <w:r>
        <w:rPr>
          <w:lang w:eastAsia="ja-JP"/>
        </w:rPr>
        <w:t xml:space="preserve">For option 2, </w:t>
      </w:r>
      <w:r w:rsidRPr="00862B17">
        <w:rPr>
          <w:rFonts w:eastAsiaTheme="minorEastAsia"/>
        </w:rPr>
        <w:t>DL and UL boundar</w:t>
      </w:r>
      <w:r>
        <w:rPr>
          <w:rFonts w:eastAsiaTheme="minorEastAsia"/>
        </w:rPr>
        <w:t>ies are</w:t>
      </w:r>
      <w:r w:rsidRPr="00862B17">
        <w:rPr>
          <w:rFonts w:eastAsiaTheme="minorEastAsia"/>
        </w:rPr>
        <w:t xml:space="preserve"> aligned</w:t>
      </w:r>
      <w:r>
        <w:rPr>
          <w:rFonts w:eastAsiaTheme="minorEastAsia"/>
        </w:rPr>
        <w:t xml:space="preserve"> </w:t>
      </w:r>
      <w:r w:rsidR="00E62F51">
        <w:rPr>
          <w:rFonts w:eastAsiaTheme="minorEastAsia"/>
        </w:rPr>
        <w:t>with</w:t>
      </w:r>
      <w:r>
        <w:rPr>
          <w:rFonts w:eastAsiaTheme="minorEastAsia"/>
        </w:rPr>
        <w:t xml:space="preserve">in SBFD symbols. Although switching gap between slot#3 and #4 is available, symbols are overlapped between slot#2 and #3. </w:t>
      </w:r>
      <w:r w:rsidR="009A6D77">
        <w:rPr>
          <w:rFonts w:eastAsiaTheme="minorEastAsia"/>
        </w:rPr>
        <w:t>This ensure</w:t>
      </w:r>
      <w:r w:rsidR="00073270">
        <w:rPr>
          <w:rFonts w:eastAsiaTheme="minorEastAsia" w:hint="eastAsia"/>
          <w:lang w:eastAsia="ja-JP"/>
        </w:rPr>
        <w:t>s</w:t>
      </w:r>
      <w:r w:rsidR="009A6D77">
        <w:rPr>
          <w:rFonts w:eastAsiaTheme="minorEastAsia"/>
        </w:rPr>
        <w:t xml:space="preserve"> to keep existing deployment for </w:t>
      </w:r>
      <w:r w:rsidR="00DF67FA">
        <w:rPr>
          <w:rFonts w:eastAsiaTheme="minorEastAsia"/>
        </w:rPr>
        <w:t xml:space="preserve">non-SBFD </w:t>
      </w:r>
      <w:r w:rsidR="009A6D77">
        <w:rPr>
          <w:rFonts w:eastAsiaTheme="minorEastAsia"/>
        </w:rPr>
        <w:t>symbols.</w:t>
      </w:r>
      <w:r w:rsidR="0088161C">
        <w:rPr>
          <w:rFonts w:eastAsiaTheme="minorEastAsia"/>
        </w:rPr>
        <w:t xml:space="preserve"> In this option,</w:t>
      </w:r>
      <w:r w:rsidR="009A6D77">
        <w:rPr>
          <w:rFonts w:eastAsiaTheme="minorEastAsia"/>
        </w:rPr>
        <w:t xml:space="preserve"> </w:t>
      </w:r>
      <w:r w:rsidR="0088161C">
        <w:rPr>
          <w:rFonts w:eastAsiaTheme="minorEastAsia"/>
        </w:rPr>
        <w:t xml:space="preserve">legacy UE cannot utilize UL subband in SBFD symbols because non-zero value of </w:t>
      </w:r>
      <w:r w:rsidR="0088161C" w:rsidRPr="00D11DDC">
        <w:rPr>
          <w:rFonts w:eastAsiaTheme="minorEastAsia"/>
          <w:i/>
          <w:iCs/>
          <w:lang w:eastAsia="ja-JP"/>
        </w:rPr>
        <w:t>N</w:t>
      </w:r>
      <w:r w:rsidR="0088161C" w:rsidRPr="000F2AD5">
        <w:rPr>
          <w:rFonts w:eastAsiaTheme="minorEastAsia"/>
          <w:vertAlign w:val="subscript"/>
          <w:lang w:eastAsia="ja-JP"/>
        </w:rPr>
        <w:t>TA,offset</w:t>
      </w:r>
      <w:r w:rsidR="0088161C">
        <w:rPr>
          <w:rFonts w:eastAsiaTheme="minorEastAsia"/>
          <w:vertAlign w:val="subscript"/>
          <w:lang w:eastAsia="ja-JP"/>
        </w:rPr>
        <w:t xml:space="preserve"> </w:t>
      </w:r>
      <w:r w:rsidR="0088161C">
        <w:rPr>
          <w:rFonts w:eastAsiaTheme="minorEastAsia"/>
        </w:rPr>
        <w:t xml:space="preserve">is applied </w:t>
      </w:r>
      <w:r w:rsidR="005F29AF">
        <w:rPr>
          <w:rFonts w:eastAsiaTheme="minorEastAsia"/>
        </w:rPr>
        <w:t>to</w:t>
      </w:r>
      <w:r w:rsidR="0088161C">
        <w:rPr>
          <w:rFonts w:eastAsiaTheme="minorEastAsia"/>
        </w:rPr>
        <w:t xml:space="preserve"> legacy U</w:t>
      </w:r>
      <w:r w:rsidR="000768FC">
        <w:rPr>
          <w:rFonts w:eastAsiaTheme="minorEastAsia"/>
        </w:rPr>
        <w:t>E</w:t>
      </w:r>
      <w:r w:rsidR="0088161C">
        <w:rPr>
          <w:rFonts w:eastAsiaTheme="minorEastAsia"/>
        </w:rPr>
        <w:t xml:space="preserve"> transmission.</w:t>
      </w:r>
    </w:p>
    <w:p w14:paraId="2D0E85C5" w14:textId="3B96A0EC" w:rsidR="00463ACD" w:rsidRDefault="002729D2" w:rsidP="002729D2">
      <w:pPr>
        <w:rPr>
          <w:rFonts w:eastAsiaTheme="minorEastAsia"/>
          <w:lang w:eastAsia="ja-JP"/>
        </w:rPr>
      </w:pPr>
      <w:r>
        <w:rPr>
          <w:rFonts w:eastAsiaTheme="minorEastAsia"/>
        </w:rPr>
        <w:t>For option 3, DL and UL boundaries in SBFD symbol</w:t>
      </w:r>
      <w:r w:rsidR="00E65B55">
        <w:rPr>
          <w:rFonts w:eastAsiaTheme="minorEastAsia"/>
        </w:rPr>
        <w:t>s</w:t>
      </w:r>
      <w:r>
        <w:rPr>
          <w:rFonts w:eastAsiaTheme="minorEastAsia"/>
        </w:rPr>
        <w:t xml:space="preserve"> are not aligned. There are overlapping between DL and UL symbols. However, if gap symbols from DL to UL are allocated</w:t>
      </w:r>
      <w:r w:rsidR="00FA641B">
        <w:rPr>
          <w:rFonts w:eastAsiaTheme="minorEastAsia"/>
        </w:rPr>
        <w:t xml:space="preserve"> by the gNB resource allocation</w:t>
      </w:r>
      <w:r>
        <w:rPr>
          <w:rFonts w:eastAsiaTheme="minorEastAsia"/>
        </w:rPr>
        <w:t>,</w:t>
      </w:r>
      <w:r w:rsidR="00021901">
        <w:rPr>
          <w:rFonts w:eastAsiaTheme="minorEastAsia"/>
        </w:rPr>
        <w:t xml:space="preserve"> the overlapped symbol is included in gap symbols (as in legacy operation)</w:t>
      </w:r>
      <w:r>
        <w:rPr>
          <w:rFonts w:eastAsiaTheme="minorEastAsia"/>
        </w:rPr>
        <w:t>.</w:t>
      </w:r>
      <w:r w:rsidR="0088161C">
        <w:rPr>
          <w:rFonts w:eastAsiaTheme="minorEastAsia"/>
        </w:rPr>
        <w:t xml:space="preserve"> In this </w:t>
      </w:r>
      <w:r w:rsidR="009C32EF">
        <w:rPr>
          <w:rFonts w:eastAsiaTheme="minorEastAsia"/>
        </w:rPr>
        <w:t>option</w:t>
      </w:r>
      <w:r w:rsidR="0088161C">
        <w:rPr>
          <w:rFonts w:eastAsiaTheme="minorEastAsia"/>
        </w:rPr>
        <w:t xml:space="preserve">, legacy UE can utilize </w:t>
      </w:r>
      <w:r w:rsidR="009C32EF">
        <w:rPr>
          <w:rFonts w:eastAsiaTheme="minorEastAsia"/>
        </w:rPr>
        <w:t>UL subband in SBFD symbols</w:t>
      </w:r>
      <w:r w:rsidR="005F29AF">
        <w:rPr>
          <w:rFonts w:eastAsiaTheme="minorEastAsia"/>
        </w:rPr>
        <w:t xml:space="preserve">, </w:t>
      </w:r>
      <w:r w:rsidR="009C32EF">
        <w:rPr>
          <w:rFonts w:eastAsiaTheme="minorEastAsia"/>
        </w:rPr>
        <w:t xml:space="preserve">but gNB's self-interference </w:t>
      </w:r>
      <w:r w:rsidR="00B70216">
        <w:rPr>
          <w:rFonts w:eastAsiaTheme="minorEastAsia"/>
        </w:rPr>
        <w:t xml:space="preserve">is increased due to </w:t>
      </w:r>
      <w:r w:rsidR="00B70216" w:rsidRPr="00643184">
        <w:t xml:space="preserve">FFT time misalignment between UL </w:t>
      </w:r>
      <w:r w:rsidR="00B70216">
        <w:t>reception</w:t>
      </w:r>
      <w:r w:rsidR="00B70216" w:rsidRPr="00643184">
        <w:t xml:space="preserve"> and DL </w:t>
      </w:r>
      <w:r w:rsidR="00B70216">
        <w:t>transmission.</w:t>
      </w:r>
    </w:p>
    <w:p w14:paraId="27FEC98A" w14:textId="2F01C9E6" w:rsidR="002729D2" w:rsidRDefault="002729D2" w:rsidP="002729D2">
      <w:pPr>
        <w:rPr>
          <w:lang w:eastAsia="ja-JP"/>
        </w:rPr>
      </w:pPr>
      <w:r w:rsidRPr="00CF600D">
        <w:rPr>
          <w:b/>
          <w:bCs/>
          <w:lang w:eastAsia="ja-JP"/>
        </w:rPr>
        <w:t xml:space="preserve">Proposal </w:t>
      </w:r>
      <w:r w:rsidR="00D3622A">
        <w:rPr>
          <w:b/>
          <w:bCs/>
          <w:lang w:eastAsia="ja-JP"/>
        </w:rPr>
        <w:t>11</w:t>
      </w:r>
      <w:r w:rsidRPr="00140F96">
        <w:rPr>
          <w:rFonts w:hint="eastAsia"/>
          <w:b/>
          <w:bCs/>
          <w:lang w:eastAsia="ja-JP"/>
        </w:rPr>
        <w:t>:</w:t>
      </w:r>
      <w:r w:rsidRPr="000B3CDF">
        <w:rPr>
          <w:rFonts w:hint="eastAsia"/>
          <w:b/>
          <w:bCs/>
          <w:lang w:eastAsia="ja-JP"/>
        </w:rPr>
        <w:t xml:space="preserve"> </w:t>
      </w:r>
      <w:r w:rsidR="006437E9">
        <w:rPr>
          <w:b/>
          <w:bCs/>
          <w:lang w:eastAsia="ja-JP"/>
        </w:rPr>
        <w:t>Further s</w:t>
      </w:r>
      <w:r>
        <w:rPr>
          <w:b/>
          <w:bCs/>
          <w:lang w:eastAsia="ja-JP"/>
        </w:rPr>
        <w:t>tudy h</w:t>
      </w:r>
      <w:r w:rsidRPr="000B3CDF">
        <w:rPr>
          <w:b/>
          <w:bCs/>
          <w:lang w:eastAsia="ja-JP"/>
        </w:rPr>
        <w:t xml:space="preserve">ow to </w:t>
      </w:r>
      <w:r w:rsidR="00AA7DC6">
        <w:rPr>
          <w:b/>
          <w:bCs/>
          <w:lang w:eastAsia="ja-JP"/>
        </w:rPr>
        <w:t>apply</w:t>
      </w:r>
      <w:r w:rsidR="00AA7DC6" w:rsidRPr="000B3CDF">
        <w:rPr>
          <w:b/>
          <w:bCs/>
          <w:lang w:eastAsia="ja-JP"/>
        </w:rPr>
        <w:t xml:space="preserve"> </w:t>
      </w:r>
      <w:r w:rsidR="002434BD">
        <w:rPr>
          <w:b/>
          <w:bCs/>
          <w:lang w:eastAsia="ja-JP"/>
        </w:rPr>
        <w:t>timing</w:t>
      </w:r>
      <w:r w:rsidRPr="000B3CDF">
        <w:rPr>
          <w:rFonts w:eastAsiaTheme="minorEastAsia"/>
          <w:b/>
          <w:bCs/>
          <w:lang w:val="en-GB" w:eastAsia="ja-JP"/>
        </w:rPr>
        <w:t xml:space="preserve"> advance offset for SBFD and </w:t>
      </w:r>
      <w:r w:rsidR="000768FC">
        <w:rPr>
          <w:rFonts w:eastAsiaTheme="minorEastAsia"/>
          <w:b/>
          <w:bCs/>
          <w:lang w:val="en-GB" w:eastAsia="ja-JP"/>
        </w:rPr>
        <w:t>non-SBFD</w:t>
      </w:r>
      <w:r w:rsidR="000768FC" w:rsidRPr="000B3CDF">
        <w:rPr>
          <w:rFonts w:eastAsiaTheme="minorEastAsia"/>
          <w:b/>
          <w:bCs/>
          <w:lang w:val="en-GB" w:eastAsia="ja-JP"/>
        </w:rPr>
        <w:t xml:space="preserve"> </w:t>
      </w:r>
      <w:r w:rsidRPr="000B3CDF">
        <w:rPr>
          <w:rFonts w:eastAsiaTheme="minorEastAsia"/>
          <w:b/>
          <w:bCs/>
          <w:lang w:val="en-GB" w:eastAsia="ja-JP"/>
        </w:rPr>
        <w:t>symbol</w:t>
      </w:r>
      <w:r w:rsidR="00AD09FA">
        <w:rPr>
          <w:rFonts w:eastAsiaTheme="minorEastAsia"/>
          <w:b/>
          <w:bCs/>
          <w:lang w:val="en-GB" w:eastAsia="ja-JP"/>
        </w:rPr>
        <w:t>.</w:t>
      </w:r>
    </w:p>
    <w:p w14:paraId="5F448680" w14:textId="5DCB5BAE" w:rsidR="002E0211" w:rsidRDefault="002729D2" w:rsidP="00C22FA0">
      <w:pPr>
        <w:pStyle w:val="ac"/>
        <w:jc w:val="center"/>
      </w:pPr>
      <w:bookmarkStart w:id="7" w:name="_Ref111046889"/>
      <w:r w:rsidRPr="006104AD">
        <w:lastRenderedPageBreak/>
        <w:t xml:space="preserve"> </w:t>
      </w:r>
      <w:r w:rsidR="00FE5E34" w:rsidRPr="00FE5E34">
        <w:rPr>
          <w:noProof/>
        </w:rPr>
        <w:drawing>
          <wp:inline distT="0" distB="0" distL="0" distR="0" wp14:anchorId="71E70E01" wp14:editId="0A4C9C49">
            <wp:extent cx="5977956" cy="3289116"/>
            <wp:effectExtent l="0" t="0" r="3810" b="0"/>
            <wp:docPr id="9" name="グラフィックス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extLst>
                        <a:ext uri="{96DAC541-7B7A-43D3-8B79-37D633B846F1}">
                          <asvg:svgBlip xmlns:asvg="http://schemas.microsoft.com/office/drawing/2016/SVG/main" r:embed="rId21"/>
                        </a:ext>
                      </a:extLst>
                    </a:blip>
                    <a:stretch>
                      <a:fillRect/>
                    </a:stretch>
                  </pic:blipFill>
                  <pic:spPr>
                    <a:xfrm>
                      <a:off x="0" y="0"/>
                      <a:ext cx="5988626" cy="3294987"/>
                    </a:xfrm>
                    <a:prstGeom prst="rect">
                      <a:avLst/>
                    </a:prstGeom>
                  </pic:spPr>
                </pic:pic>
              </a:graphicData>
            </a:graphic>
          </wp:inline>
        </w:drawing>
      </w:r>
    </w:p>
    <w:p w14:paraId="668AD8C5" w14:textId="110E1D36" w:rsidR="002729D2" w:rsidRDefault="002729D2" w:rsidP="002729D2">
      <w:pPr>
        <w:pStyle w:val="ac"/>
        <w:jc w:val="center"/>
        <w:rPr>
          <w:rFonts w:eastAsia="SimSun"/>
          <w:lang w:eastAsia="zh-CN"/>
        </w:rPr>
      </w:pPr>
      <w:bookmarkStart w:id="8" w:name="_Ref115250434"/>
      <w:r>
        <w:t xml:space="preserve">Figure </w:t>
      </w:r>
      <w:fldSimple w:instr=" SEQ Figure \* ARABIC ">
        <w:r w:rsidR="00461A99">
          <w:rPr>
            <w:noProof/>
          </w:rPr>
          <w:t>7</w:t>
        </w:r>
      </w:fldSimple>
      <w:bookmarkEnd w:id="7"/>
      <w:bookmarkEnd w:id="8"/>
      <w:r>
        <w:t xml:space="preserve">  Timing advance offset</w:t>
      </w:r>
      <w:r w:rsidR="003620B4">
        <w:t xml:space="preserve"> with SBFD operation</w:t>
      </w:r>
    </w:p>
    <w:p w14:paraId="0BE2ED7A" w14:textId="77777777" w:rsidR="00885E12" w:rsidRDefault="00885E12" w:rsidP="00FE053F">
      <w:pPr>
        <w:rPr>
          <w:rFonts w:eastAsia="SimSun"/>
          <w:lang w:val="en-GB" w:eastAsia="zh-CN"/>
        </w:rPr>
      </w:pPr>
    </w:p>
    <w:p w14:paraId="34181F5F" w14:textId="23DAA1D6" w:rsidR="00A65A9C" w:rsidRPr="005B433D" w:rsidRDefault="00A65A9C" w:rsidP="00002E6E">
      <w:pPr>
        <w:pStyle w:val="3"/>
      </w:pPr>
      <w:r>
        <w:t xml:space="preserve">Interference mitigation </w:t>
      </w:r>
      <w:r w:rsidR="00E41080">
        <w:t>schemes</w:t>
      </w:r>
    </w:p>
    <w:p w14:paraId="53533912" w14:textId="1478E499" w:rsidR="008C631E" w:rsidRDefault="00757344" w:rsidP="00730B64">
      <w:pPr>
        <w:tabs>
          <w:tab w:val="num" w:pos="1080"/>
        </w:tabs>
        <w:rPr>
          <w:lang w:eastAsia="ja-JP"/>
        </w:rPr>
      </w:pPr>
      <w:r w:rsidRPr="00757344">
        <w:rPr>
          <w:lang w:eastAsia="ja-JP"/>
        </w:rPr>
        <w:t>For</w:t>
      </w:r>
      <w:r w:rsidR="00EB3476">
        <w:rPr>
          <w:lang w:eastAsia="ja-JP"/>
        </w:rPr>
        <w:t xml:space="preserve"> coordinated scheduling</w:t>
      </w:r>
      <w:r w:rsidRPr="00757344">
        <w:rPr>
          <w:lang w:eastAsia="ja-JP"/>
        </w:rPr>
        <w:t xml:space="preserve">, </w:t>
      </w:r>
      <w:r w:rsidR="002174B2">
        <w:rPr>
          <w:lang w:eastAsia="ja-JP"/>
        </w:rPr>
        <w:t xml:space="preserve">to </w:t>
      </w:r>
      <w:r w:rsidR="002174B2" w:rsidRPr="00757344">
        <w:rPr>
          <w:lang w:eastAsia="ja-JP"/>
        </w:rPr>
        <w:t xml:space="preserve">exchange </w:t>
      </w:r>
      <w:r w:rsidR="00E734CF" w:rsidRPr="00E734CF">
        <w:rPr>
          <w:lang w:eastAsia="ja-JP"/>
        </w:rPr>
        <w:t>SBFD configurations between gNBs</w:t>
      </w:r>
      <w:r w:rsidRPr="00757344">
        <w:rPr>
          <w:lang w:eastAsia="ja-JP"/>
        </w:rPr>
        <w:t xml:space="preserve"> can be considered</w:t>
      </w:r>
      <w:r>
        <w:rPr>
          <w:lang w:eastAsia="ja-JP"/>
        </w:rPr>
        <w:t xml:space="preserve">. </w:t>
      </w:r>
      <w:r w:rsidR="002E7B3D">
        <w:rPr>
          <w:lang w:eastAsia="ja-JP"/>
        </w:rPr>
        <w:t>T</w:t>
      </w:r>
      <w:r w:rsidR="008C631E">
        <w:rPr>
          <w:lang w:eastAsia="ja-JP"/>
        </w:rPr>
        <w:t>he following agreement was made in AI 9.3.3</w:t>
      </w:r>
      <w:r w:rsidR="00F33880">
        <w:rPr>
          <w:lang w:eastAsia="ja-JP"/>
        </w:rPr>
        <w:t xml:space="preserve"> in RAN1#112</w:t>
      </w:r>
      <w:r w:rsidR="008C631E">
        <w:rPr>
          <w:lang w:eastAsia="ja-JP"/>
        </w:rPr>
        <w:t>.</w:t>
      </w:r>
    </w:p>
    <w:tbl>
      <w:tblPr>
        <w:tblStyle w:val="afc"/>
        <w:tblW w:w="0" w:type="auto"/>
        <w:tblLook w:val="04A0" w:firstRow="1" w:lastRow="0" w:firstColumn="1" w:lastColumn="0" w:noHBand="0" w:noVBand="1"/>
      </w:tblPr>
      <w:tblGrid>
        <w:gridCol w:w="9630"/>
      </w:tblGrid>
      <w:tr w:rsidR="008C631E" w14:paraId="6D9F2647" w14:textId="77777777" w:rsidTr="008C631E">
        <w:tc>
          <w:tcPr>
            <w:tcW w:w="9630" w:type="dxa"/>
          </w:tcPr>
          <w:p w14:paraId="48E8618C" w14:textId="77777777" w:rsidR="008C631E" w:rsidRDefault="008C631E" w:rsidP="00920F8E">
            <w:pPr>
              <w:spacing w:after="0"/>
              <w:rPr>
                <w:rFonts w:eastAsia="Malgun Gothic"/>
                <w:highlight w:val="green"/>
                <w:lang w:eastAsia="ko-KR"/>
              </w:rPr>
            </w:pPr>
            <w:r>
              <w:rPr>
                <w:rFonts w:eastAsia="Malgun Gothic"/>
                <w:highlight w:val="green"/>
                <w:lang w:eastAsia="ko-KR"/>
              </w:rPr>
              <w:t>Agreement</w:t>
            </w:r>
          </w:p>
          <w:p w14:paraId="15F3033D" w14:textId="77777777" w:rsidR="008C631E" w:rsidRDefault="008C631E" w:rsidP="00920F8E">
            <w:pPr>
              <w:spacing w:after="0"/>
              <w:rPr>
                <w:rFonts w:eastAsia="Malgun Gothic"/>
                <w:lang w:eastAsia="ko-KR"/>
              </w:rPr>
            </w:pPr>
            <w:r>
              <w:rPr>
                <w:rFonts w:eastAsia="Malgun Gothic"/>
                <w:lang w:eastAsia="ko-KR"/>
              </w:rPr>
              <w:t>Study the benefit of knowledge among gNBs of configurations such as</w:t>
            </w:r>
          </w:p>
          <w:p w14:paraId="1EB7009C" w14:textId="4463FC3D" w:rsidR="008C631E" w:rsidRDefault="008C631E" w:rsidP="00920F8E">
            <w:pPr>
              <w:pStyle w:val="aff4"/>
              <w:numPr>
                <w:ilvl w:val="0"/>
                <w:numId w:val="27"/>
              </w:numPr>
              <w:overflowPunct w:val="0"/>
              <w:autoSpaceDE w:val="0"/>
              <w:autoSpaceDN w:val="0"/>
              <w:adjustRightInd w:val="0"/>
              <w:spacing w:after="0"/>
              <w:ind w:leftChars="0"/>
              <w:contextualSpacing/>
              <w:rPr>
                <w:lang w:eastAsia="ja-JP"/>
              </w:rPr>
            </w:pPr>
            <w:r>
              <w:rPr>
                <w:lang w:eastAsia="ko-KR"/>
              </w:rPr>
              <w:t>SBFD time/frequency configuration</w:t>
            </w:r>
          </w:p>
        </w:tc>
      </w:tr>
    </w:tbl>
    <w:p w14:paraId="2323F5D8" w14:textId="77777777" w:rsidR="008C631E" w:rsidRDefault="008C631E" w:rsidP="00920F8E">
      <w:pPr>
        <w:tabs>
          <w:tab w:val="num" w:pos="1080"/>
        </w:tabs>
        <w:spacing w:after="0"/>
        <w:rPr>
          <w:lang w:eastAsia="ja-JP"/>
        </w:rPr>
      </w:pPr>
    </w:p>
    <w:p w14:paraId="11BC9229" w14:textId="16CCE18E" w:rsidR="00AC7712" w:rsidRDefault="00F33880" w:rsidP="00730B64">
      <w:pPr>
        <w:tabs>
          <w:tab w:val="num" w:pos="1080"/>
        </w:tabs>
        <w:rPr>
          <w:lang w:eastAsia="ja-JP"/>
        </w:rPr>
      </w:pPr>
      <w:r>
        <w:rPr>
          <w:lang w:eastAsia="ja-JP"/>
        </w:rPr>
        <w:t xml:space="preserve">The exchange of </w:t>
      </w:r>
      <w:r w:rsidRPr="00F33880">
        <w:rPr>
          <w:lang w:eastAsia="ja-JP"/>
        </w:rPr>
        <w:t>SBFD time/frequency configuration</w:t>
      </w:r>
      <w:r w:rsidRPr="00F33880" w:rsidDel="008C631E">
        <w:rPr>
          <w:lang w:eastAsia="ja-JP"/>
        </w:rPr>
        <w:t xml:space="preserve"> </w:t>
      </w:r>
      <w:r>
        <w:rPr>
          <w:lang w:eastAsia="ja-JP"/>
        </w:rPr>
        <w:t xml:space="preserve">would be beneficial to improve performance because </w:t>
      </w:r>
      <w:r w:rsidR="007E5A11" w:rsidRPr="00383223">
        <w:rPr>
          <w:lang w:eastAsia="ja-JP"/>
        </w:rPr>
        <w:t>gNB can handle inter-gNB CLI</w:t>
      </w:r>
      <w:r w:rsidR="001E242A">
        <w:rPr>
          <w:lang w:eastAsia="ja-JP"/>
        </w:rPr>
        <w:t xml:space="preserve"> based on </w:t>
      </w:r>
      <w:r w:rsidR="001E242A" w:rsidRPr="00383223">
        <w:rPr>
          <w:lang w:eastAsia="ja-JP"/>
        </w:rPr>
        <w:t>own scheduling strategy</w:t>
      </w:r>
      <w:r w:rsidR="007E5A11" w:rsidRPr="00383223">
        <w:rPr>
          <w:lang w:eastAsia="ja-JP"/>
        </w:rPr>
        <w:t>.</w:t>
      </w:r>
      <w:r w:rsidR="007E5A11">
        <w:rPr>
          <w:lang w:eastAsia="ja-JP"/>
        </w:rPr>
        <w:t xml:space="preserve"> </w:t>
      </w:r>
      <w:r w:rsidR="008C631E">
        <w:rPr>
          <w:lang w:eastAsia="ja-JP"/>
        </w:rPr>
        <w:t>The detail</w:t>
      </w:r>
      <w:r w:rsidR="00E43B98">
        <w:rPr>
          <w:lang w:eastAsia="ja-JP"/>
        </w:rPr>
        <w:t>ed schemes</w:t>
      </w:r>
      <w:r w:rsidR="008C631E">
        <w:rPr>
          <w:lang w:eastAsia="ja-JP"/>
        </w:rPr>
        <w:t xml:space="preserve"> need to be </w:t>
      </w:r>
      <w:r w:rsidR="001E242A">
        <w:rPr>
          <w:lang w:eastAsia="ja-JP"/>
        </w:rPr>
        <w:t xml:space="preserve">further </w:t>
      </w:r>
      <w:r w:rsidR="00F94F23">
        <w:rPr>
          <w:lang w:eastAsia="ja-JP"/>
        </w:rPr>
        <w:t>studied</w:t>
      </w:r>
      <w:r w:rsidR="008C631E">
        <w:rPr>
          <w:lang w:eastAsia="ja-JP"/>
        </w:rPr>
        <w:t xml:space="preserve"> based on how to configure subband locations in time and frequency domain</w:t>
      </w:r>
      <w:r w:rsidR="009B0874">
        <w:rPr>
          <w:lang w:eastAsia="ja-JP"/>
        </w:rPr>
        <w:t xml:space="preserve"> (e.g., whether</w:t>
      </w:r>
      <w:r w:rsidR="009553FA">
        <w:rPr>
          <w:lang w:eastAsia="ja-JP"/>
        </w:rPr>
        <w:t>/how</w:t>
      </w:r>
      <w:r w:rsidR="009B0874">
        <w:rPr>
          <w:lang w:eastAsia="ja-JP"/>
        </w:rPr>
        <w:t xml:space="preserve"> to support dynamic SBF</w:t>
      </w:r>
      <w:r w:rsidR="00970B77">
        <w:rPr>
          <w:lang w:eastAsia="ja-JP"/>
        </w:rPr>
        <w:t>D</w:t>
      </w:r>
      <w:r w:rsidR="009B0874">
        <w:rPr>
          <w:lang w:eastAsia="ja-JP"/>
        </w:rPr>
        <w:t>)</w:t>
      </w:r>
      <w:r w:rsidR="008C631E">
        <w:rPr>
          <w:lang w:eastAsia="ja-JP"/>
        </w:rPr>
        <w:t>.</w:t>
      </w:r>
    </w:p>
    <w:p w14:paraId="145BAACB" w14:textId="0DF7AA87" w:rsidR="006565ED" w:rsidRDefault="006565ED" w:rsidP="00730B64">
      <w:pPr>
        <w:tabs>
          <w:tab w:val="num" w:pos="1080"/>
        </w:tabs>
        <w:rPr>
          <w:lang w:eastAsia="ja-JP"/>
        </w:rPr>
      </w:pPr>
      <w:r>
        <w:rPr>
          <w:lang w:eastAsia="ja-JP"/>
        </w:rPr>
        <w:t xml:space="preserve">The limitation of </w:t>
      </w:r>
      <w:r w:rsidRPr="008E48C0">
        <w:rPr>
          <w:rFonts w:hint="eastAsia"/>
          <w:lang w:eastAsia="ja-JP"/>
        </w:rPr>
        <w:t xml:space="preserve">UL transmission power </w:t>
      </w:r>
      <w:r>
        <w:rPr>
          <w:lang w:eastAsia="ja-JP"/>
        </w:rPr>
        <w:t xml:space="preserve">can be considered. Assuming the case where DL transmission is interfered by UL transmission of adjacent subband, UL transmission power can affect CLI intensity. </w:t>
      </w:r>
      <w:r w:rsidRPr="00AB1C54">
        <w:rPr>
          <w:lang w:eastAsia="ja-JP"/>
        </w:rPr>
        <w:t>According to our simulation result</w:t>
      </w:r>
      <w:r w:rsidR="00BA7F88">
        <w:rPr>
          <w:lang w:eastAsia="ja-JP"/>
        </w:rPr>
        <w:t xml:space="preserve"> </w:t>
      </w:r>
      <w:r w:rsidR="00D1158C">
        <w:rPr>
          <w:lang w:eastAsia="ja-JP"/>
        </w:rPr>
        <w:fldChar w:fldCharType="begin"/>
      </w:r>
      <w:r w:rsidR="00D1158C">
        <w:rPr>
          <w:lang w:eastAsia="ja-JP"/>
        </w:rPr>
        <w:instrText xml:space="preserve"> REF _Ref131691971 \n \h </w:instrText>
      </w:r>
      <w:r w:rsidR="00D1158C">
        <w:rPr>
          <w:lang w:eastAsia="ja-JP"/>
        </w:rPr>
      </w:r>
      <w:r w:rsidR="00D1158C">
        <w:rPr>
          <w:lang w:eastAsia="ja-JP"/>
        </w:rPr>
        <w:fldChar w:fldCharType="separate"/>
      </w:r>
      <w:r w:rsidR="00461A99">
        <w:rPr>
          <w:lang w:eastAsia="ja-JP"/>
        </w:rPr>
        <w:t>[3]</w:t>
      </w:r>
      <w:r w:rsidR="00D1158C">
        <w:rPr>
          <w:lang w:eastAsia="ja-JP"/>
        </w:rPr>
        <w:fldChar w:fldCharType="end"/>
      </w:r>
      <w:r w:rsidRPr="00AB1C54">
        <w:rPr>
          <w:lang w:eastAsia="ja-JP"/>
        </w:rPr>
        <w:t>,</w:t>
      </w:r>
      <w:r>
        <w:rPr>
          <w:lang w:eastAsia="ja-JP"/>
        </w:rPr>
        <w:t xml:space="preserve"> DL performance is degraded depending on UL transmission power in adjacent subband. T</w:t>
      </w:r>
      <w:r w:rsidRPr="00940EE0">
        <w:rPr>
          <w:lang w:eastAsia="ja-JP"/>
        </w:rPr>
        <w:t xml:space="preserve">hus, </w:t>
      </w:r>
      <w:r>
        <w:rPr>
          <w:lang w:eastAsia="ja-JP"/>
        </w:rPr>
        <w:t xml:space="preserve">it would be beneficial that </w:t>
      </w:r>
      <w:r w:rsidRPr="00940EE0">
        <w:rPr>
          <w:lang w:eastAsia="ja-JP"/>
        </w:rPr>
        <w:t xml:space="preserve">UL transmission power </w:t>
      </w:r>
      <w:r>
        <w:rPr>
          <w:lang w:eastAsia="ja-JP"/>
        </w:rPr>
        <w:t xml:space="preserve">is differentiated between SBFD symbol and normal UL symbol </w:t>
      </w:r>
      <w:r w:rsidRPr="00860CC2">
        <w:rPr>
          <w:lang w:eastAsia="ja-JP"/>
        </w:rPr>
        <w:t xml:space="preserve">especially for higher layer configured UL transmission </w:t>
      </w:r>
      <w:r>
        <w:rPr>
          <w:lang w:eastAsia="ja-JP"/>
        </w:rPr>
        <w:t xml:space="preserve">(i.e., the maximum UL transmission power is limited on SBFD symbols). </w:t>
      </w:r>
    </w:p>
    <w:p w14:paraId="172CC911" w14:textId="72AB48D5" w:rsidR="002729D2" w:rsidRPr="00614B75" w:rsidRDefault="002729D2" w:rsidP="002729D2">
      <w:pPr>
        <w:rPr>
          <w:b/>
          <w:bCs/>
          <w:lang w:eastAsia="zh-CN"/>
        </w:rPr>
      </w:pPr>
      <w:r w:rsidRPr="00CF600D">
        <w:rPr>
          <w:b/>
          <w:bCs/>
          <w:lang w:eastAsia="zh-CN"/>
        </w:rPr>
        <w:t xml:space="preserve">Proposal </w:t>
      </w:r>
      <w:r w:rsidR="00D3622A">
        <w:rPr>
          <w:b/>
          <w:bCs/>
          <w:lang w:eastAsia="zh-CN"/>
        </w:rPr>
        <w:t>12</w:t>
      </w:r>
      <w:r w:rsidRPr="00DB4F85">
        <w:rPr>
          <w:b/>
          <w:bCs/>
          <w:lang w:eastAsia="zh-CN"/>
        </w:rPr>
        <w:t>:</w:t>
      </w:r>
      <w:r w:rsidRPr="00614B75">
        <w:rPr>
          <w:b/>
          <w:bCs/>
          <w:lang w:eastAsia="zh-CN"/>
        </w:rPr>
        <w:t xml:space="preserve"> </w:t>
      </w:r>
      <w:r w:rsidR="006565ED">
        <w:rPr>
          <w:b/>
          <w:bCs/>
          <w:lang w:eastAsia="zh-CN"/>
        </w:rPr>
        <w:t>F</w:t>
      </w:r>
      <w:r w:rsidR="006565ED" w:rsidRPr="00E610B4">
        <w:rPr>
          <w:b/>
          <w:bCs/>
          <w:lang w:eastAsia="zh-CN"/>
        </w:rPr>
        <w:t>or</w:t>
      </w:r>
      <w:r w:rsidR="006565ED">
        <w:rPr>
          <w:b/>
          <w:bCs/>
          <w:lang w:eastAsia="zh-CN"/>
        </w:rPr>
        <w:t xml:space="preserve"> interference mitigation, s</w:t>
      </w:r>
      <w:r w:rsidR="00E41972">
        <w:rPr>
          <w:b/>
          <w:bCs/>
          <w:lang w:eastAsia="zh-CN"/>
        </w:rPr>
        <w:t xml:space="preserve">tudy </w:t>
      </w:r>
      <w:r w:rsidR="00D11DDC">
        <w:rPr>
          <w:b/>
          <w:bCs/>
          <w:lang w:eastAsia="zh-CN"/>
        </w:rPr>
        <w:t>potential</w:t>
      </w:r>
      <w:r w:rsidRPr="00E610B4">
        <w:rPr>
          <w:b/>
          <w:bCs/>
          <w:lang w:eastAsia="zh-CN"/>
        </w:rPr>
        <w:t xml:space="preserve"> schemes</w:t>
      </w:r>
      <w:r w:rsidR="006565ED">
        <w:rPr>
          <w:b/>
          <w:bCs/>
          <w:lang w:eastAsia="zh-CN"/>
        </w:rPr>
        <w:t xml:space="preserve"> for the </w:t>
      </w:r>
      <w:r w:rsidR="006565ED" w:rsidRPr="00A546AC">
        <w:rPr>
          <w:b/>
          <w:bCs/>
          <w:lang w:eastAsia="zh-CN"/>
        </w:rPr>
        <w:t xml:space="preserve">exchange </w:t>
      </w:r>
      <w:r w:rsidR="006565ED">
        <w:rPr>
          <w:b/>
          <w:bCs/>
          <w:lang w:eastAsia="zh-CN"/>
        </w:rPr>
        <w:t xml:space="preserve">of </w:t>
      </w:r>
      <w:r w:rsidR="006565ED" w:rsidRPr="00A546AC">
        <w:rPr>
          <w:b/>
          <w:bCs/>
          <w:lang w:eastAsia="zh-CN"/>
        </w:rPr>
        <w:t>SBFD configurations</w:t>
      </w:r>
      <w:r w:rsidR="006565ED" w:rsidRPr="00E610B4">
        <w:rPr>
          <w:b/>
          <w:bCs/>
          <w:lang w:eastAsia="zh-CN"/>
        </w:rPr>
        <w:t xml:space="preserve"> </w:t>
      </w:r>
      <w:r w:rsidR="006565ED">
        <w:rPr>
          <w:b/>
          <w:bCs/>
          <w:lang w:eastAsia="zh-CN"/>
        </w:rPr>
        <w:t xml:space="preserve">and </w:t>
      </w:r>
      <w:r w:rsidRPr="00E610B4">
        <w:rPr>
          <w:b/>
          <w:bCs/>
          <w:lang w:eastAsia="zh-CN"/>
        </w:rPr>
        <w:t>UL transmission power limitation.</w:t>
      </w:r>
    </w:p>
    <w:p w14:paraId="07E36557" w14:textId="77777777" w:rsidR="00885E12" w:rsidRPr="00721B0F" w:rsidRDefault="00885E12" w:rsidP="00FE053F">
      <w:pPr>
        <w:rPr>
          <w:rFonts w:eastAsia="SimSun"/>
          <w:lang w:eastAsia="zh-CN"/>
        </w:rPr>
      </w:pPr>
    </w:p>
    <w:p w14:paraId="2A335C37" w14:textId="445836A8" w:rsidR="004B05FD" w:rsidRPr="005B433D" w:rsidRDefault="004B05FD" w:rsidP="004B05FD">
      <w:pPr>
        <w:pStyle w:val="1"/>
        <w:tabs>
          <w:tab w:val="num" w:pos="426"/>
        </w:tabs>
        <w:ind w:left="426" w:hanging="426"/>
        <w:rPr>
          <w:szCs w:val="36"/>
          <w:lang w:eastAsia="ja-JP"/>
        </w:rPr>
      </w:pPr>
      <w:r>
        <w:rPr>
          <w:szCs w:val="36"/>
          <w:lang w:eastAsia="ja-JP"/>
        </w:rPr>
        <w:t>Conclusion</w:t>
      </w:r>
    </w:p>
    <w:p w14:paraId="3686C76F" w14:textId="2DF1C3A6" w:rsidR="00664032" w:rsidRDefault="009A2163" w:rsidP="00281FD4">
      <w:pPr>
        <w:rPr>
          <w:lang w:val="en-GB" w:eastAsia="ja-JP"/>
        </w:rPr>
      </w:pPr>
      <w:r w:rsidRPr="009A2163">
        <w:rPr>
          <w:rFonts w:eastAsia="SimSun" w:cs="Arial"/>
          <w:lang w:eastAsia="zh-CN"/>
        </w:rPr>
        <w:t xml:space="preserve">In this contribution, we made the following </w:t>
      </w:r>
      <w:r w:rsidR="009B4494">
        <w:rPr>
          <w:rFonts w:eastAsiaTheme="minorEastAsia" w:cs="Arial" w:hint="eastAsia"/>
          <w:lang w:eastAsia="ja-JP"/>
        </w:rPr>
        <w:t>o</w:t>
      </w:r>
      <w:r w:rsidR="009B4494">
        <w:rPr>
          <w:rFonts w:eastAsiaTheme="minorEastAsia" w:cs="Arial"/>
          <w:lang w:eastAsia="ja-JP"/>
        </w:rPr>
        <w:t xml:space="preserve">bservation and </w:t>
      </w:r>
      <w:r w:rsidR="005B3652">
        <w:rPr>
          <w:rFonts w:eastAsia="SimSun" w:cs="Arial"/>
          <w:lang w:eastAsia="zh-CN"/>
        </w:rPr>
        <w:t>proposals</w:t>
      </w:r>
      <w:r w:rsidR="009E112F">
        <w:rPr>
          <w:rFonts w:eastAsia="SimSun" w:cs="Arial"/>
          <w:lang w:eastAsia="zh-CN"/>
        </w:rPr>
        <w:t>.</w:t>
      </w:r>
      <w:r w:rsidR="00281FD4">
        <w:rPr>
          <w:lang w:val="en-GB" w:eastAsia="ja-JP"/>
        </w:rPr>
        <w:t xml:space="preserve"> </w:t>
      </w:r>
    </w:p>
    <w:p w14:paraId="2234290E" w14:textId="77777777" w:rsidR="00C1206B" w:rsidRPr="00A563AD" w:rsidRDefault="00C1206B" w:rsidP="00C1206B">
      <w:pPr>
        <w:rPr>
          <w:rFonts w:eastAsiaTheme="minorEastAsia"/>
          <w:b/>
          <w:bCs/>
          <w:lang w:val="en-GB" w:eastAsia="ja-JP"/>
        </w:rPr>
      </w:pPr>
      <w:r w:rsidRPr="00A563AD">
        <w:rPr>
          <w:rFonts w:eastAsiaTheme="minorEastAsia"/>
          <w:b/>
          <w:bCs/>
          <w:lang w:val="en-GB" w:eastAsia="ja-JP"/>
        </w:rPr>
        <w:t>Observation 1:</w:t>
      </w:r>
      <w:r w:rsidRPr="00A563AD">
        <w:rPr>
          <w:rFonts w:eastAsiaTheme="minorEastAsia" w:hint="eastAsia"/>
          <w:b/>
          <w:bCs/>
          <w:lang w:val="en-GB" w:eastAsia="ja-JP"/>
        </w:rPr>
        <w:t xml:space="preserve"> For</w:t>
      </w:r>
      <w:r w:rsidRPr="00A563AD">
        <w:rPr>
          <w:rFonts w:eastAsiaTheme="minorEastAsia"/>
          <w:b/>
          <w:bCs/>
          <w:lang w:val="en-GB" w:eastAsia="ja-JP"/>
        </w:rPr>
        <w:t xml:space="preserve"> the </w:t>
      </w:r>
      <w:r w:rsidRPr="00A563AD">
        <w:rPr>
          <w:b/>
          <w:bCs/>
        </w:rPr>
        <w:t xml:space="preserve">frequency location configuration of DL subband(s) and guardband(s), there is no </w:t>
      </w:r>
      <w:r w:rsidRPr="00365B54">
        <w:rPr>
          <w:b/>
          <w:bCs/>
        </w:rPr>
        <w:t>significant</w:t>
      </w:r>
      <w:r w:rsidRPr="00A563AD">
        <w:rPr>
          <w:b/>
          <w:bCs/>
        </w:rPr>
        <w:t xml:space="preserve"> difference </w:t>
      </w:r>
      <w:r>
        <w:rPr>
          <w:b/>
          <w:bCs/>
        </w:rPr>
        <w:t>between Option 1 and Option 2</w:t>
      </w:r>
      <w:r w:rsidRPr="00A563AD">
        <w:rPr>
          <w:b/>
          <w:bCs/>
        </w:rPr>
        <w:t>.</w:t>
      </w:r>
    </w:p>
    <w:p w14:paraId="2F5430A8" w14:textId="301600C7" w:rsidR="00C1206B" w:rsidRDefault="00C1206B" w:rsidP="00C1206B">
      <w:pPr>
        <w:rPr>
          <w:b/>
          <w:bCs/>
          <w:lang w:eastAsia="ja-JP"/>
        </w:rPr>
      </w:pPr>
      <w:r w:rsidRPr="00F84D71">
        <w:rPr>
          <w:rFonts w:eastAsiaTheme="minorEastAsia"/>
          <w:b/>
          <w:bCs/>
          <w:lang w:val="en-GB" w:eastAsia="ja-JP"/>
        </w:rPr>
        <w:t xml:space="preserve">Observation </w:t>
      </w:r>
      <w:r>
        <w:rPr>
          <w:rFonts w:eastAsiaTheme="minorEastAsia"/>
          <w:b/>
          <w:bCs/>
          <w:lang w:val="en-GB" w:eastAsia="ja-JP"/>
        </w:rPr>
        <w:t>2</w:t>
      </w:r>
      <w:r w:rsidRPr="006E4BA8">
        <w:rPr>
          <w:rFonts w:eastAsiaTheme="minorEastAsia"/>
          <w:b/>
          <w:bCs/>
          <w:lang w:val="en-GB" w:eastAsia="ja-JP"/>
        </w:rPr>
        <w:t xml:space="preserve">: It is not sufficient to operate SBFD only over </w:t>
      </w:r>
      <w:r>
        <w:rPr>
          <w:rFonts w:eastAsiaTheme="minorEastAsia"/>
          <w:b/>
          <w:bCs/>
          <w:lang w:val="en-GB" w:eastAsia="ja-JP"/>
        </w:rPr>
        <w:t xml:space="preserve">legacy </w:t>
      </w:r>
      <w:r w:rsidRPr="006E4BA8">
        <w:rPr>
          <w:rFonts w:eastAsiaTheme="minorEastAsia"/>
          <w:b/>
          <w:bCs/>
          <w:lang w:val="en-GB" w:eastAsia="ja-JP"/>
        </w:rPr>
        <w:t>semi-static Flexible symbol/slot.</w:t>
      </w:r>
      <w:r>
        <w:rPr>
          <w:rFonts w:eastAsiaTheme="minorEastAsia"/>
          <w:b/>
          <w:bCs/>
          <w:lang w:val="en-GB" w:eastAsia="ja-JP"/>
        </w:rPr>
        <w:t xml:space="preserve"> Method to utilize legacy semi-static DL symbol/slot should be studied. </w:t>
      </w:r>
      <w:r w:rsidRPr="00654DFF">
        <w:rPr>
          <w:b/>
          <w:bCs/>
          <w:lang w:eastAsia="ja-JP"/>
        </w:rPr>
        <w:t xml:space="preserve">Proposal </w:t>
      </w:r>
      <w:r>
        <w:rPr>
          <w:rFonts w:hint="eastAsia"/>
          <w:b/>
          <w:bCs/>
          <w:lang w:eastAsia="ja-JP"/>
        </w:rPr>
        <w:t>1</w:t>
      </w:r>
      <w:r w:rsidRPr="00654DFF">
        <w:rPr>
          <w:rFonts w:hint="eastAsia"/>
          <w:b/>
          <w:bCs/>
          <w:lang w:eastAsia="ja-JP"/>
        </w:rPr>
        <w:t>:</w:t>
      </w:r>
      <w:r>
        <w:rPr>
          <w:b/>
          <w:bCs/>
          <w:lang w:eastAsia="ja-JP"/>
        </w:rPr>
        <w:t xml:space="preserve"> </w:t>
      </w:r>
      <w:r w:rsidRPr="00D8178A">
        <w:rPr>
          <w:b/>
          <w:bCs/>
          <w:lang w:eastAsia="ja-JP"/>
        </w:rPr>
        <w:t xml:space="preserve">For </w:t>
      </w:r>
      <w:r>
        <w:rPr>
          <w:b/>
          <w:bCs/>
          <w:lang w:eastAsia="ja-JP"/>
        </w:rPr>
        <w:t xml:space="preserve">dynamic </w:t>
      </w:r>
      <w:r w:rsidRPr="00D8178A">
        <w:rPr>
          <w:b/>
          <w:bCs/>
          <w:lang w:eastAsia="ja-JP"/>
        </w:rPr>
        <w:t xml:space="preserve">SBFD operation in a symbol configured as </w:t>
      </w:r>
      <w:r>
        <w:rPr>
          <w:b/>
          <w:bCs/>
          <w:lang w:eastAsia="ja-JP"/>
        </w:rPr>
        <w:t>DL</w:t>
      </w:r>
      <w:r w:rsidRPr="00D8178A">
        <w:rPr>
          <w:b/>
          <w:bCs/>
          <w:lang w:eastAsia="ja-JP"/>
        </w:rPr>
        <w:t xml:space="preserve"> in </w:t>
      </w:r>
      <w:r w:rsidRPr="00002E6E">
        <w:rPr>
          <w:b/>
          <w:bCs/>
          <w:i/>
          <w:iCs/>
          <w:lang w:eastAsia="ja-JP"/>
        </w:rPr>
        <w:t>TDD-UL-DL-ConfigCommon</w:t>
      </w:r>
      <w:r>
        <w:rPr>
          <w:b/>
          <w:bCs/>
          <w:lang w:eastAsia="ja-JP"/>
        </w:rPr>
        <w:t>, support O</w:t>
      </w:r>
      <w:r w:rsidRPr="00D8178A">
        <w:rPr>
          <w:b/>
          <w:bCs/>
          <w:lang w:eastAsia="ja-JP"/>
        </w:rPr>
        <w:t xml:space="preserve">ption </w:t>
      </w:r>
      <w:r>
        <w:rPr>
          <w:b/>
          <w:bCs/>
          <w:lang w:eastAsia="ja-JP"/>
        </w:rPr>
        <w:t>2.</w:t>
      </w:r>
    </w:p>
    <w:p w14:paraId="402FE86E" w14:textId="5378314E" w:rsidR="00844453" w:rsidRDefault="00844453" w:rsidP="00C1206B">
      <w:pPr>
        <w:rPr>
          <w:b/>
          <w:bCs/>
          <w:lang w:eastAsia="ja-JP"/>
        </w:rPr>
      </w:pPr>
      <w:r w:rsidRPr="00654DFF">
        <w:rPr>
          <w:b/>
          <w:bCs/>
          <w:lang w:eastAsia="ja-JP"/>
        </w:rPr>
        <w:lastRenderedPageBreak/>
        <w:t xml:space="preserve">Proposal </w:t>
      </w:r>
      <w:r>
        <w:rPr>
          <w:rFonts w:hint="eastAsia"/>
          <w:b/>
          <w:bCs/>
          <w:lang w:eastAsia="ja-JP"/>
        </w:rPr>
        <w:t>1</w:t>
      </w:r>
      <w:r w:rsidRPr="00654DFF">
        <w:rPr>
          <w:rFonts w:hint="eastAsia"/>
          <w:b/>
          <w:bCs/>
          <w:lang w:eastAsia="ja-JP"/>
        </w:rPr>
        <w:t>:</w:t>
      </w:r>
      <w:r>
        <w:rPr>
          <w:b/>
          <w:bCs/>
          <w:lang w:eastAsia="ja-JP"/>
        </w:rPr>
        <w:t xml:space="preserve"> </w:t>
      </w:r>
      <w:r w:rsidRPr="00D8178A">
        <w:rPr>
          <w:b/>
          <w:bCs/>
          <w:lang w:eastAsia="ja-JP"/>
        </w:rPr>
        <w:t xml:space="preserve">For </w:t>
      </w:r>
      <w:r>
        <w:rPr>
          <w:b/>
          <w:bCs/>
          <w:lang w:eastAsia="ja-JP"/>
        </w:rPr>
        <w:t xml:space="preserve">dynamic </w:t>
      </w:r>
      <w:r w:rsidRPr="00D8178A">
        <w:rPr>
          <w:b/>
          <w:bCs/>
          <w:lang w:eastAsia="ja-JP"/>
        </w:rPr>
        <w:t xml:space="preserve">SBFD operation in a symbol configured as </w:t>
      </w:r>
      <w:r>
        <w:rPr>
          <w:b/>
          <w:bCs/>
          <w:lang w:eastAsia="ja-JP"/>
        </w:rPr>
        <w:t>DL</w:t>
      </w:r>
      <w:r w:rsidRPr="00D8178A">
        <w:rPr>
          <w:b/>
          <w:bCs/>
          <w:lang w:eastAsia="ja-JP"/>
        </w:rPr>
        <w:t xml:space="preserve"> in </w:t>
      </w:r>
      <w:r w:rsidRPr="00002E6E">
        <w:rPr>
          <w:b/>
          <w:bCs/>
          <w:i/>
          <w:iCs/>
          <w:lang w:eastAsia="ja-JP"/>
        </w:rPr>
        <w:t>TDD-UL-DL-ConfigCommon</w:t>
      </w:r>
      <w:r>
        <w:rPr>
          <w:b/>
          <w:bCs/>
          <w:lang w:eastAsia="ja-JP"/>
        </w:rPr>
        <w:t>, support O</w:t>
      </w:r>
      <w:r w:rsidRPr="00D8178A">
        <w:rPr>
          <w:b/>
          <w:bCs/>
          <w:lang w:eastAsia="ja-JP"/>
        </w:rPr>
        <w:t xml:space="preserve">ption </w:t>
      </w:r>
      <w:r>
        <w:rPr>
          <w:b/>
          <w:bCs/>
          <w:lang w:eastAsia="ja-JP"/>
        </w:rPr>
        <w:t>2.</w:t>
      </w:r>
    </w:p>
    <w:p w14:paraId="0262F9B0" w14:textId="79A814B9" w:rsidR="00C1206B" w:rsidRDefault="00C1206B" w:rsidP="00C1206B">
      <w:pPr>
        <w:rPr>
          <w:lang w:eastAsia="ja-JP"/>
        </w:rPr>
      </w:pPr>
      <w:r w:rsidRPr="00654DFF">
        <w:rPr>
          <w:b/>
          <w:bCs/>
          <w:lang w:eastAsia="ja-JP"/>
        </w:rPr>
        <w:t xml:space="preserve">Proposal </w:t>
      </w:r>
      <w:r>
        <w:rPr>
          <w:b/>
          <w:bCs/>
          <w:lang w:eastAsia="ja-JP"/>
        </w:rPr>
        <w:t>2</w:t>
      </w:r>
      <w:r w:rsidRPr="00654DFF">
        <w:rPr>
          <w:rFonts w:hint="eastAsia"/>
          <w:b/>
          <w:bCs/>
          <w:lang w:eastAsia="ja-JP"/>
        </w:rPr>
        <w:t>:</w:t>
      </w:r>
      <w:r>
        <w:rPr>
          <w:b/>
          <w:bCs/>
          <w:lang w:eastAsia="ja-JP"/>
        </w:rPr>
        <w:t xml:space="preserve"> </w:t>
      </w:r>
      <w:r w:rsidRPr="00D8178A">
        <w:rPr>
          <w:b/>
          <w:bCs/>
          <w:lang w:eastAsia="ja-JP"/>
        </w:rPr>
        <w:t xml:space="preserve">For </w:t>
      </w:r>
      <w:r>
        <w:rPr>
          <w:b/>
          <w:bCs/>
          <w:lang w:eastAsia="ja-JP"/>
        </w:rPr>
        <w:t xml:space="preserve">dynamic </w:t>
      </w:r>
      <w:r w:rsidRPr="00D8178A">
        <w:rPr>
          <w:b/>
          <w:bCs/>
          <w:lang w:eastAsia="ja-JP"/>
        </w:rPr>
        <w:t xml:space="preserve">SBFD operation in a symbol configured as </w:t>
      </w:r>
      <w:r w:rsidRPr="005354AC">
        <w:rPr>
          <w:b/>
          <w:bCs/>
          <w:lang w:eastAsia="ja-JP"/>
        </w:rPr>
        <w:t xml:space="preserve">flexible </w:t>
      </w:r>
      <w:r w:rsidRPr="00D8178A">
        <w:rPr>
          <w:b/>
          <w:bCs/>
          <w:lang w:eastAsia="ja-JP"/>
        </w:rPr>
        <w:t xml:space="preserve">in </w:t>
      </w:r>
      <w:r w:rsidRPr="00002E6E">
        <w:rPr>
          <w:b/>
          <w:bCs/>
          <w:i/>
          <w:iCs/>
          <w:lang w:eastAsia="ja-JP"/>
        </w:rPr>
        <w:t>TDD-UL-DL-ConfigCommon</w:t>
      </w:r>
      <w:r>
        <w:rPr>
          <w:b/>
          <w:bCs/>
          <w:lang w:eastAsia="ja-JP"/>
        </w:rPr>
        <w:t>, s</w:t>
      </w:r>
      <w:r w:rsidRPr="005354AC">
        <w:rPr>
          <w:b/>
          <w:bCs/>
          <w:lang w:eastAsia="ja-JP"/>
        </w:rPr>
        <w:t xml:space="preserve">tudy further between </w:t>
      </w:r>
      <w:r>
        <w:rPr>
          <w:b/>
          <w:bCs/>
          <w:lang w:eastAsia="ja-JP"/>
        </w:rPr>
        <w:t>O</w:t>
      </w:r>
      <w:r w:rsidRPr="005354AC">
        <w:rPr>
          <w:b/>
          <w:bCs/>
          <w:lang w:eastAsia="ja-JP"/>
        </w:rPr>
        <w:t xml:space="preserve">ption 2 and </w:t>
      </w:r>
      <w:r>
        <w:rPr>
          <w:b/>
          <w:bCs/>
          <w:lang w:eastAsia="ja-JP"/>
        </w:rPr>
        <w:t>O</w:t>
      </w:r>
      <w:r w:rsidRPr="005354AC">
        <w:rPr>
          <w:b/>
          <w:bCs/>
          <w:lang w:eastAsia="ja-JP"/>
        </w:rPr>
        <w:t>ption 3 depending on the merit of "bandwidth edge is always DL".</w:t>
      </w:r>
    </w:p>
    <w:p w14:paraId="0FB0D589" w14:textId="77777777" w:rsidR="00C1206B" w:rsidRDefault="00C1206B" w:rsidP="00C1206B">
      <w:pPr>
        <w:rPr>
          <w:lang w:eastAsia="ja-JP"/>
        </w:rPr>
      </w:pPr>
      <w:r w:rsidRPr="00654DFF">
        <w:rPr>
          <w:b/>
          <w:bCs/>
          <w:lang w:eastAsia="ja-JP"/>
        </w:rPr>
        <w:t xml:space="preserve">Proposal </w:t>
      </w:r>
      <w:r>
        <w:rPr>
          <w:b/>
          <w:bCs/>
          <w:lang w:eastAsia="ja-JP"/>
        </w:rPr>
        <w:t>3</w:t>
      </w:r>
      <w:r w:rsidRPr="00654DFF">
        <w:rPr>
          <w:rFonts w:hint="eastAsia"/>
          <w:b/>
          <w:bCs/>
          <w:lang w:eastAsia="ja-JP"/>
        </w:rPr>
        <w:t>:</w:t>
      </w:r>
      <w:r w:rsidRPr="00422648">
        <w:rPr>
          <w:b/>
          <w:bCs/>
          <w:lang w:eastAsia="ja-JP"/>
        </w:rPr>
        <w:t xml:space="preserve"> </w:t>
      </w:r>
      <w:r w:rsidRPr="003B1504">
        <w:rPr>
          <w:b/>
          <w:bCs/>
          <w:lang w:eastAsia="ja-JP"/>
        </w:rPr>
        <w:t>Not support that the transmission/reception occasion of a physical channel/signal can be mapped to SBFD and non-SBFD symbols within a slot for a UE.</w:t>
      </w:r>
    </w:p>
    <w:p w14:paraId="0E3EE55E" w14:textId="77777777" w:rsidR="00C1206B" w:rsidRPr="007C29AA" w:rsidRDefault="00C1206B" w:rsidP="00C1206B">
      <w:pPr>
        <w:rPr>
          <w:rFonts w:eastAsiaTheme="minorEastAsia"/>
          <w:b/>
          <w:bCs/>
          <w:lang w:val="en-GB" w:eastAsia="ja-JP"/>
        </w:rPr>
      </w:pPr>
      <w:r w:rsidRPr="00F84D71">
        <w:rPr>
          <w:rFonts w:eastAsiaTheme="minorEastAsia"/>
          <w:b/>
          <w:bCs/>
          <w:lang w:val="en-GB" w:eastAsia="ja-JP"/>
        </w:rPr>
        <w:t xml:space="preserve">Proposal </w:t>
      </w:r>
      <w:r>
        <w:rPr>
          <w:rFonts w:eastAsiaTheme="minorEastAsia"/>
          <w:b/>
          <w:bCs/>
          <w:lang w:val="en-GB" w:eastAsia="ja-JP"/>
        </w:rPr>
        <w:t>4</w:t>
      </w:r>
      <w:r w:rsidRPr="007C29AA">
        <w:rPr>
          <w:rFonts w:eastAsiaTheme="minorEastAsia"/>
          <w:b/>
          <w:bCs/>
          <w:lang w:val="en-GB" w:eastAsia="ja-JP"/>
        </w:rPr>
        <w:t xml:space="preserve">: Consider to introduce a new semi-static slot format for Rel-18 (and beyond) where the legacy </w:t>
      </w:r>
      <w:r>
        <w:rPr>
          <w:rFonts w:eastAsiaTheme="minorEastAsia"/>
          <w:b/>
          <w:bCs/>
          <w:lang w:val="en-GB" w:eastAsia="ja-JP"/>
        </w:rPr>
        <w:t xml:space="preserve">semi-static </w:t>
      </w:r>
      <w:r w:rsidRPr="007C29AA">
        <w:rPr>
          <w:rFonts w:eastAsiaTheme="minorEastAsia"/>
          <w:b/>
          <w:bCs/>
          <w:lang w:val="en-GB" w:eastAsia="ja-JP"/>
        </w:rPr>
        <w:t xml:space="preserve">DL symbol/slot can be re-configured as UL or Flexible symbol/slot. </w:t>
      </w:r>
    </w:p>
    <w:p w14:paraId="709D9AD1" w14:textId="77777777" w:rsidR="00C1206B" w:rsidRDefault="00C1206B" w:rsidP="00C1206B">
      <w:pPr>
        <w:rPr>
          <w:rFonts w:eastAsiaTheme="minorEastAsia"/>
          <w:b/>
          <w:bCs/>
          <w:lang w:val="en-GB" w:eastAsia="ja-JP"/>
        </w:rPr>
      </w:pPr>
      <w:r w:rsidRPr="00674382">
        <w:rPr>
          <w:rFonts w:eastAsiaTheme="minorEastAsia"/>
          <w:b/>
          <w:bCs/>
          <w:lang w:val="en-GB" w:eastAsia="ja-JP"/>
        </w:rPr>
        <w:t xml:space="preserve">Proposal </w:t>
      </w:r>
      <w:r>
        <w:rPr>
          <w:rFonts w:eastAsiaTheme="minorEastAsia"/>
          <w:b/>
          <w:bCs/>
          <w:lang w:val="en-GB" w:eastAsia="ja-JP"/>
        </w:rPr>
        <w:t>5</w:t>
      </w:r>
      <w:r w:rsidRPr="00674382">
        <w:rPr>
          <w:rFonts w:eastAsiaTheme="minorEastAsia"/>
          <w:b/>
          <w:bCs/>
          <w:lang w:val="en-GB" w:eastAsia="ja-JP"/>
        </w:rPr>
        <w:t>:</w:t>
      </w:r>
      <w:r>
        <w:rPr>
          <w:rFonts w:eastAsiaTheme="minorEastAsia"/>
          <w:b/>
          <w:bCs/>
          <w:lang w:val="en-GB" w:eastAsia="ja-JP"/>
        </w:rPr>
        <w:t xml:space="preserve"> For </w:t>
      </w:r>
      <w:r w:rsidRPr="00674382">
        <w:rPr>
          <w:rFonts w:eastAsiaTheme="minorEastAsia"/>
          <w:b/>
          <w:bCs/>
          <w:lang w:val="en-GB" w:eastAsia="ja-JP"/>
        </w:rPr>
        <w:t>configured UL transmission</w:t>
      </w:r>
      <w:r>
        <w:rPr>
          <w:rFonts w:eastAsiaTheme="minorEastAsia"/>
          <w:b/>
          <w:bCs/>
          <w:lang w:val="en-GB" w:eastAsia="ja-JP"/>
        </w:rPr>
        <w:t>, support s</w:t>
      </w:r>
      <w:r w:rsidRPr="00541EE3">
        <w:rPr>
          <w:rFonts w:eastAsiaTheme="minorEastAsia"/>
          <w:b/>
          <w:bCs/>
          <w:lang w:val="en-GB" w:eastAsia="ja-JP"/>
        </w:rPr>
        <w:t xml:space="preserve">eparate configurations for SBFD </w:t>
      </w:r>
      <w:r>
        <w:rPr>
          <w:rFonts w:eastAsiaTheme="minorEastAsia"/>
          <w:b/>
          <w:bCs/>
          <w:lang w:val="en-GB" w:eastAsia="ja-JP"/>
        </w:rPr>
        <w:t xml:space="preserve">symbols </w:t>
      </w:r>
      <w:r w:rsidRPr="00541EE3">
        <w:rPr>
          <w:rFonts w:eastAsiaTheme="minorEastAsia"/>
          <w:b/>
          <w:bCs/>
          <w:lang w:val="en-GB" w:eastAsia="ja-JP"/>
        </w:rPr>
        <w:t xml:space="preserve">and non-SBFD </w:t>
      </w:r>
      <w:r>
        <w:rPr>
          <w:rFonts w:eastAsiaTheme="minorEastAsia"/>
          <w:b/>
          <w:bCs/>
          <w:lang w:val="en-GB" w:eastAsia="ja-JP"/>
        </w:rPr>
        <w:t xml:space="preserve">symbols by </w:t>
      </w:r>
      <w:r w:rsidRPr="008814BF">
        <w:rPr>
          <w:rFonts w:eastAsiaTheme="minorEastAsia"/>
          <w:b/>
          <w:bCs/>
          <w:lang w:val="en-GB" w:eastAsia="ja-JP"/>
        </w:rPr>
        <w:t>associat</w:t>
      </w:r>
      <w:r>
        <w:rPr>
          <w:rFonts w:eastAsiaTheme="minorEastAsia"/>
          <w:b/>
          <w:bCs/>
          <w:lang w:val="en-GB" w:eastAsia="ja-JP"/>
        </w:rPr>
        <w:t>ing the configuration</w:t>
      </w:r>
      <w:r w:rsidRPr="008814BF">
        <w:rPr>
          <w:rFonts w:eastAsiaTheme="minorEastAsia"/>
          <w:b/>
          <w:bCs/>
          <w:lang w:val="en-GB" w:eastAsia="ja-JP"/>
        </w:rPr>
        <w:t xml:space="preserve"> with either SBFD symbol</w:t>
      </w:r>
      <w:r>
        <w:rPr>
          <w:rFonts w:eastAsiaTheme="minorEastAsia"/>
          <w:b/>
          <w:bCs/>
          <w:lang w:val="en-GB" w:eastAsia="ja-JP"/>
        </w:rPr>
        <w:t xml:space="preserve"> or non-SBFD symbol</w:t>
      </w:r>
      <w:r w:rsidRPr="008814BF">
        <w:rPr>
          <w:rFonts w:eastAsiaTheme="minorEastAsia"/>
          <w:b/>
          <w:bCs/>
          <w:lang w:val="en-GB" w:eastAsia="ja-JP"/>
        </w:rPr>
        <w:t>.</w:t>
      </w:r>
    </w:p>
    <w:p w14:paraId="685C2759" w14:textId="77777777" w:rsidR="00D3622A" w:rsidRDefault="00D3622A" w:rsidP="00D3622A">
      <w:pPr>
        <w:rPr>
          <w:lang w:val="en-GB" w:eastAsia="ja-JP"/>
        </w:rPr>
      </w:pPr>
      <w:r w:rsidRPr="00AB5419">
        <w:rPr>
          <w:rFonts w:eastAsiaTheme="minorEastAsia"/>
          <w:b/>
          <w:bCs/>
          <w:lang w:val="en-GB" w:eastAsia="ja-JP"/>
        </w:rPr>
        <w:t xml:space="preserve">Proposal </w:t>
      </w:r>
      <w:r>
        <w:rPr>
          <w:rFonts w:eastAsiaTheme="minorEastAsia"/>
          <w:b/>
          <w:bCs/>
          <w:lang w:val="en-GB" w:eastAsia="ja-JP"/>
        </w:rPr>
        <w:t>6</w:t>
      </w:r>
      <w:r w:rsidRPr="00AB5419">
        <w:rPr>
          <w:rFonts w:eastAsiaTheme="minorEastAsia"/>
          <w:b/>
          <w:bCs/>
          <w:lang w:val="en-GB" w:eastAsia="ja-JP"/>
        </w:rPr>
        <w:t>:</w:t>
      </w:r>
      <w:r w:rsidRPr="00470688">
        <w:rPr>
          <w:rFonts w:eastAsiaTheme="minorEastAsia"/>
          <w:b/>
          <w:bCs/>
          <w:lang w:val="en-GB" w:eastAsia="ja-JP"/>
        </w:rPr>
        <w:t xml:space="preserve"> </w:t>
      </w:r>
      <w:r w:rsidRPr="00AA47D8">
        <w:rPr>
          <w:rFonts w:eastAsiaTheme="minorEastAsia" w:hint="eastAsia"/>
          <w:b/>
          <w:bCs/>
          <w:lang w:eastAsia="ja-JP"/>
        </w:rPr>
        <w:t>For PUSCH</w:t>
      </w:r>
      <w:r>
        <w:rPr>
          <w:rFonts w:eastAsiaTheme="minorEastAsia"/>
          <w:b/>
          <w:bCs/>
          <w:lang w:eastAsia="ja-JP"/>
        </w:rPr>
        <w:t xml:space="preserve"> with dynamic grant</w:t>
      </w:r>
      <w:r w:rsidRPr="00AA47D8">
        <w:rPr>
          <w:rFonts w:eastAsiaTheme="minorEastAsia" w:hint="eastAsia"/>
          <w:b/>
          <w:bCs/>
          <w:lang w:eastAsia="ja-JP"/>
        </w:rPr>
        <w:t>, the same FDRA is used between SBFD symbol and normal symbol</w:t>
      </w:r>
      <w:r w:rsidRPr="00470688">
        <w:rPr>
          <w:rFonts w:eastAsiaTheme="minorEastAsia"/>
          <w:b/>
          <w:bCs/>
          <w:lang w:val="en-GB" w:eastAsia="ja-JP"/>
        </w:rPr>
        <w:t xml:space="preserve">. </w:t>
      </w:r>
    </w:p>
    <w:p w14:paraId="4A13D6A8" w14:textId="77777777" w:rsidR="00377D3C" w:rsidRDefault="00377D3C" w:rsidP="00377D3C">
      <w:r w:rsidRPr="00002E6E">
        <w:rPr>
          <w:rFonts w:eastAsiaTheme="minorEastAsia"/>
          <w:b/>
          <w:bCs/>
          <w:lang w:val="en-GB" w:eastAsia="ja-JP"/>
        </w:rPr>
        <w:t xml:space="preserve">Proposal </w:t>
      </w:r>
      <w:r>
        <w:rPr>
          <w:rFonts w:eastAsiaTheme="minorEastAsia"/>
          <w:b/>
          <w:bCs/>
          <w:lang w:val="en-GB" w:eastAsia="ja-JP"/>
        </w:rPr>
        <w:t>7</w:t>
      </w:r>
      <w:r w:rsidRPr="00002E6E">
        <w:rPr>
          <w:rFonts w:eastAsiaTheme="minorEastAsia"/>
          <w:b/>
          <w:bCs/>
          <w:lang w:val="en-GB" w:eastAsia="ja-JP"/>
        </w:rPr>
        <w:t xml:space="preserve">: </w:t>
      </w:r>
      <w:r>
        <w:rPr>
          <w:rFonts w:eastAsiaTheme="minorEastAsia"/>
          <w:b/>
          <w:bCs/>
          <w:lang w:val="en-GB" w:eastAsia="ja-JP"/>
        </w:rPr>
        <w:t>I</w:t>
      </w:r>
      <w:r w:rsidRPr="00FE7562">
        <w:rPr>
          <w:rFonts w:eastAsiaTheme="minorEastAsia"/>
          <w:b/>
          <w:bCs/>
          <w:lang w:val="en-GB" w:eastAsia="ja-JP"/>
        </w:rPr>
        <w:t xml:space="preserve">f enhancement is </w:t>
      </w:r>
      <w:r>
        <w:rPr>
          <w:rFonts w:eastAsiaTheme="minorEastAsia"/>
          <w:b/>
          <w:bCs/>
          <w:lang w:val="en-GB" w:eastAsia="ja-JP"/>
        </w:rPr>
        <w:t>required f</w:t>
      </w:r>
      <w:r w:rsidRPr="003D1B9E">
        <w:rPr>
          <w:rFonts w:eastAsiaTheme="minorEastAsia"/>
          <w:b/>
          <w:bCs/>
          <w:lang w:val="en-GB" w:eastAsia="ja-JP"/>
        </w:rPr>
        <w:t xml:space="preserve">or PDCCH </w:t>
      </w:r>
      <w:r>
        <w:rPr>
          <w:rFonts w:eastAsiaTheme="minorEastAsia"/>
          <w:b/>
          <w:bCs/>
          <w:lang w:val="en-GB" w:eastAsia="ja-JP"/>
        </w:rPr>
        <w:t>transmission/reception</w:t>
      </w:r>
      <w:r w:rsidRPr="00FE7562">
        <w:rPr>
          <w:rFonts w:eastAsiaTheme="minorEastAsia"/>
          <w:b/>
          <w:bCs/>
          <w:lang w:val="en-GB" w:eastAsia="ja-JP"/>
        </w:rPr>
        <w:t xml:space="preserve">, support </w:t>
      </w:r>
      <w:r>
        <w:rPr>
          <w:rFonts w:eastAsiaTheme="minorEastAsia"/>
          <w:b/>
          <w:bCs/>
          <w:lang w:val="en-GB" w:eastAsia="ja-JP"/>
        </w:rPr>
        <w:t>O</w:t>
      </w:r>
      <w:r w:rsidRPr="00FE7562">
        <w:rPr>
          <w:rFonts w:eastAsiaTheme="minorEastAsia"/>
          <w:b/>
          <w:bCs/>
          <w:lang w:val="en-GB" w:eastAsia="ja-JP"/>
        </w:rPr>
        <w:t>ption 4</w:t>
      </w:r>
      <w:r>
        <w:rPr>
          <w:rFonts w:eastAsiaTheme="minorEastAsia"/>
          <w:b/>
          <w:bCs/>
          <w:lang w:val="en-GB" w:eastAsia="ja-JP"/>
        </w:rPr>
        <w:t xml:space="preserve"> (</w:t>
      </w:r>
      <w:r w:rsidRPr="00386A6A">
        <w:rPr>
          <w:rFonts w:eastAsiaTheme="minorEastAsia"/>
          <w:b/>
          <w:bCs/>
          <w:lang w:val="en-GB" w:eastAsia="ja-JP"/>
        </w:rPr>
        <w:t>Drop search space(s) when the associated CORESET overlaps with RBs outside DL subband(s)</w:t>
      </w:r>
      <w:r>
        <w:rPr>
          <w:rFonts w:eastAsiaTheme="minorEastAsia"/>
          <w:b/>
          <w:bCs/>
          <w:lang w:val="en-GB" w:eastAsia="ja-JP"/>
        </w:rPr>
        <w:t>)</w:t>
      </w:r>
      <w:r w:rsidRPr="00FE7562">
        <w:rPr>
          <w:rFonts w:eastAsiaTheme="minorEastAsia"/>
          <w:b/>
          <w:bCs/>
          <w:lang w:val="en-GB" w:eastAsia="ja-JP"/>
        </w:rPr>
        <w:t>.</w:t>
      </w:r>
    </w:p>
    <w:p w14:paraId="3F7CA9B8" w14:textId="77777777" w:rsidR="00377D3C" w:rsidRDefault="00377D3C" w:rsidP="00377D3C">
      <w:pPr>
        <w:rPr>
          <w:rFonts w:eastAsiaTheme="minorEastAsia"/>
          <w:lang w:val="en-GB" w:eastAsia="ja-JP"/>
        </w:rPr>
      </w:pPr>
      <w:r w:rsidRPr="00002E6E">
        <w:rPr>
          <w:rFonts w:eastAsiaTheme="minorEastAsia"/>
          <w:b/>
          <w:bCs/>
          <w:lang w:val="en-GB" w:eastAsia="ja-JP"/>
        </w:rPr>
        <w:t xml:space="preserve">Proposal </w:t>
      </w:r>
      <w:r>
        <w:rPr>
          <w:rFonts w:eastAsiaTheme="minorEastAsia"/>
          <w:b/>
          <w:bCs/>
          <w:lang w:val="en-GB" w:eastAsia="ja-JP"/>
        </w:rPr>
        <w:t>8</w:t>
      </w:r>
      <w:r w:rsidRPr="00002E6E">
        <w:rPr>
          <w:rFonts w:eastAsiaTheme="minorEastAsia"/>
          <w:b/>
          <w:bCs/>
          <w:lang w:val="en-GB" w:eastAsia="ja-JP"/>
        </w:rPr>
        <w:t xml:space="preserve">: </w:t>
      </w:r>
      <w:r w:rsidRPr="00433415">
        <w:rPr>
          <w:rFonts w:eastAsiaTheme="minorEastAsia"/>
          <w:b/>
          <w:bCs/>
          <w:lang w:val="en-GB" w:eastAsia="ja-JP"/>
        </w:rPr>
        <w:t>If PRG is determined as wideband</w:t>
      </w:r>
      <w:r>
        <w:rPr>
          <w:rFonts w:eastAsiaTheme="minorEastAsia"/>
          <w:b/>
          <w:bCs/>
          <w:lang w:val="en-GB" w:eastAsia="ja-JP"/>
        </w:rPr>
        <w:t>, support Option 1 (</w:t>
      </w:r>
      <w:r w:rsidRPr="00433415">
        <w:rPr>
          <w:rFonts w:eastAsiaTheme="minorEastAsia"/>
          <w:b/>
          <w:bCs/>
          <w:lang w:val="en-GB" w:eastAsia="ja-JP"/>
        </w:rPr>
        <w:t>non-contiguous frequency resources across two DL subbands but contiguous frequency resource within each DL subband can be allocated</w:t>
      </w:r>
      <w:r>
        <w:rPr>
          <w:rFonts w:eastAsiaTheme="minorEastAsia"/>
          <w:b/>
          <w:bCs/>
          <w:lang w:val="en-GB" w:eastAsia="ja-JP"/>
        </w:rPr>
        <w:t>) but the performance requirement should be same as non-wideband PRG case.</w:t>
      </w:r>
    </w:p>
    <w:p w14:paraId="30BB1AD8" w14:textId="77777777" w:rsidR="00377D3C" w:rsidRDefault="00377D3C" w:rsidP="00377D3C">
      <w:pPr>
        <w:textAlignment w:val="center"/>
        <w:rPr>
          <w:rFonts w:eastAsia="Microsoft YaHei"/>
          <w:b/>
          <w:bCs/>
          <w:lang w:val="en-GB" w:eastAsia="zh-CN"/>
        </w:rPr>
      </w:pPr>
      <w:r w:rsidRPr="009A1635">
        <w:rPr>
          <w:rFonts w:eastAsiaTheme="minorEastAsia"/>
          <w:b/>
          <w:bCs/>
          <w:lang w:val="en-GB" w:eastAsia="ja-JP"/>
        </w:rPr>
        <w:t xml:space="preserve">Proposal </w:t>
      </w:r>
      <w:r>
        <w:rPr>
          <w:rFonts w:eastAsiaTheme="minorEastAsia"/>
          <w:b/>
          <w:bCs/>
          <w:lang w:val="en-GB" w:eastAsia="ja-JP"/>
        </w:rPr>
        <w:t>9</w:t>
      </w:r>
      <w:r w:rsidRPr="009A1635">
        <w:rPr>
          <w:rFonts w:eastAsiaTheme="minorEastAsia"/>
          <w:b/>
          <w:bCs/>
          <w:lang w:val="en-GB" w:eastAsia="ja-JP"/>
        </w:rPr>
        <w:t xml:space="preserve">: </w:t>
      </w:r>
      <w:r w:rsidRPr="00482013">
        <w:rPr>
          <w:rFonts w:eastAsiaTheme="minorEastAsia"/>
          <w:b/>
          <w:bCs/>
          <w:lang w:eastAsia="zh-CN"/>
        </w:rPr>
        <w:t xml:space="preserve">Study </w:t>
      </w:r>
      <w:r w:rsidRPr="00482013">
        <w:rPr>
          <w:rFonts w:eastAsia="Microsoft YaHei"/>
          <w:b/>
          <w:bCs/>
          <w:lang w:val="en-GB" w:eastAsia="zh-CN"/>
        </w:rPr>
        <w:t>impact and potential enhancements for RA type 1 for PDSCH</w:t>
      </w:r>
      <w:r>
        <w:rPr>
          <w:rFonts w:eastAsia="Microsoft YaHei"/>
          <w:b/>
          <w:bCs/>
          <w:lang w:val="en-GB" w:eastAsia="zh-CN"/>
        </w:rPr>
        <w:t>.</w:t>
      </w:r>
    </w:p>
    <w:p w14:paraId="103CB7DA" w14:textId="77777777" w:rsidR="00377D3C" w:rsidRDefault="00377D3C" w:rsidP="00377D3C">
      <w:pPr>
        <w:rPr>
          <w:lang w:val="en-GB" w:eastAsia="ja-JP"/>
        </w:rPr>
      </w:pPr>
      <w:r w:rsidRPr="00CF600D">
        <w:rPr>
          <w:b/>
          <w:bCs/>
          <w:lang w:eastAsia="ja-JP"/>
        </w:rPr>
        <w:t xml:space="preserve">Proposal </w:t>
      </w:r>
      <w:r>
        <w:rPr>
          <w:b/>
          <w:bCs/>
          <w:lang w:eastAsia="ja-JP"/>
        </w:rPr>
        <w:t>10</w:t>
      </w:r>
      <w:r w:rsidRPr="00140F96">
        <w:rPr>
          <w:rFonts w:hint="eastAsia"/>
          <w:b/>
          <w:bCs/>
          <w:lang w:eastAsia="ja-JP"/>
        </w:rPr>
        <w:t>:</w:t>
      </w:r>
      <w:r w:rsidRPr="000B3CDF">
        <w:rPr>
          <w:rFonts w:hint="eastAsia"/>
          <w:b/>
          <w:bCs/>
          <w:lang w:eastAsia="ja-JP"/>
        </w:rPr>
        <w:t xml:space="preserve"> </w:t>
      </w:r>
      <w:r>
        <w:rPr>
          <w:b/>
          <w:bCs/>
          <w:lang w:eastAsia="ja-JP"/>
        </w:rPr>
        <w:t xml:space="preserve">For </w:t>
      </w:r>
      <w:r w:rsidRPr="00642956">
        <w:rPr>
          <w:b/>
          <w:bCs/>
          <w:lang w:eastAsia="ja-JP"/>
        </w:rPr>
        <w:t>the frequency resource allocation for CSI-RS across downlink subbands</w:t>
      </w:r>
      <w:r>
        <w:rPr>
          <w:b/>
          <w:bCs/>
          <w:lang w:eastAsia="ja-JP"/>
        </w:rPr>
        <w:t>, support Option 2 (o</w:t>
      </w:r>
      <w:r w:rsidRPr="00642956">
        <w:rPr>
          <w:b/>
          <w:bCs/>
          <w:lang w:eastAsia="ja-JP"/>
        </w:rPr>
        <w:t>ne CSI-RS resource</w:t>
      </w:r>
      <w:r>
        <w:rPr>
          <w:b/>
          <w:bCs/>
          <w:lang w:eastAsia="ja-JP"/>
        </w:rPr>
        <w:t>).</w:t>
      </w:r>
    </w:p>
    <w:p w14:paraId="55E90947" w14:textId="77777777" w:rsidR="00377D3C" w:rsidRDefault="00377D3C" w:rsidP="00377D3C">
      <w:pPr>
        <w:rPr>
          <w:lang w:eastAsia="ja-JP"/>
        </w:rPr>
      </w:pPr>
      <w:r w:rsidRPr="00CF600D">
        <w:rPr>
          <w:b/>
          <w:bCs/>
          <w:lang w:eastAsia="ja-JP"/>
        </w:rPr>
        <w:t xml:space="preserve">Proposal </w:t>
      </w:r>
      <w:r>
        <w:rPr>
          <w:b/>
          <w:bCs/>
          <w:lang w:eastAsia="ja-JP"/>
        </w:rPr>
        <w:t>11</w:t>
      </w:r>
      <w:r w:rsidRPr="00140F96">
        <w:rPr>
          <w:rFonts w:hint="eastAsia"/>
          <w:b/>
          <w:bCs/>
          <w:lang w:eastAsia="ja-JP"/>
        </w:rPr>
        <w:t>:</w:t>
      </w:r>
      <w:r w:rsidRPr="000B3CDF">
        <w:rPr>
          <w:rFonts w:hint="eastAsia"/>
          <w:b/>
          <w:bCs/>
          <w:lang w:eastAsia="ja-JP"/>
        </w:rPr>
        <w:t xml:space="preserve"> </w:t>
      </w:r>
      <w:r>
        <w:rPr>
          <w:b/>
          <w:bCs/>
          <w:lang w:eastAsia="ja-JP"/>
        </w:rPr>
        <w:t>Further study h</w:t>
      </w:r>
      <w:r w:rsidRPr="000B3CDF">
        <w:rPr>
          <w:b/>
          <w:bCs/>
          <w:lang w:eastAsia="ja-JP"/>
        </w:rPr>
        <w:t xml:space="preserve">ow to </w:t>
      </w:r>
      <w:r>
        <w:rPr>
          <w:b/>
          <w:bCs/>
          <w:lang w:eastAsia="ja-JP"/>
        </w:rPr>
        <w:t>apply</w:t>
      </w:r>
      <w:r w:rsidRPr="000B3CDF">
        <w:rPr>
          <w:b/>
          <w:bCs/>
          <w:lang w:eastAsia="ja-JP"/>
        </w:rPr>
        <w:t xml:space="preserve"> </w:t>
      </w:r>
      <w:r>
        <w:rPr>
          <w:b/>
          <w:bCs/>
          <w:lang w:eastAsia="ja-JP"/>
        </w:rPr>
        <w:t>timing</w:t>
      </w:r>
      <w:r w:rsidRPr="000B3CDF">
        <w:rPr>
          <w:rFonts w:eastAsiaTheme="minorEastAsia"/>
          <w:b/>
          <w:bCs/>
          <w:lang w:val="en-GB" w:eastAsia="ja-JP"/>
        </w:rPr>
        <w:t xml:space="preserve"> advance offset for SBFD and </w:t>
      </w:r>
      <w:r>
        <w:rPr>
          <w:rFonts w:eastAsiaTheme="minorEastAsia"/>
          <w:b/>
          <w:bCs/>
          <w:lang w:val="en-GB" w:eastAsia="ja-JP"/>
        </w:rPr>
        <w:t>non-SBFD</w:t>
      </w:r>
      <w:r w:rsidRPr="000B3CDF">
        <w:rPr>
          <w:rFonts w:eastAsiaTheme="minorEastAsia"/>
          <w:b/>
          <w:bCs/>
          <w:lang w:val="en-GB" w:eastAsia="ja-JP"/>
        </w:rPr>
        <w:t xml:space="preserve"> symbol</w:t>
      </w:r>
      <w:r>
        <w:rPr>
          <w:rFonts w:eastAsiaTheme="minorEastAsia"/>
          <w:b/>
          <w:bCs/>
          <w:lang w:val="en-GB" w:eastAsia="ja-JP"/>
        </w:rPr>
        <w:t>.</w:t>
      </w:r>
    </w:p>
    <w:p w14:paraId="7C86CC7E" w14:textId="77777777" w:rsidR="00377D3C" w:rsidRPr="00614B75" w:rsidRDefault="00377D3C" w:rsidP="00377D3C">
      <w:pPr>
        <w:rPr>
          <w:b/>
          <w:bCs/>
          <w:lang w:eastAsia="zh-CN"/>
        </w:rPr>
      </w:pPr>
      <w:r w:rsidRPr="00CF600D">
        <w:rPr>
          <w:b/>
          <w:bCs/>
          <w:lang w:eastAsia="zh-CN"/>
        </w:rPr>
        <w:t xml:space="preserve">Proposal </w:t>
      </w:r>
      <w:r>
        <w:rPr>
          <w:b/>
          <w:bCs/>
          <w:lang w:eastAsia="zh-CN"/>
        </w:rPr>
        <w:t>12</w:t>
      </w:r>
      <w:r w:rsidRPr="00DB4F85">
        <w:rPr>
          <w:b/>
          <w:bCs/>
          <w:lang w:eastAsia="zh-CN"/>
        </w:rPr>
        <w:t>:</w:t>
      </w:r>
      <w:r w:rsidRPr="00614B75">
        <w:rPr>
          <w:b/>
          <w:bCs/>
          <w:lang w:eastAsia="zh-CN"/>
        </w:rPr>
        <w:t xml:space="preserve"> </w:t>
      </w:r>
      <w:r>
        <w:rPr>
          <w:b/>
          <w:bCs/>
          <w:lang w:eastAsia="zh-CN"/>
        </w:rPr>
        <w:t>F</w:t>
      </w:r>
      <w:r w:rsidRPr="00E610B4">
        <w:rPr>
          <w:b/>
          <w:bCs/>
          <w:lang w:eastAsia="zh-CN"/>
        </w:rPr>
        <w:t>or</w:t>
      </w:r>
      <w:r>
        <w:rPr>
          <w:b/>
          <w:bCs/>
          <w:lang w:eastAsia="zh-CN"/>
        </w:rPr>
        <w:t xml:space="preserve"> interference mitigation, study potential</w:t>
      </w:r>
      <w:r w:rsidRPr="00E610B4">
        <w:rPr>
          <w:b/>
          <w:bCs/>
          <w:lang w:eastAsia="zh-CN"/>
        </w:rPr>
        <w:t xml:space="preserve"> schemes</w:t>
      </w:r>
      <w:r>
        <w:rPr>
          <w:b/>
          <w:bCs/>
          <w:lang w:eastAsia="zh-CN"/>
        </w:rPr>
        <w:t xml:space="preserve"> for the </w:t>
      </w:r>
      <w:r w:rsidRPr="00A546AC">
        <w:rPr>
          <w:b/>
          <w:bCs/>
          <w:lang w:eastAsia="zh-CN"/>
        </w:rPr>
        <w:t xml:space="preserve">exchange </w:t>
      </w:r>
      <w:r>
        <w:rPr>
          <w:b/>
          <w:bCs/>
          <w:lang w:eastAsia="zh-CN"/>
        </w:rPr>
        <w:t xml:space="preserve">of </w:t>
      </w:r>
      <w:r w:rsidRPr="00A546AC">
        <w:rPr>
          <w:b/>
          <w:bCs/>
          <w:lang w:eastAsia="zh-CN"/>
        </w:rPr>
        <w:t>SBFD configurations</w:t>
      </w:r>
      <w:r w:rsidRPr="00E610B4">
        <w:rPr>
          <w:b/>
          <w:bCs/>
          <w:lang w:eastAsia="zh-CN"/>
        </w:rPr>
        <w:t xml:space="preserve"> </w:t>
      </w:r>
      <w:r>
        <w:rPr>
          <w:b/>
          <w:bCs/>
          <w:lang w:eastAsia="zh-CN"/>
        </w:rPr>
        <w:t xml:space="preserve">and </w:t>
      </w:r>
      <w:r w:rsidRPr="00E610B4">
        <w:rPr>
          <w:b/>
          <w:bCs/>
          <w:lang w:eastAsia="zh-CN"/>
        </w:rPr>
        <w:t>UL transmission power limitation.</w:t>
      </w:r>
    </w:p>
    <w:p w14:paraId="21878440" w14:textId="77777777" w:rsidR="00377D3C" w:rsidRPr="00736674" w:rsidRDefault="00377D3C" w:rsidP="003F2751">
      <w:pPr>
        <w:rPr>
          <w:lang w:eastAsia="ja-JP"/>
        </w:rPr>
      </w:pPr>
    </w:p>
    <w:p w14:paraId="2B989BAC" w14:textId="5E2A4BDD" w:rsidR="00195CDD" w:rsidRDefault="00195CDD" w:rsidP="00195CDD">
      <w:pPr>
        <w:pStyle w:val="1"/>
        <w:numPr>
          <w:ilvl w:val="0"/>
          <w:numId w:val="0"/>
        </w:numPr>
        <w:rPr>
          <w:szCs w:val="36"/>
          <w:lang w:eastAsia="ja-JP"/>
        </w:rPr>
      </w:pPr>
      <w:r>
        <w:rPr>
          <w:szCs w:val="36"/>
          <w:lang w:eastAsia="ja-JP"/>
        </w:rPr>
        <w:t>Reference</w:t>
      </w:r>
    </w:p>
    <w:p w14:paraId="17CCA41D" w14:textId="095A39BC" w:rsidR="002729D2" w:rsidRDefault="00483407">
      <w:pPr>
        <w:pStyle w:val="af3"/>
        <w:numPr>
          <w:ilvl w:val="0"/>
          <w:numId w:val="9"/>
        </w:numPr>
        <w:spacing w:after="120"/>
        <w:jc w:val="both"/>
        <w:rPr>
          <w:lang w:eastAsia="ja-JP"/>
        </w:rPr>
      </w:pPr>
      <w:bookmarkStart w:id="9" w:name="_Ref1046471"/>
      <w:bookmarkStart w:id="10" w:name="_Ref115358357"/>
      <w:bookmarkEnd w:id="9"/>
      <w:r w:rsidRPr="00483407">
        <w:rPr>
          <w:lang w:eastAsia="ja-JP"/>
        </w:rPr>
        <w:t>RP-222110</w:t>
      </w:r>
      <w:r w:rsidR="002729D2" w:rsidRPr="00690CC7">
        <w:rPr>
          <w:lang w:eastAsia="ja-JP"/>
        </w:rPr>
        <w:t>, “</w:t>
      </w:r>
      <w:r w:rsidR="002729D2" w:rsidRPr="00B77BAB">
        <w:rPr>
          <w:lang w:eastAsia="ja-JP"/>
        </w:rPr>
        <w:t>Revised SID: Study on evolution of NR duplex operation</w:t>
      </w:r>
      <w:r w:rsidR="002729D2" w:rsidRPr="00690CC7">
        <w:rPr>
          <w:lang w:eastAsia="ja-JP"/>
        </w:rPr>
        <w:t>”, CMCC</w:t>
      </w:r>
      <w:bookmarkEnd w:id="10"/>
    </w:p>
    <w:p w14:paraId="65658C74" w14:textId="642EDC6E" w:rsidR="00716CE3" w:rsidRDefault="00716CE3">
      <w:pPr>
        <w:pStyle w:val="af3"/>
        <w:numPr>
          <w:ilvl w:val="0"/>
          <w:numId w:val="9"/>
        </w:numPr>
        <w:spacing w:after="120"/>
        <w:jc w:val="both"/>
        <w:rPr>
          <w:lang w:eastAsia="ja-JP"/>
        </w:rPr>
      </w:pPr>
      <w:bookmarkStart w:id="11" w:name="_Ref134715167"/>
      <w:r w:rsidRPr="00716CE3">
        <w:rPr>
          <w:lang w:eastAsia="ja-JP"/>
        </w:rPr>
        <w:t>R1-2304031</w:t>
      </w:r>
      <w:r>
        <w:rPr>
          <w:lang w:eastAsia="ja-JP"/>
        </w:rPr>
        <w:t xml:space="preserve">, </w:t>
      </w:r>
      <w:r w:rsidRPr="00716CE3">
        <w:rPr>
          <w:lang w:eastAsia="ja-JP"/>
        </w:rPr>
        <w:t>Summary #4 of subband non-overlapping full duplex</w:t>
      </w:r>
      <w:r>
        <w:rPr>
          <w:lang w:eastAsia="ja-JP"/>
        </w:rPr>
        <w:t xml:space="preserve">, </w:t>
      </w:r>
      <w:r w:rsidRPr="00716CE3">
        <w:rPr>
          <w:lang w:eastAsia="ja-JP"/>
        </w:rPr>
        <w:t>Moderator (CATT)</w:t>
      </w:r>
      <w:bookmarkEnd w:id="11"/>
    </w:p>
    <w:p w14:paraId="74CB56A1" w14:textId="1733A34B" w:rsidR="0053072A" w:rsidRDefault="0053072A" w:rsidP="0053072A">
      <w:pPr>
        <w:pStyle w:val="af3"/>
        <w:numPr>
          <w:ilvl w:val="0"/>
          <w:numId w:val="9"/>
        </w:numPr>
        <w:spacing w:after="120"/>
        <w:jc w:val="both"/>
        <w:rPr>
          <w:lang w:eastAsia="ja-JP"/>
        </w:rPr>
      </w:pPr>
      <w:bookmarkStart w:id="12" w:name="_Ref134804261"/>
      <w:r w:rsidRPr="0053072A">
        <w:rPr>
          <w:lang w:eastAsia="ja-JP"/>
        </w:rPr>
        <w:t>3GPP TR 38.822 V17.0.0 (2023-03)</w:t>
      </w:r>
      <w:bookmarkEnd w:id="12"/>
    </w:p>
    <w:p w14:paraId="7EB2DA4B" w14:textId="479F7A9E" w:rsidR="00227536" w:rsidRPr="00955C02" w:rsidRDefault="007D1E20">
      <w:pPr>
        <w:pStyle w:val="af3"/>
        <w:numPr>
          <w:ilvl w:val="0"/>
          <w:numId w:val="9"/>
        </w:numPr>
        <w:spacing w:after="120"/>
        <w:jc w:val="both"/>
        <w:rPr>
          <w:lang w:eastAsia="ja-JP"/>
        </w:rPr>
      </w:pPr>
      <w:bookmarkStart w:id="13" w:name="_Ref131691971"/>
      <w:bookmarkStart w:id="14" w:name="_Ref118309369"/>
      <w:r w:rsidRPr="001151AD">
        <w:rPr>
          <w:lang w:eastAsia="ja-JP"/>
        </w:rPr>
        <w:t>R1-2204135, “Discussion on evaluation on NR duplex evolution”, Panasonic</w:t>
      </w:r>
      <w:bookmarkEnd w:id="13"/>
      <w:r w:rsidRPr="00A1370E" w:rsidDel="007D1E20">
        <w:rPr>
          <w:lang w:eastAsia="ja-JP"/>
        </w:rPr>
        <w:t xml:space="preserve"> </w:t>
      </w:r>
      <w:bookmarkEnd w:id="14"/>
    </w:p>
    <w:sectPr w:rsidR="00227536" w:rsidRPr="00955C02" w:rsidSect="00A04FFB">
      <w:footerReference w:type="even" r:id="rId22"/>
      <w:footerReference w:type="default" r:id="rId23"/>
      <w:footnotePr>
        <w:numRestart w:val="eachSect"/>
      </w:footnotePr>
      <w:type w:val="continuous"/>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F07B04" w14:textId="77777777" w:rsidR="008A25F4" w:rsidRDefault="008A25F4">
      <w:r>
        <w:separator/>
      </w:r>
    </w:p>
  </w:endnote>
  <w:endnote w:type="continuationSeparator" w:id="0">
    <w:p w14:paraId="4869F506" w14:textId="77777777" w:rsidR="008A25F4" w:rsidRDefault="008A25F4">
      <w:r>
        <w:continuationSeparator/>
      </w:r>
    </w:p>
  </w:endnote>
  <w:endnote w:type="continuationNotice" w:id="1">
    <w:p w14:paraId="57E6E246" w14:textId="77777777" w:rsidR="008A25F4" w:rsidRDefault="008A25F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游明朝">
    <w:panose1 w:val="02020400000000000000"/>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ＭＳ 明朝">
    <w:altName w:val="MS Mincho"/>
    <w:panose1 w:val="02020609040205080304"/>
    <w:charset w:val="80"/>
    <w:family w:val="roma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55C24A" w14:textId="77777777" w:rsidR="001B35C1" w:rsidRDefault="001B35C1">
    <w:pPr>
      <w:pStyle w:val="a5"/>
      <w:framePr w:wrap="around" w:vAnchor="text" w:hAnchor="margin" w:xAlign="right" w:y="1"/>
      <w:rPr>
        <w:rStyle w:val="af8"/>
      </w:rPr>
    </w:pPr>
    <w:r>
      <w:rPr>
        <w:rStyle w:val="af8"/>
      </w:rPr>
      <w:fldChar w:fldCharType="begin"/>
    </w:r>
    <w:r>
      <w:rPr>
        <w:rStyle w:val="af8"/>
      </w:rPr>
      <w:instrText xml:space="preserve">PAGE  </w:instrText>
    </w:r>
    <w:r>
      <w:rPr>
        <w:rStyle w:val="af8"/>
      </w:rPr>
      <w:fldChar w:fldCharType="separate"/>
    </w:r>
    <w:r>
      <w:rPr>
        <w:rStyle w:val="af8"/>
      </w:rPr>
      <w:t>4</w:t>
    </w:r>
    <w:r>
      <w:rPr>
        <w:rStyle w:val="af8"/>
      </w:rPr>
      <w:fldChar w:fldCharType="end"/>
    </w:r>
  </w:p>
  <w:p w14:paraId="100B78BD" w14:textId="77777777" w:rsidR="001B35C1" w:rsidRDefault="001B35C1">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0C46AF" w14:textId="3B85CCEF" w:rsidR="001B35C1" w:rsidRDefault="001B35C1">
    <w:pPr>
      <w:pStyle w:val="a5"/>
      <w:framePr w:wrap="around" w:vAnchor="text" w:hAnchor="margin" w:xAlign="right" w:y="1"/>
      <w:rPr>
        <w:rStyle w:val="af8"/>
      </w:rPr>
    </w:pPr>
    <w:r>
      <w:rPr>
        <w:rStyle w:val="af8"/>
      </w:rPr>
      <w:fldChar w:fldCharType="begin"/>
    </w:r>
    <w:r>
      <w:rPr>
        <w:rStyle w:val="af8"/>
      </w:rPr>
      <w:instrText xml:space="preserve">PAGE  </w:instrText>
    </w:r>
    <w:r>
      <w:rPr>
        <w:rStyle w:val="af8"/>
      </w:rPr>
      <w:fldChar w:fldCharType="separate"/>
    </w:r>
    <w:r w:rsidR="00D42537">
      <w:rPr>
        <w:rStyle w:val="af8"/>
      </w:rPr>
      <w:t>3</w:t>
    </w:r>
    <w:r>
      <w:rPr>
        <w:rStyle w:val="af8"/>
      </w:rPr>
      <w:fldChar w:fldCharType="end"/>
    </w:r>
  </w:p>
  <w:p w14:paraId="1D006F22" w14:textId="77777777" w:rsidR="001B35C1" w:rsidRDefault="001B35C1">
    <w:pPr>
      <w:pStyle w:val="a5"/>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0A7F6B" w14:textId="77777777" w:rsidR="008A25F4" w:rsidRDefault="008A25F4">
      <w:r>
        <w:separator/>
      </w:r>
    </w:p>
  </w:footnote>
  <w:footnote w:type="continuationSeparator" w:id="0">
    <w:p w14:paraId="0489506C" w14:textId="77777777" w:rsidR="008A25F4" w:rsidRDefault="008A25F4">
      <w:r>
        <w:continuationSeparator/>
      </w:r>
    </w:p>
  </w:footnote>
  <w:footnote w:type="continuationNotice" w:id="1">
    <w:p w14:paraId="5FF20C31" w14:textId="77777777" w:rsidR="008A25F4" w:rsidRDefault="008A25F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5F65199"/>
    <w:multiLevelType w:val="multilevel"/>
    <w:tmpl w:val="F5F65199"/>
    <w:lvl w:ilvl="0">
      <w:start w:val="1"/>
      <w:numFmt w:val="bullet"/>
      <w:lvlText w:val="•"/>
      <w:lvlJc w:val="left"/>
      <w:pPr>
        <w:tabs>
          <w:tab w:val="left" w:pos="0"/>
        </w:tabs>
        <w:ind w:left="420" w:hanging="420"/>
      </w:pPr>
      <w:rPr>
        <w:rFonts w:ascii="Arial" w:hAnsi="Arial" w:cs="Arial" w:hint="default"/>
      </w:rPr>
    </w:lvl>
    <w:lvl w:ilvl="1">
      <w:start w:val="1"/>
      <w:numFmt w:val="bullet"/>
      <w:lvlText w:val="o"/>
      <w:lvlJc w:val="left"/>
      <w:pPr>
        <w:tabs>
          <w:tab w:val="left" w:pos="0"/>
        </w:tabs>
        <w:ind w:left="840" w:hanging="420"/>
      </w:pPr>
      <w:rPr>
        <w:rFonts w:ascii="Courier New" w:hAnsi="Courier New" w:cs="Courier New"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 w15:restartNumberingAfterBreak="0">
    <w:nsid w:val="00000004"/>
    <w:multiLevelType w:val="hybridMultilevel"/>
    <w:tmpl w:val="9FB098EC"/>
    <w:lvl w:ilvl="0" w:tplc="24505CAC">
      <w:start w:val="1"/>
      <w:numFmt w:val="decimal"/>
      <w:lvlText w:val="[%1]"/>
      <w:lvlJc w:val="left"/>
      <w:pPr>
        <w:ind w:left="420" w:hanging="420"/>
      </w:pPr>
      <w:rPr>
        <w:rFonts w:cs="Times New Roman"/>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 w15:restartNumberingAfterBreak="0">
    <w:nsid w:val="06C56477"/>
    <w:multiLevelType w:val="hybridMultilevel"/>
    <w:tmpl w:val="E0907E6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07667D27"/>
    <w:multiLevelType w:val="hybridMultilevel"/>
    <w:tmpl w:val="C1043356"/>
    <w:lvl w:ilvl="0" w:tplc="626C44CC">
      <w:numFmt w:val="bullet"/>
      <w:lvlText w:val="•"/>
      <w:lvlJc w:val="left"/>
      <w:pPr>
        <w:ind w:left="360" w:hanging="360"/>
      </w:pPr>
      <w:rPr>
        <w:rFonts w:ascii="Calibri" w:eastAsia="游明朝" w:hAnsi="Calibri"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0C902771"/>
    <w:multiLevelType w:val="multilevel"/>
    <w:tmpl w:val="C8620C2C"/>
    <w:lvl w:ilvl="0">
      <w:start w:val="1"/>
      <w:numFmt w:val="bullet"/>
      <w:lvlText w:val=""/>
      <w:lvlJc w:val="left"/>
      <w:pPr>
        <w:ind w:left="760" w:hanging="360"/>
      </w:pPr>
      <w:rPr>
        <w:rFonts w:ascii="Symbol" w:hAnsi="Symbol"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 w15:restartNumberingAfterBreak="0">
    <w:nsid w:val="0E6B54EF"/>
    <w:multiLevelType w:val="multilevel"/>
    <w:tmpl w:val="3AE24734"/>
    <w:lvl w:ilvl="0">
      <w:start w:val="1"/>
      <w:numFmt w:val="bullet"/>
      <w:lvlText w:val=""/>
      <w:lvlJc w:val="left"/>
      <w:pPr>
        <w:tabs>
          <w:tab w:val="num" w:pos="0"/>
        </w:tabs>
        <w:ind w:left="420" w:hanging="420"/>
      </w:pPr>
      <w:rPr>
        <w:rFonts w:ascii="Symbol" w:hAnsi="Symbol" w:cs="Symbol" w:hint="default"/>
      </w:rPr>
    </w:lvl>
    <w:lvl w:ilvl="1">
      <w:start w:val="1"/>
      <w:numFmt w:val="bullet"/>
      <w:lvlText w:val="o"/>
      <w:lvlJc w:val="left"/>
      <w:pPr>
        <w:tabs>
          <w:tab w:val="num" w:pos="0"/>
        </w:tabs>
        <w:ind w:left="840" w:hanging="420"/>
      </w:pPr>
      <w:rPr>
        <w:rFonts w:ascii="Courier New" w:hAnsi="Courier New" w:cs="Courier New" w:hint="default"/>
      </w:rPr>
    </w:lvl>
    <w:lvl w:ilvl="2">
      <w:numFmt w:val="bullet"/>
      <w:lvlText w:val="-"/>
      <w:lvlJc w:val="left"/>
      <w:pPr>
        <w:tabs>
          <w:tab w:val="num" w:pos="0"/>
        </w:tabs>
        <w:ind w:left="1260" w:hanging="420"/>
      </w:pPr>
      <w:rPr>
        <w:rFonts w:ascii="Times" w:hAnsi="Times" w:cs="Time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6" w15:restartNumberingAfterBreak="0">
    <w:nsid w:val="1819222F"/>
    <w:multiLevelType w:val="hybridMultilevel"/>
    <w:tmpl w:val="BD9C78AE"/>
    <w:lvl w:ilvl="0" w:tplc="626C44CC">
      <w:numFmt w:val="bullet"/>
      <w:lvlText w:val="•"/>
      <w:lvlJc w:val="left"/>
      <w:pPr>
        <w:ind w:left="420" w:hanging="420"/>
      </w:pPr>
      <w:rPr>
        <w:rFonts w:ascii="Calibri" w:eastAsia="游明朝" w:hAnsi="Calibri" w:hint="default"/>
      </w:rPr>
    </w:lvl>
    <w:lvl w:ilvl="1" w:tplc="8814DF76">
      <w:start w:val="4"/>
      <w:numFmt w:val="bullet"/>
      <w:lvlText w:val="○"/>
      <w:lvlJc w:val="left"/>
      <w:pPr>
        <w:ind w:left="840" w:hanging="420"/>
      </w:pPr>
      <w:rPr>
        <w:rFonts w:ascii="Times New Roman" w:eastAsia="Malgun Gothic" w:hAnsi="Times New Roman" w:cs="Times New Roman"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19700B84"/>
    <w:multiLevelType w:val="hybridMultilevel"/>
    <w:tmpl w:val="5FC8007E"/>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20186AC7"/>
    <w:multiLevelType w:val="multilevel"/>
    <w:tmpl w:val="20186AC7"/>
    <w:lvl w:ilvl="0">
      <w:numFmt w:val="bullet"/>
      <w:lvlText w:val="-"/>
      <w:lvlJc w:val="left"/>
      <w:pPr>
        <w:tabs>
          <w:tab w:val="left" w:pos="0"/>
        </w:tabs>
        <w:ind w:left="420" w:hanging="420"/>
      </w:pPr>
      <w:rPr>
        <w:rFonts w:ascii="Times" w:hAnsi="Times" w:cs="Times" w:hint="default"/>
      </w:rPr>
    </w:lvl>
    <w:lvl w:ilvl="1">
      <w:start w:val="1"/>
      <w:numFmt w:val="bullet"/>
      <w:lvlText w:val="•"/>
      <w:lvlJc w:val="left"/>
      <w:pPr>
        <w:tabs>
          <w:tab w:val="left" w:pos="0"/>
        </w:tabs>
        <w:ind w:left="840" w:hanging="420"/>
      </w:pPr>
      <w:rPr>
        <w:rFonts w:ascii="Arial" w:hAnsi="Arial" w:cs="Arial"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9" w15:restartNumberingAfterBreak="0">
    <w:nsid w:val="259B6C40"/>
    <w:multiLevelType w:val="hybridMultilevel"/>
    <w:tmpl w:val="AF3035A4"/>
    <w:lvl w:ilvl="0" w:tplc="626C44CC">
      <w:numFmt w:val="bullet"/>
      <w:lvlText w:val="•"/>
      <w:lvlJc w:val="left"/>
      <w:pPr>
        <w:ind w:left="420" w:hanging="420"/>
      </w:pPr>
      <w:rPr>
        <w:rFonts w:ascii="Calibri" w:eastAsia="游明朝" w:hAnsi="Calibri"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0" w15:restartNumberingAfterBreak="0">
    <w:nsid w:val="2BEE78EE"/>
    <w:multiLevelType w:val="multilevel"/>
    <w:tmpl w:val="2BEE78EE"/>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2EB80B98"/>
    <w:multiLevelType w:val="multilevel"/>
    <w:tmpl w:val="2EB80B98"/>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2" w15:restartNumberingAfterBreak="0">
    <w:nsid w:val="357A348A"/>
    <w:multiLevelType w:val="hybridMultilevel"/>
    <w:tmpl w:val="BFFE173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C496B5C"/>
    <w:multiLevelType w:val="hybridMultilevel"/>
    <w:tmpl w:val="02AA8B6A"/>
    <w:lvl w:ilvl="0" w:tplc="626C44CC">
      <w:numFmt w:val="bullet"/>
      <w:lvlText w:val="•"/>
      <w:lvlJc w:val="left"/>
      <w:pPr>
        <w:ind w:left="420" w:hanging="420"/>
      </w:pPr>
      <w:rPr>
        <w:rFonts w:ascii="Calibri" w:eastAsia="游明朝" w:hAnsi="Calibri"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409C62FC"/>
    <w:multiLevelType w:val="multilevel"/>
    <w:tmpl w:val="53B83FEC"/>
    <w:lvl w:ilvl="0">
      <w:start w:val="1"/>
      <w:numFmt w:val="bullet"/>
      <w:lvlText w:val="•"/>
      <w:lvlJc w:val="left"/>
      <w:pPr>
        <w:tabs>
          <w:tab w:val="num" w:pos="0"/>
        </w:tabs>
        <w:ind w:left="420" w:hanging="420"/>
      </w:pPr>
      <w:rPr>
        <w:rFonts w:ascii="Arial" w:hAnsi="Arial" w:cs="Arial" w:hint="default"/>
      </w:rPr>
    </w:lvl>
    <w:lvl w:ilvl="1">
      <w:numFmt w:val="bullet"/>
      <w:lvlText w:val="-"/>
      <w:lvlJc w:val="left"/>
      <w:pPr>
        <w:tabs>
          <w:tab w:val="num" w:pos="0"/>
        </w:tabs>
        <w:ind w:left="840" w:hanging="420"/>
      </w:pPr>
      <w:rPr>
        <w:rFonts w:ascii="Times" w:hAnsi="Times" w:cs="Times"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Times" w:hAnsi="Times" w:cs="Times" w:hint="default"/>
      </w:rPr>
    </w:lvl>
    <w:lvl w:ilvl="4">
      <w:start w:val="1"/>
      <w:numFmt w:val="bullet"/>
      <w:lvlText w:val="o"/>
      <w:lvlJc w:val="left"/>
      <w:pPr>
        <w:tabs>
          <w:tab w:val="num" w:pos="0"/>
        </w:tabs>
        <w:ind w:left="2100" w:hanging="420"/>
      </w:pPr>
      <w:rPr>
        <w:rFonts w:ascii="Courier New" w:hAnsi="Courier New" w:cs="Courier New" w:hint="default"/>
      </w:rPr>
    </w:lvl>
    <w:lvl w:ilvl="5">
      <w:start w:val="1"/>
      <w:numFmt w:val="bullet"/>
      <w:lvlText w:val="o"/>
      <w:lvlJc w:val="left"/>
      <w:pPr>
        <w:tabs>
          <w:tab w:val="num" w:pos="0"/>
        </w:tabs>
        <w:ind w:left="2520" w:hanging="420"/>
      </w:pPr>
      <w:rPr>
        <w:rFonts w:ascii="Courier New" w:hAnsi="Courier New" w:cs="Courier New"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15"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6" w15:restartNumberingAfterBreak="0">
    <w:nsid w:val="411C18C2"/>
    <w:multiLevelType w:val="hybridMultilevel"/>
    <w:tmpl w:val="03AE94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9"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0" w15:restartNumberingAfterBreak="0">
    <w:nsid w:val="526F4578"/>
    <w:multiLevelType w:val="hybridMultilevel"/>
    <w:tmpl w:val="DE028C0C"/>
    <w:lvl w:ilvl="0" w:tplc="08090001">
      <w:start w:val="1"/>
      <w:numFmt w:val="bullet"/>
      <w:lvlText w:val=""/>
      <w:lvlJc w:val="left"/>
      <w:pPr>
        <w:ind w:left="420" w:hanging="420"/>
      </w:pPr>
      <w:rPr>
        <w:rFonts w:ascii="Symbol" w:hAnsi="Symbol" w:hint="default"/>
      </w:rPr>
    </w:lvl>
    <w:lvl w:ilvl="1" w:tplc="8814DF76">
      <w:start w:val="4"/>
      <w:numFmt w:val="bullet"/>
      <w:lvlText w:val="○"/>
      <w:lvlJc w:val="left"/>
      <w:pPr>
        <w:ind w:left="840" w:hanging="420"/>
      </w:pPr>
      <w:rPr>
        <w:rFonts w:ascii="Times New Roman" w:eastAsia="Malgun Gothic" w:hAnsi="Times New Roman" w:cs="Times New Roman"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1" w15:restartNumberingAfterBreak="0">
    <w:nsid w:val="5AF07EC4"/>
    <w:multiLevelType w:val="hybridMultilevel"/>
    <w:tmpl w:val="DB8E6136"/>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621D473F"/>
    <w:multiLevelType w:val="hybridMultilevel"/>
    <w:tmpl w:val="F77CD4B2"/>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82C240B"/>
    <w:multiLevelType w:val="multilevel"/>
    <w:tmpl w:val="682C240B"/>
    <w:lvl w:ilvl="0">
      <w:numFmt w:val="bullet"/>
      <w:lvlText w:val="-"/>
      <w:lvlJc w:val="left"/>
      <w:pPr>
        <w:tabs>
          <w:tab w:val="left" w:pos="0"/>
        </w:tabs>
        <w:ind w:left="420" w:hanging="420"/>
      </w:pPr>
      <w:rPr>
        <w:rFonts w:ascii="Times" w:hAnsi="Times" w:cs="Time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4" w15:restartNumberingAfterBreak="0">
    <w:nsid w:val="6C303F06"/>
    <w:multiLevelType w:val="hybridMultilevel"/>
    <w:tmpl w:val="D51E9D9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5"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6" w15:restartNumberingAfterBreak="0">
    <w:nsid w:val="70F70B56"/>
    <w:multiLevelType w:val="hybridMultilevel"/>
    <w:tmpl w:val="4B903C3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4C737EC"/>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8" w15:restartNumberingAfterBreak="0">
    <w:nsid w:val="75C308F6"/>
    <w:multiLevelType w:val="multilevel"/>
    <w:tmpl w:val="DA0CB188"/>
    <w:lvl w:ilvl="0">
      <w:start w:val="1"/>
      <w:numFmt w:val="bullet"/>
      <w:lvlText w:val=""/>
      <w:lvlJc w:val="left"/>
      <w:pPr>
        <w:tabs>
          <w:tab w:val="num" w:pos="0"/>
        </w:tabs>
        <w:ind w:left="420" w:hanging="420"/>
      </w:pPr>
      <w:rPr>
        <w:rFonts w:ascii="Symbol" w:hAnsi="Symbol" w:hint="default"/>
      </w:rPr>
    </w:lvl>
    <w:lvl w:ilvl="1">
      <w:start w:val="1"/>
      <w:numFmt w:val="bullet"/>
      <w:lvlText w:val="o"/>
      <w:lvlJc w:val="left"/>
      <w:pPr>
        <w:tabs>
          <w:tab w:val="num" w:pos="0"/>
        </w:tabs>
        <w:ind w:left="840" w:hanging="420"/>
      </w:pPr>
      <w:rPr>
        <w:rFonts w:ascii="Courier New" w:hAnsi="Courier New" w:cs="Courier New"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29" w15:restartNumberingAfterBreak="0">
    <w:nsid w:val="765A1E5C"/>
    <w:multiLevelType w:val="hybridMultilevel"/>
    <w:tmpl w:val="893895D8"/>
    <w:lvl w:ilvl="0" w:tplc="984073D8">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72C13EE"/>
    <w:multiLevelType w:val="multilevel"/>
    <w:tmpl w:val="DDFCC0E2"/>
    <w:lvl w:ilvl="0">
      <w:start w:val="1"/>
      <w:numFmt w:val="decimal"/>
      <w:pStyle w:val="1"/>
      <w:lvlText w:val="%1"/>
      <w:lvlJc w:val="left"/>
      <w:pPr>
        <w:tabs>
          <w:tab w:val="num" w:pos="4969"/>
        </w:tabs>
        <w:ind w:left="4969" w:hanging="432"/>
      </w:pPr>
      <w:rPr>
        <w:rFonts w:hint="eastAsia"/>
        <w:lang w:val="en-US"/>
      </w:rPr>
    </w:lvl>
    <w:lvl w:ilvl="1">
      <w:start w:val="1"/>
      <w:numFmt w:val="decimal"/>
      <w:pStyle w:val="2"/>
      <w:lvlText w:val="%1.%2"/>
      <w:lvlJc w:val="left"/>
      <w:pPr>
        <w:tabs>
          <w:tab w:val="num" w:pos="3828"/>
        </w:tabs>
        <w:ind w:left="3828" w:firstLine="0"/>
      </w:pPr>
      <w:rPr>
        <w:rFonts w:hint="eastAsia"/>
      </w:rPr>
    </w:lvl>
    <w:lvl w:ilvl="2">
      <w:start w:val="1"/>
      <w:numFmt w:val="decimal"/>
      <w:pStyle w:val="3"/>
      <w:lvlText w:val="%1.%2.%3"/>
      <w:lvlJc w:val="left"/>
      <w:pPr>
        <w:tabs>
          <w:tab w:val="num" w:pos="3556"/>
        </w:tabs>
        <w:ind w:left="3556"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31"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2"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3" w15:restartNumberingAfterBreak="0">
    <w:nsid w:val="7CCA2A10"/>
    <w:multiLevelType w:val="hybridMultilevel"/>
    <w:tmpl w:val="FA06831E"/>
    <w:lvl w:ilvl="0" w:tplc="626C44CC">
      <w:numFmt w:val="bullet"/>
      <w:lvlText w:val="•"/>
      <w:lvlJc w:val="left"/>
      <w:pPr>
        <w:ind w:left="420" w:hanging="420"/>
      </w:pPr>
      <w:rPr>
        <w:rFonts w:ascii="Calibri" w:eastAsia="游明朝" w:hAnsi="Calibri"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4" w15:restartNumberingAfterBreak="0">
    <w:nsid w:val="7F872469"/>
    <w:multiLevelType w:val="multilevel"/>
    <w:tmpl w:val="DA0CB188"/>
    <w:lvl w:ilvl="0">
      <w:start w:val="1"/>
      <w:numFmt w:val="bullet"/>
      <w:lvlText w:val=""/>
      <w:lvlJc w:val="left"/>
      <w:pPr>
        <w:tabs>
          <w:tab w:val="num" w:pos="0"/>
        </w:tabs>
        <w:ind w:left="420" w:hanging="420"/>
      </w:pPr>
      <w:rPr>
        <w:rFonts w:ascii="Symbol" w:hAnsi="Symbol" w:hint="default"/>
      </w:rPr>
    </w:lvl>
    <w:lvl w:ilvl="1">
      <w:start w:val="1"/>
      <w:numFmt w:val="bullet"/>
      <w:lvlText w:val="o"/>
      <w:lvlJc w:val="left"/>
      <w:pPr>
        <w:tabs>
          <w:tab w:val="num" w:pos="0"/>
        </w:tabs>
        <w:ind w:left="840" w:hanging="420"/>
      </w:pPr>
      <w:rPr>
        <w:rFonts w:ascii="Courier New" w:hAnsi="Courier New" w:cs="Courier New"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num w:numId="1" w16cid:durableId="148058353">
    <w:abstractNumId w:val="30"/>
  </w:num>
  <w:num w:numId="2" w16cid:durableId="1929540460">
    <w:abstractNumId w:val="32"/>
  </w:num>
  <w:num w:numId="3" w16cid:durableId="1969701914">
    <w:abstractNumId w:val="15"/>
  </w:num>
  <w:num w:numId="4" w16cid:durableId="2078699544">
    <w:abstractNumId w:val="25"/>
  </w:num>
  <w:num w:numId="5" w16cid:durableId="948200769">
    <w:abstractNumId w:val="18"/>
  </w:num>
  <w:num w:numId="6" w16cid:durableId="1877161359">
    <w:abstractNumId w:val="19"/>
  </w:num>
  <w:num w:numId="7" w16cid:durableId="969046851">
    <w:abstractNumId w:val="17"/>
  </w:num>
  <w:num w:numId="8" w16cid:durableId="1399865143">
    <w:abstractNumId w:val="31"/>
  </w:num>
  <w:num w:numId="9" w16cid:durableId="1681279285">
    <w:abstractNumId w:val="1"/>
  </w:num>
  <w:num w:numId="10" w16cid:durableId="1426806891">
    <w:abstractNumId w:val="29"/>
  </w:num>
  <w:num w:numId="11" w16cid:durableId="1779567687">
    <w:abstractNumId w:val="22"/>
  </w:num>
  <w:num w:numId="12" w16cid:durableId="58792875">
    <w:abstractNumId w:val="34"/>
  </w:num>
  <w:num w:numId="13" w16cid:durableId="694616075">
    <w:abstractNumId w:val="28"/>
  </w:num>
  <w:num w:numId="14" w16cid:durableId="137767233">
    <w:abstractNumId w:val="7"/>
  </w:num>
  <w:num w:numId="15" w16cid:durableId="1699818588">
    <w:abstractNumId w:val="26"/>
  </w:num>
  <w:num w:numId="16" w16cid:durableId="1232423716">
    <w:abstractNumId w:val="23"/>
  </w:num>
  <w:num w:numId="17" w16cid:durableId="607935529">
    <w:abstractNumId w:val="8"/>
  </w:num>
  <w:num w:numId="18" w16cid:durableId="380062300">
    <w:abstractNumId w:val="24"/>
  </w:num>
  <w:num w:numId="19" w16cid:durableId="1437751153">
    <w:abstractNumId w:val="20"/>
  </w:num>
  <w:num w:numId="20" w16cid:durableId="723720505">
    <w:abstractNumId w:val="9"/>
  </w:num>
  <w:num w:numId="21" w16cid:durableId="591207953">
    <w:abstractNumId w:val="6"/>
  </w:num>
  <w:num w:numId="22" w16cid:durableId="1586575664">
    <w:abstractNumId w:val="3"/>
  </w:num>
  <w:num w:numId="23" w16cid:durableId="1770588941">
    <w:abstractNumId w:val="11"/>
  </w:num>
  <w:num w:numId="24" w16cid:durableId="1820993830">
    <w:abstractNumId w:val="21"/>
  </w:num>
  <w:num w:numId="25" w16cid:durableId="1739354769">
    <w:abstractNumId w:val="33"/>
  </w:num>
  <w:num w:numId="26" w16cid:durableId="144395589">
    <w:abstractNumId w:val="11"/>
  </w:num>
  <w:num w:numId="27" w16cid:durableId="1811482869">
    <w:abstractNumId w:val="2"/>
  </w:num>
  <w:num w:numId="28" w16cid:durableId="684936926">
    <w:abstractNumId w:val="13"/>
  </w:num>
  <w:num w:numId="29" w16cid:durableId="1538590004">
    <w:abstractNumId w:val="14"/>
  </w:num>
  <w:num w:numId="30" w16cid:durableId="804467153">
    <w:abstractNumId w:val="16"/>
  </w:num>
  <w:num w:numId="31" w16cid:durableId="1211649443">
    <w:abstractNumId w:val="10"/>
  </w:num>
  <w:num w:numId="32" w16cid:durableId="927733974">
    <w:abstractNumId w:val="4"/>
  </w:num>
  <w:num w:numId="33" w16cid:durableId="624697025">
    <w:abstractNumId w:val="12"/>
  </w:num>
  <w:num w:numId="34" w16cid:durableId="237129946">
    <w:abstractNumId w:val="27"/>
  </w:num>
  <w:num w:numId="35" w16cid:durableId="1757166383">
    <w:abstractNumId w:val="0"/>
  </w:num>
  <w:num w:numId="36" w16cid:durableId="216599314">
    <w:abstractNumId w:val="5"/>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en-AU" w:vendorID="64" w:dllVersion="6" w:nlCheck="1" w:checkStyle="1"/>
  <w:activeWritingStyle w:appName="MSWord" w:lang="en-AU"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05AA"/>
    <w:rsid w:val="0000022E"/>
    <w:rsid w:val="00000230"/>
    <w:rsid w:val="00000835"/>
    <w:rsid w:val="00000BB9"/>
    <w:rsid w:val="00000F61"/>
    <w:rsid w:val="00000F95"/>
    <w:rsid w:val="00001BB5"/>
    <w:rsid w:val="000023A0"/>
    <w:rsid w:val="00002485"/>
    <w:rsid w:val="000027C3"/>
    <w:rsid w:val="0000290D"/>
    <w:rsid w:val="0000295F"/>
    <w:rsid w:val="00002E6E"/>
    <w:rsid w:val="00002F0F"/>
    <w:rsid w:val="0000305B"/>
    <w:rsid w:val="000032D0"/>
    <w:rsid w:val="0000399C"/>
    <w:rsid w:val="00003BCD"/>
    <w:rsid w:val="00003F0D"/>
    <w:rsid w:val="000045B0"/>
    <w:rsid w:val="00004716"/>
    <w:rsid w:val="00004F3C"/>
    <w:rsid w:val="000055F7"/>
    <w:rsid w:val="000059A9"/>
    <w:rsid w:val="00005BA8"/>
    <w:rsid w:val="00006007"/>
    <w:rsid w:val="000060C2"/>
    <w:rsid w:val="00006F85"/>
    <w:rsid w:val="00007056"/>
    <w:rsid w:val="000071A7"/>
    <w:rsid w:val="000072F4"/>
    <w:rsid w:val="00007483"/>
    <w:rsid w:val="0000760A"/>
    <w:rsid w:val="00007EE2"/>
    <w:rsid w:val="000101AB"/>
    <w:rsid w:val="00010508"/>
    <w:rsid w:val="000106AD"/>
    <w:rsid w:val="00010BD4"/>
    <w:rsid w:val="00010D87"/>
    <w:rsid w:val="00010D8F"/>
    <w:rsid w:val="0001121D"/>
    <w:rsid w:val="00011430"/>
    <w:rsid w:val="0001175D"/>
    <w:rsid w:val="00011D9F"/>
    <w:rsid w:val="00011F63"/>
    <w:rsid w:val="0001206A"/>
    <w:rsid w:val="0001224A"/>
    <w:rsid w:val="00012351"/>
    <w:rsid w:val="00012B8B"/>
    <w:rsid w:val="00012D8B"/>
    <w:rsid w:val="00012EA4"/>
    <w:rsid w:val="0001360A"/>
    <w:rsid w:val="00013795"/>
    <w:rsid w:val="00013CE7"/>
    <w:rsid w:val="00013E6F"/>
    <w:rsid w:val="00013EAA"/>
    <w:rsid w:val="00013F36"/>
    <w:rsid w:val="00013F83"/>
    <w:rsid w:val="00014002"/>
    <w:rsid w:val="000145D8"/>
    <w:rsid w:val="0001480E"/>
    <w:rsid w:val="00014B24"/>
    <w:rsid w:val="00014D7A"/>
    <w:rsid w:val="000150E7"/>
    <w:rsid w:val="000157AD"/>
    <w:rsid w:val="00015941"/>
    <w:rsid w:val="00015BBE"/>
    <w:rsid w:val="00015CE4"/>
    <w:rsid w:val="00015F1A"/>
    <w:rsid w:val="00016C04"/>
    <w:rsid w:val="00016DA2"/>
    <w:rsid w:val="00016E80"/>
    <w:rsid w:val="00016F94"/>
    <w:rsid w:val="0001728A"/>
    <w:rsid w:val="00017972"/>
    <w:rsid w:val="000179C1"/>
    <w:rsid w:val="00017AA6"/>
    <w:rsid w:val="00017C3D"/>
    <w:rsid w:val="00017EDE"/>
    <w:rsid w:val="00020117"/>
    <w:rsid w:val="000201FC"/>
    <w:rsid w:val="00020386"/>
    <w:rsid w:val="000206CA"/>
    <w:rsid w:val="00020753"/>
    <w:rsid w:val="0002083F"/>
    <w:rsid w:val="00020A07"/>
    <w:rsid w:val="00020D88"/>
    <w:rsid w:val="00021232"/>
    <w:rsid w:val="000215FD"/>
    <w:rsid w:val="00021901"/>
    <w:rsid w:val="00021CF5"/>
    <w:rsid w:val="00022325"/>
    <w:rsid w:val="00022AE1"/>
    <w:rsid w:val="000230F1"/>
    <w:rsid w:val="000233D5"/>
    <w:rsid w:val="0002364D"/>
    <w:rsid w:val="000239EA"/>
    <w:rsid w:val="00023AE3"/>
    <w:rsid w:val="00023CCE"/>
    <w:rsid w:val="00024002"/>
    <w:rsid w:val="00024144"/>
    <w:rsid w:val="00024607"/>
    <w:rsid w:val="00024BB4"/>
    <w:rsid w:val="00024F2A"/>
    <w:rsid w:val="00025853"/>
    <w:rsid w:val="000260DA"/>
    <w:rsid w:val="000261A3"/>
    <w:rsid w:val="00026415"/>
    <w:rsid w:val="00026811"/>
    <w:rsid w:val="00026B2D"/>
    <w:rsid w:val="00026F38"/>
    <w:rsid w:val="00027515"/>
    <w:rsid w:val="0002759D"/>
    <w:rsid w:val="00030252"/>
    <w:rsid w:val="0003047F"/>
    <w:rsid w:val="0003061E"/>
    <w:rsid w:val="000308A1"/>
    <w:rsid w:val="000309AD"/>
    <w:rsid w:val="00030A9E"/>
    <w:rsid w:val="00030E3F"/>
    <w:rsid w:val="00031020"/>
    <w:rsid w:val="000310E6"/>
    <w:rsid w:val="000312FC"/>
    <w:rsid w:val="00031400"/>
    <w:rsid w:val="00031668"/>
    <w:rsid w:val="00031D3C"/>
    <w:rsid w:val="00031E0C"/>
    <w:rsid w:val="00031F78"/>
    <w:rsid w:val="00032060"/>
    <w:rsid w:val="00032486"/>
    <w:rsid w:val="0003260D"/>
    <w:rsid w:val="00032F0A"/>
    <w:rsid w:val="000331C6"/>
    <w:rsid w:val="000332CA"/>
    <w:rsid w:val="000333DA"/>
    <w:rsid w:val="000334FE"/>
    <w:rsid w:val="0003365B"/>
    <w:rsid w:val="00033C8D"/>
    <w:rsid w:val="00033DC0"/>
    <w:rsid w:val="00034302"/>
    <w:rsid w:val="000347C4"/>
    <w:rsid w:val="0003481D"/>
    <w:rsid w:val="00034C07"/>
    <w:rsid w:val="000351F2"/>
    <w:rsid w:val="000353CA"/>
    <w:rsid w:val="00035574"/>
    <w:rsid w:val="00035A4A"/>
    <w:rsid w:val="000361FA"/>
    <w:rsid w:val="00036831"/>
    <w:rsid w:val="000368CD"/>
    <w:rsid w:val="00036A11"/>
    <w:rsid w:val="00036BA9"/>
    <w:rsid w:val="00036D63"/>
    <w:rsid w:val="00036F38"/>
    <w:rsid w:val="00037142"/>
    <w:rsid w:val="000371F9"/>
    <w:rsid w:val="0003730E"/>
    <w:rsid w:val="0003730F"/>
    <w:rsid w:val="00037478"/>
    <w:rsid w:val="00037B0C"/>
    <w:rsid w:val="00037CBE"/>
    <w:rsid w:val="00037E49"/>
    <w:rsid w:val="00040675"/>
    <w:rsid w:val="00040797"/>
    <w:rsid w:val="00040D18"/>
    <w:rsid w:val="00040D77"/>
    <w:rsid w:val="0004128F"/>
    <w:rsid w:val="000413C7"/>
    <w:rsid w:val="00041836"/>
    <w:rsid w:val="00041913"/>
    <w:rsid w:val="00041AD9"/>
    <w:rsid w:val="00041B69"/>
    <w:rsid w:val="00041E8D"/>
    <w:rsid w:val="000426B5"/>
    <w:rsid w:val="00042C5C"/>
    <w:rsid w:val="00042C69"/>
    <w:rsid w:val="00042D1F"/>
    <w:rsid w:val="00042E74"/>
    <w:rsid w:val="00042F28"/>
    <w:rsid w:val="00043094"/>
    <w:rsid w:val="000431B6"/>
    <w:rsid w:val="000436BD"/>
    <w:rsid w:val="00043858"/>
    <w:rsid w:val="00043A82"/>
    <w:rsid w:val="000443C7"/>
    <w:rsid w:val="00044D8F"/>
    <w:rsid w:val="0004510F"/>
    <w:rsid w:val="00046137"/>
    <w:rsid w:val="00046EF5"/>
    <w:rsid w:val="000470AF"/>
    <w:rsid w:val="00047F74"/>
    <w:rsid w:val="0005007B"/>
    <w:rsid w:val="00050189"/>
    <w:rsid w:val="00050229"/>
    <w:rsid w:val="000503F0"/>
    <w:rsid w:val="0005088D"/>
    <w:rsid w:val="00050926"/>
    <w:rsid w:val="00050B1B"/>
    <w:rsid w:val="00050B89"/>
    <w:rsid w:val="00050BA6"/>
    <w:rsid w:val="00050C79"/>
    <w:rsid w:val="00050D3F"/>
    <w:rsid w:val="00050D62"/>
    <w:rsid w:val="0005105A"/>
    <w:rsid w:val="000512C5"/>
    <w:rsid w:val="00051409"/>
    <w:rsid w:val="000520EE"/>
    <w:rsid w:val="0005232B"/>
    <w:rsid w:val="00052710"/>
    <w:rsid w:val="000529A1"/>
    <w:rsid w:val="00052A30"/>
    <w:rsid w:val="00052BCE"/>
    <w:rsid w:val="00052D65"/>
    <w:rsid w:val="00053414"/>
    <w:rsid w:val="0005360F"/>
    <w:rsid w:val="00053C42"/>
    <w:rsid w:val="000540D4"/>
    <w:rsid w:val="00054502"/>
    <w:rsid w:val="00054885"/>
    <w:rsid w:val="00054C47"/>
    <w:rsid w:val="00054C50"/>
    <w:rsid w:val="00055055"/>
    <w:rsid w:val="0005522A"/>
    <w:rsid w:val="0005544C"/>
    <w:rsid w:val="00055AC9"/>
    <w:rsid w:val="00056B49"/>
    <w:rsid w:val="00056D0F"/>
    <w:rsid w:val="0005725B"/>
    <w:rsid w:val="00057751"/>
    <w:rsid w:val="00057AA6"/>
    <w:rsid w:val="00060142"/>
    <w:rsid w:val="00060220"/>
    <w:rsid w:val="0006043B"/>
    <w:rsid w:val="00060784"/>
    <w:rsid w:val="00060E15"/>
    <w:rsid w:val="000611F9"/>
    <w:rsid w:val="00061533"/>
    <w:rsid w:val="00061673"/>
    <w:rsid w:val="00061B2D"/>
    <w:rsid w:val="0006224C"/>
    <w:rsid w:val="00062449"/>
    <w:rsid w:val="0006265D"/>
    <w:rsid w:val="000628C9"/>
    <w:rsid w:val="00062963"/>
    <w:rsid w:val="00062AD1"/>
    <w:rsid w:val="000633CC"/>
    <w:rsid w:val="0006389E"/>
    <w:rsid w:val="00063B6D"/>
    <w:rsid w:val="00063D30"/>
    <w:rsid w:val="0006430C"/>
    <w:rsid w:val="000643D8"/>
    <w:rsid w:val="00064752"/>
    <w:rsid w:val="00064F18"/>
    <w:rsid w:val="00064F1C"/>
    <w:rsid w:val="00065323"/>
    <w:rsid w:val="00065773"/>
    <w:rsid w:val="00065AAC"/>
    <w:rsid w:val="00065C71"/>
    <w:rsid w:val="00066306"/>
    <w:rsid w:val="000663B0"/>
    <w:rsid w:val="000666E3"/>
    <w:rsid w:val="00066B53"/>
    <w:rsid w:val="00066E66"/>
    <w:rsid w:val="00066FAE"/>
    <w:rsid w:val="0006717F"/>
    <w:rsid w:val="00067A02"/>
    <w:rsid w:val="00067AA1"/>
    <w:rsid w:val="00067C19"/>
    <w:rsid w:val="00067D32"/>
    <w:rsid w:val="00067D68"/>
    <w:rsid w:val="0007044A"/>
    <w:rsid w:val="00070456"/>
    <w:rsid w:val="0007056A"/>
    <w:rsid w:val="00070804"/>
    <w:rsid w:val="00070883"/>
    <w:rsid w:val="000708B2"/>
    <w:rsid w:val="000708F3"/>
    <w:rsid w:val="00070971"/>
    <w:rsid w:val="00070CC3"/>
    <w:rsid w:val="00070F1B"/>
    <w:rsid w:val="000710A9"/>
    <w:rsid w:val="00071104"/>
    <w:rsid w:val="00071219"/>
    <w:rsid w:val="00071623"/>
    <w:rsid w:val="000716E9"/>
    <w:rsid w:val="0007183B"/>
    <w:rsid w:val="00071B1F"/>
    <w:rsid w:val="00071B78"/>
    <w:rsid w:val="00071C0F"/>
    <w:rsid w:val="000725C8"/>
    <w:rsid w:val="000725F6"/>
    <w:rsid w:val="00072829"/>
    <w:rsid w:val="0007310F"/>
    <w:rsid w:val="00073270"/>
    <w:rsid w:val="0007349F"/>
    <w:rsid w:val="000739F6"/>
    <w:rsid w:val="00074024"/>
    <w:rsid w:val="000742DE"/>
    <w:rsid w:val="000742E9"/>
    <w:rsid w:val="000744DD"/>
    <w:rsid w:val="00074828"/>
    <w:rsid w:val="00075160"/>
    <w:rsid w:val="00075BB7"/>
    <w:rsid w:val="000768FC"/>
    <w:rsid w:val="0007690F"/>
    <w:rsid w:val="00076CE8"/>
    <w:rsid w:val="00076E3A"/>
    <w:rsid w:val="00076F1B"/>
    <w:rsid w:val="00076F46"/>
    <w:rsid w:val="0007794F"/>
    <w:rsid w:val="00077A2B"/>
    <w:rsid w:val="00077A85"/>
    <w:rsid w:val="00077F30"/>
    <w:rsid w:val="00077F75"/>
    <w:rsid w:val="000800A7"/>
    <w:rsid w:val="000803A0"/>
    <w:rsid w:val="0008051A"/>
    <w:rsid w:val="000808E0"/>
    <w:rsid w:val="000809CE"/>
    <w:rsid w:val="00080BF7"/>
    <w:rsid w:val="00081405"/>
    <w:rsid w:val="00081607"/>
    <w:rsid w:val="000826ED"/>
    <w:rsid w:val="0008330E"/>
    <w:rsid w:val="000837D4"/>
    <w:rsid w:val="00083B18"/>
    <w:rsid w:val="00083B28"/>
    <w:rsid w:val="00083C62"/>
    <w:rsid w:val="00083EA0"/>
    <w:rsid w:val="00084126"/>
    <w:rsid w:val="00084482"/>
    <w:rsid w:val="00084B70"/>
    <w:rsid w:val="00085444"/>
    <w:rsid w:val="000854E6"/>
    <w:rsid w:val="000855D8"/>
    <w:rsid w:val="000857E8"/>
    <w:rsid w:val="00085A5C"/>
    <w:rsid w:val="00086493"/>
    <w:rsid w:val="000865D7"/>
    <w:rsid w:val="00086879"/>
    <w:rsid w:val="00087CA5"/>
    <w:rsid w:val="00087E13"/>
    <w:rsid w:val="00087F01"/>
    <w:rsid w:val="00087FB3"/>
    <w:rsid w:val="0009048D"/>
    <w:rsid w:val="00090820"/>
    <w:rsid w:val="000908EC"/>
    <w:rsid w:val="00090C94"/>
    <w:rsid w:val="00090E15"/>
    <w:rsid w:val="00090E2D"/>
    <w:rsid w:val="000911EF"/>
    <w:rsid w:val="0009157D"/>
    <w:rsid w:val="00091F55"/>
    <w:rsid w:val="000927C6"/>
    <w:rsid w:val="00092D6D"/>
    <w:rsid w:val="00092E90"/>
    <w:rsid w:val="00092EA0"/>
    <w:rsid w:val="00093263"/>
    <w:rsid w:val="00093617"/>
    <w:rsid w:val="0009369A"/>
    <w:rsid w:val="000937B6"/>
    <w:rsid w:val="000939CD"/>
    <w:rsid w:val="00093B0F"/>
    <w:rsid w:val="00093C35"/>
    <w:rsid w:val="0009413E"/>
    <w:rsid w:val="000944E7"/>
    <w:rsid w:val="000946BB"/>
    <w:rsid w:val="000946C6"/>
    <w:rsid w:val="00094778"/>
    <w:rsid w:val="00094835"/>
    <w:rsid w:val="000949DF"/>
    <w:rsid w:val="00094A81"/>
    <w:rsid w:val="000951CA"/>
    <w:rsid w:val="00095395"/>
    <w:rsid w:val="000954F5"/>
    <w:rsid w:val="00095575"/>
    <w:rsid w:val="000959F9"/>
    <w:rsid w:val="00095AC2"/>
    <w:rsid w:val="00095B9E"/>
    <w:rsid w:val="00096002"/>
    <w:rsid w:val="0009639E"/>
    <w:rsid w:val="00096543"/>
    <w:rsid w:val="0009669F"/>
    <w:rsid w:val="000967CE"/>
    <w:rsid w:val="0009682D"/>
    <w:rsid w:val="00097190"/>
    <w:rsid w:val="00097555"/>
    <w:rsid w:val="00097918"/>
    <w:rsid w:val="00097D66"/>
    <w:rsid w:val="00097ED4"/>
    <w:rsid w:val="000A0F71"/>
    <w:rsid w:val="000A1383"/>
    <w:rsid w:val="000A1408"/>
    <w:rsid w:val="000A1727"/>
    <w:rsid w:val="000A2457"/>
    <w:rsid w:val="000A2BCB"/>
    <w:rsid w:val="000A2F81"/>
    <w:rsid w:val="000A3132"/>
    <w:rsid w:val="000A314D"/>
    <w:rsid w:val="000A3361"/>
    <w:rsid w:val="000A3512"/>
    <w:rsid w:val="000A35EE"/>
    <w:rsid w:val="000A3A30"/>
    <w:rsid w:val="000A3BD8"/>
    <w:rsid w:val="000A3C0F"/>
    <w:rsid w:val="000A3C5C"/>
    <w:rsid w:val="000A3CEA"/>
    <w:rsid w:val="000A3E74"/>
    <w:rsid w:val="000A42F7"/>
    <w:rsid w:val="000A43B9"/>
    <w:rsid w:val="000A47AC"/>
    <w:rsid w:val="000A51D7"/>
    <w:rsid w:val="000A5236"/>
    <w:rsid w:val="000A5735"/>
    <w:rsid w:val="000A5BD3"/>
    <w:rsid w:val="000A638E"/>
    <w:rsid w:val="000A65C8"/>
    <w:rsid w:val="000A6BB2"/>
    <w:rsid w:val="000A6FE2"/>
    <w:rsid w:val="000A7299"/>
    <w:rsid w:val="000A78EC"/>
    <w:rsid w:val="000A793D"/>
    <w:rsid w:val="000A7FC8"/>
    <w:rsid w:val="000B038F"/>
    <w:rsid w:val="000B0BE4"/>
    <w:rsid w:val="000B0C18"/>
    <w:rsid w:val="000B0CAB"/>
    <w:rsid w:val="000B0EBC"/>
    <w:rsid w:val="000B1005"/>
    <w:rsid w:val="000B16B7"/>
    <w:rsid w:val="000B1BD7"/>
    <w:rsid w:val="000B1DD5"/>
    <w:rsid w:val="000B22AA"/>
    <w:rsid w:val="000B2408"/>
    <w:rsid w:val="000B2427"/>
    <w:rsid w:val="000B2816"/>
    <w:rsid w:val="000B3279"/>
    <w:rsid w:val="000B35F4"/>
    <w:rsid w:val="000B369C"/>
    <w:rsid w:val="000B3B32"/>
    <w:rsid w:val="000B4435"/>
    <w:rsid w:val="000B4560"/>
    <w:rsid w:val="000B45E4"/>
    <w:rsid w:val="000B486A"/>
    <w:rsid w:val="000B4F0B"/>
    <w:rsid w:val="000B5228"/>
    <w:rsid w:val="000B5419"/>
    <w:rsid w:val="000B5512"/>
    <w:rsid w:val="000B5D87"/>
    <w:rsid w:val="000B5E20"/>
    <w:rsid w:val="000B63B1"/>
    <w:rsid w:val="000B6873"/>
    <w:rsid w:val="000B6F65"/>
    <w:rsid w:val="000B7111"/>
    <w:rsid w:val="000B7468"/>
    <w:rsid w:val="000B78EB"/>
    <w:rsid w:val="000B7B8A"/>
    <w:rsid w:val="000C02E0"/>
    <w:rsid w:val="000C0361"/>
    <w:rsid w:val="000C0596"/>
    <w:rsid w:val="000C062D"/>
    <w:rsid w:val="000C0833"/>
    <w:rsid w:val="000C0AD5"/>
    <w:rsid w:val="000C0D4E"/>
    <w:rsid w:val="000C0E05"/>
    <w:rsid w:val="000C0E1F"/>
    <w:rsid w:val="000C0E68"/>
    <w:rsid w:val="000C0F2B"/>
    <w:rsid w:val="000C186D"/>
    <w:rsid w:val="000C1D0B"/>
    <w:rsid w:val="000C1F30"/>
    <w:rsid w:val="000C2BA5"/>
    <w:rsid w:val="000C2EB3"/>
    <w:rsid w:val="000C3873"/>
    <w:rsid w:val="000C3BF8"/>
    <w:rsid w:val="000C3EA7"/>
    <w:rsid w:val="000C42D1"/>
    <w:rsid w:val="000C4771"/>
    <w:rsid w:val="000C4C69"/>
    <w:rsid w:val="000C4D26"/>
    <w:rsid w:val="000C5251"/>
    <w:rsid w:val="000C53AC"/>
    <w:rsid w:val="000C57B2"/>
    <w:rsid w:val="000C5BF8"/>
    <w:rsid w:val="000C5D4C"/>
    <w:rsid w:val="000C5D7C"/>
    <w:rsid w:val="000C656D"/>
    <w:rsid w:val="000C67C1"/>
    <w:rsid w:val="000C6FDD"/>
    <w:rsid w:val="000C786D"/>
    <w:rsid w:val="000C7B42"/>
    <w:rsid w:val="000C7E25"/>
    <w:rsid w:val="000C7E82"/>
    <w:rsid w:val="000C7FF3"/>
    <w:rsid w:val="000D04ED"/>
    <w:rsid w:val="000D06C1"/>
    <w:rsid w:val="000D0AAE"/>
    <w:rsid w:val="000D0D9D"/>
    <w:rsid w:val="000D0DA3"/>
    <w:rsid w:val="000D0EA6"/>
    <w:rsid w:val="000D113F"/>
    <w:rsid w:val="000D1872"/>
    <w:rsid w:val="000D196D"/>
    <w:rsid w:val="000D1A83"/>
    <w:rsid w:val="000D2134"/>
    <w:rsid w:val="000D2356"/>
    <w:rsid w:val="000D2A48"/>
    <w:rsid w:val="000D2B1C"/>
    <w:rsid w:val="000D2E56"/>
    <w:rsid w:val="000D3BAD"/>
    <w:rsid w:val="000D3D6D"/>
    <w:rsid w:val="000D4798"/>
    <w:rsid w:val="000D4988"/>
    <w:rsid w:val="000D49EB"/>
    <w:rsid w:val="000D4BB2"/>
    <w:rsid w:val="000D4D2D"/>
    <w:rsid w:val="000D5107"/>
    <w:rsid w:val="000D578B"/>
    <w:rsid w:val="000D592C"/>
    <w:rsid w:val="000D59A5"/>
    <w:rsid w:val="000D5D0E"/>
    <w:rsid w:val="000D5D8E"/>
    <w:rsid w:val="000D5FF5"/>
    <w:rsid w:val="000D61AF"/>
    <w:rsid w:val="000D65DC"/>
    <w:rsid w:val="000D6708"/>
    <w:rsid w:val="000D6E27"/>
    <w:rsid w:val="000D7A9E"/>
    <w:rsid w:val="000D7B5E"/>
    <w:rsid w:val="000D7D45"/>
    <w:rsid w:val="000E007D"/>
    <w:rsid w:val="000E00E0"/>
    <w:rsid w:val="000E03C5"/>
    <w:rsid w:val="000E04FA"/>
    <w:rsid w:val="000E06B2"/>
    <w:rsid w:val="000E0F9C"/>
    <w:rsid w:val="000E1791"/>
    <w:rsid w:val="000E18D6"/>
    <w:rsid w:val="000E1939"/>
    <w:rsid w:val="000E1D1E"/>
    <w:rsid w:val="000E2401"/>
    <w:rsid w:val="000E2666"/>
    <w:rsid w:val="000E27E4"/>
    <w:rsid w:val="000E2834"/>
    <w:rsid w:val="000E2945"/>
    <w:rsid w:val="000E2A29"/>
    <w:rsid w:val="000E3220"/>
    <w:rsid w:val="000E33DF"/>
    <w:rsid w:val="000E4C04"/>
    <w:rsid w:val="000E51E3"/>
    <w:rsid w:val="000E541C"/>
    <w:rsid w:val="000E5752"/>
    <w:rsid w:val="000E581F"/>
    <w:rsid w:val="000E58AD"/>
    <w:rsid w:val="000E5A9A"/>
    <w:rsid w:val="000E5D88"/>
    <w:rsid w:val="000E5DFA"/>
    <w:rsid w:val="000E5F4F"/>
    <w:rsid w:val="000E608D"/>
    <w:rsid w:val="000E6138"/>
    <w:rsid w:val="000E65DF"/>
    <w:rsid w:val="000E661B"/>
    <w:rsid w:val="000E665A"/>
    <w:rsid w:val="000E6C1F"/>
    <w:rsid w:val="000E787C"/>
    <w:rsid w:val="000E7A54"/>
    <w:rsid w:val="000E7B21"/>
    <w:rsid w:val="000E7C24"/>
    <w:rsid w:val="000F002B"/>
    <w:rsid w:val="000F0375"/>
    <w:rsid w:val="000F056A"/>
    <w:rsid w:val="000F05AA"/>
    <w:rsid w:val="000F0B72"/>
    <w:rsid w:val="000F0BF5"/>
    <w:rsid w:val="000F0CF5"/>
    <w:rsid w:val="000F0DA5"/>
    <w:rsid w:val="000F0F2D"/>
    <w:rsid w:val="000F1096"/>
    <w:rsid w:val="000F12BC"/>
    <w:rsid w:val="000F1A98"/>
    <w:rsid w:val="000F1F21"/>
    <w:rsid w:val="000F2001"/>
    <w:rsid w:val="000F23F7"/>
    <w:rsid w:val="000F255F"/>
    <w:rsid w:val="000F2810"/>
    <w:rsid w:val="000F29F2"/>
    <w:rsid w:val="000F2A23"/>
    <w:rsid w:val="000F2CC9"/>
    <w:rsid w:val="000F36BC"/>
    <w:rsid w:val="000F3897"/>
    <w:rsid w:val="000F3D68"/>
    <w:rsid w:val="000F44D1"/>
    <w:rsid w:val="000F47FF"/>
    <w:rsid w:val="000F4A1F"/>
    <w:rsid w:val="000F4B39"/>
    <w:rsid w:val="000F4E26"/>
    <w:rsid w:val="000F4F76"/>
    <w:rsid w:val="000F592A"/>
    <w:rsid w:val="000F5F95"/>
    <w:rsid w:val="000F5FB5"/>
    <w:rsid w:val="000F6962"/>
    <w:rsid w:val="000F7193"/>
    <w:rsid w:val="000F72C1"/>
    <w:rsid w:val="000F766C"/>
    <w:rsid w:val="000F7713"/>
    <w:rsid w:val="000F7980"/>
    <w:rsid w:val="000F79AA"/>
    <w:rsid w:val="000F7BCA"/>
    <w:rsid w:val="0010053A"/>
    <w:rsid w:val="00100C81"/>
    <w:rsid w:val="00100CDE"/>
    <w:rsid w:val="001016B5"/>
    <w:rsid w:val="00101982"/>
    <w:rsid w:val="00101A9B"/>
    <w:rsid w:val="00101C44"/>
    <w:rsid w:val="0010201D"/>
    <w:rsid w:val="00102472"/>
    <w:rsid w:val="001026C3"/>
    <w:rsid w:val="00102B08"/>
    <w:rsid w:val="00102CEA"/>
    <w:rsid w:val="00102D91"/>
    <w:rsid w:val="00102F4C"/>
    <w:rsid w:val="00103043"/>
    <w:rsid w:val="001031A6"/>
    <w:rsid w:val="00103302"/>
    <w:rsid w:val="0010353A"/>
    <w:rsid w:val="00103674"/>
    <w:rsid w:val="00103B2C"/>
    <w:rsid w:val="00103B64"/>
    <w:rsid w:val="00103BED"/>
    <w:rsid w:val="00103F8A"/>
    <w:rsid w:val="0010421D"/>
    <w:rsid w:val="0010554C"/>
    <w:rsid w:val="0010580E"/>
    <w:rsid w:val="00105ACF"/>
    <w:rsid w:val="00105F16"/>
    <w:rsid w:val="00106527"/>
    <w:rsid w:val="001065A2"/>
    <w:rsid w:val="00106F60"/>
    <w:rsid w:val="001072DB"/>
    <w:rsid w:val="00107D5D"/>
    <w:rsid w:val="00107E06"/>
    <w:rsid w:val="00107F2F"/>
    <w:rsid w:val="0011037F"/>
    <w:rsid w:val="00110451"/>
    <w:rsid w:val="00110753"/>
    <w:rsid w:val="00110D5F"/>
    <w:rsid w:val="00111ECE"/>
    <w:rsid w:val="00111EE3"/>
    <w:rsid w:val="00112442"/>
    <w:rsid w:val="001129FD"/>
    <w:rsid w:val="00112A8F"/>
    <w:rsid w:val="00112BA4"/>
    <w:rsid w:val="001132CF"/>
    <w:rsid w:val="00113736"/>
    <w:rsid w:val="00113BBE"/>
    <w:rsid w:val="00113D82"/>
    <w:rsid w:val="00113EE3"/>
    <w:rsid w:val="00113FC0"/>
    <w:rsid w:val="0011427B"/>
    <w:rsid w:val="00114483"/>
    <w:rsid w:val="001149BA"/>
    <w:rsid w:val="00114B5E"/>
    <w:rsid w:val="001150DA"/>
    <w:rsid w:val="001153B0"/>
    <w:rsid w:val="0011542C"/>
    <w:rsid w:val="00115493"/>
    <w:rsid w:val="001156CC"/>
    <w:rsid w:val="0011591D"/>
    <w:rsid w:val="00115963"/>
    <w:rsid w:val="00115AA9"/>
    <w:rsid w:val="0011602B"/>
    <w:rsid w:val="001161B3"/>
    <w:rsid w:val="0011661E"/>
    <w:rsid w:val="001168DF"/>
    <w:rsid w:val="00116BB1"/>
    <w:rsid w:val="00116C10"/>
    <w:rsid w:val="00116DEE"/>
    <w:rsid w:val="00117194"/>
    <w:rsid w:val="00117641"/>
    <w:rsid w:val="00117E0A"/>
    <w:rsid w:val="00117F83"/>
    <w:rsid w:val="00120153"/>
    <w:rsid w:val="0012040F"/>
    <w:rsid w:val="001204B3"/>
    <w:rsid w:val="00120603"/>
    <w:rsid w:val="001207B6"/>
    <w:rsid w:val="00120CF7"/>
    <w:rsid w:val="0012146C"/>
    <w:rsid w:val="00121BF2"/>
    <w:rsid w:val="00121E41"/>
    <w:rsid w:val="001224E1"/>
    <w:rsid w:val="001224FE"/>
    <w:rsid w:val="001227F0"/>
    <w:rsid w:val="00122870"/>
    <w:rsid w:val="001228DC"/>
    <w:rsid w:val="00122BAE"/>
    <w:rsid w:val="00122C42"/>
    <w:rsid w:val="00123466"/>
    <w:rsid w:val="00123472"/>
    <w:rsid w:val="0012374E"/>
    <w:rsid w:val="00123AE5"/>
    <w:rsid w:val="00123F4A"/>
    <w:rsid w:val="0012418D"/>
    <w:rsid w:val="001242BE"/>
    <w:rsid w:val="00124354"/>
    <w:rsid w:val="00124817"/>
    <w:rsid w:val="00124871"/>
    <w:rsid w:val="001248D1"/>
    <w:rsid w:val="00124DD7"/>
    <w:rsid w:val="001251F8"/>
    <w:rsid w:val="00125223"/>
    <w:rsid w:val="001256C8"/>
    <w:rsid w:val="0012570C"/>
    <w:rsid w:val="001257D0"/>
    <w:rsid w:val="00125964"/>
    <w:rsid w:val="001264EB"/>
    <w:rsid w:val="001265DF"/>
    <w:rsid w:val="00126981"/>
    <w:rsid w:val="001269B2"/>
    <w:rsid w:val="001272D8"/>
    <w:rsid w:val="001277E5"/>
    <w:rsid w:val="0012797C"/>
    <w:rsid w:val="001279B3"/>
    <w:rsid w:val="00127AFE"/>
    <w:rsid w:val="00127F0E"/>
    <w:rsid w:val="00127FBC"/>
    <w:rsid w:val="00130086"/>
    <w:rsid w:val="001302FE"/>
    <w:rsid w:val="001303E8"/>
    <w:rsid w:val="0013055D"/>
    <w:rsid w:val="00130B88"/>
    <w:rsid w:val="00130FF2"/>
    <w:rsid w:val="001313F2"/>
    <w:rsid w:val="001316E9"/>
    <w:rsid w:val="00131C62"/>
    <w:rsid w:val="001320FB"/>
    <w:rsid w:val="001322EF"/>
    <w:rsid w:val="00132F7D"/>
    <w:rsid w:val="0013323E"/>
    <w:rsid w:val="00133987"/>
    <w:rsid w:val="001339B8"/>
    <w:rsid w:val="00133AC1"/>
    <w:rsid w:val="00133CDF"/>
    <w:rsid w:val="001342AE"/>
    <w:rsid w:val="00134454"/>
    <w:rsid w:val="001348CF"/>
    <w:rsid w:val="001348D0"/>
    <w:rsid w:val="001348F9"/>
    <w:rsid w:val="00134BD7"/>
    <w:rsid w:val="00134D0B"/>
    <w:rsid w:val="00134EEC"/>
    <w:rsid w:val="001350FC"/>
    <w:rsid w:val="00135362"/>
    <w:rsid w:val="00135892"/>
    <w:rsid w:val="00135BC5"/>
    <w:rsid w:val="00135BF0"/>
    <w:rsid w:val="00135BF6"/>
    <w:rsid w:val="00135EBE"/>
    <w:rsid w:val="00136301"/>
    <w:rsid w:val="0013636F"/>
    <w:rsid w:val="00137273"/>
    <w:rsid w:val="00137388"/>
    <w:rsid w:val="001375E3"/>
    <w:rsid w:val="00137806"/>
    <w:rsid w:val="00137984"/>
    <w:rsid w:val="0014019B"/>
    <w:rsid w:val="00140912"/>
    <w:rsid w:val="00140C2F"/>
    <w:rsid w:val="00140F96"/>
    <w:rsid w:val="00140FDA"/>
    <w:rsid w:val="0014174D"/>
    <w:rsid w:val="00141A09"/>
    <w:rsid w:val="00141D1D"/>
    <w:rsid w:val="00141E43"/>
    <w:rsid w:val="001420F5"/>
    <w:rsid w:val="00142434"/>
    <w:rsid w:val="00142B59"/>
    <w:rsid w:val="00142E77"/>
    <w:rsid w:val="00142F5E"/>
    <w:rsid w:val="00142F9A"/>
    <w:rsid w:val="00143265"/>
    <w:rsid w:val="001434EE"/>
    <w:rsid w:val="00143760"/>
    <w:rsid w:val="00143766"/>
    <w:rsid w:val="0014407F"/>
    <w:rsid w:val="0014494A"/>
    <w:rsid w:val="00144B09"/>
    <w:rsid w:val="001455E4"/>
    <w:rsid w:val="00145997"/>
    <w:rsid w:val="00145B95"/>
    <w:rsid w:val="00146124"/>
    <w:rsid w:val="00146A8F"/>
    <w:rsid w:val="00146C78"/>
    <w:rsid w:val="00147509"/>
    <w:rsid w:val="001479B6"/>
    <w:rsid w:val="00147F88"/>
    <w:rsid w:val="001504B6"/>
    <w:rsid w:val="001505D5"/>
    <w:rsid w:val="00150870"/>
    <w:rsid w:val="00150944"/>
    <w:rsid w:val="00150A61"/>
    <w:rsid w:val="0015154C"/>
    <w:rsid w:val="00151B70"/>
    <w:rsid w:val="00151CF4"/>
    <w:rsid w:val="00151FAD"/>
    <w:rsid w:val="00152351"/>
    <w:rsid w:val="0015236C"/>
    <w:rsid w:val="00152393"/>
    <w:rsid w:val="001524EE"/>
    <w:rsid w:val="00152BE6"/>
    <w:rsid w:val="00152C1A"/>
    <w:rsid w:val="00152EDA"/>
    <w:rsid w:val="00152F2F"/>
    <w:rsid w:val="00153372"/>
    <w:rsid w:val="001535EC"/>
    <w:rsid w:val="001538CE"/>
    <w:rsid w:val="00153D5F"/>
    <w:rsid w:val="0015416B"/>
    <w:rsid w:val="001545D5"/>
    <w:rsid w:val="00154768"/>
    <w:rsid w:val="001549B2"/>
    <w:rsid w:val="001551CA"/>
    <w:rsid w:val="00155230"/>
    <w:rsid w:val="00155236"/>
    <w:rsid w:val="001555EE"/>
    <w:rsid w:val="00155620"/>
    <w:rsid w:val="001556B2"/>
    <w:rsid w:val="001556DA"/>
    <w:rsid w:val="00155F1E"/>
    <w:rsid w:val="00156004"/>
    <w:rsid w:val="0015604F"/>
    <w:rsid w:val="001564A4"/>
    <w:rsid w:val="001565E5"/>
    <w:rsid w:val="001567A3"/>
    <w:rsid w:val="00156971"/>
    <w:rsid w:val="00157160"/>
    <w:rsid w:val="00157536"/>
    <w:rsid w:val="00160041"/>
    <w:rsid w:val="0016034C"/>
    <w:rsid w:val="001603FD"/>
    <w:rsid w:val="0016042B"/>
    <w:rsid w:val="00160493"/>
    <w:rsid w:val="00160B91"/>
    <w:rsid w:val="00160F79"/>
    <w:rsid w:val="001618B6"/>
    <w:rsid w:val="00161C4C"/>
    <w:rsid w:val="00161E56"/>
    <w:rsid w:val="00162A3E"/>
    <w:rsid w:val="00162CB3"/>
    <w:rsid w:val="00162E0A"/>
    <w:rsid w:val="00162EA6"/>
    <w:rsid w:val="00162FAB"/>
    <w:rsid w:val="00163660"/>
    <w:rsid w:val="00163841"/>
    <w:rsid w:val="00163990"/>
    <w:rsid w:val="00163A6B"/>
    <w:rsid w:val="00163C1E"/>
    <w:rsid w:val="00164F18"/>
    <w:rsid w:val="001651C5"/>
    <w:rsid w:val="0016550F"/>
    <w:rsid w:val="00165543"/>
    <w:rsid w:val="00166026"/>
    <w:rsid w:val="001660F9"/>
    <w:rsid w:val="00166293"/>
    <w:rsid w:val="00166356"/>
    <w:rsid w:val="001667AA"/>
    <w:rsid w:val="001669A0"/>
    <w:rsid w:val="00166E0D"/>
    <w:rsid w:val="00166F4D"/>
    <w:rsid w:val="00167215"/>
    <w:rsid w:val="00167391"/>
    <w:rsid w:val="00167957"/>
    <w:rsid w:val="00167A75"/>
    <w:rsid w:val="00167CB4"/>
    <w:rsid w:val="00167DB1"/>
    <w:rsid w:val="00170B3C"/>
    <w:rsid w:val="00170FA7"/>
    <w:rsid w:val="001712AE"/>
    <w:rsid w:val="00171507"/>
    <w:rsid w:val="00171B54"/>
    <w:rsid w:val="00171CCB"/>
    <w:rsid w:val="001720FD"/>
    <w:rsid w:val="00172A18"/>
    <w:rsid w:val="00172AD4"/>
    <w:rsid w:val="00172C3B"/>
    <w:rsid w:val="00172DC0"/>
    <w:rsid w:val="00172E7C"/>
    <w:rsid w:val="00172F7C"/>
    <w:rsid w:val="001730FB"/>
    <w:rsid w:val="001732BB"/>
    <w:rsid w:val="00173C53"/>
    <w:rsid w:val="00173F1B"/>
    <w:rsid w:val="00174160"/>
    <w:rsid w:val="001743A5"/>
    <w:rsid w:val="00174603"/>
    <w:rsid w:val="00174789"/>
    <w:rsid w:val="00174809"/>
    <w:rsid w:val="00174B3C"/>
    <w:rsid w:val="00174C0B"/>
    <w:rsid w:val="00174D48"/>
    <w:rsid w:val="0017525D"/>
    <w:rsid w:val="00175A23"/>
    <w:rsid w:val="00175E37"/>
    <w:rsid w:val="00176013"/>
    <w:rsid w:val="0017645C"/>
    <w:rsid w:val="00176909"/>
    <w:rsid w:val="00176C74"/>
    <w:rsid w:val="001775AA"/>
    <w:rsid w:val="00177951"/>
    <w:rsid w:val="0017796A"/>
    <w:rsid w:val="00177D5C"/>
    <w:rsid w:val="00177E50"/>
    <w:rsid w:val="00177F56"/>
    <w:rsid w:val="00180010"/>
    <w:rsid w:val="00180053"/>
    <w:rsid w:val="0018034C"/>
    <w:rsid w:val="00180388"/>
    <w:rsid w:val="001807D8"/>
    <w:rsid w:val="0018092C"/>
    <w:rsid w:val="00180AA4"/>
    <w:rsid w:val="001811C8"/>
    <w:rsid w:val="00181E2B"/>
    <w:rsid w:val="001820F6"/>
    <w:rsid w:val="0018223F"/>
    <w:rsid w:val="001822B3"/>
    <w:rsid w:val="0018259F"/>
    <w:rsid w:val="001827CC"/>
    <w:rsid w:val="001829E9"/>
    <w:rsid w:val="00182A0D"/>
    <w:rsid w:val="00182C04"/>
    <w:rsid w:val="00182D08"/>
    <w:rsid w:val="00182F10"/>
    <w:rsid w:val="00183562"/>
    <w:rsid w:val="00184315"/>
    <w:rsid w:val="00184677"/>
    <w:rsid w:val="00184741"/>
    <w:rsid w:val="00184758"/>
    <w:rsid w:val="00184B75"/>
    <w:rsid w:val="00184C86"/>
    <w:rsid w:val="00184CFE"/>
    <w:rsid w:val="00184F4E"/>
    <w:rsid w:val="00185353"/>
    <w:rsid w:val="0018574D"/>
    <w:rsid w:val="00185992"/>
    <w:rsid w:val="00185D12"/>
    <w:rsid w:val="00186179"/>
    <w:rsid w:val="001863D2"/>
    <w:rsid w:val="001863E3"/>
    <w:rsid w:val="0018645E"/>
    <w:rsid w:val="001866E9"/>
    <w:rsid w:val="00186E37"/>
    <w:rsid w:val="00187151"/>
    <w:rsid w:val="00187391"/>
    <w:rsid w:val="00187695"/>
    <w:rsid w:val="00190053"/>
    <w:rsid w:val="00190C74"/>
    <w:rsid w:val="00190CF9"/>
    <w:rsid w:val="00190F3D"/>
    <w:rsid w:val="00191268"/>
    <w:rsid w:val="00191850"/>
    <w:rsid w:val="00191C14"/>
    <w:rsid w:val="001926EC"/>
    <w:rsid w:val="0019273C"/>
    <w:rsid w:val="0019284D"/>
    <w:rsid w:val="00193548"/>
    <w:rsid w:val="0019374A"/>
    <w:rsid w:val="00193939"/>
    <w:rsid w:val="00193AA8"/>
    <w:rsid w:val="00193D15"/>
    <w:rsid w:val="00193EA0"/>
    <w:rsid w:val="00194014"/>
    <w:rsid w:val="00194854"/>
    <w:rsid w:val="001948FD"/>
    <w:rsid w:val="00195181"/>
    <w:rsid w:val="00195338"/>
    <w:rsid w:val="001953A7"/>
    <w:rsid w:val="001956E4"/>
    <w:rsid w:val="00195842"/>
    <w:rsid w:val="001959FA"/>
    <w:rsid w:val="00195B78"/>
    <w:rsid w:val="00195CDD"/>
    <w:rsid w:val="00196526"/>
    <w:rsid w:val="00196B61"/>
    <w:rsid w:val="00196C0C"/>
    <w:rsid w:val="0019753D"/>
    <w:rsid w:val="0019773E"/>
    <w:rsid w:val="00197A85"/>
    <w:rsid w:val="00197E18"/>
    <w:rsid w:val="001A01C0"/>
    <w:rsid w:val="001A0A96"/>
    <w:rsid w:val="001A0C7D"/>
    <w:rsid w:val="001A0FEB"/>
    <w:rsid w:val="001A1165"/>
    <w:rsid w:val="001A1581"/>
    <w:rsid w:val="001A1DDE"/>
    <w:rsid w:val="001A1FCC"/>
    <w:rsid w:val="001A217F"/>
    <w:rsid w:val="001A21CC"/>
    <w:rsid w:val="001A2419"/>
    <w:rsid w:val="001A26B8"/>
    <w:rsid w:val="001A2F5A"/>
    <w:rsid w:val="001A3319"/>
    <w:rsid w:val="001A34FA"/>
    <w:rsid w:val="001A3649"/>
    <w:rsid w:val="001A386B"/>
    <w:rsid w:val="001A3A6B"/>
    <w:rsid w:val="001A409F"/>
    <w:rsid w:val="001A4190"/>
    <w:rsid w:val="001A4218"/>
    <w:rsid w:val="001A4477"/>
    <w:rsid w:val="001A45ED"/>
    <w:rsid w:val="001A4693"/>
    <w:rsid w:val="001A48D5"/>
    <w:rsid w:val="001A4B69"/>
    <w:rsid w:val="001A548D"/>
    <w:rsid w:val="001A589B"/>
    <w:rsid w:val="001A5F8B"/>
    <w:rsid w:val="001A6366"/>
    <w:rsid w:val="001A66F8"/>
    <w:rsid w:val="001A6799"/>
    <w:rsid w:val="001A7288"/>
    <w:rsid w:val="001A7310"/>
    <w:rsid w:val="001A73D0"/>
    <w:rsid w:val="001A7A72"/>
    <w:rsid w:val="001A7DF9"/>
    <w:rsid w:val="001A7F97"/>
    <w:rsid w:val="001B0304"/>
    <w:rsid w:val="001B05DC"/>
    <w:rsid w:val="001B05EC"/>
    <w:rsid w:val="001B071F"/>
    <w:rsid w:val="001B0CF9"/>
    <w:rsid w:val="001B1300"/>
    <w:rsid w:val="001B13FC"/>
    <w:rsid w:val="001B1899"/>
    <w:rsid w:val="001B1993"/>
    <w:rsid w:val="001B1F05"/>
    <w:rsid w:val="001B2101"/>
    <w:rsid w:val="001B223C"/>
    <w:rsid w:val="001B24BA"/>
    <w:rsid w:val="001B2EE3"/>
    <w:rsid w:val="001B315A"/>
    <w:rsid w:val="001B35C1"/>
    <w:rsid w:val="001B36F7"/>
    <w:rsid w:val="001B37D2"/>
    <w:rsid w:val="001B38C6"/>
    <w:rsid w:val="001B39CC"/>
    <w:rsid w:val="001B3BD8"/>
    <w:rsid w:val="001B3F34"/>
    <w:rsid w:val="001B4117"/>
    <w:rsid w:val="001B4180"/>
    <w:rsid w:val="001B43B1"/>
    <w:rsid w:val="001B4583"/>
    <w:rsid w:val="001B48B1"/>
    <w:rsid w:val="001B4C69"/>
    <w:rsid w:val="001B4F38"/>
    <w:rsid w:val="001B4F90"/>
    <w:rsid w:val="001B596D"/>
    <w:rsid w:val="001B5D2D"/>
    <w:rsid w:val="001B62B8"/>
    <w:rsid w:val="001B677F"/>
    <w:rsid w:val="001B7243"/>
    <w:rsid w:val="001B7381"/>
    <w:rsid w:val="001B739E"/>
    <w:rsid w:val="001B74E9"/>
    <w:rsid w:val="001B77C4"/>
    <w:rsid w:val="001B7952"/>
    <w:rsid w:val="001B7A83"/>
    <w:rsid w:val="001B7E22"/>
    <w:rsid w:val="001B7E74"/>
    <w:rsid w:val="001B7F74"/>
    <w:rsid w:val="001C082A"/>
    <w:rsid w:val="001C0F66"/>
    <w:rsid w:val="001C0F68"/>
    <w:rsid w:val="001C148B"/>
    <w:rsid w:val="001C16E3"/>
    <w:rsid w:val="001C18C5"/>
    <w:rsid w:val="001C1999"/>
    <w:rsid w:val="001C1F24"/>
    <w:rsid w:val="001C235F"/>
    <w:rsid w:val="001C29F1"/>
    <w:rsid w:val="001C2F8F"/>
    <w:rsid w:val="001C3019"/>
    <w:rsid w:val="001C3363"/>
    <w:rsid w:val="001C3606"/>
    <w:rsid w:val="001C363C"/>
    <w:rsid w:val="001C3850"/>
    <w:rsid w:val="001C3ABA"/>
    <w:rsid w:val="001C3DB7"/>
    <w:rsid w:val="001C3F59"/>
    <w:rsid w:val="001C4430"/>
    <w:rsid w:val="001C499C"/>
    <w:rsid w:val="001C4BBA"/>
    <w:rsid w:val="001C4DA8"/>
    <w:rsid w:val="001C4EE8"/>
    <w:rsid w:val="001C4FC0"/>
    <w:rsid w:val="001C5789"/>
    <w:rsid w:val="001C5A08"/>
    <w:rsid w:val="001C5CA7"/>
    <w:rsid w:val="001C6D31"/>
    <w:rsid w:val="001C6FB8"/>
    <w:rsid w:val="001D01EB"/>
    <w:rsid w:val="001D03A0"/>
    <w:rsid w:val="001D0559"/>
    <w:rsid w:val="001D0C92"/>
    <w:rsid w:val="001D0EC7"/>
    <w:rsid w:val="001D0F86"/>
    <w:rsid w:val="001D1300"/>
    <w:rsid w:val="001D17E8"/>
    <w:rsid w:val="001D1BA7"/>
    <w:rsid w:val="001D1CBC"/>
    <w:rsid w:val="001D1FE4"/>
    <w:rsid w:val="001D28B0"/>
    <w:rsid w:val="001D2D2C"/>
    <w:rsid w:val="001D2E8A"/>
    <w:rsid w:val="001D2F73"/>
    <w:rsid w:val="001D3006"/>
    <w:rsid w:val="001D324D"/>
    <w:rsid w:val="001D324F"/>
    <w:rsid w:val="001D3366"/>
    <w:rsid w:val="001D361F"/>
    <w:rsid w:val="001D376F"/>
    <w:rsid w:val="001D3ACF"/>
    <w:rsid w:val="001D3C5F"/>
    <w:rsid w:val="001D3D83"/>
    <w:rsid w:val="001D3E8C"/>
    <w:rsid w:val="001D4140"/>
    <w:rsid w:val="001D4547"/>
    <w:rsid w:val="001D4949"/>
    <w:rsid w:val="001D4B64"/>
    <w:rsid w:val="001D4E21"/>
    <w:rsid w:val="001D52BC"/>
    <w:rsid w:val="001D5730"/>
    <w:rsid w:val="001D5813"/>
    <w:rsid w:val="001D5F89"/>
    <w:rsid w:val="001D6055"/>
    <w:rsid w:val="001D6395"/>
    <w:rsid w:val="001D6C83"/>
    <w:rsid w:val="001D6EF7"/>
    <w:rsid w:val="001D6F7C"/>
    <w:rsid w:val="001D72CB"/>
    <w:rsid w:val="001D791C"/>
    <w:rsid w:val="001D7984"/>
    <w:rsid w:val="001D7A39"/>
    <w:rsid w:val="001D7AF8"/>
    <w:rsid w:val="001D7DCB"/>
    <w:rsid w:val="001E0189"/>
    <w:rsid w:val="001E03AD"/>
    <w:rsid w:val="001E0B3C"/>
    <w:rsid w:val="001E0C3D"/>
    <w:rsid w:val="001E1114"/>
    <w:rsid w:val="001E1684"/>
    <w:rsid w:val="001E17EF"/>
    <w:rsid w:val="001E1A06"/>
    <w:rsid w:val="001E1CF2"/>
    <w:rsid w:val="001E1F8A"/>
    <w:rsid w:val="001E2034"/>
    <w:rsid w:val="001E213B"/>
    <w:rsid w:val="001E242A"/>
    <w:rsid w:val="001E2469"/>
    <w:rsid w:val="001E307E"/>
    <w:rsid w:val="001E3183"/>
    <w:rsid w:val="001E328E"/>
    <w:rsid w:val="001E3678"/>
    <w:rsid w:val="001E39C9"/>
    <w:rsid w:val="001E3AF6"/>
    <w:rsid w:val="001E3BC7"/>
    <w:rsid w:val="001E46C7"/>
    <w:rsid w:val="001E4915"/>
    <w:rsid w:val="001E4ECC"/>
    <w:rsid w:val="001E559B"/>
    <w:rsid w:val="001E56B4"/>
    <w:rsid w:val="001E57E6"/>
    <w:rsid w:val="001E5B12"/>
    <w:rsid w:val="001E5B53"/>
    <w:rsid w:val="001E5D27"/>
    <w:rsid w:val="001E63BB"/>
    <w:rsid w:val="001E68E7"/>
    <w:rsid w:val="001E6C25"/>
    <w:rsid w:val="001E6F75"/>
    <w:rsid w:val="001E770D"/>
    <w:rsid w:val="001E7B7F"/>
    <w:rsid w:val="001E7BC3"/>
    <w:rsid w:val="001E7BCF"/>
    <w:rsid w:val="001E7DBF"/>
    <w:rsid w:val="001E7F8E"/>
    <w:rsid w:val="001F0528"/>
    <w:rsid w:val="001F06CF"/>
    <w:rsid w:val="001F07AB"/>
    <w:rsid w:val="001F087C"/>
    <w:rsid w:val="001F1028"/>
    <w:rsid w:val="001F132E"/>
    <w:rsid w:val="001F138E"/>
    <w:rsid w:val="001F16C1"/>
    <w:rsid w:val="001F181C"/>
    <w:rsid w:val="001F21B7"/>
    <w:rsid w:val="001F2420"/>
    <w:rsid w:val="001F24E3"/>
    <w:rsid w:val="001F2683"/>
    <w:rsid w:val="001F2851"/>
    <w:rsid w:val="001F31ED"/>
    <w:rsid w:val="001F35D5"/>
    <w:rsid w:val="001F36E7"/>
    <w:rsid w:val="001F3BA1"/>
    <w:rsid w:val="001F42E7"/>
    <w:rsid w:val="001F4345"/>
    <w:rsid w:val="001F44C3"/>
    <w:rsid w:val="001F466F"/>
    <w:rsid w:val="001F4E37"/>
    <w:rsid w:val="001F5531"/>
    <w:rsid w:val="001F57DE"/>
    <w:rsid w:val="001F621E"/>
    <w:rsid w:val="001F63D8"/>
    <w:rsid w:val="001F6487"/>
    <w:rsid w:val="001F667A"/>
    <w:rsid w:val="001F67D7"/>
    <w:rsid w:val="001F6C8B"/>
    <w:rsid w:val="001F6D34"/>
    <w:rsid w:val="001F6D56"/>
    <w:rsid w:val="001F71C2"/>
    <w:rsid w:val="001F7571"/>
    <w:rsid w:val="001F79CB"/>
    <w:rsid w:val="001F7C32"/>
    <w:rsid w:val="00200645"/>
    <w:rsid w:val="0020088B"/>
    <w:rsid w:val="00200E53"/>
    <w:rsid w:val="002010AF"/>
    <w:rsid w:val="002010CF"/>
    <w:rsid w:val="002014A2"/>
    <w:rsid w:val="00201663"/>
    <w:rsid w:val="00201671"/>
    <w:rsid w:val="002023DB"/>
    <w:rsid w:val="00202A72"/>
    <w:rsid w:val="00202D15"/>
    <w:rsid w:val="00202E57"/>
    <w:rsid w:val="00202F83"/>
    <w:rsid w:val="00202FC6"/>
    <w:rsid w:val="00203050"/>
    <w:rsid w:val="00203114"/>
    <w:rsid w:val="002033AD"/>
    <w:rsid w:val="00203988"/>
    <w:rsid w:val="00203989"/>
    <w:rsid w:val="00203B20"/>
    <w:rsid w:val="00203D26"/>
    <w:rsid w:val="00204256"/>
    <w:rsid w:val="002042A7"/>
    <w:rsid w:val="0020436C"/>
    <w:rsid w:val="002046E4"/>
    <w:rsid w:val="00204974"/>
    <w:rsid w:val="00204B32"/>
    <w:rsid w:val="00204B54"/>
    <w:rsid w:val="00204EBA"/>
    <w:rsid w:val="00204F17"/>
    <w:rsid w:val="0020564A"/>
    <w:rsid w:val="0020578B"/>
    <w:rsid w:val="00205AC2"/>
    <w:rsid w:val="00205C26"/>
    <w:rsid w:val="00206165"/>
    <w:rsid w:val="002067F3"/>
    <w:rsid w:val="0020685A"/>
    <w:rsid w:val="00206948"/>
    <w:rsid w:val="00206AB0"/>
    <w:rsid w:val="00206AEB"/>
    <w:rsid w:val="00206B58"/>
    <w:rsid w:val="00206E0E"/>
    <w:rsid w:val="0020727C"/>
    <w:rsid w:val="0020789F"/>
    <w:rsid w:val="00207B8F"/>
    <w:rsid w:val="00207C92"/>
    <w:rsid w:val="00210242"/>
    <w:rsid w:val="002109CB"/>
    <w:rsid w:val="002109D7"/>
    <w:rsid w:val="00210B44"/>
    <w:rsid w:val="00210E5F"/>
    <w:rsid w:val="00210FF7"/>
    <w:rsid w:val="00211288"/>
    <w:rsid w:val="00211A71"/>
    <w:rsid w:val="00211B34"/>
    <w:rsid w:val="0021224A"/>
    <w:rsid w:val="002122F5"/>
    <w:rsid w:val="002126A0"/>
    <w:rsid w:val="0021291B"/>
    <w:rsid w:val="00212D25"/>
    <w:rsid w:val="00212D35"/>
    <w:rsid w:val="00212F3E"/>
    <w:rsid w:val="00213070"/>
    <w:rsid w:val="002132E1"/>
    <w:rsid w:val="00213CA5"/>
    <w:rsid w:val="002143A2"/>
    <w:rsid w:val="002146DA"/>
    <w:rsid w:val="00214A85"/>
    <w:rsid w:val="00214BC9"/>
    <w:rsid w:val="00214EAF"/>
    <w:rsid w:val="00214EFA"/>
    <w:rsid w:val="00215846"/>
    <w:rsid w:val="00215A3B"/>
    <w:rsid w:val="00215A70"/>
    <w:rsid w:val="00215A7F"/>
    <w:rsid w:val="002160D0"/>
    <w:rsid w:val="0021652D"/>
    <w:rsid w:val="00216611"/>
    <w:rsid w:val="0021668A"/>
    <w:rsid w:val="00216CE3"/>
    <w:rsid w:val="00216FE8"/>
    <w:rsid w:val="00217133"/>
    <w:rsid w:val="002174B2"/>
    <w:rsid w:val="0021770C"/>
    <w:rsid w:val="0021799B"/>
    <w:rsid w:val="00217D60"/>
    <w:rsid w:val="002200AE"/>
    <w:rsid w:val="0022014A"/>
    <w:rsid w:val="00220E71"/>
    <w:rsid w:val="00221092"/>
    <w:rsid w:val="00221270"/>
    <w:rsid w:val="002212F1"/>
    <w:rsid w:val="00221477"/>
    <w:rsid w:val="002215AA"/>
    <w:rsid w:val="00221821"/>
    <w:rsid w:val="002219FF"/>
    <w:rsid w:val="00221B5F"/>
    <w:rsid w:val="00221CE3"/>
    <w:rsid w:val="0022219F"/>
    <w:rsid w:val="0022230D"/>
    <w:rsid w:val="00222369"/>
    <w:rsid w:val="00222445"/>
    <w:rsid w:val="002226F9"/>
    <w:rsid w:val="00222DE4"/>
    <w:rsid w:val="002239A2"/>
    <w:rsid w:val="00223B19"/>
    <w:rsid w:val="00223CB7"/>
    <w:rsid w:val="00224762"/>
    <w:rsid w:val="00224929"/>
    <w:rsid w:val="002252B4"/>
    <w:rsid w:val="00225F04"/>
    <w:rsid w:val="0022667B"/>
    <w:rsid w:val="00226787"/>
    <w:rsid w:val="00226A46"/>
    <w:rsid w:val="00226D0C"/>
    <w:rsid w:val="00226D34"/>
    <w:rsid w:val="00226EEB"/>
    <w:rsid w:val="00227035"/>
    <w:rsid w:val="00227536"/>
    <w:rsid w:val="00230070"/>
    <w:rsid w:val="0023094B"/>
    <w:rsid w:val="00230F0D"/>
    <w:rsid w:val="00231AF0"/>
    <w:rsid w:val="002325F6"/>
    <w:rsid w:val="00233249"/>
    <w:rsid w:val="00233541"/>
    <w:rsid w:val="00233634"/>
    <w:rsid w:val="00233A79"/>
    <w:rsid w:val="00233F9D"/>
    <w:rsid w:val="002342F4"/>
    <w:rsid w:val="00234662"/>
    <w:rsid w:val="00234680"/>
    <w:rsid w:val="00234712"/>
    <w:rsid w:val="00234820"/>
    <w:rsid w:val="00234923"/>
    <w:rsid w:val="00234ACA"/>
    <w:rsid w:val="00234DA3"/>
    <w:rsid w:val="002351ED"/>
    <w:rsid w:val="0023522C"/>
    <w:rsid w:val="002352CB"/>
    <w:rsid w:val="0023552F"/>
    <w:rsid w:val="00235D39"/>
    <w:rsid w:val="00236281"/>
    <w:rsid w:val="00236503"/>
    <w:rsid w:val="0023660D"/>
    <w:rsid w:val="002368B2"/>
    <w:rsid w:val="002368D5"/>
    <w:rsid w:val="00236B3A"/>
    <w:rsid w:val="002374E2"/>
    <w:rsid w:val="002376C4"/>
    <w:rsid w:val="00237750"/>
    <w:rsid w:val="00237AE7"/>
    <w:rsid w:val="00237AEB"/>
    <w:rsid w:val="00237B34"/>
    <w:rsid w:val="00237D0B"/>
    <w:rsid w:val="00237EFE"/>
    <w:rsid w:val="00237F4C"/>
    <w:rsid w:val="00240091"/>
    <w:rsid w:val="00240295"/>
    <w:rsid w:val="00240AD3"/>
    <w:rsid w:val="00240F99"/>
    <w:rsid w:val="0024110A"/>
    <w:rsid w:val="0024186A"/>
    <w:rsid w:val="00241E1F"/>
    <w:rsid w:val="00242940"/>
    <w:rsid w:val="00242D3C"/>
    <w:rsid w:val="00242D52"/>
    <w:rsid w:val="00243263"/>
    <w:rsid w:val="002434BD"/>
    <w:rsid w:val="002436DF"/>
    <w:rsid w:val="00243AD9"/>
    <w:rsid w:val="00243F10"/>
    <w:rsid w:val="00244DEC"/>
    <w:rsid w:val="00245554"/>
    <w:rsid w:val="00245839"/>
    <w:rsid w:val="0024589C"/>
    <w:rsid w:val="00245919"/>
    <w:rsid w:val="00245E25"/>
    <w:rsid w:val="002462CF"/>
    <w:rsid w:val="002462E3"/>
    <w:rsid w:val="0024635D"/>
    <w:rsid w:val="00246464"/>
    <w:rsid w:val="00246958"/>
    <w:rsid w:val="00246BA1"/>
    <w:rsid w:val="0024779B"/>
    <w:rsid w:val="0024783E"/>
    <w:rsid w:val="0024790A"/>
    <w:rsid w:val="00247B93"/>
    <w:rsid w:val="00247C3A"/>
    <w:rsid w:val="002504CE"/>
    <w:rsid w:val="00250A5A"/>
    <w:rsid w:val="00250FF1"/>
    <w:rsid w:val="00251467"/>
    <w:rsid w:val="002514C5"/>
    <w:rsid w:val="002515B9"/>
    <w:rsid w:val="002519E5"/>
    <w:rsid w:val="00251B56"/>
    <w:rsid w:val="00251B9B"/>
    <w:rsid w:val="00252069"/>
    <w:rsid w:val="0025258A"/>
    <w:rsid w:val="00252B5A"/>
    <w:rsid w:val="00252C20"/>
    <w:rsid w:val="00252E22"/>
    <w:rsid w:val="00253199"/>
    <w:rsid w:val="002534B1"/>
    <w:rsid w:val="0025354A"/>
    <w:rsid w:val="002536ED"/>
    <w:rsid w:val="00253A8D"/>
    <w:rsid w:val="00253B10"/>
    <w:rsid w:val="00253D37"/>
    <w:rsid w:val="00253F65"/>
    <w:rsid w:val="002540DF"/>
    <w:rsid w:val="002541CB"/>
    <w:rsid w:val="00254210"/>
    <w:rsid w:val="002546C1"/>
    <w:rsid w:val="00255082"/>
    <w:rsid w:val="0025517A"/>
    <w:rsid w:val="00255346"/>
    <w:rsid w:val="002553FE"/>
    <w:rsid w:val="002557BC"/>
    <w:rsid w:val="002559D0"/>
    <w:rsid w:val="00255F10"/>
    <w:rsid w:val="0025623D"/>
    <w:rsid w:val="00256567"/>
    <w:rsid w:val="002566DF"/>
    <w:rsid w:val="00257920"/>
    <w:rsid w:val="002579BD"/>
    <w:rsid w:val="00257CCA"/>
    <w:rsid w:val="00257D47"/>
    <w:rsid w:val="00257F3A"/>
    <w:rsid w:val="00260098"/>
    <w:rsid w:val="00260807"/>
    <w:rsid w:val="002608D7"/>
    <w:rsid w:val="00260961"/>
    <w:rsid w:val="00260AC9"/>
    <w:rsid w:val="00260B3D"/>
    <w:rsid w:val="00261439"/>
    <w:rsid w:val="002614D5"/>
    <w:rsid w:val="00261A2A"/>
    <w:rsid w:val="00261BE8"/>
    <w:rsid w:val="00262240"/>
    <w:rsid w:val="0026226A"/>
    <w:rsid w:val="002625BC"/>
    <w:rsid w:val="00262A5F"/>
    <w:rsid w:val="0026331A"/>
    <w:rsid w:val="0026344D"/>
    <w:rsid w:val="00263683"/>
    <w:rsid w:val="002639F0"/>
    <w:rsid w:val="00264209"/>
    <w:rsid w:val="002647BC"/>
    <w:rsid w:val="00264827"/>
    <w:rsid w:val="002650D5"/>
    <w:rsid w:val="00265508"/>
    <w:rsid w:val="00265927"/>
    <w:rsid w:val="00265C5A"/>
    <w:rsid w:val="00265C6B"/>
    <w:rsid w:val="00266019"/>
    <w:rsid w:val="0026625A"/>
    <w:rsid w:val="002667C6"/>
    <w:rsid w:val="002667D7"/>
    <w:rsid w:val="00266865"/>
    <w:rsid w:val="00266A73"/>
    <w:rsid w:val="00266F88"/>
    <w:rsid w:val="00267531"/>
    <w:rsid w:val="002676D3"/>
    <w:rsid w:val="00267727"/>
    <w:rsid w:val="002678A0"/>
    <w:rsid w:val="002700B9"/>
    <w:rsid w:val="002700D9"/>
    <w:rsid w:val="00271374"/>
    <w:rsid w:val="00271379"/>
    <w:rsid w:val="00271426"/>
    <w:rsid w:val="00271607"/>
    <w:rsid w:val="00271702"/>
    <w:rsid w:val="00271733"/>
    <w:rsid w:val="00271739"/>
    <w:rsid w:val="00271A30"/>
    <w:rsid w:val="00271A8D"/>
    <w:rsid w:val="0027245B"/>
    <w:rsid w:val="0027277B"/>
    <w:rsid w:val="00272978"/>
    <w:rsid w:val="002729D2"/>
    <w:rsid w:val="00272E00"/>
    <w:rsid w:val="002732B8"/>
    <w:rsid w:val="00273361"/>
    <w:rsid w:val="00273630"/>
    <w:rsid w:val="00273B25"/>
    <w:rsid w:val="00273CEC"/>
    <w:rsid w:val="00273D7F"/>
    <w:rsid w:val="00273EF4"/>
    <w:rsid w:val="0027449A"/>
    <w:rsid w:val="002746BF"/>
    <w:rsid w:val="0027488F"/>
    <w:rsid w:val="00274C57"/>
    <w:rsid w:val="00274D00"/>
    <w:rsid w:val="0027558E"/>
    <w:rsid w:val="00275A33"/>
    <w:rsid w:val="00275F5E"/>
    <w:rsid w:val="00276254"/>
    <w:rsid w:val="002762B0"/>
    <w:rsid w:val="00276BB6"/>
    <w:rsid w:val="00276E11"/>
    <w:rsid w:val="00276E89"/>
    <w:rsid w:val="00280346"/>
    <w:rsid w:val="002805EC"/>
    <w:rsid w:val="002809CD"/>
    <w:rsid w:val="0028123B"/>
    <w:rsid w:val="0028137A"/>
    <w:rsid w:val="00281432"/>
    <w:rsid w:val="0028164A"/>
    <w:rsid w:val="00281FD4"/>
    <w:rsid w:val="00283225"/>
    <w:rsid w:val="00283532"/>
    <w:rsid w:val="0028393C"/>
    <w:rsid w:val="00283BF6"/>
    <w:rsid w:val="00284032"/>
    <w:rsid w:val="002840D5"/>
    <w:rsid w:val="0028414E"/>
    <w:rsid w:val="002842AF"/>
    <w:rsid w:val="00284361"/>
    <w:rsid w:val="00284A27"/>
    <w:rsid w:val="00284D69"/>
    <w:rsid w:val="00284E44"/>
    <w:rsid w:val="0028530E"/>
    <w:rsid w:val="00285587"/>
    <w:rsid w:val="002857C3"/>
    <w:rsid w:val="00285C5F"/>
    <w:rsid w:val="00285EC6"/>
    <w:rsid w:val="0028604D"/>
    <w:rsid w:val="0028644C"/>
    <w:rsid w:val="002868BC"/>
    <w:rsid w:val="00286FC4"/>
    <w:rsid w:val="002873DF"/>
    <w:rsid w:val="002876A5"/>
    <w:rsid w:val="002877FB"/>
    <w:rsid w:val="00287A5A"/>
    <w:rsid w:val="00287B8D"/>
    <w:rsid w:val="00287F30"/>
    <w:rsid w:val="00290836"/>
    <w:rsid w:val="00290AB9"/>
    <w:rsid w:val="00290C5B"/>
    <w:rsid w:val="00290DF3"/>
    <w:rsid w:val="002913DD"/>
    <w:rsid w:val="0029160B"/>
    <w:rsid w:val="00291894"/>
    <w:rsid w:val="002918B7"/>
    <w:rsid w:val="00291923"/>
    <w:rsid w:val="00291A3F"/>
    <w:rsid w:val="00291DB7"/>
    <w:rsid w:val="002921DA"/>
    <w:rsid w:val="002923F0"/>
    <w:rsid w:val="0029250A"/>
    <w:rsid w:val="002926A5"/>
    <w:rsid w:val="00292E28"/>
    <w:rsid w:val="00293441"/>
    <w:rsid w:val="00293872"/>
    <w:rsid w:val="00293B7F"/>
    <w:rsid w:val="00293C63"/>
    <w:rsid w:val="00293F58"/>
    <w:rsid w:val="00294774"/>
    <w:rsid w:val="00294821"/>
    <w:rsid w:val="00294861"/>
    <w:rsid w:val="00294A28"/>
    <w:rsid w:val="00294AC6"/>
    <w:rsid w:val="00294BC3"/>
    <w:rsid w:val="002951BB"/>
    <w:rsid w:val="0029526F"/>
    <w:rsid w:val="0029530F"/>
    <w:rsid w:val="00295488"/>
    <w:rsid w:val="00295C19"/>
    <w:rsid w:val="00295C33"/>
    <w:rsid w:val="00295EDA"/>
    <w:rsid w:val="00296092"/>
    <w:rsid w:val="002966C4"/>
    <w:rsid w:val="002966C5"/>
    <w:rsid w:val="00296A1E"/>
    <w:rsid w:val="00296C18"/>
    <w:rsid w:val="0029702F"/>
    <w:rsid w:val="00297233"/>
    <w:rsid w:val="00297281"/>
    <w:rsid w:val="00297680"/>
    <w:rsid w:val="00297CF1"/>
    <w:rsid w:val="00297EDD"/>
    <w:rsid w:val="00297FAD"/>
    <w:rsid w:val="002A00AD"/>
    <w:rsid w:val="002A0398"/>
    <w:rsid w:val="002A091F"/>
    <w:rsid w:val="002A0A6D"/>
    <w:rsid w:val="002A0D0A"/>
    <w:rsid w:val="002A0E93"/>
    <w:rsid w:val="002A13FA"/>
    <w:rsid w:val="002A1562"/>
    <w:rsid w:val="002A18DE"/>
    <w:rsid w:val="002A1B3C"/>
    <w:rsid w:val="002A1B79"/>
    <w:rsid w:val="002A1C11"/>
    <w:rsid w:val="002A215D"/>
    <w:rsid w:val="002A2372"/>
    <w:rsid w:val="002A25D0"/>
    <w:rsid w:val="002A26CD"/>
    <w:rsid w:val="002A2815"/>
    <w:rsid w:val="002A31A3"/>
    <w:rsid w:val="002A3810"/>
    <w:rsid w:val="002A3B11"/>
    <w:rsid w:val="002A43AE"/>
    <w:rsid w:val="002A4545"/>
    <w:rsid w:val="002A464B"/>
    <w:rsid w:val="002A4839"/>
    <w:rsid w:val="002A4AB2"/>
    <w:rsid w:val="002A4EB2"/>
    <w:rsid w:val="002A4EDC"/>
    <w:rsid w:val="002A4EEB"/>
    <w:rsid w:val="002A512D"/>
    <w:rsid w:val="002A5162"/>
    <w:rsid w:val="002A5188"/>
    <w:rsid w:val="002A51CA"/>
    <w:rsid w:val="002A5D13"/>
    <w:rsid w:val="002A5E54"/>
    <w:rsid w:val="002A62F4"/>
    <w:rsid w:val="002A6913"/>
    <w:rsid w:val="002A6A58"/>
    <w:rsid w:val="002A6AD1"/>
    <w:rsid w:val="002A6C31"/>
    <w:rsid w:val="002A7058"/>
    <w:rsid w:val="002A723A"/>
    <w:rsid w:val="002A7845"/>
    <w:rsid w:val="002A7F5F"/>
    <w:rsid w:val="002B016E"/>
    <w:rsid w:val="002B0675"/>
    <w:rsid w:val="002B0927"/>
    <w:rsid w:val="002B0C49"/>
    <w:rsid w:val="002B1324"/>
    <w:rsid w:val="002B1348"/>
    <w:rsid w:val="002B1354"/>
    <w:rsid w:val="002B14E4"/>
    <w:rsid w:val="002B196F"/>
    <w:rsid w:val="002B19FC"/>
    <w:rsid w:val="002B1ACB"/>
    <w:rsid w:val="002B1D19"/>
    <w:rsid w:val="002B2005"/>
    <w:rsid w:val="002B229B"/>
    <w:rsid w:val="002B2591"/>
    <w:rsid w:val="002B2592"/>
    <w:rsid w:val="002B27D9"/>
    <w:rsid w:val="002B2BF1"/>
    <w:rsid w:val="002B2E22"/>
    <w:rsid w:val="002B321E"/>
    <w:rsid w:val="002B369F"/>
    <w:rsid w:val="002B3C61"/>
    <w:rsid w:val="002B5224"/>
    <w:rsid w:val="002B581E"/>
    <w:rsid w:val="002B5A19"/>
    <w:rsid w:val="002B5D46"/>
    <w:rsid w:val="002B5E92"/>
    <w:rsid w:val="002B5F5B"/>
    <w:rsid w:val="002B5FC1"/>
    <w:rsid w:val="002B65B1"/>
    <w:rsid w:val="002B65BF"/>
    <w:rsid w:val="002B68E2"/>
    <w:rsid w:val="002B6A6E"/>
    <w:rsid w:val="002B6F5B"/>
    <w:rsid w:val="002B7811"/>
    <w:rsid w:val="002B7C40"/>
    <w:rsid w:val="002C03CE"/>
    <w:rsid w:val="002C04A3"/>
    <w:rsid w:val="002C0503"/>
    <w:rsid w:val="002C0628"/>
    <w:rsid w:val="002C0679"/>
    <w:rsid w:val="002C0794"/>
    <w:rsid w:val="002C09A4"/>
    <w:rsid w:val="002C0DBD"/>
    <w:rsid w:val="002C1008"/>
    <w:rsid w:val="002C1222"/>
    <w:rsid w:val="002C1401"/>
    <w:rsid w:val="002C1516"/>
    <w:rsid w:val="002C1B7C"/>
    <w:rsid w:val="002C1CE6"/>
    <w:rsid w:val="002C216D"/>
    <w:rsid w:val="002C2652"/>
    <w:rsid w:val="002C27D6"/>
    <w:rsid w:val="002C2A18"/>
    <w:rsid w:val="002C2A94"/>
    <w:rsid w:val="002C32AD"/>
    <w:rsid w:val="002C3326"/>
    <w:rsid w:val="002C3343"/>
    <w:rsid w:val="002C35E5"/>
    <w:rsid w:val="002C3BC5"/>
    <w:rsid w:val="002C3D16"/>
    <w:rsid w:val="002C3F94"/>
    <w:rsid w:val="002C42AA"/>
    <w:rsid w:val="002C4466"/>
    <w:rsid w:val="002C4B9E"/>
    <w:rsid w:val="002C4F6E"/>
    <w:rsid w:val="002C51F5"/>
    <w:rsid w:val="002C57C5"/>
    <w:rsid w:val="002C595E"/>
    <w:rsid w:val="002C5B49"/>
    <w:rsid w:val="002C5C6A"/>
    <w:rsid w:val="002C5DDA"/>
    <w:rsid w:val="002C5EA2"/>
    <w:rsid w:val="002C6245"/>
    <w:rsid w:val="002C6451"/>
    <w:rsid w:val="002C6B5C"/>
    <w:rsid w:val="002C70B7"/>
    <w:rsid w:val="002C7DD5"/>
    <w:rsid w:val="002C7DFE"/>
    <w:rsid w:val="002D02AB"/>
    <w:rsid w:val="002D04B5"/>
    <w:rsid w:val="002D076F"/>
    <w:rsid w:val="002D15B8"/>
    <w:rsid w:val="002D16D2"/>
    <w:rsid w:val="002D18BB"/>
    <w:rsid w:val="002D1AF2"/>
    <w:rsid w:val="002D20EF"/>
    <w:rsid w:val="002D21BC"/>
    <w:rsid w:val="002D225C"/>
    <w:rsid w:val="002D262D"/>
    <w:rsid w:val="002D2FDB"/>
    <w:rsid w:val="002D33B3"/>
    <w:rsid w:val="002D3853"/>
    <w:rsid w:val="002D3F7B"/>
    <w:rsid w:val="002D414D"/>
    <w:rsid w:val="002D4479"/>
    <w:rsid w:val="002D493D"/>
    <w:rsid w:val="002D4A66"/>
    <w:rsid w:val="002D4D21"/>
    <w:rsid w:val="002D4DCA"/>
    <w:rsid w:val="002D5301"/>
    <w:rsid w:val="002D5A4F"/>
    <w:rsid w:val="002D5ACC"/>
    <w:rsid w:val="002D5FBF"/>
    <w:rsid w:val="002D626B"/>
    <w:rsid w:val="002D661E"/>
    <w:rsid w:val="002D6ADA"/>
    <w:rsid w:val="002D6CC0"/>
    <w:rsid w:val="002D6E1D"/>
    <w:rsid w:val="002D7211"/>
    <w:rsid w:val="002D72C5"/>
    <w:rsid w:val="002D7CA0"/>
    <w:rsid w:val="002D7CA1"/>
    <w:rsid w:val="002E0092"/>
    <w:rsid w:val="002E01E3"/>
    <w:rsid w:val="002E0211"/>
    <w:rsid w:val="002E05A3"/>
    <w:rsid w:val="002E0F3D"/>
    <w:rsid w:val="002E110F"/>
    <w:rsid w:val="002E1284"/>
    <w:rsid w:val="002E1545"/>
    <w:rsid w:val="002E181D"/>
    <w:rsid w:val="002E1BBC"/>
    <w:rsid w:val="002E1D07"/>
    <w:rsid w:val="002E2873"/>
    <w:rsid w:val="002E2888"/>
    <w:rsid w:val="002E2B68"/>
    <w:rsid w:val="002E2C24"/>
    <w:rsid w:val="002E2DD4"/>
    <w:rsid w:val="002E33FA"/>
    <w:rsid w:val="002E34B4"/>
    <w:rsid w:val="002E38BA"/>
    <w:rsid w:val="002E3979"/>
    <w:rsid w:val="002E3A3A"/>
    <w:rsid w:val="002E3CD2"/>
    <w:rsid w:val="002E3FE6"/>
    <w:rsid w:val="002E41B2"/>
    <w:rsid w:val="002E4975"/>
    <w:rsid w:val="002E4FE6"/>
    <w:rsid w:val="002E50ED"/>
    <w:rsid w:val="002E55C3"/>
    <w:rsid w:val="002E55D3"/>
    <w:rsid w:val="002E58CB"/>
    <w:rsid w:val="002E5912"/>
    <w:rsid w:val="002E5947"/>
    <w:rsid w:val="002E5EA0"/>
    <w:rsid w:val="002E620E"/>
    <w:rsid w:val="002E68ED"/>
    <w:rsid w:val="002E7342"/>
    <w:rsid w:val="002E7802"/>
    <w:rsid w:val="002E79F5"/>
    <w:rsid w:val="002E7B3D"/>
    <w:rsid w:val="002E7D17"/>
    <w:rsid w:val="002E7F1C"/>
    <w:rsid w:val="002F001A"/>
    <w:rsid w:val="002F01A6"/>
    <w:rsid w:val="002F01B0"/>
    <w:rsid w:val="002F062F"/>
    <w:rsid w:val="002F0CC6"/>
    <w:rsid w:val="002F0F0E"/>
    <w:rsid w:val="002F10E9"/>
    <w:rsid w:val="002F166F"/>
    <w:rsid w:val="002F1789"/>
    <w:rsid w:val="002F1811"/>
    <w:rsid w:val="002F20C5"/>
    <w:rsid w:val="002F23A9"/>
    <w:rsid w:val="002F253F"/>
    <w:rsid w:val="002F27A4"/>
    <w:rsid w:val="002F281D"/>
    <w:rsid w:val="002F2A75"/>
    <w:rsid w:val="002F2FA2"/>
    <w:rsid w:val="002F35F6"/>
    <w:rsid w:val="002F381B"/>
    <w:rsid w:val="002F38C0"/>
    <w:rsid w:val="002F3EF5"/>
    <w:rsid w:val="002F4265"/>
    <w:rsid w:val="002F4691"/>
    <w:rsid w:val="002F495E"/>
    <w:rsid w:val="002F4E3A"/>
    <w:rsid w:val="002F5D01"/>
    <w:rsid w:val="002F5F94"/>
    <w:rsid w:val="002F6208"/>
    <w:rsid w:val="002F6661"/>
    <w:rsid w:val="002F6892"/>
    <w:rsid w:val="002F690F"/>
    <w:rsid w:val="002F6BC6"/>
    <w:rsid w:val="002F70A9"/>
    <w:rsid w:val="002F71EA"/>
    <w:rsid w:val="003001F4"/>
    <w:rsid w:val="003003B0"/>
    <w:rsid w:val="003004B5"/>
    <w:rsid w:val="00300729"/>
    <w:rsid w:val="0030093F"/>
    <w:rsid w:val="003009BB"/>
    <w:rsid w:val="00300DE2"/>
    <w:rsid w:val="0030119E"/>
    <w:rsid w:val="00301256"/>
    <w:rsid w:val="0030164E"/>
    <w:rsid w:val="00301BCA"/>
    <w:rsid w:val="00301CC9"/>
    <w:rsid w:val="00302221"/>
    <w:rsid w:val="00302233"/>
    <w:rsid w:val="003022BB"/>
    <w:rsid w:val="00302A40"/>
    <w:rsid w:val="00303142"/>
    <w:rsid w:val="003031EC"/>
    <w:rsid w:val="00303435"/>
    <w:rsid w:val="003039DA"/>
    <w:rsid w:val="00303A58"/>
    <w:rsid w:val="00303CCD"/>
    <w:rsid w:val="00303DAF"/>
    <w:rsid w:val="00303F37"/>
    <w:rsid w:val="00303FA7"/>
    <w:rsid w:val="0030415B"/>
    <w:rsid w:val="00304441"/>
    <w:rsid w:val="003045FC"/>
    <w:rsid w:val="003046F4"/>
    <w:rsid w:val="0030472E"/>
    <w:rsid w:val="003047DC"/>
    <w:rsid w:val="00304933"/>
    <w:rsid w:val="00304C1C"/>
    <w:rsid w:val="00304E10"/>
    <w:rsid w:val="0030520F"/>
    <w:rsid w:val="0030530B"/>
    <w:rsid w:val="0030540E"/>
    <w:rsid w:val="0030555A"/>
    <w:rsid w:val="003056C8"/>
    <w:rsid w:val="00305736"/>
    <w:rsid w:val="0030632C"/>
    <w:rsid w:val="003063A4"/>
    <w:rsid w:val="003067BA"/>
    <w:rsid w:val="00306CCB"/>
    <w:rsid w:val="00306E56"/>
    <w:rsid w:val="00306EFD"/>
    <w:rsid w:val="00307589"/>
    <w:rsid w:val="00307E34"/>
    <w:rsid w:val="00310646"/>
    <w:rsid w:val="00310B73"/>
    <w:rsid w:val="003111BF"/>
    <w:rsid w:val="003111FF"/>
    <w:rsid w:val="003113FD"/>
    <w:rsid w:val="00311668"/>
    <w:rsid w:val="00311980"/>
    <w:rsid w:val="00311DB9"/>
    <w:rsid w:val="00312700"/>
    <w:rsid w:val="00312955"/>
    <w:rsid w:val="00312A2F"/>
    <w:rsid w:val="00312AAE"/>
    <w:rsid w:val="00312ACD"/>
    <w:rsid w:val="00312CCB"/>
    <w:rsid w:val="00312FB8"/>
    <w:rsid w:val="003138DB"/>
    <w:rsid w:val="00313E5D"/>
    <w:rsid w:val="003140CA"/>
    <w:rsid w:val="00314218"/>
    <w:rsid w:val="0031425F"/>
    <w:rsid w:val="00314264"/>
    <w:rsid w:val="00314E0D"/>
    <w:rsid w:val="003154A7"/>
    <w:rsid w:val="00315A6E"/>
    <w:rsid w:val="00315E53"/>
    <w:rsid w:val="00315E64"/>
    <w:rsid w:val="00315EA3"/>
    <w:rsid w:val="00316084"/>
    <w:rsid w:val="00316620"/>
    <w:rsid w:val="00316643"/>
    <w:rsid w:val="00316742"/>
    <w:rsid w:val="0031674D"/>
    <w:rsid w:val="0031679D"/>
    <w:rsid w:val="0031686B"/>
    <w:rsid w:val="00316C6B"/>
    <w:rsid w:val="00316D51"/>
    <w:rsid w:val="0031720A"/>
    <w:rsid w:val="003173BB"/>
    <w:rsid w:val="00317A50"/>
    <w:rsid w:val="00320173"/>
    <w:rsid w:val="00320AFB"/>
    <w:rsid w:val="00320BAE"/>
    <w:rsid w:val="0032103A"/>
    <w:rsid w:val="0032116C"/>
    <w:rsid w:val="003211AF"/>
    <w:rsid w:val="0032172E"/>
    <w:rsid w:val="00321C2C"/>
    <w:rsid w:val="00321E8A"/>
    <w:rsid w:val="00321FD5"/>
    <w:rsid w:val="00322FE7"/>
    <w:rsid w:val="00323028"/>
    <w:rsid w:val="0032303E"/>
    <w:rsid w:val="00323048"/>
    <w:rsid w:val="003230DE"/>
    <w:rsid w:val="00323396"/>
    <w:rsid w:val="00323A26"/>
    <w:rsid w:val="0032413E"/>
    <w:rsid w:val="00324331"/>
    <w:rsid w:val="00324784"/>
    <w:rsid w:val="0032491B"/>
    <w:rsid w:val="00324D71"/>
    <w:rsid w:val="00324F00"/>
    <w:rsid w:val="00325A4C"/>
    <w:rsid w:val="003265CB"/>
    <w:rsid w:val="003266CB"/>
    <w:rsid w:val="00326885"/>
    <w:rsid w:val="0032688B"/>
    <w:rsid w:val="00326A0A"/>
    <w:rsid w:val="00326E00"/>
    <w:rsid w:val="00326FDF"/>
    <w:rsid w:val="003275D4"/>
    <w:rsid w:val="003275E4"/>
    <w:rsid w:val="00327AF9"/>
    <w:rsid w:val="00327C7C"/>
    <w:rsid w:val="00327D75"/>
    <w:rsid w:val="00327E22"/>
    <w:rsid w:val="00327EF4"/>
    <w:rsid w:val="00327FA7"/>
    <w:rsid w:val="003301CE"/>
    <w:rsid w:val="0033053E"/>
    <w:rsid w:val="00330805"/>
    <w:rsid w:val="003308C7"/>
    <w:rsid w:val="003309EB"/>
    <w:rsid w:val="00330B9F"/>
    <w:rsid w:val="00330D81"/>
    <w:rsid w:val="00330DD4"/>
    <w:rsid w:val="003311AD"/>
    <w:rsid w:val="0033181F"/>
    <w:rsid w:val="003318F6"/>
    <w:rsid w:val="00331AEB"/>
    <w:rsid w:val="00331E50"/>
    <w:rsid w:val="00331FE0"/>
    <w:rsid w:val="0033208B"/>
    <w:rsid w:val="003320D1"/>
    <w:rsid w:val="0033297A"/>
    <w:rsid w:val="00332A3D"/>
    <w:rsid w:val="00332E37"/>
    <w:rsid w:val="00332F13"/>
    <w:rsid w:val="003331FF"/>
    <w:rsid w:val="0033328D"/>
    <w:rsid w:val="00333510"/>
    <w:rsid w:val="0033375F"/>
    <w:rsid w:val="00333D3D"/>
    <w:rsid w:val="00334171"/>
    <w:rsid w:val="00334660"/>
    <w:rsid w:val="00334B64"/>
    <w:rsid w:val="00334E30"/>
    <w:rsid w:val="003351C5"/>
    <w:rsid w:val="003352DE"/>
    <w:rsid w:val="00335411"/>
    <w:rsid w:val="003355AE"/>
    <w:rsid w:val="00335950"/>
    <w:rsid w:val="003360CF"/>
    <w:rsid w:val="00336266"/>
    <w:rsid w:val="003366FA"/>
    <w:rsid w:val="00336B06"/>
    <w:rsid w:val="00336B9A"/>
    <w:rsid w:val="00336C27"/>
    <w:rsid w:val="00336C59"/>
    <w:rsid w:val="0033791B"/>
    <w:rsid w:val="00337E71"/>
    <w:rsid w:val="0034004A"/>
    <w:rsid w:val="00340360"/>
    <w:rsid w:val="00340428"/>
    <w:rsid w:val="003404D8"/>
    <w:rsid w:val="003405A0"/>
    <w:rsid w:val="00340641"/>
    <w:rsid w:val="003406E0"/>
    <w:rsid w:val="00340728"/>
    <w:rsid w:val="00340CE5"/>
    <w:rsid w:val="003410DB"/>
    <w:rsid w:val="0034144A"/>
    <w:rsid w:val="003414EA"/>
    <w:rsid w:val="003414F2"/>
    <w:rsid w:val="0034163E"/>
    <w:rsid w:val="00341666"/>
    <w:rsid w:val="0034194C"/>
    <w:rsid w:val="00342587"/>
    <w:rsid w:val="00342632"/>
    <w:rsid w:val="00342D31"/>
    <w:rsid w:val="00342EF1"/>
    <w:rsid w:val="00342F35"/>
    <w:rsid w:val="00343367"/>
    <w:rsid w:val="00343AC5"/>
    <w:rsid w:val="00343B8B"/>
    <w:rsid w:val="00343D87"/>
    <w:rsid w:val="00343DD6"/>
    <w:rsid w:val="00343EDA"/>
    <w:rsid w:val="00344063"/>
    <w:rsid w:val="003445EA"/>
    <w:rsid w:val="00344D5E"/>
    <w:rsid w:val="00344DBA"/>
    <w:rsid w:val="00344DDC"/>
    <w:rsid w:val="003451EE"/>
    <w:rsid w:val="00345530"/>
    <w:rsid w:val="003457A9"/>
    <w:rsid w:val="00345FC4"/>
    <w:rsid w:val="003461A0"/>
    <w:rsid w:val="003469E3"/>
    <w:rsid w:val="00346B73"/>
    <w:rsid w:val="003471B4"/>
    <w:rsid w:val="003472E6"/>
    <w:rsid w:val="00347B0D"/>
    <w:rsid w:val="00347F6B"/>
    <w:rsid w:val="00347FC8"/>
    <w:rsid w:val="00350411"/>
    <w:rsid w:val="00350CD1"/>
    <w:rsid w:val="003516AB"/>
    <w:rsid w:val="00351943"/>
    <w:rsid w:val="00351FCB"/>
    <w:rsid w:val="003520B0"/>
    <w:rsid w:val="00352260"/>
    <w:rsid w:val="00352955"/>
    <w:rsid w:val="003530A7"/>
    <w:rsid w:val="00353594"/>
    <w:rsid w:val="003537C3"/>
    <w:rsid w:val="00353EFD"/>
    <w:rsid w:val="003541BF"/>
    <w:rsid w:val="00354B56"/>
    <w:rsid w:val="00354CD8"/>
    <w:rsid w:val="00355338"/>
    <w:rsid w:val="0035546D"/>
    <w:rsid w:val="003559DC"/>
    <w:rsid w:val="00355C9D"/>
    <w:rsid w:val="00355E87"/>
    <w:rsid w:val="0035653E"/>
    <w:rsid w:val="00357057"/>
    <w:rsid w:val="00357360"/>
    <w:rsid w:val="00357460"/>
    <w:rsid w:val="0035784B"/>
    <w:rsid w:val="00357C06"/>
    <w:rsid w:val="00357F85"/>
    <w:rsid w:val="00360188"/>
    <w:rsid w:val="003601F7"/>
    <w:rsid w:val="003602EE"/>
    <w:rsid w:val="00361022"/>
    <w:rsid w:val="003612FC"/>
    <w:rsid w:val="0036143D"/>
    <w:rsid w:val="00361689"/>
    <w:rsid w:val="00361714"/>
    <w:rsid w:val="003619EE"/>
    <w:rsid w:val="003619F3"/>
    <w:rsid w:val="0036204C"/>
    <w:rsid w:val="003620B4"/>
    <w:rsid w:val="00362A70"/>
    <w:rsid w:val="00362AEC"/>
    <w:rsid w:val="00362E18"/>
    <w:rsid w:val="00362ED2"/>
    <w:rsid w:val="00362F8D"/>
    <w:rsid w:val="0036383C"/>
    <w:rsid w:val="0036397E"/>
    <w:rsid w:val="003646F1"/>
    <w:rsid w:val="0036485F"/>
    <w:rsid w:val="0036562E"/>
    <w:rsid w:val="00365954"/>
    <w:rsid w:val="00365B54"/>
    <w:rsid w:val="00365CB4"/>
    <w:rsid w:val="00365D1B"/>
    <w:rsid w:val="00365EAB"/>
    <w:rsid w:val="00366069"/>
    <w:rsid w:val="00366634"/>
    <w:rsid w:val="0036682E"/>
    <w:rsid w:val="0036738C"/>
    <w:rsid w:val="00367C06"/>
    <w:rsid w:val="00367C5D"/>
    <w:rsid w:val="00367CC5"/>
    <w:rsid w:val="00367D0F"/>
    <w:rsid w:val="00367FF9"/>
    <w:rsid w:val="0037063E"/>
    <w:rsid w:val="0037064E"/>
    <w:rsid w:val="00370ABB"/>
    <w:rsid w:val="00370B27"/>
    <w:rsid w:val="00370E67"/>
    <w:rsid w:val="00371098"/>
    <w:rsid w:val="00371428"/>
    <w:rsid w:val="00371AC7"/>
    <w:rsid w:val="00371B01"/>
    <w:rsid w:val="00371F66"/>
    <w:rsid w:val="00372150"/>
    <w:rsid w:val="00372277"/>
    <w:rsid w:val="0037242B"/>
    <w:rsid w:val="00372698"/>
    <w:rsid w:val="00372760"/>
    <w:rsid w:val="00372895"/>
    <w:rsid w:val="0037291B"/>
    <w:rsid w:val="00372CAE"/>
    <w:rsid w:val="00372E30"/>
    <w:rsid w:val="003735B3"/>
    <w:rsid w:val="0037392D"/>
    <w:rsid w:val="00373B03"/>
    <w:rsid w:val="00374040"/>
    <w:rsid w:val="00374322"/>
    <w:rsid w:val="00374655"/>
    <w:rsid w:val="003749F4"/>
    <w:rsid w:val="00374C9A"/>
    <w:rsid w:val="00374CF7"/>
    <w:rsid w:val="0037528F"/>
    <w:rsid w:val="00375351"/>
    <w:rsid w:val="00375480"/>
    <w:rsid w:val="003756F7"/>
    <w:rsid w:val="00375DD9"/>
    <w:rsid w:val="00375DED"/>
    <w:rsid w:val="00376092"/>
    <w:rsid w:val="00376119"/>
    <w:rsid w:val="0037626B"/>
    <w:rsid w:val="00376319"/>
    <w:rsid w:val="0037637F"/>
    <w:rsid w:val="00376DF3"/>
    <w:rsid w:val="00377289"/>
    <w:rsid w:val="003772B0"/>
    <w:rsid w:val="003776B1"/>
    <w:rsid w:val="00377780"/>
    <w:rsid w:val="00377D3C"/>
    <w:rsid w:val="00380587"/>
    <w:rsid w:val="00380666"/>
    <w:rsid w:val="00380AF4"/>
    <w:rsid w:val="00380B2A"/>
    <w:rsid w:val="00380DAB"/>
    <w:rsid w:val="00380FB7"/>
    <w:rsid w:val="00380FDC"/>
    <w:rsid w:val="00381AF4"/>
    <w:rsid w:val="00381B60"/>
    <w:rsid w:val="00382082"/>
    <w:rsid w:val="003820E9"/>
    <w:rsid w:val="00382E5C"/>
    <w:rsid w:val="00382F66"/>
    <w:rsid w:val="0038307E"/>
    <w:rsid w:val="00383089"/>
    <w:rsid w:val="003831E7"/>
    <w:rsid w:val="00383223"/>
    <w:rsid w:val="003832EB"/>
    <w:rsid w:val="00383927"/>
    <w:rsid w:val="00383953"/>
    <w:rsid w:val="00383E7D"/>
    <w:rsid w:val="003847FD"/>
    <w:rsid w:val="00384BA0"/>
    <w:rsid w:val="00384C65"/>
    <w:rsid w:val="0038553B"/>
    <w:rsid w:val="00385732"/>
    <w:rsid w:val="0038573F"/>
    <w:rsid w:val="003858EF"/>
    <w:rsid w:val="00385AAD"/>
    <w:rsid w:val="00385C26"/>
    <w:rsid w:val="00386059"/>
    <w:rsid w:val="003860B3"/>
    <w:rsid w:val="003865D1"/>
    <w:rsid w:val="00386680"/>
    <w:rsid w:val="00386816"/>
    <w:rsid w:val="00386A6A"/>
    <w:rsid w:val="00386BDE"/>
    <w:rsid w:val="00386C02"/>
    <w:rsid w:val="00386CF6"/>
    <w:rsid w:val="00387057"/>
    <w:rsid w:val="00387151"/>
    <w:rsid w:val="00387606"/>
    <w:rsid w:val="00387AC8"/>
    <w:rsid w:val="00387C10"/>
    <w:rsid w:val="00390118"/>
    <w:rsid w:val="003906E9"/>
    <w:rsid w:val="003907D3"/>
    <w:rsid w:val="003909BD"/>
    <w:rsid w:val="00390AD8"/>
    <w:rsid w:val="00390EDE"/>
    <w:rsid w:val="0039134B"/>
    <w:rsid w:val="0039178F"/>
    <w:rsid w:val="00391B6B"/>
    <w:rsid w:val="00391C21"/>
    <w:rsid w:val="00392031"/>
    <w:rsid w:val="00392129"/>
    <w:rsid w:val="00392193"/>
    <w:rsid w:val="00392284"/>
    <w:rsid w:val="00392A34"/>
    <w:rsid w:val="00392A4F"/>
    <w:rsid w:val="00392CAB"/>
    <w:rsid w:val="00392D2C"/>
    <w:rsid w:val="00392FE6"/>
    <w:rsid w:val="00393011"/>
    <w:rsid w:val="00393E22"/>
    <w:rsid w:val="00393E3A"/>
    <w:rsid w:val="00394005"/>
    <w:rsid w:val="00394063"/>
    <w:rsid w:val="003945F8"/>
    <w:rsid w:val="00394795"/>
    <w:rsid w:val="0039496D"/>
    <w:rsid w:val="00395564"/>
    <w:rsid w:val="00395D7E"/>
    <w:rsid w:val="00396027"/>
    <w:rsid w:val="003968BD"/>
    <w:rsid w:val="003970D3"/>
    <w:rsid w:val="00397242"/>
    <w:rsid w:val="003979FE"/>
    <w:rsid w:val="00397B25"/>
    <w:rsid w:val="00397C38"/>
    <w:rsid w:val="00397DE5"/>
    <w:rsid w:val="003A043B"/>
    <w:rsid w:val="003A043F"/>
    <w:rsid w:val="003A04F3"/>
    <w:rsid w:val="003A0A79"/>
    <w:rsid w:val="003A0E56"/>
    <w:rsid w:val="003A1523"/>
    <w:rsid w:val="003A1722"/>
    <w:rsid w:val="003A1DF6"/>
    <w:rsid w:val="003A257F"/>
    <w:rsid w:val="003A27C2"/>
    <w:rsid w:val="003A28BB"/>
    <w:rsid w:val="003A28C5"/>
    <w:rsid w:val="003A2A79"/>
    <w:rsid w:val="003A2ECC"/>
    <w:rsid w:val="003A2FF0"/>
    <w:rsid w:val="003A3034"/>
    <w:rsid w:val="003A3099"/>
    <w:rsid w:val="003A32E8"/>
    <w:rsid w:val="003A382D"/>
    <w:rsid w:val="003A39A6"/>
    <w:rsid w:val="003A3A1C"/>
    <w:rsid w:val="003A4138"/>
    <w:rsid w:val="003A42C7"/>
    <w:rsid w:val="003A488C"/>
    <w:rsid w:val="003A48CD"/>
    <w:rsid w:val="003A48FC"/>
    <w:rsid w:val="003A4C23"/>
    <w:rsid w:val="003A4E9C"/>
    <w:rsid w:val="003A4F3A"/>
    <w:rsid w:val="003A4F5E"/>
    <w:rsid w:val="003A4F93"/>
    <w:rsid w:val="003A4FAF"/>
    <w:rsid w:val="003A51D7"/>
    <w:rsid w:val="003A541D"/>
    <w:rsid w:val="003A649B"/>
    <w:rsid w:val="003A65B8"/>
    <w:rsid w:val="003A669B"/>
    <w:rsid w:val="003A678C"/>
    <w:rsid w:val="003A6A3F"/>
    <w:rsid w:val="003A6AC3"/>
    <w:rsid w:val="003A6CB8"/>
    <w:rsid w:val="003A6E12"/>
    <w:rsid w:val="003A7103"/>
    <w:rsid w:val="003A7402"/>
    <w:rsid w:val="003A76D1"/>
    <w:rsid w:val="003A7930"/>
    <w:rsid w:val="003A7E30"/>
    <w:rsid w:val="003B0025"/>
    <w:rsid w:val="003B0302"/>
    <w:rsid w:val="003B12B8"/>
    <w:rsid w:val="003B1504"/>
    <w:rsid w:val="003B16CD"/>
    <w:rsid w:val="003B1A71"/>
    <w:rsid w:val="003B1F5B"/>
    <w:rsid w:val="003B25EB"/>
    <w:rsid w:val="003B2A33"/>
    <w:rsid w:val="003B2D20"/>
    <w:rsid w:val="003B2F57"/>
    <w:rsid w:val="003B359C"/>
    <w:rsid w:val="003B3942"/>
    <w:rsid w:val="003B3B29"/>
    <w:rsid w:val="003B4085"/>
    <w:rsid w:val="003B428F"/>
    <w:rsid w:val="003B47F8"/>
    <w:rsid w:val="003B481A"/>
    <w:rsid w:val="003B49F6"/>
    <w:rsid w:val="003B5BAA"/>
    <w:rsid w:val="003B5C47"/>
    <w:rsid w:val="003B61D8"/>
    <w:rsid w:val="003B63E2"/>
    <w:rsid w:val="003B652C"/>
    <w:rsid w:val="003B6636"/>
    <w:rsid w:val="003B6776"/>
    <w:rsid w:val="003B6ACF"/>
    <w:rsid w:val="003B6E44"/>
    <w:rsid w:val="003B6F4F"/>
    <w:rsid w:val="003B6F64"/>
    <w:rsid w:val="003B6FC4"/>
    <w:rsid w:val="003B7A7C"/>
    <w:rsid w:val="003B7E65"/>
    <w:rsid w:val="003C00B0"/>
    <w:rsid w:val="003C062C"/>
    <w:rsid w:val="003C0C05"/>
    <w:rsid w:val="003C0CB8"/>
    <w:rsid w:val="003C0D0E"/>
    <w:rsid w:val="003C0E4D"/>
    <w:rsid w:val="003C0E94"/>
    <w:rsid w:val="003C11AA"/>
    <w:rsid w:val="003C14C8"/>
    <w:rsid w:val="003C1D24"/>
    <w:rsid w:val="003C1F5D"/>
    <w:rsid w:val="003C23FA"/>
    <w:rsid w:val="003C26DC"/>
    <w:rsid w:val="003C2880"/>
    <w:rsid w:val="003C306D"/>
    <w:rsid w:val="003C3109"/>
    <w:rsid w:val="003C310E"/>
    <w:rsid w:val="003C31A0"/>
    <w:rsid w:val="003C3601"/>
    <w:rsid w:val="003C3637"/>
    <w:rsid w:val="003C3794"/>
    <w:rsid w:val="003C396F"/>
    <w:rsid w:val="003C3FB0"/>
    <w:rsid w:val="003C4514"/>
    <w:rsid w:val="003C465D"/>
    <w:rsid w:val="003C47DC"/>
    <w:rsid w:val="003C482B"/>
    <w:rsid w:val="003C4855"/>
    <w:rsid w:val="003C494B"/>
    <w:rsid w:val="003C4B4E"/>
    <w:rsid w:val="003C4E62"/>
    <w:rsid w:val="003C5020"/>
    <w:rsid w:val="003C5025"/>
    <w:rsid w:val="003C54FD"/>
    <w:rsid w:val="003C56D7"/>
    <w:rsid w:val="003C58BD"/>
    <w:rsid w:val="003C5C42"/>
    <w:rsid w:val="003C5C62"/>
    <w:rsid w:val="003C5D37"/>
    <w:rsid w:val="003C600C"/>
    <w:rsid w:val="003C676E"/>
    <w:rsid w:val="003C68F4"/>
    <w:rsid w:val="003C752A"/>
    <w:rsid w:val="003C754B"/>
    <w:rsid w:val="003C7581"/>
    <w:rsid w:val="003C7B35"/>
    <w:rsid w:val="003C7B71"/>
    <w:rsid w:val="003C7DC9"/>
    <w:rsid w:val="003D0036"/>
    <w:rsid w:val="003D06B4"/>
    <w:rsid w:val="003D09A3"/>
    <w:rsid w:val="003D0C18"/>
    <w:rsid w:val="003D0D85"/>
    <w:rsid w:val="003D1842"/>
    <w:rsid w:val="003D197B"/>
    <w:rsid w:val="003D1B9E"/>
    <w:rsid w:val="003D2062"/>
    <w:rsid w:val="003D25CF"/>
    <w:rsid w:val="003D2C53"/>
    <w:rsid w:val="003D32C6"/>
    <w:rsid w:val="003D3302"/>
    <w:rsid w:val="003D3A66"/>
    <w:rsid w:val="003D48BF"/>
    <w:rsid w:val="003D4983"/>
    <w:rsid w:val="003D538F"/>
    <w:rsid w:val="003D550C"/>
    <w:rsid w:val="003D5C7B"/>
    <w:rsid w:val="003D5CF7"/>
    <w:rsid w:val="003D6042"/>
    <w:rsid w:val="003D659B"/>
    <w:rsid w:val="003D671C"/>
    <w:rsid w:val="003D78DB"/>
    <w:rsid w:val="003D7900"/>
    <w:rsid w:val="003D7CFE"/>
    <w:rsid w:val="003D7D10"/>
    <w:rsid w:val="003E0111"/>
    <w:rsid w:val="003E0231"/>
    <w:rsid w:val="003E02E2"/>
    <w:rsid w:val="003E0392"/>
    <w:rsid w:val="003E08B3"/>
    <w:rsid w:val="003E0B9B"/>
    <w:rsid w:val="003E0CC1"/>
    <w:rsid w:val="003E151B"/>
    <w:rsid w:val="003E153F"/>
    <w:rsid w:val="003E1854"/>
    <w:rsid w:val="003E1BFB"/>
    <w:rsid w:val="003E1E85"/>
    <w:rsid w:val="003E210D"/>
    <w:rsid w:val="003E27FA"/>
    <w:rsid w:val="003E29FD"/>
    <w:rsid w:val="003E2A08"/>
    <w:rsid w:val="003E2C6D"/>
    <w:rsid w:val="003E2D96"/>
    <w:rsid w:val="003E324B"/>
    <w:rsid w:val="003E33EB"/>
    <w:rsid w:val="003E34D8"/>
    <w:rsid w:val="003E37EE"/>
    <w:rsid w:val="003E37FB"/>
    <w:rsid w:val="003E380A"/>
    <w:rsid w:val="003E446F"/>
    <w:rsid w:val="003E4559"/>
    <w:rsid w:val="003E45A0"/>
    <w:rsid w:val="003E46EA"/>
    <w:rsid w:val="003E4E6E"/>
    <w:rsid w:val="003E5099"/>
    <w:rsid w:val="003E528A"/>
    <w:rsid w:val="003E56B9"/>
    <w:rsid w:val="003E570B"/>
    <w:rsid w:val="003E5D22"/>
    <w:rsid w:val="003E677E"/>
    <w:rsid w:val="003E6CB9"/>
    <w:rsid w:val="003E6E6D"/>
    <w:rsid w:val="003E701C"/>
    <w:rsid w:val="003E74A4"/>
    <w:rsid w:val="003E7840"/>
    <w:rsid w:val="003E7B17"/>
    <w:rsid w:val="003F01E1"/>
    <w:rsid w:val="003F03A4"/>
    <w:rsid w:val="003F0860"/>
    <w:rsid w:val="003F11ED"/>
    <w:rsid w:val="003F1C39"/>
    <w:rsid w:val="003F1C5C"/>
    <w:rsid w:val="003F1E8D"/>
    <w:rsid w:val="003F2172"/>
    <w:rsid w:val="003F23C5"/>
    <w:rsid w:val="003F2751"/>
    <w:rsid w:val="003F28C6"/>
    <w:rsid w:val="003F330C"/>
    <w:rsid w:val="003F3639"/>
    <w:rsid w:val="003F3D28"/>
    <w:rsid w:val="003F3F56"/>
    <w:rsid w:val="003F4603"/>
    <w:rsid w:val="003F4800"/>
    <w:rsid w:val="003F489A"/>
    <w:rsid w:val="003F49A9"/>
    <w:rsid w:val="003F4C50"/>
    <w:rsid w:val="003F4CE9"/>
    <w:rsid w:val="003F50B7"/>
    <w:rsid w:val="003F54FE"/>
    <w:rsid w:val="003F56EC"/>
    <w:rsid w:val="003F5C46"/>
    <w:rsid w:val="003F600B"/>
    <w:rsid w:val="003F650D"/>
    <w:rsid w:val="003F67CA"/>
    <w:rsid w:val="003F6E52"/>
    <w:rsid w:val="003F6F52"/>
    <w:rsid w:val="003F73AA"/>
    <w:rsid w:val="003F76CB"/>
    <w:rsid w:val="003F78CA"/>
    <w:rsid w:val="003F7C34"/>
    <w:rsid w:val="003F7D1E"/>
    <w:rsid w:val="003F7EC3"/>
    <w:rsid w:val="00400265"/>
    <w:rsid w:val="004002B7"/>
    <w:rsid w:val="0040054E"/>
    <w:rsid w:val="004005D1"/>
    <w:rsid w:val="004009BA"/>
    <w:rsid w:val="00400B59"/>
    <w:rsid w:val="00400C3F"/>
    <w:rsid w:val="00400CCA"/>
    <w:rsid w:val="00400ED6"/>
    <w:rsid w:val="0040179D"/>
    <w:rsid w:val="00401B9F"/>
    <w:rsid w:val="00401E01"/>
    <w:rsid w:val="00402BA8"/>
    <w:rsid w:val="00402FC7"/>
    <w:rsid w:val="004032AD"/>
    <w:rsid w:val="004034D6"/>
    <w:rsid w:val="00403722"/>
    <w:rsid w:val="004037BE"/>
    <w:rsid w:val="0040382E"/>
    <w:rsid w:val="00403A9A"/>
    <w:rsid w:val="0040414F"/>
    <w:rsid w:val="00404221"/>
    <w:rsid w:val="004047FA"/>
    <w:rsid w:val="00404D4E"/>
    <w:rsid w:val="00404DEA"/>
    <w:rsid w:val="00404FFE"/>
    <w:rsid w:val="00405269"/>
    <w:rsid w:val="0040549E"/>
    <w:rsid w:val="004055F5"/>
    <w:rsid w:val="00405840"/>
    <w:rsid w:val="0040628B"/>
    <w:rsid w:val="004069C7"/>
    <w:rsid w:val="004079C7"/>
    <w:rsid w:val="00407F2A"/>
    <w:rsid w:val="00410657"/>
    <w:rsid w:val="004108DA"/>
    <w:rsid w:val="00410EED"/>
    <w:rsid w:val="0041106B"/>
    <w:rsid w:val="004112F2"/>
    <w:rsid w:val="00411624"/>
    <w:rsid w:val="00411858"/>
    <w:rsid w:val="00411953"/>
    <w:rsid w:val="00411A51"/>
    <w:rsid w:val="00411B09"/>
    <w:rsid w:val="00411BA3"/>
    <w:rsid w:val="00411EE1"/>
    <w:rsid w:val="0041271A"/>
    <w:rsid w:val="004128B8"/>
    <w:rsid w:val="00412E5A"/>
    <w:rsid w:val="00412FA9"/>
    <w:rsid w:val="00413065"/>
    <w:rsid w:val="00413292"/>
    <w:rsid w:val="004132EC"/>
    <w:rsid w:val="00413BFE"/>
    <w:rsid w:val="00413E1F"/>
    <w:rsid w:val="00414115"/>
    <w:rsid w:val="0041442E"/>
    <w:rsid w:val="0041464E"/>
    <w:rsid w:val="00414731"/>
    <w:rsid w:val="004147A1"/>
    <w:rsid w:val="00414820"/>
    <w:rsid w:val="00414D3B"/>
    <w:rsid w:val="00415452"/>
    <w:rsid w:val="0041555E"/>
    <w:rsid w:val="004156AB"/>
    <w:rsid w:val="00415A63"/>
    <w:rsid w:val="00415DC2"/>
    <w:rsid w:val="00415F84"/>
    <w:rsid w:val="00416689"/>
    <w:rsid w:val="00416AE3"/>
    <w:rsid w:val="00416C19"/>
    <w:rsid w:val="00416CAC"/>
    <w:rsid w:val="0041747B"/>
    <w:rsid w:val="00417D95"/>
    <w:rsid w:val="00417DB7"/>
    <w:rsid w:val="00417F1D"/>
    <w:rsid w:val="004200D6"/>
    <w:rsid w:val="00420859"/>
    <w:rsid w:val="00420919"/>
    <w:rsid w:val="00420A79"/>
    <w:rsid w:val="00420B72"/>
    <w:rsid w:val="00420C29"/>
    <w:rsid w:val="00420D35"/>
    <w:rsid w:val="00420EE5"/>
    <w:rsid w:val="00420F94"/>
    <w:rsid w:val="004213EB"/>
    <w:rsid w:val="00421731"/>
    <w:rsid w:val="004219A8"/>
    <w:rsid w:val="00421D44"/>
    <w:rsid w:val="004221F2"/>
    <w:rsid w:val="00422648"/>
    <w:rsid w:val="00422760"/>
    <w:rsid w:val="0042276D"/>
    <w:rsid w:val="00422772"/>
    <w:rsid w:val="00422783"/>
    <w:rsid w:val="0042299B"/>
    <w:rsid w:val="00422A10"/>
    <w:rsid w:val="00422A25"/>
    <w:rsid w:val="00422A65"/>
    <w:rsid w:val="004230C2"/>
    <w:rsid w:val="004232DA"/>
    <w:rsid w:val="00423CAA"/>
    <w:rsid w:val="00423F4A"/>
    <w:rsid w:val="00423FDD"/>
    <w:rsid w:val="00424351"/>
    <w:rsid w:val="004244B4"/>
    <w:rsid w:val="0042451F"/>
    <w:rsid w:val="004245E8"/>
    <w:rsid w:val="00424AE7"/>
    <w:rsid w:val="00424EA3"/>
    <w:rsid w:val="0042502A"/>
    <w:rsid w:val="004258B3"/>
    <w:rsid w:val="00425A0F"/>
    <w:rsid w:val="00425BE4"/>
    <w:rsid w:val="00425C51"/>
    <w:rsid w:val="00425D4D"/>
    <w:rsid w:val="00426CF6"/>
    <w:rsid w:val="00426D0E"/>
    <w:rsid w:val="00427197"/>
    <w:rsid w:val="004271EB"/>
    <w:rsid w:val="00427358"/>
    <w:rsid w:val="00427F8C"/>
    <w:rsid w:val="004300FE"/>
    <w:rsid w:val="0043046C"/>
    <w:rsid w:val="004304E9"/>
    <w:rsid w:val="0043064B"/>
    <w:rsid w:val="0043077A"/>
    <w:rsid w:val="004308B4"/>
    <w:rsid w:val="00430B72"/>
    <w:rsid w:val="00430ECB"/>
    <w:rsid w:val="0043100B"/>
    <w:rsid w:val="00431796"/>
    <w:rsid w:val="004317F0"/>
    <w:rsid w:val="0043186B"/>
    <w:rsid w:val="00431972"/>
    <w:rsid w:val="00431B19"/>
    <w:rsid w:val="00431C15"/>
    <w:rsid w:val="00431EF9"/>
    <w:rsid w:val="004325D9"/>
    <w:rsid w:val="0043261E"/>
    <w:rsid w:val="004328EC"/>
    <w:rsid w:val="00432C83"/>
    <w:rsid w:val="00432D48"/>
    <w:rsid w:val="00432FEC"/>
    <w:rsid w:val="00433244"/>
    <w:rsid w:val="004333AA"/>
    <w:rsid w:val="00433415"/>
    <w:rsid w:val="00433943"/>
    <w:rsid w:val="00434064"/>
    <w:rsid w:val="004340C4"/>
    <w:rsid w:val="0043435C"/>
    <w:rsid w:val="004349EF"/>
    <w:rsid w:val="00434C24"/>
    <w:rsid w:val="00434E75"/>
    <w:rsid w:val="00434FD2"/>
    <w:rsid w:val="00435332"/>
    <w:rsid w:val="004358E1"/>
    <w:rsid w:val="004359EA"/>
    <w:rsid w:val="00435B3C"/>
    <w:rsid w:val="00435CC1"/>
    <w:rsid w:val="004366A9"/>
    <w:rsid w:val="004366BE"/>
    <w:rsid w:val="00436EBC"/>
    <w:rsid w:val="00437610"/>
    <w:rsid w:val="0043770D"/>
    <w:rsid w:val="00437AF1"/>
    <w:rsid w:val="00437B7A"/>
    <w:rsid w:val="00437E08"/>
    <w:rsid w:val="00440318"/>
    <w:rsid w:val="004404B0"/>
    <w:rsid w:val="004404D8"/>
    <w:rsid w:val="004407F2"/>
    <w:rsid w:val="00440C30"/>
    <w:rsid w:val="00441773"/>
    <w:rsid w:val="0044178B"/>
    <w:rsid w:val="00441A76"/>
    <w:rsid w:val="00441E31"/>
    <w:rsid w:val="0044219B"/>
    <w:rsid w:val="0044259F"/>
    <w:rsid w:val="00442C00"/>
    <w:rsid w:val="00442DD2"/>
    <w:rsid w:val="004430E2"/>
    <w:rsid w:val="004434FE"/>
    <w:rsid w:val="00443774"/>
    <w:rsid w:val="004437BD"/>
    <w:rsid w:val="00443832"/>
    <w:rsid w:val="004439B9"/>
    <w:rsid w:val="00443A3B"/>
    <w:rsid w:val="00443B1F"/>
    <w:rsid w:val="00443C2A"/>
    <w:rsid w:val="00443EF4"/>
    <w:rsid w:val="0044436C"/>
    <w:rsid w:val="0044454A"/>
    <w:rsid w:val="004447F2"/>
    <w:rsid w:val="00445263"/>
    <w:rsid w:val="004452A0"/>
    <w:rsid w:val="004459D3"/>
    <w:rsid w:val="00445B08"/>
    <w:rsid w:val="00445BC3"/>
    <w:rsid w:val="00445DE5"/>
    <w:rsid w:val="00445E0E"/>
    <w:rsid w:val="004460E7"/>
    <w:rsid w:val="004465F8"/>
    <w:rsid w:val="0044673D"/>
    <w:rsid w:val="00446BDE"/>
    <w:rsid w:val="00446D1B"/>
    <w:rsid w:val="00446DF7"/>
    <w:rsid w:val="004473DF"/>
    <w:rsid w:val="0044749B"/>
    <w:rsid w:val="00447A4E"/>
    <w:rsid w:val="00447D01"/>
    <w:rsid w:val="00450052"/>
    <w:rsid w:val="00450060"/>
    <w:rsid w:val="004504E9"/>
    <w:rsid w:val="00450746"/>
    <w:rsid w:val="004508CA"/>
    <w:rsid w:val="00450BD0"/>
    <w:rsid w:val="00450EC2"/>
    <w:rsid w:val="00450F0D"/>
    <w:rsid w:val="00450F51"/>
    <w:rsid w:val="00451536"/>
    <w:rsid w:val="00451737"/>
    <w:rsid w:val="0045206B"/>
    <w:rsid w:val="00452238"/>
    <w:rsid w:val="00452285"/>
    <w:rsid w:val="004522A2"/>
    <w:rsid w:val="0045257C"/>
    <w:rsid w:val="00452DFC"/>
    <w:rsid w:val="00453048"/>
    <w:rsid w:val="004533B6"/>
    <w:rsid w:val="0045343D"/>
    <w:rsid w:val="00453487"/>
    <w:rsid w:val="0045355C"/>
    <w:rsid w:val="0045387B"/>
    <w:rsid w:val="0045394B"/>
    <w:rsid w:val="00453E7E"/>
    <w:rsid w:val="004540D0"/>
    <w:rsid w:val="00454111"/>
    <w:rsid w:val="00454518"/>
    <w:rsid w:val="00454A12"/>
    <w:rsid w:val="004551B2"/>
    <w:rsid w:val="004556EC"/>
    <w:rsid w:val="0045583C"/>
    <w:rsid w:val="004558BC"/>
    <w:rsid w:val="004559A2"/>
    <w:rsid w:val="004559D3"/>
    <w:rsid w:val="00455AFD"/>
    <w:rsid w:val="004561D9"/>
    <w:rsid w:val="00456630"/>
    <w:rsid w:val="0045667A"/>
    <w:rsid w:val="00456755"/>
    <w:rsid w:val="00456891"/>
    <w:rsid w:val="00456CA5"/>
    <w:rsid w:val="00456FFF"/>
    <w:rsid w:val="0045740A"/>
    <w:rsid w:val="004574B8"/>
    <w:rsid w:val="00457B14"/>
    <w:rsid w:val="00457D4C"/>
    <w:rsid w:val="004605D1"/>
    <w:rsid w:val="004605FA"/>
    <w:rsid w:val="0046068A"/>
    <w:rsid w:val="00460C3F"/>
    <w:rsid w:val="004614DB"/>
    <w:rsid w:val="0046155E"/>
    <w:rsid w:val="00461569"/>
    <w:rsid w:val="0046173B"/>
    <w:rsid w:val="004618FE"/>
    <w:rsid w:val="00461A99"/>
    <w:rsid w:val="00461E0E"/>
    <w:rsid w:val="0046210B"/>
    <w:rsid w:val="00462186"/>
    <w:rsid w:val="004627CA"/>
    <w:rsid w:val="004628E2"/>
    <w:rsid w:val="00462A8F"/>
    <w:rsid w:val="00463391"/>
    <w:rsid w:val="004639B3"/>
    <w:rsid w:val="00463ACD"/>
    <w:rsid w:val="00463D29"/>
    <w:rsid w:val="00463D73"/>
    <w:rsid w:val="004640AF"/>
    <w:rsid w:val="004646A0"/>
    <w:rsid w:val="00464963"/>
    <w:rsid w:val="00464B50"/>
    <w:rsid w:val="00464EDB"/>
    <w:rsid w:val="0046533D"/>
    <w:rsid w:val="004654A3"/>
    <w:rsid w:val="00465594"/>
    <w:rsid w:val="00465AE8"/>
    <w:rsid w:val="00465C03"/>
    <w:rsid w:val="0046604F"/>
    <w:rsid w:val="004664DB"/>
    <w:rsid w:val="00466A81"/>
    <w:rsid w:val="00466B7E"/>
    <w:rsid w:val="00466BA1"/>
    <w:rsid w:val="00467277"/>
    <w:rsid w:val="00467CA4"/>
    <w:rsid w:val="00470688"/>
    <w:rsid w:val="00470787"/>
    <w:rsid w:val="004708FE"/>
    <w:rsid w:val="00470BFF"/>
    <w:rsid w:val="00470F60"/>
    <w:rsid w:val="00471926"/>
    <w:rsid w:val="00471CC5"/>
    <w:rsid w:val="0047204B"/>
    <w:rsid w:val="0047270D"/>
    <w:rsid w:val="00472981"/>
    <w:rsid w:val="00472A11"/>
    <w:rsid w:val="00473B85"/>
    <w:rsid w:val="0047412A"/>
    <w:rsid w:val="00474496"/>
    <w:rsid w:val="004746EB"/>
    <w:rsid w:val="004751BE"/>
    <w:rsid w:val="004755D9"/>
    <w:rsid w:val="004755DD"/>
    <w:rsid w:val="004755EE"/>
    <w:rsid w:val="00475D54"/>
    <w:rsid w:val="00475EB1"/>
    <w:rsid w:val="00476323"/>
    <w:rsid w:val="004768D1"/>
    <w:rsid w:val="00476C09"/>
    <w:rsid w:val="0047702E"/>
    <w:rsid w:val="0047719C"/>
    <w:rsid w:val="004771A6"/>
    <w:rsid w:val="004773B4"/>
    <w:rsid w:val="00477554"/>
    <w:rsid w:val="0047796E"/>
    <w:rsid w:val="00477BFB"/>
    <w:rsid w:val="00480299"/>
    <w:rsid w:val="00480888"/>
    <w:rsid w:val="0048098F"/>
    <w:rsid w:val="004809EC"/>
    <w:rsid w:val="00481463"/>
    <w:rsid w:val="0048150E"/>
    <w:rsid w:val="00481980"/>
    <w:rsid w:val="00481BAE"/>
    <w:rsid w:val="00481D24"/>
    <w:rsid w:val="00482279"/>
    <w:rsid w:val="004826D9"/>
    <w:rsid w:val="00482967"/>
    <w:rsid w:val="0048299E"/>
    <w:rsid w:val="00482F87"/>
    <w:rsid w:val="0048334D"/>
    <w:rsid w:val="004833F8"/>
    <w:rsid w:val="00483407"/>
    <w:rsid w:val="0048379B"/>
    <w:rsid w:val="00483CBA"/>
    <w:rsid w:val="00483F2C"/>
    <w:rsid w:val="00483FCE"/>
    <w:rsid w:val="00484047"/>
    <w:rsid w:val="004842AF"/>
    <w:rsid w:val="004842E1"/>
    <w:rsid w:val="00484336"/>
    <w:rsid w:val="004846F9"/>
    <w:rsid w:val="00484A69"/>
    <w:rsid w:val="00484A6D"/>
    <w:rsid w:val="00484B7C"/>
    <w:rsid w:val="00484D5B"/>
    <w:rsid w:val="00484D89"/>
    <w:rsid w:val="00484ED4"/>
    <w:rsid w:val="00484FB2"/>
    <w:rsid w:val="004850B7"/>
    <w:rsid w:val="004856A5"/>
    <w:rsid w:val="00485CCB"/>
    <w:rsid w:val="00485CDE"/>
    <w:rsid w:val="004862CD"/>
    <w:rsid w:val="0048643F"/>
    <w:rsid w:val="00486735"/>
    <w:rsid w:val="00486965"/>
    <w:rsid w:val="00486A50"/>
    <w:rsid w:val="00486E13"/>
    <w:rsid w:val="00486E6A"/>
    <w:rsid w:val="0048739B"/>
    <w:rsid w:val="00487425"/>
    <w:rsid w:val="00487705"/>
    <w:rsid w:val="00487711"/>
    <w:rsid w:val="0049015A"/>
    <w:rsid w:val="0049081D"/>
    <w:rsid w:val="004908B6"/>
    <w:rsid w:val="0049183B"/>
    <w:rsid w:val="00491C0C"/>
    <w:rsid w:val="00491F76"/>
    <w:rsid w:val="00492071"/>
    <w:rsid w:val="0049229D"/>
    <w:rsid w:val="0049256A"/>
    <w:rsid w:val="00492595"/>
    <w:rsid w:val="00492780"/>
    <w:rsid w:val="00492793"/>
    <w:rsid w:val="00492AF0"/>
    <w:rsid w:val="00492B79"/>
    <w:rsid w:val="00492C30"/>
    <w:rsid w:val="00492D60"/>
    <w:rsid w:val="00492FF4"/>
    <w:rsid w:val="00493151"/>
    <w:rsid w:val="004932E5"/>
    <w:rsid w:val="004932F4"/>
    <w:rsid w:val="004936FA"/>
    <w:rsid w:val="00493991"/>
    <w:rsid w:val="00493C76"/>
    <w:rsid w:val="00494779"/>
    <w:rsid w:val="00494977"/>
    <w:rsid w:val="00494B5B"/>
    <w:rsid w:val="00494B79"/>
    <w:rsid w:val="00494EE3"/>
    <w:rsid w:val="00494F3E"/>
    <w:rsid w:val="00495330"/>
    <w:rsid w:val="00495AF7"/>
    <w:rsid w:val="004961DC"/>
    <w:rsid w:val="0049629E"/>
    <w:rsid w:val="004962FE"/>
    <w:rsid w:val="00496384"/>
    <w:rsid w:val="004965D7"/>
    <w:rsid w:val="0049661C"/>
    <w:rsid w:val="004966F8"/>
    <w:rsid w:val="00496774"/>
    <w:rsid w:val="004969D2"/>
    <w:rsid w:val="00496A83"/>
    <w:rsid w:val="00496AC2"/>
    <w:rsid w:val="0049741E"/>
    <w:rsid w:val="0049752B"/>
    <w:rsid w:val="00497849"/>
    <w:rsid w:val="004979D8"/>
    <w:rsid w:val="00497AEE"/>
    <w:rsid w:val="004A0178"/>
    <w:rsid w:val="004A01DF"/>
    <w:rsid w:val="004A02E2"/>
    <w:rsid w:val="004A04D4"/>
    <w:rsid w:val="004A0750"/>
    <w:rsid w:val="004A1190"/>
    <w:rsid w:val="004A1697"/>
    <w:rsid w:val="004A172C"/>
    <w:rsid w:val="004A19B6"/>
    <w:rsid w:val="004A1A12"/>
    <w:rsid w:val="004A1B12"/>
    <w:rsid w:val="004A1BA0"/>
    <w:rsid w:val="004A20E7"/>
    <w:rsid w:val="004A27B7"/>
    <w:rsid w:val="004A31FA"/>
    <w:rsid w:val="004A3B86"/>
    <w:rsid w:val="004A4066"/>
    <w:rsid w:val="004A40A8"/>
    <w:rsid w:val="004A42D6"/>
    <w:rsid w:val="004A44E6"/>
    <w:rsid w:val="004A4B9C"/>
    <w:rsid w:val="004A4FBF"/>
    <w:rsid w:val="004A5179"/>
    <w:rsid w:val="004A548F"/>
    <w:rsid w:val="004A554B"/>
    <w:rsid w:val="004A55FE"/>
    <w:rsid w:val="004A5D2C"/>
    <w:rsid w:val="004A6248"/>
    <w:rsid w:val="004A625D"/>
    <w:rsid w:val="004A6521"/>
    <w:rsid w:val="004A6ACE"/>
    <w:rsid w:val="004A6DF9"/>
    <w:rsid w:val="004A740D"/>
    <w:rsid w:val="004A74E4"/>
    <w:rsid w:val="004A770D"/>
    <w:rsid w:val="004A78AA"/>
    <w:rsid w:val="004A7992"/>
    <w:rsid w:val="004A79C5"/>
    <w:rsid w:val="004B05FD"/>
    <w:rsid w:val="004B06AE"/>
    <w:rsid w:val="004B0877"/>
    <w:rsid w:val="004B0CA2"/>
    <w:rsid w:val="004B1228"/>
    <w:rsid w:val="004B1443"/>
    <w:rsid w:val="004B154F"/>
    <w:rsid w:val="004B1A97"/>
    <w:rsid w:val="004B1F4F"/>
    <w:rsid w:val="004B22BF"/>
    <w:rsid w:val="004B2915"/>
    <w:rsid w:val="004B2B0C"/>
    <w:rsid w:val="004B2DE4"/>
    <w:rsid w:val="004B2F20"/>
    <w:rsid w:val="004B3B4B"/>
    <w:rsid w:val="004B3BDE"/>
    <w:rsid w:val="004B3D02"/>
    <w:rsid w:val="004B4392"/>
    <w:rsid w:val="004B4460"/>
    <w:rsid w:val="004B45AF"/>
    <w:rsid w:val="004B47A0"/>
    <w:rsid w:val="004B4E1F"/>
    <w:rsid w:val="004B4EA3"/>
    <w:rsid w:val="004B5AEE"/>
    <w:rsid w:val="004B5E0C"/>
    <w:rsid w:val="004B6040"/>
    <w:rsid w:val="004B6974"/>
    <w:rsid w:val="004B697E"/>
    <w:rsid w:val="004B6CF3"/>
    <w:rsid w:val="004B6F2F"/>
    <w:rsid w:val="004B707E"/>
    <w:rsid w:val="004B71DB"/>
    <w:rsid w:val="004B76CA"/>
    <w:rsid w:val="004B7E5C"/>
    <w:rsid w:val="004B7FE3"/>
    <w:rsid w:val="004C0419"/>
    <w:rsid w:val="004C0682"/>
    <w:rsid w:val="004C0BAD"/>
    <w:rsid w:val="004C0D98"/>
    <w:rsid w:val="004C10A0"/>
    <w:rsid w:val="004C1925"/>
    <w:rsid w:val="004C1A5F"/>
    <w:rsid w:val="004C1EF2"/>
    <w:rsid w:val="004C200F"/>
    <w:rsid w:val="004C202E"/>
    <w:rsid w:val="004C2031"/>
    <w:rsid w:val="004C25EF"/>
    <w:rsid w:val="004C29EE"/>
    <w:rsid w:val="004C347B"/>
    <w:rsid w:val="004C3537"/>
    <w:rsid w:val="004C3A0B"/>
    <w:rsid w:val="004C3BC4"/>
    <w:rsid w:val="004C4AA0"/>
    <w:rsid w:val="004C4C05"/>
    <w:rsid w:val="004C519B"/>
    <w:rsid w:val="004C5451"/>
    <w:rsid w:val="004C54CE"/>
    <w:rsid w:val="004C5518"/>
    <w:rsid w:val="004C55F5"/>
    <w:rsid w:val="004C58C1"/>
    <w:rsid w:val="004C5D5E"/>
    <w:rsid w:val="004C5DD0"/>
    <w:rsid w:val="004C5EFB"/>
    <w:rsid w:val="004C634B"/>
    <w:rsid w:val="004C64D7"/>
    <w:rsid w:val="004C66B1"/>
    <w:rsid w:val="004C6D4F"/>
    <w:rsid w:val="004C6D8F"/>
    <w:rsid w:val="004C6D90"/>
    <w:rsid w:val="004C6DAE"/>
    <w:rsid w:val="004C6F0B"/>
    <w:rsid w:val="004C7063"/>
    <w:rsid w:val="004C7916"/>
    <w:rsid w:val="004C7A84"/>
    <w:rsid w:val="004C7A95"/>
    <w:rsid w:val="004D01D8"/>
    <w:rsid w:val="004D041B"/>
    <w:rsid w:val="004D08BA"/>
    <w:rsid w:val="004D099D"/>
    <w:rsid w:val="004D0DBC"/>
    <w:rsid w:val="004D0F31"/>
    <w:rsid w:val="004D14BC"/>
    <w:rsid w:val="004D1B7B"/>
    <w:rsid w:val="004D1DEC"/>
    <w:rsid w:val="004D20FD"/>
    <w:rsid w:val="004D2467"/>
    <w:rsid w:val="004D28B5"/>
    <w:rsid w:val="004D2E19"/>
    <w:rsid w:val="004D39EF"/>
    <w:rsid w:val="004D3B5D"/>
    <w:rsid w:val="004D3D71"/>
    <w:rsid w:val="004D3FE0"/>
    <w:rsid w:val="004D430E"/>
    <w:rsid w:val="004D44AC"/>
    <w:rsid w:val="004D49DE"/>
    <w:rsid w:val="004D4A0B"/>
    <w:rsid w:val="004D4B06"/>
    <w:rsid w:val="004D4CC5"/>
    <w:rsid w:val="004D5105"/>
    <w:rsid w:val="004D5755"/>
    <w:rsid w:val="004D5C9A"/>
    <w:rsid w:val="004D5D16"/>
    <w:rsid w:val="004D6178"/>
    <w:rsid w:val="004D6562"/>
    <w:rsid w:val="004D71A7"/>
    <w:rsid w:val="004D7619"/>
    <w:rsid w:val="004D794F"/>
    <w:rsid w:val="004D7951"/>
    <w:rsid w:val="004D7BDA"/>
    <w:rsid w:val="004D7CFD"/>
    <w:rsid w:val="004D7D53"/>
    <w:rsid w:val="004D7F17"/>
    <w:rsid w:val="004E006C"/>
    <w:rsid w:val="004E032D"/>
    <w:rsid w:val="004E0373"/>
    <w:rsid w:val="004E06B4"/>
    <w:rsid w:val="004E06CA"/>
    <w:rsid w:val="004E07C4"/>
    <w:rsid w:val="004E0835"/>
    <w:rsid w:val="004E0B4E"/>
    <w:rsid w:val="004E0B6B"/>
    <w:rsid w:val="004E0D52"/>
    <w:rsid w:val="004E1331"/>
    <w:rsid w:val="004E1441"/>
    <w:rsid w:val="004E18D8"/>
    <w:rsid w:val="004E1C12"/>
    <w:rsid w:val="004E1EF9"/>
    <w:rsid w:val="004E223B"/>
    <w:rsid w:val="004E2FE6"/>
    <w:rsid w:val="004E31FC"/>
    <w:rsid w:val="004E34E2"/>
    <w:rsid w:val="004E3934"/>
    <w:rsid w:val="004E3FEF"/>
    <w:rsid w:val="004E4101"/>
    <w:rsid w:val="004E4245"/>
    <w:rsid w:val="004E4EDB"/>
    <w:rsid w:val="004E5042"/>
    <w:rsid w:val="004E51A5"/>
    <w:rsid w:val="004E531D"/>
    <w:rsid w:val="004E5466"/>
    <w:rsid w:val="004E564C"/>
    <w:rsid w:val="004E6308"/>
    <w:rsid w:val="004E65B4"/>
    <w:rsid w:val="004E6A57"/>
    <w:rsid w:val="004E6DA2"/>
    <w:rsid w:val="004E7427"/>
    <w:rsid w:val="004E7438"/>
    <w:rsid w:val="004E7E38"/>
    <w:rsid w:val="004E7E70"/>
    <w:rsid w:val="004E7F59"/>
    <w:rsid w:val="004F0749"/>
    <w:rsid w:val="004F0D71"/>
    <w:rsid w:val="004F0FC4"/>
    <w:rsid w:val="004F1279"/>
    <w:rsid w:val="004F12C1"/>
    <w:rsid w:val="004F12EE"/>
    <w:rsid w:val="004F14B8"/>
    <w:rsid w:val="004F185C"/>
    <w:rsid w:val="004F1C52"/>
    <w:rsid w:val="004F1C68"/>
    <w:rsid w:val="004F230C"/>
    <w:rsid w:val="004F246A"/>
    <w:rsid w:val="004F27B5"/>
    <w:rsid w:val="004F285D"/>
    <w:rsid w:val="004F28E8"/>
    <w:rsid w:val="004F331D"/>
    <w:rsid w:val="004F39FB"/>
    <w:rsid w:val="004F3C98"/>
    <w:rsid w:val="004F3EF7"/>
    <w:rsid w:val="004F437A"/>
    <w:rsid w:val="004F4B7B"/>
    <w:rsid w:val="004F4B8E"/>
    <w:rsid w:val="004F4E4D"/>
    <w:rsid w:val="004F594F"/>
    <w:rsid w:val="004F605B"/>
    <w:rsid w:val="004F6165"/>
    <w:rsid w:val="004F644E"/>
    <w:rsid w:val="004F68EF"/>
    <w:rsid w:val="004F6BC5"/>
    <w:rsid w:val="004F6C47"/>
    <w:rsid w:val="004F75D6"/>
    <w:rsid w:val="004F76A9"/>
    <w:rsid w:val="004F782D"/>
    <w:rsid w:val="004F79FE"/>
    <w:rsid w:val="0050011B"/>
    <w:rsid w:val="0050041B"/>
    <w:rsid w:val="00500623"/>
    <w:rsid w:val="005006A5"/>
    <w:rsid w:val="005006BF"/>
    <w:rsid w:val="00500762"/>
    <w:rsid w:val="00500B97"/>
    <w:rsid w:val="00500BBF"/>
    <w:rsid w:val="00500BDB"/>
    <w:rsid w:val="00500C61"/>
    <w:rsid w:val="005011B7"/>
    <w:rsid w:val="0050134E"/>
    <w:rsid w:val="00501639"/>
    <w:rsid w:val="00501C88"/>
    <w:rsid w:val="00501E6D"/>
    <w:rsid w:val="00501F6E"/>
    <w:rsid w:val="00502084"/>
    <w:rsid w:val="005021C2"/>
    <w:rsid w:val="0050261F"/>
    <w:rsid w:val="00502803"/>
    <w:rsid w:val="00502FC8"/>
    <w:rsid w:val="005031A3"/>
    <w:rsid w:val="005032C8"/>
    <w:rsid w:val="005034D6"/>
    <w:rsid w:val="0050383C"/>
    <w:rsid w:val="0050388A"/>
    <w:rsid w:val="00504055"/>
    <w:rsid w:val="0050422E"/>
    <w:rsid w:val="005044FF"/>
    <w:rsid w:val="00504573"/>
    <w:rsid w:val="00504774"/>
    <w:rsid w:val="00504A1A"/>
    <w:rsid w:val="00504AE6"/>
    <w:rsid w:val="00504E64"/>
    <w:rsid w:val="00504EC6"/>
    <w:rsid w:val="00504FE2"/>
    <w:rsid w:val="005056A6"/>
    <w:rsid w:val="00505A02"/>
    <w:rsid w:val="00505C55"/>
    <w:rsid w:val="00505ED3"/>
    <w:rsid w:val="005060DB"/>
    <w:rsid w:val="00506B3B"/>
    <w:rsid w:val="00506B82"/>
    <w:rsid w:val="00506DF8"/>
    <w:rsid w:val="00506E6F"/>
    <w:rsid w:val="0050759D"/>
    <w:rsid w:val="005077F9"/>
    <w:rsid w:val="00507CBC"/>
    <w:rsid w:val="00507DD3"/>
    <w:rsid w:val="00510145"/>
    <w:rsid w:val="00510402"/>
    <w:rsid w:val="005107A2"/>
    <w:rsid w:val="00511034"/>
    <w:rsid w:val="0051143E"/>
    <w:rsid w:val="0051145B"/>
    <w:rsid w:val="005114C5"/>
    <w:rsid w:val="00511786"/>
    <w:rsid w:val="00511CBD"/>
    <w:rsid w:val="00511E89"/>
    <w:rsid w:val="00512655"/>
    <w:rsid w:val="00512867"/>
    <w:rsid w:val="00512963"/>
    <w:rsid w:val="00512B4A"/>
    <w:rsid w:val="00512D39"/>
    <w:rsid w:val="00513B4C"/>
    <w:rsid w:val="00513B73"/>
    <w:rsid w:val="00513CB1"/>
    <w:rsid w:val="00513F2B"/>
    <w:rsid w:val="005141E7"/>
    <w:rsid w:val="005143B7"/>
    <w:rsid w:val="005143D3"/>
    <w:rsid w:val="00514498"/>
    <w:rsid w:val="00514877"/>
    <w:rsid w:val="0051497E"/>
    <w:rsid w:val="00514AE2"/>
    <w:rsid w:val="00514E6D"/>
    <w:rsid w:val="00515024"/>
    <w:rsid w:val="00515157"/>
    <w:rsid w:val="00515236"/>
    <w:rsid w:val="005156C2"/>
    <w:rsid w:val="00515AE1"/>
    <w:rsid w:val="0051600F"/>
    <w:rsid w:val="005160F2"/>
    <w:rsid w:val="00516358"/>
    <w:rsid w:val="00516860"/>
    <w:rsid w:val="005168E2"/>
    <w:rsid w:val="00516CE9"/>
    <w:rsid w:val="00516DBF"/>
    <w:rsid w:val="00516EC0"/>
    <w:rsid w:val="00516F0F"/>
    <w:rsid w:val="0051732E"/>
    <w:rsid w:val="00517760"/>
    <w:rsid w:val="005179EA"/>
    <w:rsid w:val="00520313"/>
    <w:rsid w:val="0052031C"/>
    <w:rsid w:val="0052075C"/>
    <w:rsid w:val="00520774"/>
    <w:rsid w:val="00520BE3"/>
    <w:rsid w:val="00521011"/>
    <w:rsid w:val="00521567"/>
    <w:rsid w:val="005218C5"/>
    <w:rsid w:val="00521E4F"/>
    <w:rsid w:val="00521E7B"/>
    <w:rsid w:val="00522510"/>
    <w:rsid w:val="00522663"/>
    <w:rsid w:val="00522AFD"/>
    <w:rsid w:val="00522E7E"/>
    <w:rsid w:val="005232A6"/>
    <w:rsid w:val="005233B6"/>
    <w:rsid w:val="0052354B"/>
    <w:rsid w:val="005238C9"/>
    <w:rsid w:val="00523F67"/>
    <w:rsid w:val="0052403A"/>
    <w:rsid w:val="0052420A"/>
    <w:rsid w:val="0052494A"/>
    <w:rsid w:val="00524C8B"/>
    <w:rsid w:val="00525047"/>
    <w:rsid w:val="00525054"/>
    <w:rsid w:val="00525339"/>
    <w:rsid w:val="005259CE"/>
    <w:rsid w:val="00525C9C"/>
    <w:rsid w:val="005264C8"/>
    <w:rsid w:val="0052652B"/>
    <w:rsid w:val="005267B8"/>
    <w:rsid w:val="0052688D"/>
    <w:rsid w:val="005269E0"/>
    <w:rsid w:val="00526BC2"/>
    <w:rsid w:val="00526D40"/>
    <w:rsid w:val="005279B5"/>
    <w:rsid w:val="005279CA"/>
    <w:rsid w:val="00527DFD"/>
    <w:rsid w:val="00527E16"/>
    <w:rsid w:val="00527E6D"/>
    <w:rsid w:val="0053037D"/>
    <w:rsid w:val="0053045D"/>
    <w:rsid w:val="00530571"/>
    <w:rsid w:val="00530620"/>
    <w:rsid w:val="0053072A"/>
    <w:rsid w:val="005308C4"/>
    <w:rsid w:val="00530BDC"/>
    <w:rsid w:val="00530E37"/>
    <w:rsid w:val="00530E9D"/>
    <w:rsid w:val="00531370"/>
    <w:rsid w:val="005313F5"/>
    <w:rsid w:val="00531BF0"/>
    <w:rsid w:val="00531C18"/>
    <w:rsid w:val="00531C69"/>
    <w:rsid w:val="00531CDF"/>
    <w:rsid w:val="00532336"/>
    <w:rsid w:val="00532684"/>
    <w:rsid w:val="00532703"/>
    <w:rsid w:val="005327A0"/>
    <w:rsid w:val="00532C9F"/>
    <w:rsid w:val="00532DB8"/>
    <w:rsid w:val="00532E49"/>
    <w:rsid w:val="00533028"/>
    <w:rsid w:val="00533107"/>
    <w:rsid w:val="00533867"/>
    <w:rsid w:val="00533999"/>
    <w:rsid w:val="00533D22"/>
    <w:rsid w:val="00533D97"/>
    <w:rsid w:val="00533FF6"/>
    <w:rsid w:val="0053452A"/>
    <w:rsid w:val="00534AF7"/>
    <w:rsid w:val="00534CBA"/>
    <w:rsid w:val="00534DE5"/>
    <w:rsid w:val="005354AC"/>
    <w:rsid w:val="0053590A"/>
    <w:rsid w:val="0053595A"/>
    <w:rsid w:val="00535D90"/>
    <w:rsid w:val="00535DA8"/>
    <w:rsid w:val="00535F3F"/>
    <w:rsid w:val="0053604D"/>
    <w:rsid w:val="00536311"/>
    <w:rsid w:val="00536478"/>
    <w:rsid w:val="00536F1B"/>
    <w:rsid w:val="00537228"/>
    <w:rsid w:val="00537612"/>
    <w:rsid w:val="005376D2"/>
    <w:rsid w:val="00537839"/>
    <w:rsid w:val="00537B53"/>
    <w:rsid w:val="005400BB"/>
    <w:rsid w:val="005403CC"/>
    <w:rsid w:val="00540703"/>
    <w:rsid w:val="00540A7E"/>
    <w:rsid w:val="00540B7A"/>
    <w:rsid w:val="00540C42"/>
    <w:rsid w:val="0054133F"/>
    <w:rsid w:val="00541624"/>
    <w:rsid w:val="00541B22"/>
    <w:rsid w:val="00541EE3"/>
    <w:rsid w:val="00541EE9"/>
    <w:rsid w:val="00542024"/>
    <w:rsid w:val="00542A21"/>
    <w:rsid w:val="00542BC0"/>
    <w:rsid w:val="005437E4"/>
    <w:rsid w:val="00543A7A"/>
    <w:rsid w:val="00543BB0"/>
    <w:rsid w:val="00543CEF"/>
    <w:rsid w:val="00543D31"/>
    <w:rsid w:val="00544628"/>
    <w:rsid w:val="00544F10"/>
    <w:rsid w:val="00545239"/>
    <w:rsid w:val="00545883"/>
    <w:rsid w:val="0054592D"/>
    <w:rsid w:val="00545A5E"/>
    <w:rsid w:val="00545E11"/>
    <w:rsid w:val="00545F76"/>
    <w:rsid w:val="00545FFD"/>
    <w:rsid w:val="00546ACC"/>
    <w:rsid w:val="00547059"/>
    <w:rsid w:val="00547731"/>
    <w:rsid w:val="0054785F"/>
    <w:rsid w:val="005479EF"/>
    <w:rsid w:val="00547A5E"/>
    <w:rsid w:val="00547B01"/>
    <w:rsid w:val="00547B2B"/>
    <w:rsid w:val="00547F63"/>
    <w:rsid w:val="005500B4"/>
    <w:rsid w:val="005500EB"/>
    <w:rsid w:val="00550219"/>
    <w:rsid w:val="005502BC"/>
    <w:rsid w:val="00550536"/>
    <w:rsid w:val="0055084C"/>
    <w:rsid w:val="005508FF"/>
    <w:rsid w:val="00551196"/>
    <w:rsid w:val="005512D6"/>
    <w:rsid w:val="0055153D"/>
    <w:rsid w:val="005517B5"/>
    <w:rsid w:val="00551DBA"/>
    <w:rsid w:val="00552164"/>
    <w:rsid w:val="005524A8"/>
    <w:rsid w:val="00552917"/>
    <w:rsid w:val="005529F5"/>
    <w:rsid w:val="00552B3A"/>
    <w:rsid w:val="00553043"/>
    <w:rsid w:val="0055305D"/>
    <w:rsid w:val="0055343B"/>
    <w:rsid w:val="005535FA"/>
    <w:rsid w:val="00553666"/>
    <w:rsid w:val="005536FA"/>
    <w:rsid w:val="00553739"/>
    <w:rsid w:val="00553856"/>
    <w:rsid w:val="00553DB7"/>
    <w:rsid w:val="00553DFD"/>
    <w:rsid w:val="005543AE"/>
    <w:rsid w:val="005549F1"/>
    <w:rsid w:val="005549F8"/>
    <w:rsid w:val="00554A18"/>
    <w:rsid w:val="00554E5A"/>
    <w:rsid w:val="005555C8"/>
    <w:rsid w:val="0055584E"/>
    <w:rsid w:val="00555EBC"/>
    <w:rsid w:val="00556453"/>
    <w:rsid w:val="005564B5"/>
    <w:rsid w:val="00556A54"/>
    <w:rsid w:val="00556A6F"/>
    <w:rsid w:val="00556F60"/>
    <w:rsid w:val="00557344"/>
    <w:rsid w:val="00557724"/>
    <w:rsid w:val="00557750"/>
    <w:rsid w:val="005600A0"/>
    <w:rsid w:val="00560444"/>
    <w:rsid w:val="005605DB"/>
    <w:rsid w:val="005608EF"/>
    <w:rsid w:val="0056094F"/>
    <w:rsid w:val="005609CF"/>
    <w:rsid w:val="00561704"/>
    <w:rsid w:val="005618BB"/>
    <w:rsid w:val="00561A49"/>
    <w:rsid w:val="00561CD5"/>
    <w:rsid w:val="00561F01"/>
    <w:rsid w:val="00562256"/>
    <w:rsid w:val="0056226E"/>
    <w:rsid w:val="00562864"/>
    <w:rsid w:val="0056368F"/>
    <w:rsid w:val="005636FE"/>
    <w:rsid w:val="005638D2"/>
    <w:rsid w:val="00563C7E"/>
    <w:rsid w:val="005640B3"/>
    <w:rsid w:val="005644FA"/>
    <w:rsid w:val="0056453F"/>
    <w:rsid w:val="00564C62"/>
    <w:rsid w:val="005652DC"/>
    <w:rsid w:val="00565D97"/>
    <w:rsid w:val="0056611B"/>
    <w:rsid w:val="0056666D"/>
    <w:rsid w:val="0056698A"/>
    <w:rsid w:val="0056707C"/>
    <w:rsid w:val="00567575"/>
    <w:rsid w:val="005679C4"/>
    <w:rsid w:val="00567A71"/>
    <w:rsid w:val="00567D33"/>
    <w:rsid w:val="00567D4E"/>
    <w:rsid w:val="0057035D"/>
    <w:rsid w:val="00570C2B"/>
    <w:rsid w:val="00570D07"/>
    <w:rsid w:val="00571044"/>
    <w:rsid w:val="005712BD"/>
    <w:rsid w:val="005716D6"/>
    <w:rsid w:val="00571BED"/>
    <w:rsid w:val="00571EF1"/>
    <w:rsid w:val="005720D4"/>
    <w:rsid w:val="00572AAD"/>
    <w:rsid w:val="00572B61"/>
    <w:rsid w:val="00572E74"/>
    <w:rsid w:val="005730C1"/>
    <w:rsid w:val="005730E9"/>
    <w:rsid w:val="00573284"/>
    <w:rsid w:val="0057361E"/>
    <w:rsid w:val="00573C94"/>
    <w:rsid w:val="00573E39"/>
    <w:rsid w:val="0057459F"/>
    <w:rsid w:val="005746F0"/>
    <w:rsid w:val="00575B51"/>
    <w:rsid w:val="00575D7A"/>
    <w:rsid w:val="00575F64"/>
    <w:rsid w:val="00576AC6"/>
    <w:rsid w:val="00576BF9"/>
    <w:rsid w:val="00576DEB"/>
    <w:rsid w:val="005773DA"/>
    <w:rsid w:val="00577B9B"/>
    <w:rsid w:val="00580240"/>
    <w:rsid w:val="005803EC"/>
    <w:rsid w:val="00580AFF"/>
    <w:rsid w:val="00580ED5"/>
    <w:rsid w:val="0058102B"/>
    <w:rsid w:val="0058139A"/>
    <w:rsid w:val="00581997"/>
    <w:rsid w:val="00581D25"/>
    <w:rsid w:val="00581DA2"/>
    <w:rsid w:val="00581F30"/>
    <w:rsid w:val="0058228D"/>
    <w:rsid w:val="005825D6"/>
    <w:rsid w:val="005827BB"/>
    <w:rsid w:val="00582ED6"/>
    <w:rsid w:val="00582F8A"/>
    <w:rsid w:val="005831C6"/>
    <w:rsid w:val="005832F9"/>
    <w:rsid w:val="005833F6"/>
    <w:rsid w:val="00583502"/>
    <w:rsid w:val="00583851"/>
    <w:rsid w:val="0058399A"/>
    <w:rsid w:val="00583B93"/>
    <w:rsid w:val="00584310"/>
    <w:rsid w:val="0058487B"/>
    <w:rsid w:val="00584886"/>
    <w:rsid w:val="00585232"/>
    <w:rsid w:val="00585435"/>
    <w:rsid w:val="00586365"/>
    <w:rsid w:val="00586A08"/>
    <w:rsid w:val="00586A22"/>
    <w:rsid w:val="00586C62"/>
    <w:rsid w:val="0058709F"/>
    <w:rsid w:val="0058730F"/>
    <w:rsid w:val="00587511"/>
    <w:rsid w:val="005875D1"/>
    <w:rsid w:val="00587914"/>
    <w:rsid w:val="00587CED"/>
    <w:rsid w:val="00587E84"/>
    <w:rsid w:val="00587EA8"/>
    <w:rsid w:val="0059003F"/>
    <w:rsid w:val="00590185"/>
    <w:rsid w:val="0059071B"/>
    <w:rsid w:val="00590876"/>
    <w:rsid w:val="00590AA2"/>
    <w:rsid w:val="00591ED3"/>
    <w:rsid w:val="00591F01"/>
    <w:rsid w:val="00592096"/>
    <w:rsid w:val="0059241B"/>
    <w:rsid w:val="0059248B"/>
    <w:rsid w:val="00592C6F"/>
    <w:rsid w:val="00593189"/>
    <w:rsid w:val="005932E3"/>
    <w:rsid w:val="005936E8"/>
    <w:rsid w:val="005936EB"/>
    <w:rsid w:val="00593790"/>
    <w:rsid w:val="005938EE"/>
    <w:rsid w:val="00593A48"/>
    <w:rsid w:val="00593BCA"/>
    <w:rsid w:val="00593BEB"/>
    <w:rsid w:val="00593FD9"/>
    <w:rsid w:val="00594AF4"/>
    <w:rsid w:val="00594B99"/>
    <w:rsid w:val="0059550E"/>
    <w:rsid w:val="0059575E"/>
    <w:rsid w:val="00595846"/>
    <w:rsid w:val="00595AE9"/>
    <w:rsid w:val="00595C58"/>
    <w:rsid w:val="00596016"/>
    <w:rsid w:val="00596108"/>
    <w:rsid w:val="00596126"/>
    <w:rsid w:val="005961E2"/>
    <w:rsid w:val="0059629C"/>
    <w:rsid w:val="00596357"/>
    <w:rsid w:val="00596481"/>
    <w:rsid w:val="0059683A"/>
    <w:rsid w:val="00596A76"/>
    <w:rsid w:val="00596D64"/>
    <w:rsid w:val="0059733B"/>
    <w:rsid w:val="00597386"/>
    <w:rsid w:val="00597BF8"/>
    <w:rsid w:val="005A004D"/>
    <w:rsid w:val="005A0200"/>
    <w:rsid w:val="005A06C7"/>
    <w:rsid w:val="005A0730"/>
    <w:rsid w:val="005A07CA"/>
    <w:rsid w:val="005A0A1E"/>
    <w:rsid w:val="005A0BE0"/>
    <w:rsid w:val="005A0D75"/>
    <w:rsid w:val="005A1487"/>
    <w:rsid w:val="005A1AF8"/>
    <w:rsid w:val="005A1CEF"/>
    <w:rsid w:val="005A1D41"/>
    <w:rsid w:val="005A244C"/>
    <w:rsid w:val="005A2B6D"/>
    <w:rsid w:val="005A2BBA"/>
    <w:rsid w:val="005A2FCC"/>
    <w:rsid w:val="005A30CD"/>
    <w:rsid w:val="005A40B7"/>
    <w:rsid w:val="005A4445"/>
    <w:rsid w:val="005A4747"/>
    <w:rsid w:val="005A4B10"/>
    <w:rsid w:val="005A4D68"/>
    <w:rsid w:val="005A5298"/>
    <w:rsid w:val="005A5447"/>
    <w:rsid w:val="005A5538"/>
    <w:rsid w:val="005A55B0"/>
    <w:rsid w:val="005A572A"/>
    <w:rsid w:val="005A58B6"/>
    <w:rsid w:val="005A5993"/>
    <w:rsid w:val="005A5CDD"/>
    <w:rsid w:val="005A6177"/>
    <w:rsid w:val="005A66D2"/>
    <w:rsid w:val="005A6775"/>
    <w:rsid w:val="005A68BD"/>
    <w:rsid w:val="005A7BEA"/>
    <w:rsid w:val="005A7CC0"/>
    <w:rsid w:val="005B00F3"/>
    <w:rsid w:val="005B0309"/>
    <w:rsid w:val="005B0661"/>
    <w:rsid w:val="005B0784"/>
    <w:rsid w:val="005B0BAC"/>
    <w:rsid w:val="005B11FB"/>
    <w:rsid w:val="005B15A7"/>
    <w:rsid w:val="005B185F"/>
    <w:rsid w:val="005B1BE5"/>
    <w:rsid w:val="005B1EE1"/>
    <w:rsid w:val="005B2882"/>
    <w:rsid w:val="005B2B21"/>
    <w:rsid w:val="005B2E1D"/>
    <w:rsid w:val="005B33F2"/>
    <w:rsid w:val="005B3426"/>
    <w:rsid w:val="005B3652"/>
    <w:rsid w:val="005B3839"/>
    <w:rsid w:val="005B4035"/>
    <w:rsid w:val="005B419F"/>
    <w:rsid w:val="005B433D"/>
    <w:rsid w:val="005B43F8"/>
    <w:rsid w:val="005B47B9"/>
    <w:rsid w:val="005B52B7"/>
    <w:rsid w:val="005B59EA"/>
    <w:rsid w:val="005B5AB2"/>
    <w:rsid w:val="005B600E"/>
    <w:rsid w:val="005B60BF"/>
    <w:rsid w:val="005B698D"/>
    <w:rsid w:val="005B6A9D"/>
    <w:rsid w:val="005B6ABB"/>
    <w:rsid w:val="005B6B8D"/>
    <w:rsid w:val="005B6FF8"/>
    <w:rsid w:val="005B7553"/>
    <w:rsid w:val="005B7767"/>
    <w:rsid w:val="005B7D9D"/>
    <w:rsid w:val="005C001B"/>
    <w:rsid w:val="005C0202"/>
    <w:rsid w:val="005C0624"/>
    <w:rsid w:val="005C0E13"/>
    <w:rsid w:val="005C10CF"/>
    <w:rsid w:val="005C1729"/>
    <w:rsid w:val="005C1F7B"/>
    <w:rsid w:val="005C23EF"/>
    <w:rsid w:val="005C2665"/>
    <w:rsid w:val="005C2DA7"/>
    <w:rsid w:val="005C2DE9"/>
    <w:rsid w:val="005C2F29"/>
    <w:rsid w:val="005C306B"/>
    <w:rsid w:val="005C3115"/>
    <w:rsid w:val="005C336F"/>
    <w:rsid w:val="005C3384"/>
    <w:rsid w:val="005C34A5"/>
    <w:rsid w:val="005C396B"/>
    <w:rsid w:val="005C3997"/>
    <w:rsid w:val="005C3B9B"/>
    <w:rsid w:val="005C3F12"/>
    <w:rsid w:val="005C4414"/>
    <w:rsid w:val="005C462D"/>
    <w:rsid w:val="005C4BFA"/>
    <w:rsid w:val="005C535E"/>
    <w:rsid w:val="005C56F3"/>
    <w:rsid w:val="005C5AA4"/>
    <w:rsid w:val="005C5B3F"/>
    <w:rsid w:val="005C5EA8"/>
    <w:rsid w:val="005C613B"/>
    <w:rsid w:val="005C6176"/>
    <w:rsid w:val="005C647A"/>
    <w:rsid w:val="005C6ABE"/>
    <w:rsid w:val="005C6BEC"/>
    <w:rsid w:val="005C6C28"/>
    <w:rsid w:val="005C74E4"/>
    <w:rsid w:val="005C7D20"/>
    <w:rsid w:val="005C7D72"/>
    <w:rsid w:val="005C7DBE"/>
    <w:rsid w:val="005D00BB"/>
    <w:rsid w:val="005D04C3"/>
    <w:rsid w:val="005D09BD"/>
    <w:rsid w:val="005D0D01"/>
    <w:rsid w:val="005D0F3D"/>
    <w:rsid w:val="005D13A8"/>
    <w:rsid w:val="005D1D2E"/>
    <w:rsid w:val="005D1E5B"/>
    <w:rsid w:val="005D260C"/>
    <w:rsid w:val="005D27B9"/>
    <w:rsid w:val="005D2835"/>
    <w:rsid w:val="005D351D"/>
    <w:rsid w:val="005D35C0"/>
    <w:rsid w:val="005D36F1"/>
    <w:rsid w:val="005D432A"/>
    <w:rsid w:val="005D43C2"/>
    <w:rsid w:val="005D4BE0"/>
    <w:rsid w:val="005D4C0C"/>
    <w:rsid w:val="005D4F86"/>
    <w:rsid w:val="005D559B"/>
    <w:rsid w:val="005D5C19"/>
    <w:rsid w:val="005D5D5C"/>
    <w:rsid w:val="005D5FA0"/>
    <w:rsid w:val="005D64AF"/>
    <w:rsid w:val="005D6514"/>
    <w:rsid w:val="005D6659"/>
    <w:rsid w:val="005D67C9"/>
    <w:rsid w:val="005D6830"/>
    <w:rsid w:val="005D6A33"/>
    <w:rsid w:val="005D6E69"/>
    <w:rsid w:val="005D729A"/>
    <w:rsid w:val="005D73B3"/>
    <w:rsid w:val="005D73DC"/>
    <w:rsid w:val="005D755B"/>
    <w:rsid w:val="005D7566"/>
    <w:rsid w:val="005D773E"/>
    <w:rsid w:val="005D7C53"/>
    <w:rsid w:val="005D7D05"/>
    <w:rsid w:val="005D7E84"/>
    <w:rsid w:val="005D7F94"/>
    <w:rsid w:val="005D7FB6"/>
    <w:rsid w:val="005E00C1"/>
    <w:rsid w:val="005E0761"/>
    <w:rsid w:val="005E0AF8"/>
    <w:rsid w:val="005E0BF2"/>
    <w:rsid w:val="005E0C26"/>
    <w:rsid w:val="005E0D95"/>
    <w:rsid w:val="005E1063"/>
    <w:rsid w:val="005E1154"/>
    <w:rsid w:val="005E12DF"/>
    <w:rsid w:val="005E1508"/>
    <w:rsid w:val="005E198A"/>
    <w:rsid w:val="005E1B55"/>
    <w:rsid w:val="005E1C4D"/>
    <w:rsid w:val="005E1E4A"/>
    <w:rsid w:val="005E1ED8"/>
    <w:rsid w:val="005E1F0E"/>
    <w:rsid w:val="005E222F"/>
    <w:rsid w:val="005E252B"/>
    <w:rsid w:val="005E2C57"/>
    <w:rsid w:val="005E2D6C"/>
    <w:rsid w:val="005E3499"/>
    <w:rsid w:val="005E3731"/>
    <w:rsid w:val="005E3FDF"/>
    <w:rsid w:val="005E40C2"/>
    <w:rsid w:val="005E4396"/>
    <w:rsid w:val="005E4857"/>
    <w:rsid w:val="005E4FC3"/>
    <w:rsid w:val="005E5222"/>
    <w:rsid w:val="005E53D7"/>
    <w:rsid w:val="005E56ED"/>
    <w:rsid w:val="005E5837"/>
    <w:rsid w:val="005E5856"/>
    <w:rsid w:val="005E5894"/>
    <w:rsid w:val="005E5A71"/>
    <w:rsid w:val="005E5C90"/>
    <w:rsid w:val="005E5CC7"/>
    <w:rsid w:val="005E5D5F"/>
    <w:rsid w:val="005E5FBE"/>
    <w:rsid w:val="005E62C6"/>
    <w:rsid w:val="005E633C"/>
    <w:rsid w:val="005E6447"/>
    <w:rsid w:val="005E64DB"/>
    <w:rsid w:val="005E68F1"/>
    <w:rsid w:val="005E6B93"/>
    <w:rsid w:val="005E6E38"/>
    <w:rsid w:val="005E6E55"/>
    <w:rsid w:val="005E7199"/>
    <w:rsid w:val="005E7FE0"/>
    <w:rsid w:val="005F01CA"/>
    <w:rsid w:val="005F0410"/>
    <w:rsid w:val="005F07BD"/>
    <w:rsid w:val="005F0962"/>
    <w:rsid w:val="005F12D1"/>
    <w:rsid w:val="005F2086"/>
    <w:rsid w:val="005F2321"/>
    <w:rsid w:val="005F23B5"/>
    <w:rsid w:val="005F29AF"/>
    <w:rsid w:val="005F2A7F"/>
    <w:rsid w:val="005F2F61"/>
    <w:rsid w:val="005F35DC"/>
    <w:rsid w:val="005F37D6"/>
    <w:rsid w:val="005F3B5E"/>
    <w:rsid w:val="005F3C62"/>
    <w:rsid w:val="005F41AF"/>
    <w:rsid w:val="005F45C1"/>
    <w:rsid w:val="005F4E29"/>
    <w:rsid w:val="005F563B"/>
    <w:rsid w:val="005F570E"/>
    <w:rsid w:val="005F6091"/>
    <w:rsid w:val="005F63FF"/>
    <w:rsid w:val="005F65A9"/>
    <w:rsid w:val="005F6652"/>
    <w:rsid w:val="005F688C"/>
    <w:rsid w:val="005F6DB2"/>
    <w:rsid w:val="005F6F9D"/>
    <w:rsid w:val="005F736D"/>
    <w:rsid w:val="005F7392"/>
    <w:rsid w:val="005F75CD"/>
    <w:rsid w:val="005F7AB2"/>
    <w:rsid w:val="005F7F52"/>
    <w:rsid w:val="006000FE"/>
    <w:rsid w:val="0060017E"/>
    <w:rsid w:val="0060022D"/>
    <w:rsid w:val="006004DC"/>
    <w:rsid w:val="00600564"/>
    <w:rsid w:val="00600613"/>
    <w:rsid w:val="00600972"/>
    <w:rsid w:val="006010B5"/>
    <w:rsid w:val="006017B4"/>
    <w:rsid w:val="006017C2"/>
    <w:rsid w:val="00601C47"/>
    <w:rsid w:val="00601D61"/>
    <w:rsid w:val="006020AC"/>
    <w:rsid w:val="006023D8"/>
    <w:rsid w:val="0060247F"/>
    <w:rsid w:val="00602511"/>
    <w:rsid w:val="00602601"/>
    <w:rsid w:val="00602C4D"/>
    <w:rsid w:val="006031C0"/>
    <w:rsid w:val="006031D5"/>
    <w:rsid w:val="006031D7"/>
    <w:rsid w:val="00603A06"/>
    <w:rsid w:val="00603C7C"/>
    <w:rsid w:val="00603F65"/>
    <w:rsid w:val="00603FCE"/>
    <w:rsid w:val="0060438C"/>
    <w:rsid w:val="006048FB"/>
    <w:rsid w:val="00604DE1"/>
    <w:rsid w:val="006058DD"/>
    <w:rsid w:val="006059BF"/>
    <w:rsid w:val="00606012"/>
    <w:rsid w:val="0060642A"/>
    <w:rsid w:val="0060655A"/>
    <w:rsid w:val="0060690D"/>
    <w:rsid w:val="00606AD7"/>
    <w:rsid w:val="00606B17"/>
    <w:rsid w:val="00606F08"/>
    <w:rsid w:val="0060737D"/>
    <w:rsid w:val="006073A6"/>
    <w:rsid w:val="00607731"/>
    <w:rsid w:val="006078F4"/>
    <w:rsid w:val="00607EED"/>
    <w:rsid w:val="0061020A"/>
    <w:rsid w:val="00610497"/>
    <w:rsid w:val="006104C5"/>
    <w:rsid w:val="00610829"/>
    <w:rsid w:val="0061084F"/>
    <w:rsid w:val="00610851"/>
    <w:rsid w:val="0061091F"/>
    <w:rsid w:val="00610AE3"/>
    <w:rsid w:val="00610D45"/>
    <w:rsid w:val="0061199B"/>
    <w:rsid w:val="00611A78"/>
    <w:rsid w:val="00611C24"/>
    <w:rsid w:val="00611DEA"/>
    <w:rsid w:val="00612296"/>
    <w:rsid w:val="006123AA"/>
    <w:rsid w:val="00612613"/>
    <w:rsid w:val="00612648"/>
    <w:rsid w:val="0061297C"/>
    <w:rsid w:val="00612A35"/>
    <w:rsid w:val="00612BA4"/>
    <w:rsid w:val="00613441"/>
    <w:rsid w:val="006134E3"/>
    <w:rsid w:val="00613714"/>
    <w:rsid w:val="006137F6"/>
    <w:rsid w:val="00613C1B"/>
    <w:rsid w:val="00614076"/>
    <w:rsid w:val="006140BF"/>
    <w:rsid w:val="0061469C"/>
    <w:rsid w:val="006146C4"/>
    <w:rsid w:val="00614718"/>
    <w:rsid w:val="00615748"/>
    <w:rsid w:val="006157F0"/>
    <w:rsid w:val="00615832"/>
    <w:rsid w:val="006159C6"/>
    <w:rsid w:val="00615AE6"/>
    <w:rsid w:val="00616572"/>
    <w:rsid w:val="00616AAF"/>
    <w:rsid w:val="00616D43"/>
    <w:rsid w:val="00617075"/>
    <w:rsid w:val="006170DE"/>
    <w:rsid w:val="00617598"/>
    <w:rsid w:val="00617721"/>
    <w:rsid w:val="00617722"/>
    <w:rsid w:val="0061780E"/>
    <w:rsid w:val="00617C0E"/>
    <w:rsid w:val="00617EC2"/>
    <w:rsid w:val="00620137"/>
    <w:rsid w:val="006201E7"/>
    <w:rsid w:val="00620360"/>
    <w:rsid w:val="0062036A"/>
    <w:rsid w:val="00620817"/>
    <w:rsid w:val="00620A49"/>
    <w:rsid w:val="00620BD5"/>
    <w:rsid w:val="00621056"/>
    <w:rsid w:val="00621BA1"/>
    <w:rsid w:val="006220E7"/>
    <w:rsid w:val="006221B2"/>
    <w:rsid w:val="00622225"/>
    <w:rsid w:val="006224DE"/>
    <w:rsid w:val="0062256C"/>
    <w:rsid w:val="006226E4"/>
    <w:rsid w:val="00622B2F"/>
    <w:rsid w:val="00622D80"/>
    <w:rsid w:val="00623045"/>
    <w:rsid w:val="006239BF"/>
    <w:rsid w:val="00623E9A"/>
    <w:rsid w:val="00624979"/>
    <w:rsid w:val="0062513F"/>
    <w:rsid w:val="006253FE"/>
    <w:rsid w:val="00625653"/>
    <w:rsid w:val="00625A2D"/>
    <w:rsid w:val="00625E75"/>
    <w:rsid w:val="0062623E"/>
    <w:rsid w:val="00626313"/>
    <w:rsid w:val="00626932"/>
    <w:rsid w:val="006277EF"/>
    <w:rsid w:val="00627CAB"/>
    <w:rsid w:val="00627F6A"/>
    <w:rsid w:val="006300B6"/>
    <w:rsid w:val="0063101D"/>
    <w:rsid w:val="0063124C"/>
    <w:rsid w:val="00631285"/>
    <w:rsid w:val="0063155D"/>
    <w:rsid w:val="00631754"/>
    <w:rsid w:val="006317E7"/>
    <w:rsid w:val="006319CE"/>
    <w:rsid w:val="00631A64"/>
    <w:rsid w:val="00631A95"/>
    <w:rsid w:val="00631D2C"/>
    <w:rsid w:val="00632589"/>
    <w:rsid w:val="006328CC"/>
    <w:rsid w:val="00632992"/>
    <w:rsid w:val="00632C72"/>
    <w:rsid w:val="00632D56"/>
    <w:rsid w:val="00632F59"/>
    <w:rsid w:val="00633113"/>
    <w:rsid w:val="006332BF"/>
    <w:rsid w:val="0063393B"/>
    <w:rsid w:val="00633BC0"/>
    <w:rsid w:val="006348C9"/>
    <w:rsid w:val="00634904"/>
    <w:rsid w:val="00634FE4"/>
    <w:rsid w:val="00634FF7"/>
    <w:rsid w:val="006351F9"/>
    <w:rsid w:val="0063536D"/>
    <w:rsid w:val="006355BB"/>
    <w:rsid w:val="006355C4"/>
    <w:rsid w:val="00635C58"/>
    <w:rsid w:val="00635C9A"/>
    <w:rsid w:val="00635CDB"/>
    <w:rsid w:val="00635D3B"/>
    <w:rsid w:val="0063658C"/>
    <w:rsid w:val="006366BA"/>
    <w:rsid w:val="00637742"/>
    <w:rsid w:val="00637797"/>
    <w:rsid w:val="006378B5"/>
    <w:rsid w:val="00637CCE"/>
    <w:rsid w:val="0064009F"/>
    <w:rsid w:val="00640A53"/>
    <w:rsid w:val="00640CD6"/>
    <w:rsid w:val="00640D74"/>
    <w:rsid w:val="006413BC"/>
    <w:rsid w:val="00641780"/>
    <w:rsid w:val="00641924"/>
    <w:rsid w:val="00641996"/>
    <w:rsid w:val="006420FA"/>
    <w:rsid w:val="0064228B"/>
    <w:rsid w:val="00642600"/>
    <w:rsid w:val="0064269A"/>
    <w:rsid w:val="0064276F"/>
    <w:rsid w:val="006428DF"/>
    <w:rsid w:val="00642956"/>
    <w:rsid w:val="00642A1D"/>
    <w:rsid w:val="00642C64"/>
    <w:rsid w:val="00642CD5"/>
    <w:rsid w:val="00642D34"/>
    <w:rsid w:val="006433F2"/>
    <w:rsid w:val="006433F9"/>
    <w:rsid w:val="0064344F"/>
    <w:rsid w:val="006437E9"/>
    <w:rsid w:val="00643DC8"/>
    <w:rsid w:val="00643F6C"/>
    <w:rsid w:val="006441F7"/>
    <w:rsid w:val="006442B9"/>
    <w:rsid w:val="006443F8"/>
    <w:rsid w:val="00644804"/>
    <w:rsid w:val="00644CC9"/>
    <w:rsid w:val="006450F7"/>
    <w:rsid w:val="0064520C"/>
    <w:rsid w:val="006452A7"/>
    <w:rsid w:val="006452CB"/>
    <w:rsid w:val="00645468"/>
    <w:rsid w:val="006454C8"/>
    <w:rsid w:val="00646011"/>
    <w:rsid w:val="00646665"/>
    <w:rsid w:val="00646B28"/>
    <w:rsid w:val="00646DAC"/>
    <w:rsid w:val="00647230"/>
    <w:rsid w:val="0064724B"/>
    <w:rsid w:val="00647310"/>
    <w:rsid w:val="0064772C"/>
    <w:rsid w:val="00647C17"/>
    <w:rsid w:val="00647C6F"/>
    <w:rsid w:val="00647D2A"/>
    <w:rsid w:val="00650785"/>
    <w:rsid w:val="00650A2A"/>
    <w:rsid w:val="00650B27"/>
    <w:rsid w:val="00650EDD"/>
    <w:rsid w:val="00651474"/>
    <w:rsid w:val="006516C5"/>
    <w:rsid w:val="00651700"/>
    <w:rsid w:val="00651ED3"/>
    <w:rsid w:val="00652064"/>
    <w:rsid w:val="006521E0"/>
    <w:rsid w:val="0065227A"/>
    <w:rsid w:val="00652530"/>
    <w:rsid w:val="00652941"/>
    <w:rsid w:val="00653233"/>
    <w:rsid w:val="006537AE"/>
    <w:rsid w:val="00653837"/>
    <w:rsid w:val="00653CC0"/>
    <w:rsid w:val="0065427B"/>
    <w:rsid w:val="00654440"/>
    <w:rsid w:val="00654747"/>
    <w:rsid w:val="006549F0"/>
    <w:rsid w:val="00654DFF"/>
    <w:rsid w:val="00654F9B"/>
    <w:rsid w:val="00654FE4"/>
    <w:rsid w:val="00655084"/>
    <w:rsid w:val="0065519E"/>
    <w:rsid w:val="00655EB1"/>
    <w:rsid w:val="00656093"/>
    <w:rsid w:val="00656200"/>
    <w:rsid w:val="006565ED"/>
    <w:rsid w:val="006567D7"/>
    <w:rsid w:val="00656803"/>
    <w:rsid w:val="00656CD4"/>
    <w:rsid w:val="00657150"/>
    <w:rsid w:val="0065724E"/>
    <w:rsid w:val="0065736D"/>
    <w:rsid w:val="00657521"/>
    <w:rsid w:val="00657577"/>
    <w:rsid w:val="00657746"/>
    <w:rsid w:val="00657BB7"/>
    <w:rsid w:val="00657BF1"/>
    <w:rsid w:val="00660109"/>
    <w:rsid w:val="00660658"/>
    <w:rsid w:val="00660BC8"/>
    <w:rsid w:val="00660D5C"/>
    <w:rsid w:val="00660FC1"/>
    <w:rsid w:val="006614AA"/>
    <w:rsid w:val="0066168F"/>
    <w:rsid w:val="00661CCD"/>
    <w:rsid w:val="006627FD"/>
    <w:rsid w:val="00662BB2"/>
    <w:rsid w:val="00662CAD"/>
    <w:rsid w:val="00662DCF"/>
    <w:rsid w:val="00663576"/>
    <w:rsid w:val="00663707"/>
    <w:rsid w:val="006639C1"/>
    <w:rsid w:val="00663A42"/>
    <w:rsid w:val="00663A46"/>
    <w:rsid w:val="00663B33"/>
    <w:rsid w:val="00663B4A"/>
    <w:rsid w:val="00663C51"/>
    <w:rsid w:val="00663E5F"/>
    <w:rsid w:val="00663EA9"/>
    <w:rsid w:val="00664032"/>
    <w:rsid w:val="006640E4"/>
    <w:rsid w:val="0066429F"/>
    <w:rsid w:val="00664A5B"/>
    <w:rsid w:val="00664B29"/>
    <w:rsid w:val="00664BCC"/>
    <w:rsid w:val="0066514C"/>
    <w:rsid w:val="00665315"/>
    <w:rsid w:val="00665578"/>
    <w:rsid w:val="0066577C"/>
    <w:rsid w:val="006658B5"/>
    <w:rsid w:val="00665CD1"/>
    <w:rsid w:val="00665CEF"/>
    <w:rsid w:val="00665E7E"/>
    <w:rsid w:val="00666EDC"/>
    <w:rsid w:val="00666F57"/>
    <w:rsid w:val="0066700B"/>
    <w:rsid w:val="00667061"/>
    <w:rsid w:val="006671E5"/>
    <w:rsid w:val="00667207"/>
    <w:rsid w:val="006678C8"/>
    <w:rsid w:val="00667945"/>
    <w:rsid w:val="00667C41"/>
    <w:rsid w:val="00667D62"/>
    <w:rsid w:val="00667D77"/>
    <w:rsid w:val="00667F76"/>
    <w:rsid w:val="006700B6"/>
    <w:rsid w:val="006702C4"/>
    <w:rsid w:val="006709CA"/>
    <w:rsid w:val="00670C56"/>
    <w:rsid w:val="00670DD4"/>
    <w:rsid w:val="00670E80"/>
    <w:rsid w:val="00670EC6"/>
    <w:rsid w:val="00670ED6"/>
    <w:rsid w:val="006711E1"/>
    <w:rsid w:val="0067189D"/>
    <w:rsid w:val="00671CE7"/>
    <w:rsid w:val="00672343"/>
    <w:rsid w:val="0067257A"/>
    <w:rsid w:val="006725B7"/>
    <w:rsid w:val="006726D9"/>
    <w:rsid w:val="006727B8"/>
    <w:rsid w:val="00672942"/>
    <w:rsid w:val="00672976"/>
    <w:rsid w:val="00672B39"/>
    <w:rsid w:val="00672C9A"/>
    <w:rsid w:val="0067337C"/>
    <w:rsid w:val="006733D4"/>
    <w:rsid w:val="00674045"/>
    <w:rsid w:val="00674382"/>
    <w:rsid w:val="0067441A"/>
    <w:rsid w:val="00674425"/>
    <w:rsid w:val="006746C3"/>
    <w:rsid w:val="00674B6A"/>
    <w:rsid w:val="00674CD1"/>
    <w:rsid w:val="00674E42"/>
    <w:rsid w:val="006750FE"/>
    <w:rsid w:val="0067532D"/>
    <w:rsid w:val="00675718"/>
    <w:rsid w:val="006758DE"/>
    <w:rsid w:val="00675951"/>
    <w:rsid w:val="006759A0"/>
    <w:rsid w:val="00675AA5"/>
    <w:rsid w:val="00675D96"/>
    <w:rsid w:val="00676FF0"/>
    <w:rsid w:val="0067768E"/>
    <w:rsid w:val="0067776F"/>
    <w:rsid w:val="00677858"/>
    <w:rsid w:val="00680260"/>
    <w:rsid w:val="00680511"/>
    <w:rsid w:val="00680654"/>
    <w:rsid w:val="006808D4"/>
    <w:rsid w:val="00680A31"/>
    <w:rsid w:val="00680A4F"/>
    <w:rsid w:val="00680CB2"/>
    <w:rsid w:val="00680FE5"/>
    <w:rsid w:val="00680FFB"/>
    <w:rsid w:val="00681077"/>
    <w:rsid w:val="006816B0"/>
    <w:rsid w:val="0068185D"/>
    <w:rsid w:val="00681C47"/>
    <w:rsid w:val="00682179"/>
    <w:rsid w:val="00682598"/>
    <w:rsid w:val="006828D2"/>
    <w:rsid w:val="00682D25"/>
    <w:rsid w:val="00682E89"/>
    <w:rsid w:val="00682F5D"/>
    <w:rsid w:val="006832EB"/>
    <w:rsid w:val="00683339"/>
    <w:rsid w:val="006839BA"/>
    <w:rsid w:val="006840C4"/>
    <w:rsid w:val="006842F7"/>
    <w:rsid w:val="00684CFC"/>
    <w:rsid w:val="00684D43"/>
    <w:rsid w:val="006850FA"/>
    <w:rsid w:val="006853BA"/>
    <w:rsid w:val="00685B8E"/>
    <w:rsid w:val="00686005"/>
    <w:rsid w:val="006863FE"/>
    <w:rsid w:val="00686491"/>
    <w:rsid w:val="006868AE"/>
    <w:rsid w:val="006868D4"/>
    <w:rsid w:val="00686D6D"/>
    <w:rsid w:val="00686F4A"/>
    <w:rsid w:val="006870C5"/>
    <w:rsid w:val="00687159"/>
    <w:rsid w:val="00687522"/>
    <w:rsid w:val="00687658"/>
    <w:rsid w:val="0068772C"/>
    <w:rsid w:val="00687CEF"/>
    <w:rsid w:val="00687EF9"/>
    <w:rsid w:val="0069005B"/>
    <w:rsid w:val="0069064F"/>
    <w:rsid w:val="00690759"/>
    <w:rsid w:val="006910E4"/>
    <w:rsid w:val="0069146F"/>
    <w:rsid w:val="006918DF"/>
    <w:rsid w:val="00691D32"/>
    <w:rsid w:val="00692268"/>
    <w:rsid w:val="00692509"/>
    <w:rsid w:val="006926B0"/>
    <w:rsid w:val="00692EB3"/>
    <w:rsid w:val="0069337F"/>
    <w:rsid w:val="006934D1"/>
    <w:rsid w:val="00693DD0"/>
    <w:rsid w:val="006949DE"/>
    <w:rsid w:val="00694A2B"/>
    <w:rsid w:val="00694DEE"/>
    <w:rsid w:val="00694E26"/>
    <w:rsid w:val="00694E56"/>
    <w:rsid w:val="006950B1"/>
    <w:rsid w:val="006951CF"/>
    <w:rsid w:val="00695393"/>
    <w:rsid w:val="0069548C"/>
    <w:rsid w:val="00695549"/>
    <w:rsid w:val="00695587"/>
    <w:rsid w:val="006955B5"/>
    <w:rsid w:val="0069587E"/>
    <w:rsid w:val="00695C7F"/>
    <w:rsid w:val="00695C85"/>
    <w:rsid w:val="00695C91"/>
    <w:rsid w:val="00695E67"/>
    <w:rsid w:val="0069727B"/>
    <w:rsid w:val="0069734E"/>
    <w:rsid w:val="006976AD"/>
    <w:rsid w:val="006978E5"/>
    <w:rsid w:val="00697BDE"/>
    <w:rsid w:val="00697EA8"/>
    <w:rsid w:val="00697FDD"/>
    <w:rsid w:val="006A04D6"/>
    <w:rsid w:val="006A06DF"/>
    <w:rsid w:val="006A08E6"/>
    <w:rsid w:val="006A0B90"/>
    <w:rsid w:val="006A1788"/>
    <w:rsid w:val="006A1A8B"/>
    <w:rsid w:val="006A2067"/>
    <w:rsid w:val="006A20CD"/>
    <w:rsid w:val="006A28CF"/>
    <w:rsid w:val="006A28FE"/>
    <w:rsid w:val="006A2D4C"/>
    <w:rsid w:val="006A2E9B"/>
    <w:rsid w:val="006A2EF6"/>
    <w:rsid w:val="006A3109"/>
    <w:rsid w:val="006A35D5"/>
    <w:rsid w:val="006A3717"/>
    <w:rsid w:val="006A3BE4"/>
    <w:rsid w:val="006A4B1D"/>
    <w:rsid w:val="006A4C31"/>
    <w:rsid w:val="006A4CBA"/>
    <w:rsid w:val="006A4FBE"/>
    <w:rsid w:val="006A5351"/>
    <w:rsid w:val="006A5664"/>
    <w:rsid w:val="006A57DA"/>
    <w:rsid w:val="006A67CF"/>
    <w:rsid w:val="006A692B"/>
    <w:rsid w:val="006A69CD"/>
    <w:rsid w:val="006A6D9D"/>
    <w:rsid w:val="006A7520"/>
    <w:rsid w:val="006A772B"/>
    <w:rsid w:val="006A797E"/>
    <w:rsid w:val="006A7CB3"/>
    <w:rsid w:val="006B0000"/>
    <w:rsid w:val="006B034E"/>
    <w:rsid w:val="006B0454"/>
    <w:rsid w:val="006B0606"/>
    <w:rsid w:val="006B0D05"/>
    <w:rsid w:val="006B0E97"/>
    <w:rsid w:val="006B0FB9"/>
    <w:rsid w:val="006B101E"/>
    <w:rsid w:val="006B113E"/>
    <w:rsid w:val="006B122B"/>
    <w:rsid w:val="006B139B"/>
    <w:rsid w:val="006B1690"/>
    <w:rsid w:val="006B175E"/>
    <w:rsid w:val="006B17EF"/>
    <w:rsid w:val="006B1E1C"/>
    <w:rsid w:val="006B23B2"/>
    <w:rsid w:val="006B25E6"/>
    <w:rsid w:val="006B2854"/>
    <w:rsid w:val="006B2AFE"/>
    <w:rsid w:val="006B2E8C"/>
    <w:rsid w:val="006B3077"/>
    <w:rsid w:val="006B30E4"/>
    <w:rsid w:val="006B310B"/>
    <w:rsid w:val="006B3420"/>
    <w:rsid w:val="006B3451"/>
    <w:rsid w:val="006B35CB"/>
    <w:rsid w:val="006B39BB"/>
    <w:rsid w:val="006B3CA4"/>
    <w:rsid w:val="006B3D4B"/>
    <w:rsid w:val="006B3EC5"/>
    <w:rsid w:val="006B3F83"/>
    <w:rsid w:val="006B41B7"/>
    <w:rsid w:val="006B435B"/>
    <w:rsid w:val="006B4887"/>
    <w:rsid w:val="006B59AE"/>
    <w:rsid w:val="006B6330"/>
    <w:rsid w:val="006B693A"/>
    <w:rsid w:val="006B6A80"/>
    <w:rsid w:val="006B6A98"/>
    <w:rsid w:val="006B6B9E"/>
    <w:rsid w:val="006B6CA7"/>
    <w:rsid w:val="006B6F4D"/>
    <w:rsid w:val="006B768A"/>
    <w:rsid w:val="006B7C30"/>
    <w:rsid w:val="006B7CD1"/>
    <w:rsid w:val="006B7DE9"/>
    <w:rsid w:val="006B7F4F"/>
    <w:rsid w:val="006C0142"/>
    <w:rsid w:val="006C019E"/>
    <w:rsid w:val="006C12BD"/>
    <w:rsid w:val="006C14E6"/>
    <w:rsid w:val="006C1561"/>
    <w:rsid w:val="006C17FB"/>
    <w:rsid w:val="006C1AA4"/>
    <w:rsid w:val="006C1C4C"/>
    <w:rsid w:val="006C1C6D"/>
    <w:rsid w:val="006C1CF3"/>
    <w:rsid w:val="006C1DE2"/>
    <w:rsid w:val="006C1DFE"/>
    <w:rsid w:val="006C1EC5"/>
    <w:rsid w:val="006C22E6"/>
    <w:rsid w:val="006C24E8"/>
    <w:rsid w:val="006C28D7"/>
    <w:rsid w:val="006C292F"/>
    <w:rsid w:val="006C2B89"/>
    <w:rsid w:val="006C3299"/>
    <w:rsid w:val="006C3CB8"/>
    <w:rsid w:val="006C4029"/>
    <w:rsid w:val="006C4370"/>
    <w:rsid w:val="006C45AD"/>
    <w:rsid w:val="006C45F1"/>
    <w:rsid w:val="006C4CF9"/>
    <w:rsid w:val="006C4D46"/>
    <w:rsid w:val="006C4ED5"/>
    <w:rsid w:val="006C4FD0"/>
    <w:rsid w:val="006C537B"/>
    <w:rsid w:val="006C557D"/>
    <w:rsid w:val="006C5954"/>
    <w:rsid w:val="006C5D87"/>
    <w:rsid w:val="006C5DF8"/>
    <w:rsid w:val="006C5F7B"/>
    <w:rsid w:val="006C6025"/>
    <w:rsid w:val="006C644E"/>
    <w:rsid w:val="006C653D"/>
    <w:rsid w:val="006C6653"/>
    <w:rsid w:val="006C6C44"/>
    <w:rsid w:val="006C6F7F"/>
    <w:rsid w:val="006C7546"/>
    <w:rsid w:val="006C762E"/>
    <w:rsid w:val="006C76CE"/>
    <w:rsid w:val="006C7F5B"/>
    <w:rsid w:val="006D0532"/>
    <w:rsid w:val="006D05BF"/>
    <w:rsid w:val="006D0A71"/>
    <w:rsid w:val="006D0C2F"/>
    <w:rsid w:val="006D1383"/>
    <w:rsid w:val="006D142D"/>
    <w:rsid w:val="006D18B5"/>
    <w:rsid w:val="006D1ED4"/>
    <w:rsid w:val="006D1FE2"/>
    <w:rsid w:val="006D254D"/>
    <w:rsid w:val="006D275A"/>
    <w:rsid w:val="006D277E"/>
    <w:rsid w:val="006D2864"/>
    <w:rsid w:val="006D2FC7"/>
    <w:rsid w:val="006D3179"/>
    <w:rsid w:val="006D370F"/>
    <w:rsid w:val="006D425D"/>
    <w:rsid w:val="006D45F7"/>
    <w:rsid w:val="006D4B00"/>
    <w:rsid w:val="006D4FE8"/>
    <w:rsid w:val="006D5797"/>
    <w:rsid w:val="006D5B7D"/>
    <w:rsid w:val="006D6080"/>
    <w:rsid w:val="006D618D"/>
    <w:rsid w:val="006D6369"/>
    <w:rsid w:val="006D650B"/>
    <w:rsid w:val="006D6865"/>
    <w:rsid w:val="006D68C0"/>
    <w:rsid w:val="006D6DBB"/>
    <w:rsid w:val="006D6E84"/>
    <w:rsid w:val="006D713A"/>
    <w:rsid w:val="006D7177"/>
    <w:rsid w:val="006D71E7"/>
    <w:rsid w:val="006D72B0"/>
    <w:rsid w:val="006D74C9"/>
    <w:rsid w:val="006D7744"/>
    <w:rsid w:val="006D7897"/>
    <w:rsid w:val="006D78BD"/>
    <w:rsid w:val="006D7993"/>
    <w:rsid w:val="006D7C31"/>
    <w:rsid w:val="006D7F07"/>
    <w:rsid w:val="006D7F9E"/>
    <w:rsid w:val="006E0341"/>
    <w:rsid w:val="006E05ED"/>
    <w:rsid w:val="006E0646"/>
    <w:rsid w:val="006E0876"/>
    <w:rsid w:val="006E08DB"/>
    <w:rsid w:val="006E0950"/>
    <w:rsid w:val="006E0B7F"/>
    <w:rsid w:val="006E0BA3"/>
    <w:rsid w:val="006E0CEB"/>
    <w:rsid w:val="006E1249"/>
    <w:rsid w:val="006E12B3"/>
    <w:rsid w:val="006E1361"/>
    <w:rsid w:val="006E15EF"/>
    <w:rsid w:val="006E1A2A"/>
    <w:rsid w:val="006E1AE0"/>
    <w:rsid w:val="006E1B78"/>
    <w:rsid w:val="006E1FAA"/>
    <w:rsid w:val="006E20F6"/>
    <w:rsid w:val="006E2122"/>
    <w:rsid w:val="006E24CA"/>
    <w:rsid w:val="006E2541"/>
    <w:rsid w:val="006E26DF"/>
    <w:rsid w:val="006E29B3"/>
    <w:rsid w:val="006E2B54"/>
    <w:rsid w:val="006E3453"/>
    <w:rsid w:val="006E3A2D"/>
    <w:rsid w:val="006E3E81"/>
    <w:rsid w:val="006E400E"/>
    <w:rsid w:val="006E4186"/>
    <w:rsid w:val="006E4312"/>
    <w:rsid w:val="006E437B"/>
    <w:rsid w:val="006E4BA8"/>
    <w:rsid w:val="006E4BEF"/>
    <w:rsid w:val="006E4C1A"/>
    <w:rsid w:val="006E5219"/>
    <w:rsid w:val="006E535A"/>
    <w:rsid w:val="006E53A0"/>
    <w:rsid w:val="006E5C92"/>
    <w:rsid w:val="006E5D3C"/>
    <w:rsid w:val="006E5D65"/>
    <w:rsid w:val="006E612C"/>
    <w:rsid w:val="006E64D5"/>
    <w:rsid w:val="006E6ADF"/>
    <w:rsid w:val="006E6C55"/>
    <w:rsid w:val="006E7617"/>
    <w:rsid w:val="006E779C"/>
    <w:rsid w:val="006E77B9"/>
    <w:rsid w:val="006E782E"/>
    <w:rsid w:val="006E7DDA"/>
    <w:rsid w:val="006F065F"/>
    <w:rsid w:val="006F0829"/>
    <w:rsid w:val="006F0B95"/>
    <w:rsid w:val="006F0F1C"/>
    <w:rsid w:val="006F1A80"/>
    <w:rsid w:val="006F1AC6"/>
    <w:rsid w:val="006F275C"/>
    <w:rsid w:val="006F2A4A"/>
    <w:rsid w:val="006F2B63"/>
    <w:rsid w:val="006F2ECF"/>
    <w:rsid w:val="006F3642"/>
    <w:rsid w:val="006F3B59"/>
    <w:rsid w:val="006F3E00"/>
    <w:rsid w:val="006F4151"/>
    <w:rsid w:val="006F4963"/>
    <w:rsid w:val="006F4973"/>
    <w:rsid w:val="006F51AA"/>
    <w:rsid w:val="006F53E0"/>
    <w:rsid w:val="006F5637"/>
    <w:rsid w:val="006F5731"/>
    <w:rsid w:val="006F5A4B"/>
    <w:rsid w:val="006F5B8C"/>
    <w:rsid w:val="006F5DB9"/>
    <w:rsid w:val="006F60E8"/>
    <w:rsid w:val="006F623F"/>
    <w:rsid w:val="006F65B6"/>
    <w:rsid w:val="006F6C00"/>
    <w:rsid w:val="006F6E4D"/>
    <w:rsid w:val="006F743B"/>
    <w:rsid w:val="006F764F"/>
    <w:rsid w:val="006F7AD3"/>
    <w:rsid w:val="006F7B02"/>
    <w:rsid w:val="00700222"/>
    <w:rsid w:val="007003F9"/>
    <w:rsid w:val="007005FA"/>
    <w:rsid w:val="00700863"/>
    <w:rsid w:val="00700B3A"/>
    <w:rsid w:val="00700D82"/>
    <w:rsid w:val="00700E72"/>
    <w:rsid w:val="00700F81"/>
    <w:rsid w:val="00701043"/>
    <w:rsid w:val="0070106A"/>
    <w:rsid w:val="00701632"/>
    <w:rsid w:val="00701890"/>
    <w:rsid w:val="00701935"/>
    <w:rsid w:val="00701A5D"/>
    <w:rsid w:val="00701EB4"/>
    <w:rsid w:val="00702097"/>
    <w:rsid w:val="0070244C"/>
    <w:rsid w:val="007024D0"/>
    <w:rsid w:val="007026C5"/>
    <w:rsid w:val="00702CCD"/>
    <w:rsid w:val="00702EFC"/>
    <w:rsid w:val="007032D6"/>
    <w:rsid w:val="00703370"/>
    <w:rsid w:val="00703A13"/>
    <w:rsid w:val="00703DFE"/>
    <w:rsid w:val="00704A28"/>
    <w:rsid w:val="00704A97"/>
    <w:rsid w:val="00705297"/>
    <w:rsid w:val="007054B9"/>
    <w:rsid w:val="0070591B"/>
    <w:rsid w:val="0070676C"/>
    <w:rsid w:val="00707070"/>
    <w:rsid w:val="0070728E"/>
    <w:rsid w:val="0070777D"/>
    <w:rsid w:val="00707CBD"/>
    <w:rsid w:val="00707CFC"/>
    <w:rsid w:val="00707E1C"/>
    <w:rsid w:val="007100E8"/>
    <w:rsid w:val="00710205"/>
    <w:rsid w:val="0071022B"/>
    <w:rsid w:val="00710264"/>
    <w:rsid w:val="00710468"/>
    <w:rsid w:val="00710904"/>
    <w:rsid w:val="00710958"/>
    <w:rsid w:val="00710B5D"/>
    <w:rsid w:val="00710DF7"/>
    <w:rsid w:val="007117DD"/>
    <w:rsid w:val="007117F4"/>
    <w:rsid w:val="00711B02"/>
    <w:rsid w:val="00711F44"/>
    <w:rsid w:val="0071213A"/>
    <w:rsid w:val="0071221F"/>
    <w:rsid w:val="0071246C"/>
    <w:rsid w:val="007130F8"/>
    <w:rsid w:val="0071355E"/>
    <w:rsid w:val="00713844"/>
    <w:rsid w:val="0071386B"/>
    <w:rsid w:val="00713C2D"/>
    <w:rsid w:val="00713D13"/>
    <w:rsid w:val="00713F0B"/>
    <w:rsid w:val="00713F46"/>
    <w:rsid w:val="007144E3"/>
    <w:rsid w:val="0071479E"/>
    <w:rsid w:val="00714934"/>
    <w:rsid w:val="00714B3B"/>
    <w:rsid w:val="00714FAC"/>
    <w:rsid w:val="00715200"/>
    <w:rsid w:val="00715309"/>
    <w:rsid w:val="00715431"/>
    <w:rsid w:val="00715C28"/>
    <w:rsid w:val="00715D4D"/>
    <w:rsid w:val="007164CB"/>
    <w:rsid w:val="00716692"/>
    <w:rsid w:val="00716CE3"/>
    <w:rsid w:val="00717074"/>
    <w:rsid w:val="007170D6"/>
    <w:rsid w:val="007175F5"/>
    <w:rsid w:val="00717955"/>
    <w:rsid w:val="00717DF5"/>
    <w:rsid w:val="007200F6"/>
    <w:rsid w:val="0072048D"/>
    <w:rsid w:val="00720824"/>
    <w:rsid w:val="00720C14"/>
    <w:rsid w:val="00720E42"/>
    <w:rsid w:val="007216E0"/>
    <w:rsid w:val="00721713"/>
    <w:rsid w:val="007219BA"/>
    <w:rsid w:val="00721A9C"/>
    <w:rsid w:val="00721B0F"/>
    <w:rsid w:val="00721C13"/>
    <w:rsid w:val="00721CC3"/>
    <w:rsid w:val="007224F2"/>
    <w:rsid w:val="00722738"/>
    <w:rsid w:val="007228B8"/>
    <w:rsid w:val="00722A16"/>
    <w:rsid w:val="00722A7E"/>
    <w:rsid w:val="00722BD3"/>
    <w:rsid w:val="00722FCB"/>
    <w:rsid w:val="0072328F"/>
    <w:rsid w:val="00723807"/>
    <w:rsid w:val="00723A0F"/>
    <w:rsid w:val="007241A0"/>
    <w:rsid w:val="00724991"/>
    <w:rsid w:val="00724EAE"/>
    <w:rsid w:val="00725234"/>
    <w:rsid w:val="007255A8"/>
    <w:rsid w:val="007255E6"/>
    <w:rsid w:val="00725731"/>
    <w:rsid w:val="00725C49"/>
    <w:rsid w:val="00725F29"/>
    <w:rsid w:val="007261AC"/>
    <w:rsid w:val="00726210"/>
    <w:rsid w:val="007267CE"/>
    <w:rsid w:val="00726F55"/>
    <w:rsid w:val="00727C1A"/>
    <w:rsid w:val="00727E4C"/>
    <w:rsid w:val="00727EBC"/>
    <w:rsid w:val="00727ED8"/>
    <w:rsid w:val="0073016F"/>
    <w:rsid w:val="00730563"/>
    <w:rsid w:val="0073065D"/>
    <w:rsid w:val="00730785"/>
    <w:rsid w:val="007307FA"/>
    <w:rsid w:val="00730824"/>
    <w:rsid w:val="00730AFB"/>
    <w:rsid w:val="00730B3D"/>
    <w:rsid w:val="00730B64"/>
    <w:rsid w:val="007311AE"/>
    <w:rsid w:val="007315F4"/>
    <w:rsid w:val="00731893"/>
    <w:rsid w:val="0073190F"/>
    <w:rsid w:val="00731929"/>
    <w:rsid w:val="00732408"/>
    <w:rsid w:val="00732637"/>
    <w:rsid w:val="00732B88"/>
    <w:rsid w:val="007334AC"/>
    <w:rsid w:val="00733C9C"/>
    <w:rsid w:val="00734505"/>
    <w:rsid w:val="00734DA9"/>
    <w:rsid w:val="00734F0D"/>
    <w:rsid w:val="007352A4"/>
    <w:rsid w:val="00735802"/>
    <w:rsid w:val="007358F4"/>
    <w:rsid w:val="0073598D"/>
    <w:rsid w:val="00735CB9"/>
    <w:rsid w:val="00735ED2"/>
    <w:rsid w:val="00736369"/>
    <w:rsid w:val="00736674"/>
    <w:rsid w:val="007366C7"/>
    <w:rsid w:val="007372E5"/>
    <w:rsid w:val="007373AF"/>
    <w:rsid w:val="00737495"/>
    <w:rsid w:val="007375A8"/>
    <w:rsid w:val="007377B7"/>
    <w:rsid w:val="00737A71"/>
    <w:rsid w:val="00737BAA"/>
    <w:rsid w:val="00740235"/>
    <w:rsid w:val="00740329"/>
    <w:rsid w:val="007404F7"/>
    <w:rsid w:val="0074098A"/>
    <w:rsid w:val="00741408"/>
    <w:rsid w:val="0074155D"/>
    <w:rsid w:val="007418C8"/>
    <w:rsid w:val="00741C13"/>
    <w:rsid w:val="00741F5F"/>
    <w:rsid w:val="0074207E"/>
    <w:rsid w:val="0074224E"/>
    <w:rsid w:val="00742AC9"/>
    <w:rsid w:val="0074326D"/>
    <w:rsid w:val="0074332A"/>
    <w:rsid w:val="007434E4"/>
    <w:rsid w:val="00743909"/>
    <w:rsid w:val="0074399D"/>
    <w:rsid w:val="00743ACD"/>
    <w:rsid w:val="00743C86"/>
    <w:rsid w:val="00744447"/>
    <w:rsid w:val="00744DF3"/>
    <w:rsid w:val="0074509A"/>
    <w:rsid w:val="007451E0"/>
    <w:rsid w:val="0074520C"/>
    <w:rsid w:val="00745466"/>
    <w:rsid w:val="007454BA"/>
    <w:rsid w:val="007454E8"/>
    <w:rsid w:val="00745ACC"/>
    <w:rsid w:val="00745B1A"/>
    <w:rsid w:val="00746386"/>
    <w:rsid w:val="00746590"/>
    <w:rsid w:val="00746649"/>
    <w:rsid w:val="00746A20"/>
    <w:rsid w:val="00746D19"/>
    <w:rsid w:val="00746D91"/>
    <w:rsid w:val="007470F6"/>
    <w:rsid w:val="007472DA"/>
    <w:rsid w:val="00747791"/>
    <w:rsid w:val="00747F73"/>
    <w:rsid w:val="00747FFE"/>
    <w:rsid w:val="00750027"/>
    <w:rsid w:val="0075071B"/>
    <w:rsid w:val="00750A88"/>
    <w:rsid w:val="00750DAF"/>
    <w:rsid w:val="00750FD0"/>
    <w:rsid w:val="00751040"/>
    <w:rsid w:val="00751568"/>
    <w:rsid w:val="00751A4A"/>
    <w:rsid w:val="00751C05"/>
    <w:rsid w:val="00751DF9"/>
    <w:rsid w:val="00751E9C"/>
    <w:rsid w:val="00751F82"/>
    <w:rsid w:val="00752036"/>
    <w:rsid w:val="007522C3"/>
    <w:rsid w:val="007524C4"/>
    <w:rsid w:val="00752699"/>
    <w:rsid w:val="0075296B"/>
    <w:rsid w:val="00752C6A"/>
    <w:rsid w:val="00752D8A"/>
    <w:rsid w:val="00752E17"/>
    <w:rsid w:val="0075337B"/>
    <w:rsid w:val="00753384"/>
    <w:rsid w:val="0075346E"/>
    <w:rsid w:val="007534C0"/>
    <w:rsid w:val="00753790"/>
    <w:rsid w:val="00753F80"/>
    <w:rsid w:val="007543CE"/>
    <w:rsid w:val="00754927"/>
    <w:rsid w:val="00754BC4"/>
    <w:rsid w:val="00754BDF"/>
    <w:rsid w:val="00754EB6"/>
    <w:rsid w:val="00755153"/>
    <w:rsid w:val="00755A4E"/>
    <w:rsid w:val="00755DF4"/>
    <w:rsid w:val="00755EB3"/>
    <w:rsid w:val="00756002"/>
    <w:rsid w:val="007560D4"/>
    <w:rsid w:val="007563E8"/>
    <w:rsid w:val="0075641A"/>
    <w:rsid w:val="00756541"/>
    <w:rsid w:val="00756815"/>
    <w:rsid w:val="00756AD1"/>
    <w:rsid w:val="00757344"/>
    <w:rsid w:val="00757490"/>
    <w:rsid w:val="00757D84"/>
    <w:rsid w:val="00760071"/>
    <w:rsid w:val="0076028E"/>
    <w:rsid w:val="00760DA2"/>
    <w:rsid w:val="0076114E"/>
    <w:rsid w:val="0076124A"/>
    <w:rsid w:val="007618C1"/>
    <w:rsid w:val="00761B2E"/>
    <w:rsid w:val="00761DCE"/>
    <w:rsid w:val="00761FE2"/>
    <w:rsid w:val="00762295"/>
    <w:rsid w:val="007624E0"/>
    <w:rsid w:val="0076253C"/>
    <w:rsid w:val="00762890"/>
    <w:rsid w:val="00762AF1"/>
    <w:rsid w:val="00762E6B"/>
    <w:rsid w:val="007632AB"/>
    <w:rsid w:val="00763494"/>
    <w:rsid w:val="007635F2"/>
    <w:rsid w:val="00763839"/>
    <w:rsid w:val="007641A2"/>
    <w:rsid w:val="0076452D"/>
    <w:rsid w:val="007646E3"/>
    <w:rsid w:val="007647C5"/>
    <w:rsid w:val="007647C8"/>
    <w:rsid w:val="007649B7"/>
    <w:rsid w:val="007649E8"/>
    <w:rsid w:val="00764B3B"/>
    <w:rsid w:val="00764C57"/>
    <w:rsid w:val="0076530B"/>
    <w:rsid w:val="00765577"/>
    <w:rsid w:val="0076584B"/>
    <w:rsid w:val="007658BB"/>
    <w:rsid w:val="00765AB7"/>
    <w:rsid w:val="00765D32"/>
    <w:rsid w:val="007664AC"/>
    <w:rsid w:val="00766CE5"/>
    <w:rsid w:val="0076718A"/>
    <w:rsid w:val="00767248"/>
    <w:rsid w:val="00767306"/>
    <w:rsid w:val="007674C8"/>
    <w:rsid w:val="0076768D"/>
    <w:rsid w:val="00767815"/>
    <w:rsid w:val="00767BD9"/>
    <w:rsid w:val="00767C7A"/>
    <w:rsid w:val="00767CAB"/>
    <w:rsid w:val="00767E3D"/>
    <w:rsid w:val="00767F2D"/>
    <w:rsid w:val="0077094B"/>
    <w:rsid w:val="00771B11"/>
    <w:rsid w:val="00771C9A"/>
    <w:rsid w:val="00771F10"/>
    <w:rsid w:val="007723F9"/>
    <w:rsid w:val="00772533"/>
    <w:rsid w:val="00772627"/>
    <w:rsid w:val="00772D16"/>
    <w:rsid w:val="00772DC2"/>
    <w:rsid w:val="00773094"/>
    <w:rsid w:val="007730CA"/>
    <w:rsid w:val="00773AB8"/>
    <w:rsid w:val="00773D38"/>
    <w:rsid w:val="00774714"/>
    <w:rsid w:val="007749C6"/>
    <w:rsid w:val="00775101"/>
    <w:rsid w:val="0077535D"/>
    <w:rsid w:val="00775639"/>
    <w:rsid w:val="007757E0"/>
    <w:rsid w:val="007759BD"/>
    <w:rsid w:val="00775D9E"/>
    <w:rsid w:val="00775E7B"/>
    <w:rsid w:val="007761E3"/>
    <w:rsid w:val="007765AC"/>
    <w:rsid w:val="007767C2"/>
    <w:rsid w:val="00776804"/>
    <w:rsid w:val="00776F27"/>
    <w:rsid w:val="007774E9"/>
    <w:rsid w:val="00777D8F"/>
    <w:rsid w:val="00777DA3"/>
    <w:rsid w:val="00777EBD"/>
    <w:rsid w:val="00780256"/>
    <w:rsid w:val="007802BA"/>
    <w:rsid w:val="007804A5"/>
    <w:rsid w:val="007809E2"/>
    <w:rsid w:val="00780A60"/>
    <w:rsid w:val="00780D5C"/>
    <w:rsid w:val="007811DF"/>
    <w:rsid w:val="0078159C"/>
    <w:rsid w:val="00781FDD"/>
    <w:rsid w:val="00781FE5"/>
    <w:rsid w:val="00782115"/>
    <w:rsid w:val="00782123"/>
    <w:rsid w:val="007823AA"/>
    <w:rsid w:val="00782413"/>
    <w:rsid w:val="0078257F"/>
    <w:rsid w:val="007826D5"/>
    <w:rsid w:val="00782F06"/>
    <w:rsid w:val="00783160"/>
    <w:rsid w:val="007836D3"/>
    <w:rsid w:val="00783AAF"/>
    <w:rsid w:val="00783BCE"/>
    <w:rsid w:val="00783DAC"/>
    <w:rsid w:val="00783E4A"/>
    <w:rsid w:val="00784194"/>
    <w:rsid w:val="00785B41"/>
    <w:rsid w:val="00785DCA"/>
    <w:rsid w:val="00785E93"/>
    <w:rsid w:val="00785ED3"/>
    <w:rsid w:val="00786455"/>
    <w:rsid w:val="00786B25"/>
    <w:rsid w:val="00787396"/>
    <w:rsid w:val="007877C6"/>
    <w:rsid w:val="00787881"/>
    <w:rsid w:val="00787BA2"/>
    <w:rsid w:val="00787C11"/>
    <w:rsid w:val="00790255"/>
    <w:rsid w:val="007902CC"/>
    <w:rsid w:val="00791A49"/>
    <w:rsid w:val="00791B01"/>
    <w:rsid w:val="00791CF2"/>
    <w:rsid w:val="00792220"/>
    <w:rsid w:val="0079247E"/>
    <w:rsid w:val="007924B5"/>
    <w:rsid w:val="0079255A"/>
    <w:rsid w:val="007925EB"/>
    <w:rsid w:val="007929AD"/>
    <w:rsid w:val="00792A4B"/>
    <w:rsid w:val="007930F0"/>
    <w:rsid w:val="00793667"/>
    <w:rsid w:val="0079378A"/>
    <w:rsid w:val="00793914"/>
    <w:rsid w:val="0079391A"/>
    <w:rsid w:val="00794AAF"/>
    <w:rsid w:val="00794B2F"/>
    <w:rsid w:val="00794B9C"/>
    <w:rsid w:val="00794E6D"/>
    <w:rsid w:val="007954A8"/>
    <w:rsid w:val="00795C51"/>
    <w:rsid w:val="00795D61"/>
    <w:rsid w:val="00796349"/>
    <w:rsid w:val="00796427"/>
    <w:rsid w:val="0079667C"/>
    <w:rsid w:val="007976DF"/>
    <w:rsid w:val="00797E7F"/>
    <w:rsid w:val="007A003B"/>
    <w:rsid w:val="007A02D1"/>
    <w:rsid w:val="007A0613"/>
    <w:rsid w:val="007A0A28"/>
    <w:rsid w:val="007A0D9F"/>
    <w:rsid w:val="007A128D"/>
    <w:rsid w:val="007A196D"/>
    <w:rsid w:val="007A2237"/>
    <w:rsid w:val="007A2463"/>
    <w:rsid w:val="007A2527"/>
    <w:rsid w:val="007A29A7"/>
    <w:rsid w:val="007A29BA"/>
    <w:rsid w:val="007A2B70"/>
    <w:rsid w:val="007A2EE3"/>
    <w:rsid w:val="007A309C"/>
    <w:rsid w:val="007A3109"/>
    <w:rsid w:val="007A38AF"/>
    <w:rsid w:val="007A3A2C"/>
    <w:rsid w:val="007A3F36"/>
    <w:rsid w:val="007A4605"/>
    <w:rsid w:val="007A485C"/>
    <w:rsid w:val="007A503D"/>
    <w:rsid w:val="007A515F"/>
    <w:rsid w:val="007A55A6"/>
    <w:rsid w:val="007A5625"/>
    <w:rsid w:val="007A57C4"/>
    <w:rsid w:val="007A5893"/>
    <w:rsid w:val="007A5BBC"/>
    <w:rsid w:val="007A606B"/>
    <w:rsid w:val="007A6230"/>
    <w:rsid w:val="007A7806"/>
    <w:rsid w:val="007A7B6D"/>
    <w:rsid w:val="007B00C9"/>
    <w:rsid w:val="007B064F"/>
    <w:rsid w:val="007B090A"/>
    <w:rsid w:val="007B0A60"/>
    <w:rsid w:val="007B0A87"/>
    <w:rsid w:val="007B0D08"/>
    <w:rsid w:val="007B0E32"/>
    <w:rsid w:val="007B10AA"/>
    <w:rsid w:val="007B15CF"/>
    <w:rsid w:val="007B164E"/>
    <w:rsid w:val="007B1757"/>
    <w:rsid w:val="007B1FD8"/>
    <w:rsid w:val="007B29A7"/>
    <w:rsid w:val="007B2D9D"/>
    <w:rsid w:val="007B3366"/>
    <w:rsid w:val="007B3AED"/>
    <w:rsid w:val="007B3B79"/>
    <w:rsid w:val="007B3D6C"/>
    <w:rsid w:val="007B4066"/>
    <w:rsid w:val="007B4666"/>
    <w:rsid w:val="007B4BBC"/>
    <w:rsid w:val="007B5280"/>
    <w:rsid w:val="007B555C"/>
    <w:rsid w:val="007B5828"/>
    <w:rsid w:val="007B5AAE"/>
    <w:rsid w:val="007B5F38"/>
    <w:rsid w:val="007B6595"/>
    <w:rsid w:val="007B70A0"/>
    <w:rsid w:val="007B73B7"/>
    <w:rsid w:val="007B74D9"/>
    <w:rsid w:val="007B779A"/>
    <w:rsid w:val="007B7FE6"/>
    <w:rsid w:val="007C02F4"/>
    <w:rsid w:val="007C042E"/>
    <w:rsid w:val="007C0E1C"/>
    <w:rsid w:val="007C0ED7"/>
    <w:rsid w:val="007C0F64"/>
    <w:rsid w:val="007C10D0"/>
    <w:rsid w:val="007C12D8"/>
    <w:rsid w:val="007C1342"/>
    <w:rsid w:val="007C15DD"/>
    <w:rsid w:val="007C176E"/>
    <w:rsid w:val="007C1A9D"/>
    <w:rsid w:val="007C1C3F"/>
    <w:rsid w:val="007C2023"/>
    <w:rsid w:val="007C2348"/>
    <w:rsid w:val="007C24C6"/>
    <w:rsid w:val="007C288A"/>
    <w:rsid w:val="007C29AA"/>
    <w:rsid w:val="007C2A09"/>
    <w:rsid w:val="007C2C8C"/>
    <w:rsid w:val="007C2F49"/>
    <w:rsid w:val="007C319F"/>
    <w:rsid w:val="007C33D7"/>
    <w:rsid w:val="007C35B7"/>
    <w:rsid w:val="007C3639"/>
    <w:rsid w:val="007C3D39"/>
    <w:rsid w:val="007C3F1D"/>
    <w:rsid w:val="007C4107"/>
    <w:rsid w:val="007C443D"/>
    <w:rsid w:val="007C4814"/>
    <w:rsid w:val="007C4A70"/>
    <w:rsid w:val="007C51A5"/>
    <w:rsid w:val="007C5298"/>
    <w:rsid w:val="007C5299"/>
    <w:rsid w:val="007C58DF"/>
    <w:rsid w:val="007C5B34"/>
    <w:rsid w:val="007C5E4A"/>
    <w:rsid w:val="007C61E1"/>
    <w:rsid w:val="007C6228"/>
    <w:rsid w:val="007C65D4"/>
    <w:rsid w:val="007C6B11"/>
    <w:rsid w:val="007C6B7C"/>
    <w:rsid w:val="007C6EB4"/>
    <w:rsid w:val="007C7150"/>
    <w:rsid w:val="007C7181"/>
    <w:rsid w:val="007C76EC"/>
    <w:rsid w:val="007C7BE0"/>
    <w:rsid w:val="007C7E89"/>
    <w:rsid w:val="007C7F30"/>
    <w:rsid w:val="007D033C"/>
    <w:rsid w:val="007D085D"/>
    <w:rsid w:val="007D08E5"/>
    <w:rsid w:val="007D0CA3"/>
    <w:rsid w:val="007D10D2"/>
    <w:rsid w:val="007D12BF"/>
    <w:rsid w:val="007D13A5"/>
    <w:rsid w:val="007D147F"/>
    <w:rsid w:val="007D177F"/>
    <w:rsid w:val="007D1899"/>
    <w:rsid w:val="007D1A18"/>
    <w:rsid w:val="007D1CEA"/>
    <w:rsid w:val="007D1E20"/>
    <w:rsid w:val="007D1F5F"/>
    <w:rsid w:val="007D2045"/>
    <w:rsid w:val="007D2157"/>
    <w:rsid w:val="007D229C"/>
    <w:rsid w:val="007D22E0"/>
    <w:rsid w:val="007D23FE"/>
    <w:rsid w:val="007D26FC"/>
    <w:rsid w:val="007D27D5"/>
    <w:rsid w:val="007D29F0"/>
    <w:rsid w:val="007D2F5E"/>
    <w:rsid w:val="007D3AF4"/>
    <w:rsid w:val="007D40D2"/>
    <w:rsid w:val="007D40F5"/>
    <w:rsid w:val="007D42C8"/>
    <w:rsid w:val="007D42FC"/>
    <w:rsid w:val="007D454C"/>
    <w:rsid w:val="007D45A8"/>
    <w:rsid w:val="007D4721"/>
    <w:rsid w:val="007D47FC"/>
    <w:rsid w:val="007D4C72"/>
    <w:rsid w:val="007D4D56"/>
    <w:rsid w:val="007D541D"/>
    <w:rsid w:val="007D58F9"/>
    <w:rsid w:val="007D5927"/>
    <w:rsid w:val="007D5A8A"/>
    <w:rsid w:val="007D5CAD"/>
    <w:rsid w:val="007D5D04"/>
    <w:rsid w:val="007D5FEA"/>
    <w:rsid w:val="007D612D"/>
    <w:rsid w:val="007D6255"/>
    <w:rsid w:val="007D67B4"/>
    <w:rsid w:val="007D6E91"/>
    <w:rsid w:val="007D6EC6"/>
    <w:rsid w:val="007D750F"/>
    <w:rsid w:val="007D78CD"/>
    <w:rsid w:val="007D7C44"/>
    <w:rsid w:val="007D7EE9"/>
    <w:rsid w:val="007E0BBC"/>
    <w:rsid w:val="007E0C85"/>
    <w:rsid w:val="007E0DBC"/>
    <w:rsid w:val="007E0F34"/>
    <w:rsid w:val="007E1622"/>
    <w:rsid w:val="007E1A7F"/>
    <w:rsid w:val="007E1C46"/>
    <w:rsid w:val="007E1E0C"/>
    <w:rsid w:val="007E1F4E"/>
    <w:rsid w:val="007E2240"/>
    <w:rsid w:val="007E2B46"/>
    <w:rsid w:val="007E37B6"/>
    <w:rsid w:val="007E3DE0"/>
    <w:rsid w:val="007E4448"/>
    <w:rsid w:val="007E467D"/>
    <w:rsid w:val="007E48C5"/>
    <w:rsid w:val="007E4B0F"/>
    <w:rsid w:val="007E4E59"/>
    <w:rsid w:val="007E536E"/>
    <w:rsid w:val="007E5626"/>
    <w:rsid w:val="007E5902"/>
    <w:rsid w:val="007E59CE"/>
    <w:rsid w:val="007E5A11"/>
    <w:rsid w:val="007E5AA3"/>
    <w:rsid w:val="007E5BB1"/>
    <w:rsid w:val="007E5C50"/>
    <w:rsid w:val="007E5CD0"/>
    <w:rsid w:val="007E5DA5"/>
    <w:rsid w:val="007E604C"/>
    <w:rsid w:val="007E6117"/>
    <w:rsid w:val="007E6659"/>
    <w:rsid w:val="007E6772"/>
    <w:rsid w:val="007E6B37"/>
    <w:rsid w:val="007E6F52"/>
    <w:rsid w:val="007E6F7E"/>
    <w:rsid w:val="007E7219"/>
    <w:rsid w:val="007E7328"/>
    <w:rsid w:val="007E74BD"/>
    <w:rsid w:val="007E788E"/>
    <w:rsid w:val="007E7CF9"/>
    <w:rsid w:val="007E7E37"/>
    <w:rsid w:val="007E7F75"/>
    <w:rsid w:val="007E7FF7"/>
    <w:rsid w:val="007F0272"/>
    <w:rsid w:val="007F0967"/>
    <w:rsid w:val="007F0A09"/>
    <w:rsid w:val="007F0FB8"/>
    <w:rsid w:val="007F103A"/>
    <w:rsid w:val="007F1161"/>
    <w:rsid w:val="007F17A0"/>
    <w:rsid w:val="007F1C95"/>
    <w:rsid w:val="007F1CCB"/>
    <w:rsid w:val="007F1FFF"/>
    <w:rsid w:val="007F20FF"/>
    <w:rsid w:val="007F25BD"/>
    <w:rsid w:val="007F25EC"/>
    <w:rsid w:val="007F2619"/>
    <w:rsid w:val="007F2640"/>
    <w:rsid w:val="007F2726"/>
    <w:rsid w:val="007F297A"/>
    <w:rsid w:val="007F2AD7"/>
    <w:rsid w:val="007F31B6"/>
    <w:rsid w:val="007F3294"/>
    <w:rsid w:val="007F32A5"/>
    <w:rsid w:val="007F338C"/>
    <w:rsid w:val="007F3414"/>
    <w:rsid w:val="007F35B6"/>
    <w:rsid w:val="007F39E5"/>
    <w:rsid w:val="007F3B88"/>
    <w:rsid w:val="007F3C49"/>
    <w:rsid w:val="007F3C82"/>
    <w:rsid w:val="007F3F71"/>
    <w:rsid w:val="007F3F72"/>
    <w:rsid w:val="007F4265"/>
    <w:rsid w:val="007F45BF"/>
    <w:rsid w:val="007F4777"/>
    <w:rsid w:val="007F495A"/>
    <w:rsid w:val="007F4C65"/>
    <w:rsid w:val="007F4CE3"/>
    <w:rsid w:val="007F4DD4"/>
    <w:rsid w:val="007F53AC"/>
    <w:rsid w:val="007F5C52"/>
    <w:rsid w:val="007F5FF2"/>
    <w:rsid w:val="007F6370"/>
    <w:rsid w:val="007F6429"/>
    <w:rsid w:val="007F65F4"/>
    <w:rsid w:val="007F66BF"/>
    <w:rsid w:val="007F6A09"/>
    <w:rsid w:val="007F72A2"/>
    <w:rsid w:val="007F75D1"/>
    <w:rsid w:val="007F78CB"/>
    <w:rsid w:val="007F7B35"/>
    <w:rsid w:val="008003FB"/>
    <w:rsid w:val="00800B54"/>
    <w:rsid w:val="00800EFA"/>
    <w:rsid w:val="00801411"/>
    <w:rsid w:val="0080158C"/>
    <w:rsid w:val="0080161A"/>
    <w:rsid w:val="0080211F"/>
    <w:rsid w:val="008021DD"/>
    <w:rsid w:val="008022A6"/>
    <w:rsid w:val="008024A7"/>
    <w:rsid w:val="008028C7"/>
    <w:rsid w:val="0080301C"/>
    <w:rsid w:val="00803320"/>
    <w:rsid w:val="00803337"/>
    <w:rsid w:val="008038CC"/>
    <w:rsid w:val="00803BED"/>
    <w:rsid w:val="00803E80"/>
    <w:rsid w:val="00803EF4"/>
    <w:rsid w:val="008044A1"/>
    <w:rsid w:val="00804643"/>
    <w:rsid w:val="00804A06"/>
    <w:rsid w:val="00804C63"/>
    <w:rsid w:val="00805037"/>
    <w:rsid w:val="0080535C"/>
    <w:rsid w:val="00805A14"/>
    <w:rsid w:val="00805B01"/>
    <w:rsid w:val="00806200"/>
    <w:rsid w:val="008069D9"/>
    <w:rsid w:val="00806E61"/>
    <w:rsid w:val="008073CC"/>
    <w:rsid w:val="008076C4"/>
    <w:rsid w:val="008077CE"/>
    <w:rsid w:val="00807A56"/>
    <w:rsid w:val="00807B3F"/>
    <w:rsid w:val="00807DE2"/>
    <w:rsid w:val="00807F8E"/>
    <w:rsid w:val="008100BB"/>
    <w:rsid w:val="00810333"/>
    <w:rsid w:val="008105F3"/>
    <w:rsid w:val="00810955"/>
    <w:rsid w:val="00810CF8"/>
    <w:rsid w:val="00810DFC"/>
    <w:rsid w:val="008111C7"/>
    <w:rsid w:val="00811730"/>
    <w:rsid w:val="00811945"/>
    <w:rsid w:val="00811985"/>
    <w:rsid w:val="00811CDE"/>
    <w:rsid w:val="00811DE5"/>
    <w:rsid w:val="00812601"/>
    <w:rsid w:val="008128B1"/>
    <w:rsid w:val="008129D9"/>
    <w:rsid w:val="00812C4D"/>
    <w:rsid w:val="0081303B"/>
    <w:rsid w:val="00813365"/>
    <w:rsid w:val="008133B2"/>
    <w:rsid w:val="00813493"/>
    <w:rsid w:val="0081369B"/>
    <w:rsid w:val="0081394F"/>
    <w:rsid w:val="00813C47"/>
    <w:rsid w:val="00814489"/>
    <w:rsid w:val="0081489D"/>
    <w:rsid w:val="00814C8F"/>
    <w:rsid w:val="00814D5B"/>
    <w:rsid w:val="00814F4F"/>
    <w:rsid w:val="00815067"/>
    <w:rsid w:val="008150E9"/>
    <w:rsid w:val="00815124"/>
    <w:rsid w:val="008155F3"/>
    <w:rsid w:val="008157A4"/>
    <w:rsid w:val="00815DE1"/>
    <w:rsid w:val="00815F8D"/>
    <w:rsid w:val="00816174"/>
    <w:rsid w:val="0081623B"/>
    <w:rsid w:val="00816571"/>
    <w:rsid w:val="0081664B"/>
    <w:rsid w:val="008166DF"/>
    <w:rsid w:val="0081697E"/>
    <w:rsid w:val="00817143"/>
    <w:rsid w:val="00817248"/>
    <w:rsid w:val="008174A6"/>
    <w:rsid w:val="00817558"/>
    <w:rsid w:val="00817631"/>
    <w:rsid w:val="0081794C"/>
    <w:rsid w:val="00817953"/>
    <w:rsid w:val="00820570"/>
    <w:rsid w:val="00820966"/>
    <w:rsid w:val="00820A0F"/>
    <w:rsid w:val="00820B86"/>
    <w:rsid w:val="00820CD9"/>
    <w:rsid w:val="00820E62"/>
    <w:rsid w:val="00821042"/>
    <w:rsid w:val="0082121C"/>
    <w:rsid w:val="008214F1"/>
    <w:rsid w:val="00821977"/>
    <w:rsid w:val="0082228A"/>
    <w:rsid w:val="008223FB"/>
    <w:rsid w:val="0082243B"/>
    <w:rsid w:val="00822AB9"/>
    <w:rsid w:val="00822B7B"/>
    <w:rsid w:val="00822C35"/>
    <w:rsid w:val="0082376A"/>
    <w:rsid w:val="008247BE"/>
    <w:rsid w:val="008248A7"/>
    <w:rsid w:val="00824922"/>
    <w:rsid w:val="00824A6C"/>
    <w:rsid w:val="00824A78"/>
    <w:rsid w:val="00824BC3"/>
    <w:rsid w:val="00824D83"/>
    <w:rsid w:val="00824DA8"/>
    <w:rsid w:val="00825265"/>
    <w:rsid w:val="0082536E"/>
    <w:rsid w:val="00825AF9"/>
    <w:rsid w:val="0082659F"/>
    <w:rsid w:val="0082664B"/>
    <w:rsid w:val="00826B97"/>
    <w:rsid w:val="00827093"/>
    <w:rsid w:val="00827EBD"/>
    <w:rsid w:val="00830118"/>
    <w:rsid w:val="008303E6"/>
    <w:rsid w:val="008308AE"/>
    <w:rsid w:val="00831379"/>
    <w:rsid w:val="00831704"/>
    <w:rsid w:val="00831BCC"/>
    <w:rsid w:val="00831F0D"/>
    <w:rsid w:val="008322F7"/>
    <w:rsid w:val="008328B8"/>
    <w:rsid w:val="00832B13"/>
    <w:rsid w:val="00833568"/>
    <w:rsid w:val="0083388A"/>
    <w:rsid w:val="00833B6C"/>
    <w:rsid w:val="00834090"/>
    <w:rsid w:val="00834527"/>
    <w:rsid w:val="008347C5"/>
    <w:rsid w:val="00834DCA"/>
    <w:rsid w:val="008358B6"/>
    <w:rsid w:val="008358C9"/>
    <w:rsid w:val="00835E23"/>
    <w:rsid w:val="00835FB0"/>
    <w:rsid w:val="00836192"/>
    <w:rsid w:val="008362B1"/>
    <w:rsid w:val="0083634B"/>
    <w:rsid w:val="008366FE"/>
    <w:rsid w:val="0083670B"/>
    <w:rsid w:val="008368D2"/>
    <w:rsid w:val="00836C3E"/>
    <w:rsid w:val="00836FED"/>
    <w:rsid w:val="008376BA"/>
    <w:rsid w:val="00837F53"/>
    <w:rsid w:val="00840091"/>
    <w:rsid w:val="00840D33"/>
    <w:rsid w:val="00840E5D"/>
    <w:rsid w:val="00840F0A"/>
    <w:rsid w:val="00841275"/>
    <w:rsid w:val="008413BE"/>
    <w:rsid w:val="008414D5"/>
    <w:rsid w:val="00841D62"/>
    <w:rsid w:val="00841F07"/>
    <w:rsid w:val="008420B1"/>
    <w:rsid w:val="008421A9"/>
    <w:rsid w:val="0084236D"/>
    <w:rsid w:val="008427C8"/>
    <w:rsid w:val="00842A2C"/>
    <w:rsid w:val="00842EF7"/>
    <w:rsid w:val="008432ED"/>
    <w:rsid w:val="0084379B"/>
    <w:rsid w:val="00843E45"/>
    <w:rsid w:val="00844092"/>
    <w:rsid w:val="00844453"/>
    <w:rsid w:val="00844548"/>
    <w:rsid w:val="00844C65"/>
    <w:rsid w:val="00845AB0"/>
    <w:rsid w:val="008460B0"/>
    <w:rsid w:val="00846200"/>
    <w:rsid w:val="0084656B"/>
    <w:rsid w:val="008466B3"/>
    <w:rsid w:val="0084682B"/>
    <w:rsid w:val="0084689A"/>
    <w:rsid w:val="00846A72"/>
    <w:rsid w:val="00847225"/>
    <w:rsid w:val="008473EE"/>
    <w:rsid w:val="00847604"/>
    <w:rsid w:val="0084761F"/>
    <w:rsid w:val="0084762B"/>
    <w:rsid w:val="00847F30"/>
    <w:rsid w:val="00847F5C"/>
    <w:rsid w:val="0085005C"/>
    <w:rsid w:val="0085014F"/>
    <w:rsid w:val="00850278"/>
    <w:rsid w:val="0085032D"/>
    <w:rsid w:val="00850C3A"/>
    <w:rsid w:val="00851083"/>
    <w:rsid w:val="00851213"/>
    <w:rsid w:val="0085243F"/>
    <w:rsid w:val="008525FE"/>
    <w:rsid w:val="00852613"/>
    <w:rsid w:val="008526D1"/>
    <w:rsid w:val="008529DD"/>
    <w:rsid w:val="00852A5B"/>
    <w:rsid w:val="008535A3"/>
    <w:rsid w:val="008536B7"/>
    <w:rsid w:val="008542C9"/>
    <w:rsid w:val="008545C4"/>
    <w:rsid w:val="00854910"/>
    <w:rsid w:val="00854A31"/>
    <w:rsid w:val="00854CA6"/>
    <w:rsid w:val="0085515D"/>
    <w:rsid w:val="00855196"/>
    <w:rsid w:val="00855758"/>
    <w:rsid w:val="008559EC"/>
    <w:rsid w:val="00855A58"/>
    <w:rsid w:val="00855DA0"/>
    <w:rsid w:val="00855E88"/>
    <w:rsid w:val="00856523"/>
    <w:rsid w:val="008567BC"/>
    <w:rsid w:val="0085685D"/>
    <w:rsid w:val="00856CB9"/>
    <w:rsid w:val="0085701E"/>
    <w:rsid w:val="008573B6"/>
    <w:rsid w:val="008577B2"/>
    <w:rsid w:val="008579A0"/>
    <w:rsid w:val="008579AC"/>
    <w:rsid w:val="00857D13"/>
    <w:rsid w:val="008601E8"/>
    <w:rsid w:val="00860293"/>
    <w:rsid w:val="00860669"/>
    <w:rsid w:val="00860B18"/>
    <w:rsid w:val="00860CC2"/>
    <w:rsid w:val="00861328"/>
    <w:rsid w:val="00861C02"/>
    <w:rsid w:val="00861D65"/>
    <w:rsid w:val="0086227A"/>
    <w:rsid w:val="00862871"/>
    <w:rsid w:val="0086296D"/>
    <w:rsid w:val="00862F08"/>
    <w:rsid w:val="00862FD6"/>
    <w:rsid w:val="008632E4"/>
    <w:rsid w:val="00863582"/>
    <w:rsid w:val="00863A4A"/>
    <w:rsid w:val="00863B7A"/>
    <w:rsid w:val="00863CA0"/>
    <w:rsid w:val="00863EA9"/>
    <w:rsid w:val="008648AC"/>
    <w:rsid w:val="00864D62"/>
    <w:rsid w:val="00864E7D"/>
    <w:rsid w:val="00864E97"/>
    <w:rsid w:val="00865421"/>
    <w:rsid w:val="008654A5"/>
    <w:rsid w:val="0086589B"/>
    <w:rsid w:val="0086597E"/>
    <w:rsid w:val="00865B62"/>
    <w:rsid w:val="00865F18"/>
    <w:rsid w:val="008667F5"/>
    <w:rsid w:val="00866A1F"/>
    <w:rsid w:val="00866C92"/>
    <w:rsid w:val="00866D37"/>
    <w:rsid w:val="00867303"/>
    <w:rsid w:val="00867722"/>
    <w:rsid w:val="00867B0E"/>
    <w:rsid w:val="00867B9F"/>
    <w:rsid w:val="0087023A"/>
    <w:rsid w:val="008706DB"/>
    <w:rsid w:val="008707F3"/>
    <w:rsid w:val="00871039"/>
    <w:rsid w:val="008710B4"/>
    <w:rsid w:val="0087118B"/>
    <w:rsid w:val="0087165B"/>
    <w:rsid w:val="00871D37"/>
    <w:rsid w:val="00872200"/>
    <w:rsid w:val="008727FD"/>
    <w:rsid w:val="0087296D"/>
    <w:rsid w:val="00872E47"/>
    <w:rsid w:val="00872FAA"/>
    <w:rsid w:val="00873476"/>
    <w:rsid w:val="0087364D"/>
    <w:rsid w:val="00873B45"/>
    <w:rsid w:val="008740FB"/>
    <w:rsid w:val="0087462A"/>
    <w:rsid w:val="0087471E"/>
    <w:rsid w:val="00874753"/>
    <w:rsid w:val="00874C6B"/>
    <w:rsid w:val="008750AB"/>
    <w:rsid w:val="00875385"/>
    <w:rsid w:val="008754CE"/>
    <w:rsid w:val="008764D8"/>
    <w:rsid w:val="0087664C"/>
    <w:rsid w:val="00876926"/>
    <w:rsid w:val="00876C7B"/>
    <w:rsid w:val="00876D07"/>
    <w:rsid w:val="00876DAE"/>
    <w:rsid w:val="00876E9E"/>
    <w:rsid w:val="00876FDC"/>
    <w:rsid w:val="008770DC"/>
    <w:rsid w:val="00877605"/>
    <w:rsid w:val="008776AE"/>
    <w:rsid w:val="008779A4"/>
    <w:rsid w:val="00877A70"/>
    <w:rsid w:val="00877FFB"/>
    <w:rsid w:val="008806CE"/>
    <w:rsid w:val="00880700"/>
    <w:rsid w:val="008807A2"/>
    <w:rsid w:val="008808FA"/>
    <w:rsid w:val="00880BD7"/>
    <w:rsid w:val="00880BF6"/>
    <w:rsid w:val="00880D71"/>
    <w:rsid w:val="00880DA5"/>
    <w:rsid w:val="00880E6A"/>
    <w:rsid w:val="00880F2F"/>
    <w:rsid w:val="008810C0"/>
    <w:rsid w:val="00881302"/>
    <w:rsid w:val="0088135B"/>
    <w:rsid w:val="0088145E"/>
    <w:rsid w:val="00881460"/>
    <w:rsid w:val="008814BF"/>
    <w:rsid w:val="00881536"/>
    <w:rsid w:val="00881593"/>
    <w:rsid w:val="0088161C"/>
    <w:rsid w:val="00881683"/>
    <w:rsid w:val="0088199F"/>
    <w:rsid w:val="00881DC2"/>
    <w:rsid w:val="00881E35"/>
    <w:rsid w:val="008825A6"/>
    <w:rsid w:val="0088299D"/>
    <w:rsid w:val="008829D4"/>
    <w:rsid w:val="00882A30"/>
    <w:rsid w:val="008833E7"/>
    <w:rsid w:val="0088421A"/>
    <w:rsid w:val="008843BE"/>
    <w:rsid w:val="0088485D"/>
    <w:rsid w:val="00884A24"/>
    <w:rsid w:val="00884BE3"/>
    <w:rsid w:val="00884C34"/>
    <w:rsid w:val="00884FC2"/>
    <w:rsid w:val="00885042"/>
    <w:rsid w:val="00885B1B"/>
    <w:rsid w:val="00885B2A"/>
    <w:rsid w:val="00885B7D"/>
    <w:rsid w:val="00885E12"/>
    <w:rsid w:val="00885EB8"/>
    <w:rsid w:val="008861C4"/>
    <w:rsid w:val="00886485"/>
    <w:rsid w:val="00886B17"/>
    <w:rsid w:val="00886C55"/>
    <w:rsid w:val="00886FDB"/>
    <w:rsid w:val="00887380"/>
    <w:rsid w:val="008873F4"/>
    <w:rsid w:val="00887653"/>
    <w:rsid w:val="00887918"/>
    <w:rsid w:val="00887C04"/>
    <w:rsid w:val="008909CF"/>
    <w:rsid w:val="00890CAE"/>
    <w:rsid w:val="008915D2"/>
    <w:rsid w:val="00891785"/>
    <w:rsid w:val="00891A64"/>
    <w:rsid w:val="0089212F"/>
    <w:rsid w:val="00892F00"/>
    <w:rsid w:val="00892F4B"/>
    <w:rsid w:val="0089337A"/>
    <w:rsid w:val="00894D70"/>
    <w:rsid w:val="0089510F"/>
    <w:rsid w:val="00895412"/>
    <w:rsid w:val="00895969"/>
    <w:rsid w:val="008959F2"/>
    <w:rsid w:val="00895D7D"/>
    <w:rsid w:val="00895DC4"/>
    <w:rsid w:val="00895E07"/>
    <w:rsid w:val="00896388"/>
    <w:rsid w:val="0089640C"/>
    <w:rsid w:val="008964EB"/>
    <w:rsid w:val="00896805"/>
    <w:rsid w:val="00896C24"/>
    <w:rsid w:val="00896D2D"/>
    <w:rsid w:val="00896FAE"/>
    <w:rsid w:val="00897105"/>
    <w:rsid w:val="0089775B"/>
    <w:rsid w:val="0089798A"/>
    <w:rsid w:val="00897BE1"/>
    <w:rsid w:val="008A0920"/>
    <w:rsid w:val="008A0EEA"/>
    <w:rsid w:val="008A0F79"/>
    <w:rsid w:val="008A10CB"/>
    <w:rsid w:val="008A158E"/>
    <w:rsid w:val="008A1ABD"/>
    <w:rsid w:val="008A1EAD"/>
    <w:rsid w:val="008A205E"/>
    <w:rsid w:val="008A20F2"/>
    <w:rsid w:val="008A2286"/>
    <w:rsid w:val="008A23B6"/>
    <w:rsid w:val="008A24AC"/>
    <w:rsid w:val="008A24C3"/>
    <w:rsid w:val="008A25A3"/>
    <w:rsid w:val="008A25F4"/>
    <w:rsid w:val="008A271D"/>
    <w:rsid w:val="008A292A"/>
    <w:rsid w:val="008A2C81"/>
    <w:rsid w:val="008A31B0"/>
    <w:rsid w:val="008A3251"/>
    <w:rsid w:val="008A3C33"/>
    <w:rsid w:val="008A3EA9"/>
    <w:rsid w:val="008A4120"/>
    <w:rsid w:val="008A41D8"/>
    <w:rsid w:val="008A4423"/>
    <w:rsid w:val="008A4F87"/>
    <w:rsid w:val="008A5035"/>
    <w:rsid w:val="008A5818"/>
    <w:rsid w:val="008A5B24"/>
    <w:rsid w:val="008A5DCE"/>
    <w:rsid w:val="008A5DFD"/>
    <w:rsid w:val="008A6120"/>
    <w:rsid w:val="008A61C4"/>
    <w:rsid w:val="008A64A7"/>
    <w:rsid w:val="008A6D5E"/>
    <w:rsid w:val="008A6F49"/>
    <w:rsid w:val="008A6F6E"/>
    <w:rsid w:val="008A7010"/>
    <w:rsid w:val="008A736C"/>
    <w:rsid w:val="008A7470"/>
    <w:rsid w:val="008A771F"/>
    <w:rsid w:val="008A7735"/>
    <w:rsid w:val="008A785C"/>
    <w:rsid w:val="008A7D18"/>
    <w:rsid w:val="008A7F03"/>
    <w:rsid w:val="008B009A"/>
    <w:rsid w:val="008B0201"/>
    <w:rsid w:val="008B0B54"/>
    <w:rsid w:val="008B0D92"/>
    <w:rsid w:val="008B0EED"/>
    <w:rsid w:val="008B1241"/>
    <w:rsid w:val="008B1529"/>
    <w:rsid w:val="008B18D7"/>
    <w:rsid w:val="008B2139"/>
    <w:rsid w:val="008B224C"/>
    <w:rsid w:val="008B24A1"/>
    <w:rsid w:val="008B24FC"/>
    <w:rsid w:val="008B2633"/>
    <w:rsid w:val="008B2BC8"/>
    <w:rsid w:val="008B2CC5"/>
    <w:rsid w:val="008B2EEC"/>
    <w:rsid w:val="008B318C"/>
    <w:rsid w:val="008B3255"/>
    <w:rsid w:val="008B33F4"/>
    <w:rsid w:val="008B378E"/>
    <w:rsid w:val="008B3901"/>
    <w:rsid w:val="008B3954"/>
    <w:rsid w:val="008B3DBF"/>
    <w:rsid w:val="008B3E91"/>
    <w:rsid w:val="008B3FB9"/>
    <w:rsid w:val="008B4253"/>
    <w:rsid w:val="008B4567"/>
    <w:rsid w:val="008B4736"/>
    <w:rsid w:val="008B4B08"/>
    <w:rsid w:val="008B4B23"/>
    <w:rsid w:val="008B5997"/>
    <w:rsid w:val="008B5999"/>
    <w:rsid w:val="008B599F"/>
    <w:rsid w:val="008B5B38"/>
    <w:rsid w:val="008B5B55"/>
    <w:rsid w:val="008B5F4E"/>
    <w:rsid w:val="008B6053"/>
    <w:rsid w:val="008B6464"/>
    <w:rsid w:val="008B64ED"/>
    <w:rsid w:val="008B6AAD"/>
    <w:rsid w:val="008B6B67"/>
    <w:rsid w:val="008B6B9D"/>
    <w:rsid w:val="008B710E"/>
    <w:rsid w:val="008B7C7B"/>
    <w:rsid w:val="008B7ECA"/>
    <w:rsid w:val="008C05F8"/>
    <w:rsid w:val="008C0676"/>
    <w:rsid w:val="008C073E"/>
    <w:rsid w:val="008C128E"/>
    <w:rsid w:val="008C1420"/>
    <w:rsid w:val="008C1638"/>
    <w:rsid w:val="008C1838"/>
    <w:rsid w:val="008C197D"/>
    <w:rsid w:val="008C1C97"/>
    <w:rsid w:val="008C1CCF"/>
    <w:rsid w:val="008C2025"/>
    <w:rsid w:val="008C2310"/>
    <w:rsid w:val="008C2354"/>
    <w:rsid w:val="008C2666"/>
    <w:rsid w:val="008C2709"/>
    <w:rsid w:val="008C2D34"/>
    <w:rsid w:val="008C30AD"/>
    <w:rsid w:val="008C310B"/>
    <w:rsid w:val="008C38E3"/>
    <w:rsid w:val="008C3B5F"/>
    <w:rsid w:val="008C3BD2"/>
    <w:rsid w:val="008C413A"/>
    <w:rsid w:val="008C42F0"/>
    <w:rsid w:val="008C42F7"/>
    <w:rsid w:val="008C434D"/>
    <w:rsid w:val="008C50A9"/>
    <w:rsid w:val="008C5238"/>
    <w:rsid w:val="008C5289"/>
    <w:rsid w:val="008C5CB4"/>
    <w:rsid w:val="008C631E"/>
    <w:rsid w:val="008C649F"/>
    <w:rsid w:val="008C64C6"/>
    <w:rsid w:val="008C66D1"/>
    <w:rsid w:val="008C68D4"/>
    <w:rsid w:val="008C6BA3"/>
    <w:rsid w:val="008C72BF"/>
    <w:rsid w:val="008C72F4"/>
    <w:rsid w:val="008C77BD"/>
    <w:rsid w:val="008C7981"/>
    <w:rsid w:val="008C7CFB"/>
    <w:rsid w:val="008D00BB"/>
    <w:rsid w:val="008D0960"/>
    <w:rsid w:val="008D09AD"/>
    <w:rsid w:val="008D1771"/>
    <w:rsid w:val="008D19FF"/>
    <w:rsid w:val="008D1AC9"/>
    <w:rsid w:val="008D2922"/>
    <w:rsid w:val="008D2BF2"/>
    <w:rsid w:val="008D31CE"/>
    <w:rsid w:val="008D33F0"/>
    <w:rsid w:val="008D3983"/>
    <w:rsid w:val="008D39BC"/>
    <w:rsid w:val="008D3B33"/>
    <w:rsid w:val="008D3B4E"/>
    <w:rsid w:val="008D3F8B"/>
    <w:rsid w:val="008D4565"/>
    <w:rsid w:val="008D4A3B"/>
    <w:rsid w:val="008D4BE0"/>
    <w:rsid w:val="008D51F3"/>
    <w:rsid w:val="008D5D6A"/>
    <w:rsid w:val="008D604C"/>
    <w:rsid w:val="008D61D0"/>
    <w:rsid w:val="008D6291"/>
    <w:rsid w:val="008D6353"/>
    <w:rsid w:val="008D66D2"/>
    <w:rsid w:val="008D6C69"/>
    <w:rsid w:val="008D72FC"/>
    <w:rsid w:val="008D73FB"/>
    <w:rsid w:val="008D78B5"/>
    <w:rsid w:val="008D7A7C"/>
    <w:rsid w:val="008D7C77"/>
    <w:rsid w:val="008D7EF8"/>
    <w:rsid w:val="008E00E2"/>
    <w:rsid w:val="008E052F"/>
    <w:rsid w:val="008E0848"/>
    <w:rsid w:val="008E0D9F"/>
    <w:rsid w:val="008E0DC7"/>
    <w:rsid w:val="008E101F"/>
    <w:rsid w:val="008E1079"/>
    <w:rsid w:val="008E109C"/>
    <w:rsid w:val="008E1341"/>
    <w:rsid w:val="008E1BC4"/>
    <w:rsid w:val="008E1E20"/>
    <w:rsid w:val="008E2195"/>
    <w:rsid w:val="008E2281"/>
    <w:rsid w:val="008E2325"/>
    <w:rsid w:val="008E30C7"/>
    <w:rsid w:val="008E33B4"/>
    <w:rsid w:val="008E3433"/>
    <w:rsid w:val="008E3653"/>
    <w:rsid w:val="008E387E"/>
    <w:rsid w:val="008E39CA"/>
    <w:rsid w:val="008E3A31"/>
    <w:rsid w:val="008E3D90"/>
    <w:rsid w:val="008E3ECB"/>
    <w:rsid w:val="008E43EB"/>
    <w:rsid w:val="008E4460"/>
    <w:rsid w:val="008E44B5"/>
    <w:rsid w:val="008E4648"/>
    <w:rsid w:val="008E48B0"/>
    <w:rsid w:val="008E48C0"/>
    <w:rsid w:val="008E50AC"/>
    <w:rsid w:val="008E53CD"/>
    <w:rsid w:val="008E5438"/>
    <w:rsid w:val="008E5543"/>
    <w:rsid w:val="008E56FF"/>
    <w:rsid w:val="008E5C53"/>
    <w:rsid w:val="008E6019"/>
    <w:rsid w:val="008E691A"/>
    <w:rsid w:val="008E6A81"/>
    <w:rsid w:val="008E6AF7"/>
    <w:rsid w:val="008E711A"/>
    <w:rsid w:val="008E7D10"/>
    <w:rsid w:val="008E7E23"/>
    <w:rsid w:val="008E7E7D"/>
    <w:rsid w:val="008E7ED9"/>
    <w:rsid w:val="008F0107"/>
    <w:rsid w:val="008F0438"/>
    <w:rsid w:val="008F05CB"/>
    <w:rsid w:val="008F0615"/>
    <w:rsid w:val="008F0807"/>
    <w:rsid w:val="008F16C7"/>
    <w:rsid w:val="008F1812"/>
    <w:rsid w:val="008F1E89"/>
    <w:rsid w:val="008F1ED1"/>
    <w:rsid w:val="008F20E2"/>
    <w:rsid w:val="008F2858"/>
    <w:rsid w:val="008F2BAD"/>
    <w:rsid w:val="008F3183"/>
    <w:rsid w:val="008F3435"/>
    <w:rsid w:val="008F38A3"/>
    <w:rsid w:val="008F3A71"/>
    <w:rsid w:val="008F3BED"/>
    <w:rsid w:val="008F3F22"/>
    <w:rsid w:val="008F4006"/>
    <w:rsid w:val="008F47D0"/>
    <w:rsid w:val="008F4C75"/>
    <w:rsid w:val="008F5076"/>
    <w:rsid w:val="008F50FC"/>
    <w:rsid w:val="008F5C41"/>
    <w:rsid w:val="008F5DDA"/>
    <w:rsid w:val="008F6537"/>
    <w:rsid w:val="008F66A4"/>
    <w:rsid w:val="008F68D7"/>
    <w:rsid w:val="008F69F9"/>
    <w:rsid w:val="008F6BE1"/>
    <w:rsid w:val="008F6CAA"/>
    <w:rsid w:val="008F6D55"/>
    <w:rsid w:val="008F6E52"/>
    <w:rsid w:val="008F70F1"/>
    <w:rsid w:val="008F711A"/>
    <w:rsid w:val="008F7211"/>
    <w:rsid w:val="008F7327"/>
    <w:rsid w:val="008F74F3"/>
    <w:rsid w:val="008F75B3"/>
    <w:rsid w:val="008F77CE"/>
    <w:rsid w:val="008F7818"/>
    <w:rsid w:val="008F7AEB"/>
    <w:rsid w:val="008F7B7C"/>
    <w:rsid w:val="008F7CAE"/>
    <w:rsid w:val="008F7DEC"/>
    <w:rsid w:val="00900026"/>
    <w:rsid w:val="0090071C"/>
    <w:rsid w:val="00900A3B"/>
    <w:rsid w:val="00900D3E"/>
    <w:rsid w:val="0090134B"/>
    <w:rsid w:val="00901407"/>
    <w:rsid w:val="00901734"/>
    <w:rsid w:val="009021DF"/>
    <w:rsid w:val="0090230F"/>
    <w:rsid w:val="00902DE7"/>
    <w:rsid w:val="00902F42"/>
    <w:rsid w:val="00902FB2"/>
    <w:rsid w:val="009034C9"/>
    <w:rsid w:val="009040C7"/>
    <w:rsid w:val="009041BD"/>
    <w:rsid w:val="00904369"/>
    <w:rsid w:val="009048C6"/>
    <w:rsid w:val="00904AA2"/>
    <w:rsid w:val="00904AEC"/>
    <w:rsid w:val="00904B54"/>
    <w:rsid w:val="00904E11"/>
    <w:rsid w:val="00904FC1"/>
    <w:rsid w:val="00905383"/>
    <w:rsid w:val="00905908"/>
    <w:rsid w:val="00905D64"/>
    <w:rsid w:val="009061A5"/>
    <w:rsid w:val="0090623F"/>
    <w:rsid w:val="009062AF"/>
    <w:rsid w:val="00906ADF"/>
    <w:rsid w:val="009073B0"/>
    <w:rsid w:val="00910A04"/>
    <w:rsid w:val="00910AB7"/>
    <w:rsid w:val="00910EBE"/>
    <w:rsid w:val="0091114B"/>
    <w:rsid w:val="0091159D"/>
    <w:rsid w:val="009115D4"/>
    <w:rsid w:val="0091163E"/>
    <w:rsid w:val="00911712"/>
    <w:rsid w:val="00911BF3"/>
    <w:rsid w:val="009128AE"/>
    <w:rsid w:val="00913135"/>
    <w:rsid w:val="00913B96"/>
    <w:rsid w:val="00913F35"/>
    <w:rsid w:val="009142CC"/>
    <w:rsid w:val="00914549"/>
    <w:rsid w:val="00914AFE"/>
    <w:rsid w:val="009157DF"/>
    <w:rsid w:val="009158B7"/>
    <w:rsid w:val="00915B39"/>
    <w:rsid w:val="00915CC9"/>
    <w:rsid w:val="0091603D"/>
    <w:rsid w:val="009160C4"/>
    <w:rsid w:val="00916736"/>
    <w:rsid w:val="009167CB"/>
    <w:rsid w:val="00916994"/>
    <w:rsid w:val="00917057"/>
    <w:rsid w:val="00917108"/>
    <w:rsid w:val="009172A6"/>
    <w:rsid w:val="009172FF"/>
    <w:rsid w:val="0091773F"/>
    <w:rsid w:val="009177C2"/>
    <w:rsid w:val="009201B1"/>
    <w:rsid w:val="009204A1"/>
    <w:rsid w:val="009206A0"/>
    <w:rsid w:val="0092078B"/>
    <w:rsid w:val="0092099D"/>
    <w:rsid w:val="00920A6B"/>
    <w:rsid w:val="00920C9F"/>
    <w:rsid w:val="00920CB9"/>
    <w:rsid w:val="00920F8E"/>
    <w:rsid w:val="009210D3"/>
    <w:rsid w:val="00921173"/>
    <w:rsid w:val="009211C1"/>
    <w:rsid w:val="00921492"/>
    <w:rsid w:val="009214A7"/>
    <w:rsid w:val="00921526"/>
    <w:rsid w:val="009220AA"/>
    <w:rsid w:val="0092245B"/>
    <w:rsid w:val="00922498"/>
    <w:rsid w:val="00922502"/>
    <w:rsid w:val="009225F6"/>
    <w:rsid w:val="00923121"/>
    <w:rsid w:val="00923855"/>
    <w:rsid w:val="0092395F"/>
    <w:rsid w:val="00923BF9"/>
    <w:rsid w:val="00923C2F"/>
    <w:rsid w:val="0092420B"/>
    <w:rsid w:val="0092460F"/>
    <w:rsid w:val="00924D16"/>
    <w:rsid w:val="00924E27"/>
    <w:rsid w:val="00924ED2"/>
    <w:rsid w:val="00924F54"/>
    <w:rsid w:val="00924F8A"/>
    <w:rsid w:val="00925220"/>
    <w:rsid w:val="0092582A"/>
    <w:rsid w:val="00925B38"/>
    <w:rsid w:val="00925E1A"/>
    <w:rsid w:val="00925EDD"/>
    <w:rsid w:val="009261D8"/>
    <w:rsid w:val="0092631B"/>
    <w:rsid w:val="00926693"/>
    <w:rsid w:val="009266E7"/>
    <w:rsid w:val="0092672E"/>
    <w:rsid w:val="00926CFC"/>
    <w:rsid w:val="00926EB4"/>
    <w:rsid w:val="00927050"/>
    <w:rsid w:val="0092719E"/>
    <w:rsid w:val="00927618"/>
    <w:rsid w:val="00927706"/>
    <w:rsid w:val="00927817"/>
    <w:rsid w:val="00927917"/>
    <w:rsid w:val="00927F15"/>
    <w:rsid w:val="00927FC7"/>
    <w:rsid w:val="00930049"/>
    <w:rsid w:val="00930293"/>
    <w:rsid w:val="00930327"/>
    <w:rsid w:val="00930499"/>
    <w:rsid w:val="009304EA"/>
    <w:rsid w:val="00930A48"/>
    <w:rsid w:val="0093111E"/>
    <w:rsid w:val="009316AF"/>
    <w:rsid w:val="00931797"/>
    <w:rsid w:val="00931980"/>
    <w:rsid w:val="00931FF7"/>
    <w:rsid w:val="00932B33"/>
    <w:rsid w:val="00933443"/>
    <w:rsid w:val="0093362E"/>
    <w:rsid w:val="00933794"/>
    <w:rsid w:val="0093384C"/>
    <w:rsid w:val="00933D25"/>
    <w:rsid w:val="0093481B"/>
    <w:rsid w:val="009349A1"/>
    <w:rsid w:val="00934D47"/>
    <w:rsid w:val="00934F60"/>
    <w:rsid w:val="00934FB7"/>
    <w:rsid w:val="009356D1"/>
    <w:rsid w:val="009359D7"/>
    <w:rsid w:val="00935D48"/>
    <w:rsid w:val="00935EE3"/>
    <w:rsid w:val="00936020"/>
    <w:rsid w:val="00936211"/>
    <w:rsid w:val="00936331"/>
    <w:rsid w:val="009364DD"/>
    <w:rsid w:val="0093682F"/>
    <w:rsid w:val="00936C0A"/>
    <w:rsid w:val="00936E36"/>
    <w:rsid w:val="00936E68"/>
    <w:rsid w:val="00936ED4"/>
    <w:rsid w:val="00936F6A"/>
    <w:rsid w:val="00937067"/>
    <w:rsid w:val="00937574"/>
    <w:rsid w:val="00937B8C"/>
    <w:rsid w:val="00937DBA"/>
    <w:rsid w:val="00937DFE"/>
    <w:rsid w:val="00940116"/>
    <w:rsid w:val="00940664"/>
    <w:rsid w:val="0094080C"/>
    <w:rsid w:val="00940974"/>
    <w:rsid w:val="00940B00"/>
    <w:rsid w:val="00940C8C"/>
    <w:rsid w:val="0094117F"/>
    <w:rsid w:val="00941233"/>
    <w:rsid w:val="009419D9"/>
    <w:rsid w:val="00941FBB"/>
    <w:rsid w:val="0094206E"/>
    <w:rsid w:val="009420F8"/>
    <w:rsid w:val="009423CE"/>
    <w:rsid w:val="009423D4"/>
    <w:rsid w:val="00942466"/>
    <w:rsid w:val="00942533"/>
    <w:rsid w:val="009426B0"/>
    <w:rsid w:val="00943055"/>
    <w:rsid w:val="0094322A"/>
    <w:rsid w:val="009432C7"/>
    <w:rsid w:val="009432FF"/>
    <w:rsid w:val="00943715"/>
    <w:rsid w:val="0094391D"/>
    <w:rsid w:val="00944042"/>
    <w:rsid w:val="00944376"/>
    <w:rsid w:val="009446B9"/>
    <w:rsid w:val="00944A9A"/>
    <w:rsid w:val="00944BC9"/>
    <w:rsid w:val="00944F8F"/>
    <w:rsid w:val="00944FCD"/>
    <w:rsid w:val="00945638"/>
    <w:rsid w:val="00945709"/>
    <w:rsid w:val="00945712"/>
    <w:rsid w:val="00945911"/>
    <w:rsid w:val="00945B22"/>
    <w:rsid w:val="00945C99"/>
    <w:rsid w:val="0094659C"/>
    <w:rsid w:val="00946F41"/>
    <w:rsid w:val="00947198"/>
    <w:rsid w:val="00947564"/>
    <w:rsid w:val="0094795C"/>
    <w:rsid w:val="00947AD7"/>
    <w:rsid w:val="00947B90"/>
    <w:rsid w:val="00947C6C"/>
    <w:rsid w:val="009501BE"/>
    <w:rsid w:val="0095029B"/>
    <w:rsid w:val="00950AB0"/>
    <w:rsid w:val="00950AB7"/>
    <w:rsid w:val="009517D0"/>
    <w:rsid w:val="009517FE"/>
    <w:rsid w:val="00952253"/>
    <w:rsid w:val="0095297A"/>
    <w:rsid w:val="009529CD"/>
    <w:rsid w:val="00953357"/>
    <w:rsid w:val="009535A8"/>
    <w:rsid w:val="00953BB7"/>
    <w:rsid w:val="00953F31"/>
    <w:rsid w:val="00954122"/>
    <w:rsid w:val="0095423C"/>
    <w:rsid w:val="009542D7"/>
    <w:rsid w:val="009543E6"/>
    <w:rsid w:val="00954759"/>
    <w:rsid w:val="0095516B"/>
    <w:rsid w:val="009553FA"/>
    <w:rsid w:val="00955C02"/>
    <w:rsid w:val="009561CD"/>
    <w:rsid w:val="00956205"/>
    <w:rsid w:val="009562C7"/>
    <w:rsid w:val="00956848"/>
    <w:rsid w:val="00956904"/>
    <w:rsid w:val="00956B20"/>
    <w:rsid w:val="00956C7A"/>
    <w:rsid w:val="00956E49"/>
    <w:rsid w:val="00957227"/>
    <w:rsid w:val="00957262"/>
    <w:rsid w:val="00957EC8"/>
    <w:rsid w:val="00957F4B"/>
    <w:rsid w:val="00957F60"/>
    <w:rsid w:val="00960583"/>
    <w:rsid w:val="009613D9"/>
    <w:rsid w:val="00961539"/>
    <w:rsid w:val="00961A9B"/>
    <w:rsid w:val="00961AC5"/>
    <w:rsid w:val="009623C8"/>
    <w:rsid w:val="0096295F"/>
    <w:rsid w:val="00963126"/>
    <w:rsid w:val="009636DF"/>
    <w:rsid w:val="009639D7"/>
    <w:rsid w:val="009644AB"/>
    <w:rsid w:val="009648E6"/>
    <w:rsid w:val="00965531"/>
    <w:rsid w:val="0096593C"/>
    <w:rsid w:val="00965DD6"/>
    <w:rsid w:val="00966194"/>
    <w:rsid w:val="00966240"/>
    <w:rsid w:val="009669CF"/>
    <w:rsid w:val="00966E4A"/>
    <w:rsid w:val="0096721B"/>
    <w:rsid w:val="009672B2"/>
    <w:rsid w:val="00967BBF"/>
    <w:rsid w:val="00967E29"/>
    <w:rsid w:val="00967F8F"/>
    <w:rsid w:val="009700F7"/>
    <w:rsid w:val="009703E4"/>
    <w:rsid w:val="0097083D"/>
    <w:rsid w:val="00970B77"/>
    <w:rsid w:val="00970D24"/>
    <w:rsid w:val="00970FCB"/>
    <w:rsid w:val="00970FFA"/>
    <w:rsid w:val="00971132"/>
    <w:rsid w:val="00971773"/>
    <w:rsid w:val="009719A2"/>
    <w:rsid w:val="00971A23"/>
    <w:rsid w:val="00971B0D"/>
    <w:rsid w:val="00971BEC"/>
    <w:rsid w:val="00972083"/>
    <w:rsid w:val="00972AB5"/>
    <w:rsid w:val="00972CCB"/>
    <w:rsid w:val="00972CE6"/>
    <w:rsid w:val="00972D69"/>
    <w:rsid w:val="00972F95"/>
    <w:rsid w:val="009732EB"/>
    <w:rsid w:val="00973C37"/>
    <w:rsid w:val="0097494B"/>
    <w:rsid w:val="0097497F"/>
    <w:rsid w:val="00974B06"/>
    <w:rsid w:val="00974B28"/>
    <w:rsid w:val="00974E50"/>
    <w:rsid w:val="009755CA"/>
    <w:rsid w:val="00975631"/>
    <w:rsid w:val="0097589A"/>
    <w:rsid w:val="00975B28"/>
    <w:rsid w:val="00975D8B"/>
    <w:rsid w:val="009761D8"/>
    <w:rsid w:val="00976533"/>
    <w:rsid w:val="00976613"/>
    <w:rsid w:val="00976842"/>
    <w:rsid w:val="00976AC1"/>
    <w:rsid w:val="00976F61"/>
    <w:rsid w:val="00977523"/>
    <w:rsid w:val="0097775D"/>
    <w:rsid w:val="00977B9B"/>
    <w:rsid w:val="00977FBF"/>
    <w:rsid w:val="009805CC"/>
    <w:rsid w:val="00980E46"/>
    <w:rsid w:val="00980EF5"/>
    <w:rsid w:val="0098121A"/>
    <w:rsid w:val="00981415"/>
    <w:rsid w:val="009817C6"/>
    <w:rsid w:val="00981820"/>
    <w:rsid w:val="00981B15"/>
    <w:rsid w:val="0098288D"/>
    <w:rsid w:val="00982C38"/>
    <w:rsid w:val="009830BA"/>
    <w:rsid w:val="0098320B"/>
    <w:rsid w:val="009833BF"/>
    <w:rsid w:val="0098349B"/>
    <w:rsid w:val="00983509"/>
    <w:rsid w:val="00983527"/>
    <w:rsid w:val="00983634"/>
    <w:rsid w:val="00983753"/>
    <w:rsid w:val="00983AD7"/>
    <w:rsid w:val="00983B87"/>
    <w:rsid w:val="00983C67"/>
    <w:rsid w:val="00984275"/>
    <w:rsid w:val="00984535"/>
    <w:rsid w:val="0098461B"/>
    <w:rsid w:val="009847AB"/>
    <w:rsid w:val="0098494F"/>
    <w:rsid w:val="00984A43"/>
    <w:rsid w:val="00984D3C"/>
    <w:rsid w:val="00984EAA"/>
    <w:rsid w:val="009850A9"/>
    <w:rsid w:val="00985816"/>
    <w:rsid w:val="009859E1"/>
    <w:rsid w:val="00985CBE"/>
    <w:rsid w:val="0098605C"/>
    <w:rsid w:val="009861CA"/>
    <w:rsid w:val="00986258"/>
    <w:rsid w:val="00986285"/>
    <w:rsid w:val="00986300"/>
    <w:rsid w:val="009864B0"/>
    <w:rsid w:val="009866D7"/>
    <w:rsid w:val="009866EC"/>
    <w:rsid w:val="009867CA"/>
    <w:rsid w:val="00986FDD"/>
    <w:rsid w:val="00987418"/>
    <w:rsid w:val="00987460"/>
    <w:rsid w:val="0098757B"/>
    <w:rsid w:val="009875CE"/>
    <w:rsid w:val="00987604"/>
    <w:rsid w:val="009878A2"/>
    <w:rsid w:val="009879A8"/>
    <w:rsid w:val="00987F43"/>
    <w:rsid w:val="0099019E"/>
    <w:rsid w:val="00990322"/>
    <w:rsid w:val="00990547"/>
    <w:rsid w:val="00990D67"/>
    <w:rsid w:val="009910B0"/>
    <w:rsid w:val="00991107"/>
    <w:rsid w:val="00991231"/>
    <w:rsid w:val="00991A3C"/>
    <w:rsid w:val="009926FA"/>
    <w:rsid w:val="00992710"/>
    <w:rsid w:val="009927F4"/>
    <w:rsid w:val="009928C2"/>
    <w:rsid w:val="00992AE7"/>
    <w:rsid w:val="009934CE"/>
    <w:rsid w:val="00993543"/>
    <w:rsid w:val="00993AA4"/>
    <w:rsid w:val="00993C3E"/>
    <w:rsid w:val="00993D1B"/>
    <w:rsid w:val="00993FFB"/>
    <w:rsid w:val="009943CD"/>
    <w:rsid w:val="00994C5D"/>
    <w:rsid w:val="00994C61"/>
    <w:rsid w:val="00994E85"/>
    <w:rsid w:val="00994EC4"/>
    <w:rsid w:val="00995066"/>
    <w:rsid w:val="0099551D"/>
    <w:rsid w:val="009955AF"/>
    <w:rsid w:val="00995964"/>
    <w:rsid w:val="00995A2C"/>
    <w:rsid w:val="00995A37"/>
    <w:rsid w:val="00995D37"/>
    <w:rsid w:val="00995DAE"/>
    <w:rsid w:val="00995F45"/>
    <w:rsid w:val="00996EA4"/>
    <w:rsid w:val="00996FE1"/>
    <w:rsid w:val="009970BE"/>
    <w:rsid w:val="009972B7"/>
    <w:rsid w:val="009973B1"/>
    <w:rsid w:val="009978D9"/>
    <w:rsid w:val="0099795F"/>
    <w:rsid w:val="00997D96"/>
    <w:rsid w:val="00997DCC"/>
    <w:rsid w:val="00997DEF"/>
    <w:rsid w:val="009A017E"/>
    <w:rsid w:val="009A0B3C"/>
    <w:rsid w:val="009A1105"/>
    <w:rsid w:val="009A13FC"/>
    <w:rsid w:val="009A15E8"/>
    <w:rsid w:val="009A1635"/>
    <w:rsid w:val="009A1852"/>
    <w:rsid w:val="009A1966"/>
    <w:rsid w:val="009A1A4D"/>
    <w:rsid w:val="009A1A89"/>
    <w:rsid w:val="009A1B17"/>
    <w:rsid w:val="009A1D49"/>
    <w:rsid w:val="009A2163"/>
    <w:rsid w:val="009A2593"/>
    <w:rsid w:val="009A2F4F"/>
    <w:rsid w:val="009A31EB"/>
    <w:rsid w:val="009A3756"/>
    <w:rsid w:val="009A3A4C"/>
    <w:rsid w:val="009A439F"/>
    <w:rsid w:val="009A4662"/>
    <w:rsid w:val="009A4882"/>
    <w:rsid w:val="009A48B5"/>
    <w:rsid w:val="009A53C4"/>
    <w:rsid w:val="009A548B"/>
    <w:rsid w:val="009A55B4"/>
    <w:rsid w:val="009A55F6"/>
    <w:rsid w:val="009A5799"/>
    <w:rsid w:val="009A59A9"/>
    <w:rsid w:val="009A5B83"/>
    <w:rsid w:val="009A5C38"/>
    <w:rsid w:val="009A5DBB"/>
    <w:rsid w:val="009A5E27"/>
    <w:rsid w:val="009A5F30"/>
    <w:rsid w:val="009A618D"/>
    <w:rsid w:val="009A6431"/>
    <w:rsid w:val="009A6CCD"/>
    <w:rsid w:val="009A6D77"/>
    <w:rsid w:val="009A6DB5"/>
    <w:rsid w:val="009A6E5B"/>
    <w:rsid w:val="009A7160"/>
    <w:rsid w:val="009A72EC"/>
    <w:rsid w:val="009A73D7"/>
    <w:rsid w:val="009A75A4"/>
    <w:rsid w:val="009A7AB7"/>
    <w:rsid w:val="009A7BE0"/>
    <w:rsid w:val="009A7C84"/>
    <w:rsid w:val="009A7CD4"/>
    <w:rsid w:val="009A7E55"/>
    <w:rsid w:val="009A7F6E"/>
    <w:rsid w:val="009B046E"/>
    <w:rsid w:val="009B05BE"/>
    <w:rsid w:val="009B0874"/>
    <w:rsid w:val="009B09F7"/>
    <w:rsid w:val="009B0BF2"/>
    <w:rsid w:val="009B1082"/>
    <w:rsid w:val="009B1330"/>
    <w:rsid w:val="009B183D"/>
    <w:rsid w:val="009B1A1B"/>
    <w:rsid w:val="009B1CEA"/>
    <w:rsid w:val="009B1D7B"/>
    <w:rsid w:val="009B1DDD"/>
    <w:rsid w:val="009B211F"/>
    <w:rsid w:val="009B215B"/>
    <w:rsid w:val="009B2471"/>
    <w:rsid w:val="009B2D68"/>
    <w:rsid w:val="009B3029"/>
    <w:rsid w:val="009B3FC6"/>
    <w:rsid w:val="009B4494"/>
    <w:rsid w:val="009B450E"/>
    <w:rsid w:val="009B4533"/>
    <w:rsid w:val="009B49D2"/>
    <w:rsid w:val="009B4EB5"/>
    <w:rsid w:val="009B501F"/>
    <w:rsid w:val="009B5BA7"/>
    <w:rsid w:val="009B5CA3"/>
    <w:rsid w:val="009B5DBC"/>
    <w:rsid w:val="009B5E74"/>
    <w:rsid w:val="009B61D2"/>
    <w:rsid w:val="009B6B5C"/>
    <w:rsid w:val="009B6B6A"/>
    <w:rsid w:val="009B6CD5"/>
    <w:rsid w:val="009B6EB2"/>
    <w:rsid w:val="009B7044"/>
    <w:rsid w:val="009B7363"/>
    <w:rsid w:val="009B7405"/>
    <w:rsid w:val="009B7682"/>
    <w:rsid w:val="009B768F"/>
    <w:rsid w:val="009B7759"/>
    <w:rsid w:val="009B79FA"/>
    <w:rsid w:val="009B7A4C"/>
    <w:rsid w:val="009B7B86"/>
    <w:rsid w:val="009B7D89"/>
    <w:rsid w:val="009C0044"/>
    <w:rsid w:val="009C063E"/>
    <w:rsid w:val="009C07A9"/>
    <w:rsid w:val="009C08A1"/>
    <w:rsid w:val="009C0DE4"/>
    <w:rsid w:val="009C0E0D"/>
    <w:rsid w:val="009C12D3"/>
    <w:rsid w:val="009C158B"/>
    <w:rsid w:val="009C15A4"/>
    <w:rsid w:val="009C1680"/>
    <w:rsid w:val="009C1942"/>
    <w:rsid w:val="009C1BB8"/>
    <w:rsid w:val="009C1EBE"/>
    <w:rsid w:val="009C21B8"/>
    <w:rsid w:val="009C291B"/>
    <w:rsid w:val="009C32EF"/>
    <w:rsid w:val="009C32F0"/>
    <w:rsid w:val="009C344C"/>
    <w:rsid w:val="009C38E0"/>
    <w:rsid w:val="009C38F6"/>
    <w:rsid w:val="009C3A30"/>
    <w:rsid w:val="009C3C96"/>
    <w:rsid w:val="009C412A"/>
    <w:rsid w:val="009C41AC"/>
    <w:rsid w:val="009C4524"/>
    <w:rsid w:val="009C49F5"/>
    <w:rsid w:val="009C4C83"/>
    <w:rsid w:val="009C55BA"/>
    <w:rsid w:val="009C5827"/>
    <w:rsid w:val="009C595C"/>
    <w:rsid w:val="009C5B28"/>
    <w:rsid w:val="009C5BAC"/>
    <w:rsid w:val="009C61A5"/>
    <w:rsid w:val="009C656D"/>
    <w:rsid w:val="009C659F"/>
    <w:rsid w:val="009C65A0"/>
    <w:rsid w:val="009C67BE"/>
    <w:rsid w:val="009C7003"/>
    <w:rsid w:val="009C7506"/>
    <w:rsid w:val="009C75E0"/>
    <w:rsid w:val="009C78CA"/>
    <w:rsid w:val="009C7A31"/>
    <w:rsid w:val="009C7C42"/>
    <w:rsid w:val="009C7D94"/>
    <w:rsid w:val="009D02EF"/>
    <w:rsid w:val="009D0794"/>
    <w:rsid w:val="009D0CE6"/>
    <w:rsid w:val="009D1135"/>
    <w:rsid w:val="009D1443"/>
    <w:rsid w:val="009D173D"/>
    <w:rsid w:val="009D19CD"/>
    <w:rsid w:val="009D1C80"/>
    <w:rsid w:val="009D1E4E"/>
    <w:rsid w:val="009D22B9"/>
    <w:rsid w:val="009D25C5"/>
    <w:rsid w:val="009D2843"/>
    <w:rsid w:val="009D2A23"/>
    <w:rsid w:val="009D3699"/>
    <w:rsid w:val="009D3719"/>
    <w:rsid w:val="009D3C1D"/>
    <w:rsid w:val="009D4132"/>
    <w:rsid w:val="009D42E6"/>
    <w:rsid w:val="009D4458"/>
    <w:rsid w:val="009D4B2D"/>
    <w:rsid w:val="009D4FA4"/>
    <w:rsid w:val="009D570B"/>
    <w:rsid w:val="009D57AB"/>
    <w:rsid w:val="009D5917"/>
    <w:rsid w:val="009D5A10"/>
    <w:rsid w:val="009D5BED"/>
    <w:rsid w:val="009D6270"/>
    <w:rsid w:val="009D6370"/>
    <w:rsid w:val="009D64D4"/>
    <w:rsid w:val="009D6AF8"/>
    <w:rsid w:val="009D6D13"/>
    <w:rsid w:val="009D72F5"/>
    <w:rsid w:val="009D78D0"/>
    <w:rsid w:val="009D7AB4"/>
    <w:rsid w:val="009D7DC4"/>
    <w:rsid w:val="009E0513"/>
    <w:rsid w:val="009E0722"/>
    <w:rsid w:val="009E0A33"/>
    <w:rsid w:val="009E0AD4"/>
    <w:rsid w:val="009E0B76"/>
    <w:rsid w:val="009E0C2D"/>
    <w:rsid w:val="009E0EFA"/>
    <w:rsid w:val="009E112F"/>
    <w:rsid w:val="009E1232"/>
    <w:rsid w:val="009E124F"/>
    <w:rsid w:val="009E1C45"/>
    <w:rsid w:val="009E1CA2"/>
    <w:rsid w:val="009E2650"/>
    <w:rsid w:val="009E2A77"/>
    <w:rsid w:val="009E2AEE"/>
    <w:rsid w:val="009E2B58"/>
    <w:rsid w:val="009E35FF"/>
    <w:rsid w:val="009E3B59"/>
    <w:rsid w:val="009E3D85"/>
    <w:rsid w:val="009E3ED0"/>
    <w:rsid w:val="009E4341"/>
    <w:rsid w:val="009E4392"/>
    <w:rsid w:val="009E443C"/>
    <w:rsid w:val="009E4687"/>
    <w:rsid w:val="009E49C4"/>
    <w:rsid w:val="009E4A21"/>
    <w:rsid w:val="009E4F29"/>
    <w:rsid w:val="009E5113"/>
    <w:rsid w:val="009E524C"/>
    <w:rsid w:val="009E55D1"/>
    <w:rsid w:val="009E5DE6"/>
    <w:rsid w:val="009E6487"/>
    <w:rsid w:val="009E6C20"/>
    <w:rsid w:val="009E6EBC"/>
    <w:rsid w:val="009E7368"/>
    <w:rsid w:val="009E760E"/>
    <w:rsid w:val="009E7745"/>
    <w:rsid w:val="009E7AA3"/>
    <w:rsid w:val="009E7CB4"/>
    <w:rsid w:val="009E7DCD"/>
    <w:rsid w:val="009E7E40"/>
    <w:rsid w:val="009F01D9"/>
    <w:rsid w:val="009F0499"/>
    <w:rsid w:val="009F0711"/>
    <w:rsid w:val="009F07E6"/>
    <w:rsid w:val="009F0A54"/>
    <w:rsid w:val="009F0F14"/>
    <w:rsid w:val="009F11A7"/>
    <w:rsid w:val="009F14A9"/>
    <w:rsid w:val="009F19BD"/>
    <w:rsid w:val="009F1A63"/>
    <w:rsid w:val="009F1AE2"/>
    <w:rsid w:val="009F1FFD"/>
    <w:rsid w:val="009F220A"/>
    <w:rsid w:val="009F2A53"/>
    <w:rsid w:val="009F2AB0"/>
    <w:rsid w:val="009F2C8A"/>
    <w:rsid w:val="009F30DF"/>
    <w:rsid w:val="009F3513"/>
    <w:rsid w:val="009F36D9"/>
    <w:rsid w:val="009F3AD4"/>
    <w:rsid w:val="009F3FB9"/>
    <w:rsid w:val="009F3FF3"/>
    <w:rsid w:val="009F404A"/>
    <w:rsid w:val="009F40CE"/>
    <w:rsid w:val="009F42B6"/>
    <w:rsid w:val="009F4507"/>
    <w:rsid w:val="009F4774"/>
    <w:rsid w:val="009F5056"/>
    <w:rsid w:val="009F5C35"/>
    <w:rsid w:val="009F5D69"/>
    <w:rsid w:val="009F5F1F"/>
    <w:rsid w:val="009F5F24"/>
    <w:rsid w:val="009F5FB5"/>
    <w:rsid w:val="009F6379"/>
    <w:rsid w:val="009F6BFD"/>
    <w:rsid w:val="009F76D7"/>
    <w:rsid w:val="009F7BF4"/>
    <w:rsid w:val="009F7F02"/>
    <w:rsid w:val="00A000CC"/>
    <w:rsid w:val="00A00498"/>
    <w:rsid w:val="00A008AE"/>
    <w:rsid w:val="00A00993"/>
    <w:rsid w:val="00A00FE2"/>
    <w:rsid w:val="00A011EF"/>
    <w:rsid w:val="00A011F2"/>
    <w:rsid w:val="00A01453"/>
    <w:rsid w:val="00A014F2"/>
    <w:rsid w:val="00A01AE0"/>
    <w:rsid w:val="00A01CD8"/>
    <w:rsid w:val="00A01E7A"/>
    <w:rsid w:val="00A01F33"/>
    <w:rsid w:val="00A02338"/>
    <w:rsid w:val="00A03462"/>
    <w:rsid w:val="00A03484"/>
    <w:rsid w:val="00A0373B"/>
    <w:rsid w:val="00A03920"/>
    <w:rsid w:val="00A03F07"/>
    <w:rsid w:val="00A03FED"/>
    <w:rsid w:val="00A04252"/>
    <w:rsid w:val="00A042BD"/>
    <w:rsid w:val="00A04769"/>
    <w:rsid w:val="00A04E3F"/>
    <w:rsid w:val="00A04FFB"/>
    <w:rsid w:val="00A0510F"/>
    <w:rsid w:val="00A0520E"/>
    <w:rsid w:val="00A052B5"/>
    <w:rsid w:val="00A05576"/>
    <w:rsid w:val="00A0582F"/>
    <w:rsid w:val="00A05CC0"/>
    <w:rsid w:val="00A05E90"/>
    <w:rsid w:val="00A05EAB"/>
    <w:rsid w:val="00A062CC"/>
    <w:rsid w:val="00A06569"/>
    <w:rsid w:val="00A06791"/>
    <w:rsid w:val="00A06B97"/>
    <w:rsid w:val="00A06C17"/>
    <w:rsid w:val="00A07326"/>
    <w:rsid w:val="00A07618"/>
    <w:rsid w:val="00A07B39"/>
    <w:rsid w:val="00A07B62"/>
    <w:rsid w:val="00A07C3E"/>
    <w:rsid w:val="00A07DC9"/>
    <w:rsid w:val="00A07FE3"/>
    <w:rsid w:val="00A10027"/>
    <w:rsid w:val="00A10241"/>
    <w:rsid w:val="00A102CB"/>
    <w:rsid w:val="00A10524"/>
    <w:rsid w:val="00A10570"/>
    <w:rsid w:val="00A109EF"/>
    <w:rsid w:val="00A109F6"/>
    <w:rsid w:val="00A10B10"/>
    <w:rsid w:val="00A10D84"/>
    <w:rsid w:val="00A115BD"/>
    <w:rsid w:val="00A117C4"/>
    <w:rsid w:val="00A11AC4"/>
    <w:rsid w:val="00A12040"/>
    <w:rsid w:val="00A120D0"/>
    <w:rsid w:val="00A1241B"/>
    <w:rsid w:val="00A12BDD"/>
    <w:rsid w:val="00A12CA0"/>
    <w:rsid w:val="00A13190"/>
    <w:rsid w:val="00A1326F"/>
    <w:rsid w:val="00A13359"/>
    <w:rsid w:val="00A13675"/>
    <w:rsid w:val="00A1370E"/>
    <w:rsid w:val="00A13765"/>
    <w:rsid w:val="00A139B6"/>
    <w:rsid w:val="00A13B66"/>
    <w:rsid w:val="00A13C57"/>
    <w:rsid w:val="00A13DAA"/>
    <w:rsid w:val="00A14719"/>
    <w:rsid w:val="00A14AC8"/>
    <w:rsid w:val="00A15DE0"/>
    <w:rsid w:val="00A15E1C"/>
    <w:rsid w:val="00A15EE0"/>
    <w:rsid w:val="00A16061"/>
    <w:rsid w:val="00A161CE"/>
    <w:rsid w:val="00A1644A"/>
    <w:rsid w:val="00A165FE"/>
    <w:rsid w:val="00A16D74"/>
    <w:rsid w:val="00A1733B"/>
    <w:rsid w:val="00A17369"/>
    <w:rsid w:val="00A17616"/>
    <w:rsid w:val="00A17745"/>
    <w:rsid w:val="00A17B51"/>
    <w:rsid w:val="00A201A2"/>
    <w:rsid w:val="00A208D5"/>
    <w:rsid w:val="00A20BBF"/>
    <w:rsid w:val="00A2119D"/>
    <w:rsid w:val="00A21212"/>
    <w:rsid w:val="00A21404"/>
    <w:rsid w:val="00A217A2"/>
    <w:rsid w:val="00A218D1"/>
    <w:rsid w:val="00A22497"/>
    <w:rsid w:val="00A2285B"/>
    <w:rsid w:val="00A22C84"/>
    <w:rsid w:val="00A23243"/>
    <w:rsid w:val="00A2375D"/>
    <w:rsid w:val="00A237EB"/>
    <w:rsid w:val="00A237F3"/>
    <w:rsid w:val="00A23989"/>
    <w:rsid w:val="00A239D1"/>
    <w:rsid w:val="00A23F32"/>
    <w:rsid w:val="00A240E9"/>
    <w:rsid w:val="00A24360"/>
    <w:rsid w:val="00A24373"/>
    <w:rsid w:val="00A24445"/>
    <w:rsid w:val="00A248BE"/>
    <w:rsid w:val="00A24B92"/>
    <w:rsid w:val="00A2523C"/>
    <w:rsid w:val="00A255D5"/>
    <w:rsid w:val="00A25653"/>
    <w:rsid w:val="00A257B7"/>
    <w:rsid w:val="00A25981"/>
    <w:rsid w:val="00A2765C"/>
    <w:rsid w:val="00A27B67"/>
    <w:rsid w:val="00A27C1A"/>
    <w:rsid w:val="00A27DE7"/>
    <w:rsid w:val="00A30178"/>
    <w:rsid w:val="00A302DC"/>
    <w:rsid w:val="00A3032D"/>
    <w:rsid w:val="00A30D5E"/>
    <w:rsid w:val="00A3133F"/>
    <w:rsid w:val="00A31D7C"/>
    <w:rsid w:val="00A31E97"/>
    <w:rsid w:val="00A323DC"/>
    <w:rsid w:val="00A32E20"/>
    <w:rsid w:val="00A32F42"/>
    <w:rsid w:val="00A331FB"/>
    <w:rsid w:val="00A333EF"/>
    <w:rsid w:val="00A33C1C"/>
    <w:rsid w:val="00A3401C"/>
    <w:rsid w:val="00A341AF"/>
    <w:rsid w:val="00A34230"/>
    <w:rsid w:val="00A3451C"/>
    <w:rsid w:val="00A347F9"/>
    <w:rsid w:val="00A34D5F"/>
    <w:rsid w:val="00A34DC8"/>
    <w:rsid w:val="00A34F81"/>
    <w:rsid w:val="00A35239"/>
    <w:rsid w:val="00A352B9"/>
    <w:rsid w:val="00A35736"/>
    <w:rsid w:val="00A35A5C"/>
    <w:rsid w:val="00A35DF6"/>
    <w:rsid w:val="00A36011"/>
    <w:rsid w:val="00A362BE"/>
    <w:rsid w:val="00A36444"/>
    <w:rsid w:val="00A3677B"/>
    <w:rsid w:val="00A36E75"/>
    <w:rsid w:val="00A36E9B"/>
    <w:rsid w:val="00A36F48"/>
    <w:rsid w:val="00A3732F"/>
    <w:rsid w:val="00A37659"/>
    <w:rsid w:val="00A376F4"/>
    <w:rsid w:val="00A3771C"/>
    <w:rsid w:val="00A37853"/>
    <w:rsid w:val="00A37A9C"/>
    <w:rsid w:val="00A37C06"/>
    <w:rsid w:val="00A37F3B"/>
    <w:rsid w:val="00A40037"/>
    <w:rsid w:val="00A4049F"/>
    <w:rsid w:val="00A407D5"/>
    <w:rsid w:val="00A40C84"/>
    <w:rsid w:val="00A41146"/>
    <w:rsid w:val="00A4186A"/>
    <w:rsid w:val="00A41C74"/>
    <w:rsid w:val="00A41F23"/>
    <w:rsid w:val="00A4248C"/>
    <w:rsid w:val="00A4277C"/>
    <w:rsid w:val="00A4280E"/>
    <w:rsid w:val="00A42C40"/>
    <w:rsid w:val="00A42C66"/>
    <w:rsid w:val="00A4315F"/>
    <w:rsid w:val="00A43362"/>
    <w:rsid w:val="00A43473"/>
    <w:rsid w:val="00A434E0"/>
    <w:rsid w:val="00A4352A"/>
    <w:rsid w:val="00A435C2"/>
    <w:rsid w:val="00A43C8F"/>
    <w:rsid w:val="00A44131"/>
    <w:rsid w:val="00A441E0"/>
    <w:rsid w:val="00A44202"/>
    <w:rsid w:val="00A44399"/>
    <w:rsid w:val="00A44446"/>
    <w:rsid w:val="00A44563"/>
    <w:rsid w:val="00A44B23"/>
    <w:rsid w:val="00A4572A"/>
    <w:rsid w:val="00A45909"/>
    <w:rsid w:val="00A45A63"/>
    <w:rsid w:val="00A45BA0"/>
    <w:rsid w:val="00A46497"/>
    <w:rsid w:val="00A4651F"/>
    <w:rsid w:val="00A4660B"/>
    <w:rsid w:val="00A46E5A"/>
    <w:rsid w:val="00A46EB6"/>
    <w:rsid w:val="00A470AA"/>
    <w:rsid w:val="00A47595"/>
    <w:rsid w:val="00A476F6"/>
    <w:rsid w:val="00A47DE0"/>
    <w:rsid w:val="00A50006"/>
    <w:rsid w:val="00A501DE"/>
    <w:rsid w:val="00A50350"/>
    <w:rsid w:val="00A505BF"/>
    <w:rsid w:val="00A505DD"/>
    <w:rsid w:val="00A50B5C"/>
    <w:rsid w:val="00A50BE0"/>
    <w:rsid w:val="00A50D62"/>
    <w:rsid w:val="00A50FBA"/>
    <w:rsid w:val="00A512B3"/>
    <w:rsid w:val="00A51F19"/>
    <w:rsid w:val="00A51F71"/>
    <w:rsid w:val="00A5218D"/>
    <w:rsid w:val="00A52373"/>
    <w:rsid w:val="00A529C2"/>
    <w:rsid w:val="00A52F0B"/>
    <w:rsid w:val="00A531F2"/>
    <w:rsid w:val="00A53256"/>
    <w:rsid w:val="00A5339E"/>
    <w:rsid w:val="00A538F6"/>
    <w:rsid w:val="00A53B16"/>
    <w:rsid w:val="00A53C5F"/>
    <w:rsid w:val="00A53D3C"/>
    <w:rsid w:val="00A53F59"/>
    <w:rsid w:val="00A54222"/>
    <w:rsid w:val="00A5451F"/>
    <w:rsid w:val="00A5462B"/>
    <w:rsid w:val="00A546AC"/>
    <w:rsid w:val="00A55121"/>
    <w:rsid w:val="00A559CE"/>
    <w:rsid w:val="00A55C8A"/>
    <w:rsid w:val="00A55DD2"/>
    <w:rsid w:val="00A55DE4"/>
    <w:rsid w:val="00A55EEE"/>
    <w:rsid w:val="00A56376"/>
    <w:rsid w:val="00A563AD"/>
    <w:rsid w:val="00A566A2"/>
    <w:rsid w:val="00A56759"/>
    <w:rsid w:val="00A56CB5"/>
    <w:rsid w:val="00A56D5B"/>
    <w:rsid w:val="00A57023"/>
    <w:rsid w:val="00A5702F"/>
    <w:rsid w:val="00A570C2"/>
    <w:rsid w:val="00A575DF"/>
    <w:rsid w:val="00A57A02"/>
    <w:rsid w:val="00A57CFF"/>
    <w:rsid w:val="00A57F2B"/>
    <w:rsid w:val="00A6012E"/>
    <w:rsid w:val="00A6051B"/>
    <w:rsid w:val="00A6093B"/>
    <w:rsid w:val="00A60A85"/>
    <w:rsid w:val="00A614F0"/>
    <w:rsid w:val="00A6166C"/>
    <w:rsid w:val="00A61B74"/>
    <w:rsid w:val="00A61BD7"/>
    <w:rsid w:val="00A61F35"/>
    <w:rsid w:val="00A62660"/>
    <w:rsid w:val="00A62CF6"/>
    <w:rsid w:val="00A633D6"/>
    <w:rsid w:val="00A63450"/>
    <w:rsid w:val="00A63980"/>
    <w:rsid w:val="00A63ADB"/>
    <w:rsid w:val="00A63C7C"/>
    <w:rsid w:val="00A63E1E"/>
    <w:rsid w:val="00A642ED"/>
    <w:rsid w:val="00A6430C"/>
    <w:rsid w:val="00A64537"/>
    <w:rsid w:val="00A647C0"/>
    <w:rsid w:val="00A64A43"/>
    <w:rsid w:val="00A64B50"/>
    <w:rsid w:val="00A64E5B"/>
    <w:rsid w:val="00A64F65"/>
    <w:rsid w:val="00A64FC4"/>
    <w:rsid w:val="00A65A9C"/>
    <w:rsid w:val="00A65B94"/>
    <w:rsid w:val="00A65C48"/>
    <w:rsid w:val="00A66146"/>
    <w:rsid w:val="00A662F3"/>
    <w:rsid w:val="00A666F2"/>
    <w:rsid w:val="00A66C39"/>
    <w:rsid w:val="00A66CC7"/>
    <w:rsid w:val="00A6705E"/>
    <w:rsid w:val="00A67587"/>
    <w:rsid w:val="00A67B17"/>
    <w:rsid w:val="00A67C94"/>
    <w:rsid w:val="00A70079"/>
    <w:rsid w:val="00A701FF"/>
    <w:rsid w:val="00A70235"/>
    <w:rsid w:val="00A7047E"/>
    <w:rsid w:val="00A704D2"/>
    <w:rsid w:val="00A704F7"/>
    <w:rsid w:val="00A7061F"/>
    <w:rsid w:val="00A70794"/>
    <w:rsid w:val="00A70799"/>
    <w:rsid w:val="00A70DF9"/>
    <w:rsid w:val="00A71144"/>
    <w:rsid w:val="00A71177"/>
    <w:rsid w:val="00A712D3"/>
    <w:rsid w:val="00A71ED4"/>
    <w:rsid w:val="00A721BF"/>
    <w:rsid w:val="00A72369"/>
    <w:rsid w:val="00A72643"/>
    <w:rsid w:val="00A72B64"/>
    <w:rsid w:val="00A72F19"/>
    <w:rsid w:val="00A73002"/>
    <w:rsid w:val="00A73486"/>
    <w:rsid w:val="00A737EB"/>
    <w:rsid w:val="00A73B75"/>
    <w:rsid w:val="00A73D68"/>
    <w:rsid w:val="00A73EA7"/>
    <w:rsid w:val="00A74233"/>
    <w:rsid w:val="00A74303"/>
    <w:rsid w:val="00A743E7"/>
    <w:rsid w:val="00A74491"/>
    <w:rsid w:val="00A74FBA"/>
    <w:rsid w:val="00A75456"/>
    <w:rsid w:val="00A760B7"/>
    <w:rsid w:val="00A761E6"/>
    <w:rsid w:val="00A762AB"/>
    <w:rsid w:val="00A76F36"/>
    <w:rsid w:val="00A80229"/>
    <w:rsid w:val="00A8086E"/>
    <w:rsid w:val="00A80914"/>
    <w:rsid w:val="00A80B98"/>
    <w:rsid w:val="00A80C92"/>
    <w:rsid w:val="00A80C97"/>
    <w:rsid w:val="00A810F1"/>
    <w:rsid w:val="00A81243"/>
    <w:rsid w:val="00A814C0"/>
    <w:rsid w:val="00A8152C"/>
    <w:rsid w:val="00A815AC"/>
    <w:rsid w:val="00A81773"/>
    <w:rsid w:val="00A81C3B"/>
    <w:rsid w:val="00A82395"/>
    <w:rsid w:val="00A82816"/>
    <w:rsid w:val="00A82B70"/>
    <w:rsid w:val="00A82BA3"/>
    <w:rsid w:val="00A82DDA"/>
    <w:rsid w:val="00A83212"/>
    <w:rsid w:val="00A8341D"/>
    <w:rsid w:val="00A83582"/>
    <w:rsid w:val="00A83CCC"/>
    <w:rsid w:val="00A83D34"/>
    <w:rsid w:val="00A83E00"/>
    <w:rsid w:val="00A83F01"/>
    <w:rsid w:val="00A83F0F"/>
    <w:rsid w:val="00A84473"/>
    <w:rsid w:val="00A84993"/>
    <w:rsid w:val="00A84AF0"/>
    <w:rsid w:val="00A851F0"/>
    <w:rsid w:val="00A85298"/>
    <w:rsid w:val="00A8561D"/>
    <w:rsid w:val="00A8572F"/>
    <w:rsid w:val="00A85810"/>
    <w:rsid w:val="00A85A81"/>
    <w:rsid w:val="00A85AA9"/>
    <w:rsid w:val="00A85BCE"/>
    <w:rsid w:val="00A860EE"/>
    <w:rsid w:val="00A861E9"/>
    <w:rsid w:val="00A86726"/>
    <w:rsid w:val="00A86B3A"/>
    <w:rsid w:val="00A86EE1"/>
    <w:rsid w:val="00A86FBB"/>
    <w:rsid w:val="00A8710E"/>
    <w:rsid w:val="00A8747F"/>
    <w:rsid w:val="00A87787"/>
    <w:rsid w:val="00A87834"/>
    <w:rsid w:val="00A87BA2"/>
    <w:rsid w:val="00A9018B"/>
    <w:rsid w:val="00A9022B"/>
    <w:rsid w:val="00A9049F"/>
    <w:rsid w:val="00A908ED"/>
    <w:rsid w:val="00A90D4D"/>
    <w:rsid w:val="00A91019"/>
    <w:rsid w:val="00A91299"/>
    <w:rsid w:val="00A91768"/>
    <w:rsid w:val="00A91A01"/>
    <w:rsid w:val="00A91E74"/>
    <w:rsid w:val="00A91ED1"/>
    <w:rsid w:val="00A92085"/>
    <w:rsid w:val="00A92385"/>
    <w:rsid w:val="00A9257D"/>
    <w:rsid w:val="00A92675"/>
    <w:rsid w:val="00A92EAE"/>
    <w:rsid w:val="00A93241"/>
    <w:rsid w:val="00A93545"/>
    <w:rsid w:val="00A9373B"/>
    <w:rsid w:val="00A937CE"/>
    <w:rsid w:val="00A939EE"/>
    <w:rsid w:val="00A93BE6"/>
    <w:rsid w:val="00A93CFD"/>
    <w:rsid w:val="00A94676"/>
    <w:rsid w:val="00A94C17"/>
    <w:rsid w:val="00A94C50"/>
    <w:rsid w:val="00A94C6D"/>
    <w:rsid w:val="00A94F14"/>
    <w:rsid w:val="00A94FAA"/>
    <w:rsid w:val="00A9500C"/>
    <w:rsid w:val="00A952B3"/>
    <w:rsid w:val="00A95497"/>
    <w:rsid w:val="00A958A7"/>
    <w:rsid w:val="00A95B2E"/>
    <w:rsid w:val="00A95BD4"/>
    <w:rsid w:val="00A95ECB"/>
    <w:rsid w:val="00A95FCA"/>
    <w:rsid w:val="00A95FDC"/>
    <w:rsid w:val="00A960FA"/>
    <w:rsid w:val="00A96141"/>
    <w:rsid w:val="00A96436"/>
    <w:rsid w:val="00A965AC"/>
    <w:rsid w:val="00A96829"/>
    <w:rsid w:val="00A96977"/>
    <w:rsid w:val="00A96AD1"/>
    <w:rsid w:val="00A96AF2"/>
    <w:rsid w:val="00A96C10"/>
    <w:rsid w:val="00A96E5B"/>
    <w:rsid w:val="00A974F6"/>
    <w:rsid w:val="00A976EF"/>
    <w:rsid w:val="00A97CF2"/>
    <w:rsid w:val="00AA0845"/>
    <w:rsid w:val="00AA0AB3"/>
    <w:rsid w:val="00AA0E5E"/>
    <w:rsid w:val="00AA1129"/>
    <w:rsid w:val="00AA14C0"/>
    <w:rsid w:val="00AA1735"/>
    <w:rsid w:val="00AA17D4"/>
    <w:rsid w:val="00AA1886"/>
    <w:rsid w:val="00AA1A62"/>
    <w:rsid w:val="00AA1F16"/>
    <w:rsid w:val="00AA2055"/>
    <w:rsid w:val="00AA253B"/>
    <w:rsid w:val="00AA28A5"/>
    <w:rsid w:val="00AA2BAA"/>
    <w:rsid w:val="00AA2CD5"/>
    <w:rsid w:val="00AA2D13"/>
    <w:rsid w:val="00AA2D99"/>
    <w:rsid w:val="00AA2DF2"/>
    <w:rsid w:val="00AA2E6B"/>
    <w:rsid w:val="00AA331B"/>
    <w:rsid w:val="00AA3545"/>
    <w:rsid w:val="00AA4158"/>
    <w:rsid w:val="00AA447D"/>
    <w:rsid w:val="00AA4797"/>
    <w:rsid w:val="00AA47C0"/>
    <w:rsid w:val="00AA47D8"/>
    <w:rsid w:val="00AA4E4E"/>
    <w:rsid w:val="00AA51FF"/>
    <w:rsid w:val="00AA5C17"/>
    <w:rsid w:val="00AA5E22"/>
    <w:rsid w:val="00AA5FCB"/>
    <w:rsid w:val="00AA6323"/>
    <w:rsid w:val="00AA6650"/>
    <w:rsid w:val="00AA71C3"/>
    <w:rsid w:val="00AA7331"/>
    <w:rsid w:val="00AA7831"/>
    <w:rsid w:val="00AA788D"/>
    <w:rsid w:val="00AA79C5"/>
    <w:rsid w:val="00AA7DC6"/>
    <w:rsid w:val="00AB03A7"/>
    <w:rsid w:val="00AB129E"/>
    <w:rsid w:val="00AB15FD"/>
    <w:rsid w:val="00AB1AD0"/>
    <w:rsid w:val="00AB1B63"/>
    <w:rsid w:val="00AB1D0E"/>
    <w:rsid w:val="00AB227E"/>
    <w:rsid w:val="00AB2431"/>
    <w:rsid w:val="00AB2923"/>
    <w:rsid w:val="00AB30AB"/>
    <w:rsid w:val="00AB3474"/>
    <w:rsid w:val="00AB36E9"/>
    <w:rsid w:val="00AB3792"/>
    <w:rsid w:val="00AB3C5B"/>
    <w:rsid w:val="00AB3D6C"/>
    <w:rsid w:val="00AB3E02"/>
    <w:rsid w:val="00AB3F30"/>
    <w:rsid w:val="00AB4022"/>
    <w:rsid w:val="00AB4204"/>
    <w:rsid w:val="00AB4349"/>
    <w:rsid w:val="00AB4388"/>
    <w:rsid w:val="00AB4474"/>
    <w:rsid w:val="00AB45D6"/>
    <w:rsid w:val="00AB487C"/>
    <w:rsid w:val="00AB49D7"/>
    <w:rsid w:val="00AB4BC2"/>
    <w:rsid w:val="00AB4D02"/>
    <w:rsid w:val="00AB4E3C"/>
    <w:rsid w:val="00AB5419"/>
    <w:rsid w:val="00AB57B3"/>
    <w:rsid w:val="00AB66E3"/>
    <w:rsid w:val="00AB6931"/>
    <w:rsid w:val="00AB6D0E"/>
    <w:rsid w:val="00AB71CA"/>
    <w:rsid w:val="00AB73F0"/>
    <w:rsid w:val="00AB7E1B"/>
    <w:rsid w:val="00AC00AE"/>
    <w:rsid w:val="00AC03D3"/>
    <w:rsid w:val="00AC0910"/>
    <w:rsid w:val="00AC0D45"/>
    <w:rsid w:val="00AC0F07"/>
    <w:rsid w:val="00AC12EB"/>
    <w:rsid w:val="00AC1A1D"/>
    <w:rsid w:val="00AC1DC5"/>
    <w:rsid w:val="00AC2094"/>
    <w:rsid w:val="00AC2231"/>
    <w:rsid w:val="00AC290D"/>
    <w:rsid w:val="00AC2973"/>
    <w:rsid w:val="00AC29DF"/>
    <w:rsid w:val="00AC2CA0"/>
    <w:rsid w:val="00AC386D"/>
    <w:rsid w:val="00AC3E82"/>
    <w:rsid w:val="00AC3F21"/>
    <w:rsid w:val="00AC3FF8"/>
    <w:rsid w:val="00AC4795"/>
    <w:rsid w:val="00AC4A47"/>
    <w:rsid w:val="00AC4BE5"/>
    <w:rsid w:val="00AC4C5C"/>
    <w:rsid w:val="00AC4CEA"/>
    <w:rsid w:val="00AC4DE2"/>
    <w:rsid w:val="00AC4E8F"/>
    <w:rsid w:val="00AC57D9"/>
    <w:rsid w:val="00AC5D63"/>
    <w:rsid w:val="00AC6353"/>
    <w:rsid w:val="00AC653D"/>
    <w:rsid w:val="00AC6B90"/>
    <w:rsid w:val="00AC7299"/>
    <w:rsid w:val="00AC7712"/>
    <w:rsid w:val="00AC791D"/>
    <w:rsid w:val="00AC79F6"/>
    <w:rsid w:val="00AC7C6E"/>
    <w:rsid w:val="00AC7DB3"/>
    <w:rsid w:val="00AC7E3D"/>
    <w:rsid w:val="00AC7E97"/>
    <w:rsid w:val="00AD05CF"/>
    <w:rsid w:val="00AD08D1"/>
    <w:rsid w:val="00AD09FA"/>
    <w:rsid w:val="00AD0A1A"/>
    <w:rsid w:val="00AD0BDF"/>
    <w:rsid w:val="00AD0CD6"/>
    <w:rsid w:val="00AD0D4F"/>
    <w:rsid w:val="00AD1478"/>
    <w:rsid w:val="00AD1807"/>
    <w:rsid w:val="00AD1E11"/>
    <w:rsid w:val="00AD20F2"/>
    <w:rsid w:val="00AD239C"/>
    <w:rsid w:val="00AD253A"/>
    <w:rsid w:val="00AD28AD"/>
    <w:rsid w:val="00AD28B7"/>
    <w:rsid w:val="00AD3082"/>
    <w:rsid w:val="00AD32D9"/>
    <w:rsid w:val="00AD3674"/>
    <w:rsid w:val="00AD3F88"/>
    <w:rsid w:val="00AD4030"/>
    <w:rsid w:val="00AD44BB"/>
    <w:rsid w:val="00AD4D62"/>
    <w:rsid w:val="00AD4E53"/>
    <w:rsid w:val="00AD4F5A"/>
    <w:rsid w:val="00AD5340"/>
    <w:rsid w:val="00AD54EC"/>
    <w:rsid w:val="00AD565D"/>
    <w:rsid w:val="00AD59F9"/>
    <w:rsid w:val="00AD59FC"/>
    <w:rsid w:val="00AD6083"/>
    <w:rsid w:val="00AD6259"/>
    <w:rsid w:val="00AD64D1"/>
    <w:rsid w:val="00AD730C"/>
    <w:rsid w:val="00AD77FB"/>
    <w:rsid w:val="00AD7C9F"/>
    <w:rsid w:val="00AD7CEE"/>
    <w:rsid w:val="00AD7F3E"/>
    <w:rsid w:val="00AE000D"/>
    <w:rsid w:val="00AE0291"/>
    <w:rsid w:val="00AE02CA"/>
    <w:rsid w:val="00AE03AD"/>
    <w:rsid w:val="00AE0DDF"/>
    <w:rsid w:val="00AE1009"/>
    <w:rsid w:val="00AE1010"/>
    <w:rsid w:val="00AE1193"/>
    <w:rsid w:val="00AE14F5"/>
    <w:rsid w:val="00AE1696"/>
    <w:rsid w:val="00AE17CE"/>
    <w:rsid w:val="00AE1BA6"/>
    <w:rsid w:val="00AE1ED3"/>
    <w:rsid w:val="00AE1EDC"/>
    <w:rsid w:val="00AE1F79"/>
    <w:rsid w:val="00AE202F"/>
    <w:rsid w:val="00AE2313"/>
    <w:rsid w:val="00AE2702"/>
    <w:rsid w:val="00AE2A57"/>
    <w:rsid w:val="00AE2D6C"/>
    <w:rsid w:val="00AE3058"/>
    <w:rsid w:val="00AE3425"/>
    <w:rsid w:val="00AE38E5"/>
    <w:rsid w:val="00AE38F7"/>
    <w:rsid w:val="00AE394C"/>
    <w:rsid w:val="00AE39A0"/>
    <w:rsid w:val="00AE40E0"/>
    <w:rsid w:val="00AE43EB"/>
    <w:rsid w:val="00AE4505"/>
    <w:rsid w:val="00AE4A02"/>
    <w:rsid w:val="00AE4A33"/>
    <w:rsid w:val="00AE54C9"/>
    <w:rsid w:val="00AE5B71"/>
    <w:rsid w:val="00AE5C7D"/>
    <w:rsid w:val="00AE5D8E"/>
    <w:rsid w:val="00AE5E45"/>
    <w:rsid w:val="00AE619D"/>
    <w:rsid w:val="00AE6D63"/>
    <w:rsid w:val="00AE75B5"/>
    <w:rsid w:val="00AE7B9D"/>
    <w:rsid w:val="00AE7C3A"/>
    <w:rsid w:val="00AF0202"/>
    <w:rsid w:val="00AF06E0"/>
    <w:rsid w:val="00AF1324"/>
    <w:rsid w:val="00AF1333"/>
    <w:rsid w:val="00AF13AA"/>
    <w:rsid w:val="00AF1405"/>
    <w:rsid w:val="00AF1718"/>
    <w:rsid w:val="00AF2201"/>
    <w:rsid w:val="00AF276D"/>
    <w:rsid w:val="00AF2C0E"/>
    <w:rsid w:val="00AF2FAA"/>
    <w:rsid w:val="00AF3091"/>
    <w:rsid w:val="00AF321A"/>
    <w:rsid w:val="00AF33B2"/>
    <w:rsid w:val="00AF3774"/>
    <w:rsid w:val="00AF3798"/>
    <w:rsid w:val="00AF379C"/>
    <w:rsid w:val="00AF39A6"/>
    <w:rsid w:val="00AF4160"/>
    <w:rsid w:val="00AF450D"/>
    <w:rsid w:val="00AF45AE"/>
    <w:rsid w:val="00AF45CF"/>
    <w:rsid w:val="00AF461D"/>
    <w:rsid w:val="00AF477A"/>
    <w:rsid w:val="00AF478E"/>
    <w:rsid w:val="00AF4BFA"/>
    <w:rsid w:val="00AF4F47"/>
    <w:rsid w:val="00AF4FEC"/>
    <w:rsid w:val="00AF50D3"/>
    <w:rsid w:val="00AF55A8"/>
    <w:rsid w:val="00AF5649"/>
    <w:rsid w:val="00AF57BA"/>
    <w:rsid w:val="00AF58F9"/>
    <w:rsid w:val="00AF6218"/>
    <w:rsid w:val="00AF741E"/>
    <w:rsid w:val="00AF7719"/>
    <w:rsid w:val="00AF7838"/>
    <w:rsid w:val="00AF78C4"/>
    <w:rsid w:val="00AF792F"/>
    <w:rsid w:val="00B000FE"/>
    <w:rsid w:val="00B00184"/>
    <w:rsid w:val="00B00776"/>
    <w:rsid w:val="00B016F9"/>
    <w:rsid w:val="00B01F4B"/>
    <w:rsid w:val="00B020F4"/>
    <w:rsid w:val="00B02772"/>
    <w:rsid w:val="00B0285E"/>
    <w:rsid w:val="00B02F57"/>
    <w:rsid w:val="00B03112"/>
    <w:rsid w:val="00B03424"/>
    <w:rsid w:val="00B036F7"/>
    <w:rsid w:val="00B03F02"/>
    <w:rsid w:val="00B040D6"/>
    <w:rsid w:val="00B043A3"/>
    <w:rsid w:val="00B049D6"/>
    <w:rsid w:val="00B049DD"/>
    <w:rsid w:val="00B04CF3"/>
    <w:rsid w:val="00B04EDC"/>
    <w:rsid w:val="00B04EE7"/>
    <w:rsid w:val="00B04F14"/>
    <w:rsid w:val="00B0516D"/>
    <w:rsid w:val="00B053F0"/>
    <w:rsid w:val="00B05ACE"/>
    <w:rsid w:val="00B05BDC"/>
    <w:rsid w:val="00B05CE4"/>
    <w:rsid w:val="00B06063"/>
    <w:rsid w:val="00B065F7"/>
    <w:rsid w:val="00B06822"/>
    <w:rsid w:val="00B068FE"/>
    <w:rsid w:val="00B06A0B"/>
    <w:rsid w:val="00B06A76"/>
    <w:rsid w:val="00B06AC9"/>
    <w:rsid w:val="00B06FAD"/>
    <w:rsid w:val="00B07065"/>
    <w:rsid w:val="00B071DC"/>
    <w:rsid w:val="00B072DA"/>
    <w:rsid w:val="00B074E5"/>
    <w:rsid w:val="00B07595"/>
    <w:rsid w:val="00B07EFF"/>
    <w:rsid w:val="00B10371"/>
    <w:rsid w:val="00B10416"/>
    <w:rsid w:val="00B105DD"/>
    <w:rsid w:val="00B106AC"/>
    <w:rsid w:val="00B10AD5"/>
    <w:rsid w:val="00B10F9D"/>
    <w:rsid w:val="00B118A6"/>
    <w:rsid w:val="00B11D09"/>
    <w:rsid w:val="00B11E15"/>
    <w:rsid w:val="00B11E9A"/>
    <w:rsid w:val="00B11FDD"/>
    <w:rsid w:val="00B125B7"/>
    <w:rsid w:val="00B12BE5"/>
    <w:rsid w:val="00B1308C"/>
    <w:rsid w:val="00B13094"/>
    <w:rsid w:val="00B13383"/>
    <w:rsid w:val="00B1379C"/>
    <w:rsid w:val="00B13B98"/>
    <w:rsid w:val="00B1437F"/>
    <w:rsid w:val="00B14559"/>
    <w:rsid w:val="00B14B8E"/>
    <w:rsid w:val="00B14EFB"/>
    <w:rsid w:val="00B14FB1"/>
    <w:rsid w:val="00B150E0"/>
    <w:rsid w:val="00B155F7"/>
    <w:rsid w:val="00B15919"/>
    <w:rsid w:val="00B15956"/>
    <w:rsid w:val="00B159DA"/>
    <w:rsid w:val="00B15E4D"/>
    <w:rsid w:val="00B16019"/>
    <w:rsid w:val="00B16794"/>
    <w:rsid w:val="00B16988"/>
    <w:rsid w:val="00B17243"/>
    <w:rsid w:val="00B1755C"/>
    <w:rsid w:val="00B17815"/>
    <w:rsid w:val="00B17AAB"/>
    <w:rsid w:val="00B17EF2"/>
    <w:rsid w:val="00B17F08"/>
    <w:rsid w:val="00B2028B"/>
    <w:rsid w:val="00B20536"/>
    <w:rsid w:val="00B211AB"/>
    <w:rsid w:val="00B213D6"/>
    <w:rsid w:val="00B21826"/>
    <w:rsid w:val="00B21B9C"/>
    <w:rsid w:val="00B21C33"/>
    <w:rsid w:val="00B21F59"/>
    <w:rsid w:val="00B21FC1"/>
    <w:rsid w:val="00B2286B"/>
    <w:rsid w:val="00B22B7C"/>
    <w:rsid w:val="00B22D3D"/>
    <w:rsid w:val="00B22ECD"/>
    <w:rsid w:val="00B230A1"/>
    <w:rsid w:val="00B23914"/>
    <w:rsid w:val="00B23C27"/>
    <w:rsid w:val="00B23E99"/>
    <w:rsid w:val="00B24059"/>
    <w:rsid w:val="00B24211"/>
    <w:rsid w:val="00B245E3"/>
    <w:rsid w:val="00B247BA"/>
    <w:rsid w:val="00B24828"/>
    <w:rsid w:val="00B24B2F"/>
    <w:rsid w:val="00B24BA6"/>
    <w:rsid w:val="00B24D74"/>
    <w:rsid w:val="00B24DDD"/>
    <w:rsid w:val="00B2507F"/>
    <w:rsid w:val="00B2522E"/>
    <w:rsid w:val="00B25489"/>
    <w:rsid w:val="00B25910"/>
    <w:rsid w:val="00B25B78"/>
    <w:rsid w:val="00B261CC"/>
    <w:rsid w:val="00B2629F"/>
    <w:rsid w:val="00B26586"/>
    <w:rsid w:val="00B26A3F"/>
    <w:rsid w:val="00B26EA5"/>
    <w:rsid w:val="00B2738A"/>
    <w:rsid w:val="00B273A4"/>
    <w:rsid w:val="00B273C0"/>
    <w:rsid w:val="00B27446"/>
    <w:rsid w:val="00B27967"/>
    <w:rsid w:val="00B27A6D"/>
    <w:rsid w:val="00B27C65"/>
    <w:rsid w:val="00B300B1"/>
    <w:rsid w:val="00B3012B"/>
    <w:rsid w:val="00B3045C"/>
    <w:rsid w:val="00B3069F"/>
    <w:rsid w:val="00B30D6F"/>
    <w:rsid w:val="00B31127"/>
    <w:rsid w:val="00B31360"/>
    <w:rsid w:val="00B318AA"/>
    <w:rsid w:val="00B31C9E"/>
    <w:rsid w:val="00B31D91"/>
    <w:rsid w:val="00B322E1"/>
    <w:rsid w:val="00B3234B"/>
    <w:rsid w:val="00B3234C"/>
    <w:rsid w:val="00B3241C"/>
    <w:rsid w:val="00B3259B"/>
    <w:rsid w:val="00B32BE4"/>
    <w:rsid w:val="00B32C1A"/>
    <w:rsid w:val="00B32D86"/>
    <w:rsid w:val="00B3369F"/>
    <w:rsid w:val="00B338D5"/>
    <w:rsid w:val="00B33A27"/>
    <w:rsid w:val="00B33CD3"/>
    <w:rsid w:val="00B340D1"/>
    <w:rsid w:val="00B346A2"/>
    <w:rsid w:val="00B346CB"/>
    <w:rsid w:val="00B34714"/>
    <w:rsid w:val="00B3504F"/>
    <w:rsid w:val="00B35056"/>
    <w:rsid w:val="00B3528E"/>
    <w:rsid w:val="00B3545D"/>
    <w:rsid w:val="00B358B0"/>
    <w:rsid w:val="00B35BA0"/>
    <w:rsid w:val="00B35CFE"/>
    <w:rsid w:val="00B36196"/>
    <w:rsid w:val="00B361C3"/>
    <w:rsid w:val="00B36242"/>
    <w:rsid w:val="00B36272"/>
    <w:rsid w:val="00B36677"/>
    <w:rsid w:val="00B370ED"/>
    <w:rsid w:val="00B37151"/>
    <w:rsid w:val="00B373E5"/>
    <w:rsid w:val="00B376C0"/>
    <w:rsid w:val="00B377C7"/>
    <w:rsid w:val="00B37954"/>
    <w:rsid w:val="00B37AE6"/>
    <w:rsid w:val="00B37F96"/>
    <w:rsid w:val="00B37F9D"/>
    <w:rsid w:val="00B403D0"/>
    <w:rsid w:val="00B4097E"/>
    <w:rsid w:val="00B40A6C"/>
    <w:rsid w:val="00B40D91"/>
    <w:rsid w:val="00B41165"/>
    <w:rsid w:val="00B4164D"/>
    <w:rsid w:val="00B41741"/>
    <w:rsid w:val="00B41CED"/>
    <w:rsid w:val="00B41FF5"/>
    <w:rsid w:val="00B4228F"/>
    <w:rsid w:val="00B42EC2"/>
    <w:rsid w:val="00B4318D"/>
    <w:rsid w:val="00B43266"/>
    <w:rsid w:val="00B436F2"/>
    <w:rsid w:val="00B43883"/>
    <w:rsid w:val="00B439D4"/>
    <w:rsid w:val="00B44498"/>
    <w:rsid w:val="00B445BF"/>
    <w:rsid w:val="00B4565E"/>
    <w:rsid w:val="00B45822"/>
    <w:rsid w:val="00B45893"/>
    <w:rsid w:val="00B4589A"/>
    <w:rsid w:val="00B45C66"/>
    <w:rsid w:val="00B45CBC"/>
    <w:rsid w:val="00B460A7"/>
    <w:rsid w:val="00B46249"/>
    <w:rsid w:val="00B462B3"/>
    <w:rsid w:val="00B4671A"/>
    <w:rsid w:val="00B46D0E"/>
    <w:rsid w:val="00B47369"/>
    <w:rsid w:val="00B47380"/>
    <w:rsid w:val="00B474A0"/>
    <w:rsid w:val="00B47B30"/>
    <w:rsid w:val="00B47D4A"/>
    <w:rsid w:val="00B47FF3"/>
    <w:rsid w:val="00B50311"/>
    <w:rsid w:val="00B504D5"/>
    <w:rsid w:val="00B50577"/>
    <w:rsid w:val="00B50B39"/>
    <w:rsid w:val="00B50E00"/>
    <w:rsid w:val="00B51DFA"/>
    <w:rsid w:val="00B52050"/>
    <w:rsid w:val="00B52060"/>
    <w:rsid w:val="00B5209A"/>
    <w:rsid w:val="00B52270"/>
    <w:rsid w:val="00B52734"/>
    <w:rsid w:val="00B53011"/>
    <w:rsid w:val="00B53215"/>
    <w:rsid w:val="00B539C9"/>
    <w:rsid w:val="00B53B14"/>
    <w:rsid w:val="00B53CA1"/>
    <w:rsid w:val="00B54305"/>
    <w:rsid w:val="00B54622"/>
    <w:rsid w:val="00B54834"/>
    <w:rsid w:val="00B54849"/>
    <w:rsid w:val="00B54D4D"/>
    <w:rsid w:val="00B551E7"/>
    <w:rsid w:val="00B552E4"/>
    <w:rsid w:val="00B5533A"/>
    <w:rsid w:val="00B556BF"/>
    <w:rsid w:val="00B55BCD"/>
    <w:rsid w:val="00B55D21"/>
    <w:rsid w:val="00B5661F"/>
    <w:rsid w:val="00B56803"/>
    <w:rsid w:val="00B5693D"/>
    <w:rsid w:val="00B56DC8"/>
    <w:rsid w:val="00B56E23"/>
    <w:rsid w:val="00B57321"/>
    <w:rsid w:val="00B574E0"/>
    <w:rsid w:val="00B57997"/>
    <w:rsid w:val="00B57B99"/>
    <w:rsid w:val="00B6025F"/>
    <w:rsid w:val="00B60A01"/>
    <w:rsid w:val="00B60D0F"/>
    <w:rsid w:val="00B610D4"/>
    <w:rsid w:val="00B61812"/>
    <w:rsid w:val="00B61C8C"/>
    <w:rsid w:val="00B61E80"/>
    <w:rsid w:val="00B6217D"/>
    <w:rsid w:val="00B62AE3"/>
    <w:rsid w:val="00B62B6F"/>
    <w:rsid w:val="00B62BE0"/>
    <w:rsid w:val="00B62C86"/>
    <w:rsid w:val="00B62E0B"/>
    <w:rsid w:val="00B62FBD"/>
    <w:rsid w:val="00B634A2"/>
    <w:rsid w:val="00B63E82"/>
    <w:rsid w:val="00B63F09"/>
    <w:rsid w:val="00B64D0E"/>
    <w:rsid w:val="00B64D27"/>
    <w:rsid w:val="00B64E7E"/>
    <w:rsid w:val="00B651D4"/>
    <w:rsid w:val="00B65A01"/>
    <w:rsid w:val="00B65B0A"/>
    <w:rsid w:val="00B65E3D"/>
    <w:rsid w:val="00B65FEF"/>
    <w:rsid w:val="00B660F3"/>
    <w:rsid w:val="00B66E99"/>
    <w:rsid w:val="00B67677"/>
    <w:rsid w:val="00B67930"/>
    <w:rsid w:val="00B67BCB"/>
    <w:rsid w:val="00B67D34"/>
    <w:rsid w:val="00B70216"/>
    <w:rsid w:val="00B703D2"/>
    <w:rsid w:val="00B706C1"/>
    <w:rsid w:val="00B70B42"/>
    <w:rsid w:val="00B70DBF"/>
    <w:rsid w:val="00B7117F"/>
    <w:rsid w:val="00B712A8"/>
    <w:rsid w:val="00B71471"/>
    <w:rsid w:val="00B7163E"/>
    <w:rsid w:val="00B71F06"/>
    <w:rsid w:val="00B727F7"/>
    <w:rsid w:val="00B728C5"/>
    <w:rsid w:val="00B7292E"/>
    <w:rsid w:val="00B72930"/>
    <w:rsid w:val="00B7294E"/>
    <w:rsid w:val="00B72BAD"/>
    <w:rsid w:val="00B72EDE"/>
    <w:rsid w:val="00B72F45"/>
    <w:rsid w:val="00B733EE"/>
    <w:rsid w:val="00B735C3"/>
    <w:rsid w:val="00B73810"/>
    <w:rsid w:val="00B73D93"/>
    <w:rsid w:val="00B74220"/>
    <w:rsid w:val="00B74939"/>
    <w:rsid w:val="00B7495F"/>
    <w:rsid w:val="00B74A1E"/>
    <w:rsid w:val="00B750BF"/>
    <w:rsid w:val="00B75411"/>
    <w:rsid w:val="00B75AD5"/>
    <w:rsid w:val="00B75D18"/>
    <w:rsid w:val="00B75FA8"/>
    <w:rsid w:val="00B766BA"/>
    <w:rsid w:val="00B76AE0"/>
    <w:rsid w:val="00B76D2A"/>
    <w:rsid w:val="00B77138"/>
    <w:rsid w:val="00B7720C"/>
    <w:rsid w:val="00B77214"/>
    <w:rsid w:val="00B77324"/>
    <w:rsid w:val="00B7755B"/>
    <w:rsid w:val="00B77775"/>
    <w:rsid w:val="00B77D6A"/>
    <w:rsid w:val="00B800F0"/>
    <w:rsid w:val="00B8014F"/>
    <w:rsid w:val="00B8017B"/>
    <w:rsid w:val="00B802F6"/>
    <w:rsid w:val="00B80898"/>
    <w:rsid w:val="00B80994"/>
    <w:rsid w:val="00B80A88"/>
    <w:rsid w:val="00B81254"/>
    <w:rsid w:val="00B8129C"/>
    <w:rsid w:val="00B813F9"/>
    <w:rsid w:val="00B815E6"/>
    <w:rsid w:val="00B81783"/>
    <w:rsid w:val="00B81EC4"/>
    <w:rsid w:val="00B82327"/>
    <w:rsid w:val="00B82727"/>
    <w:rsid w:val="00B82A11"/>
    <w:rsid w:val="00B82A19"/>
    <w:rsid w:val="00B82A1C"/>
    <w:rsid w:val="00B82E76"/>
    <w:rsid w:val="00B83089"/>
    <w:rsid w:val="00B831E4"/>
    <w:rsid w:val="00B8383B"/>
    <w:rsid w:val="00B84415"/>
    <w:rsid w:val="00B84582"/>
    <w:rsid w:val="00B8485A"/>
    <w:rsid w:val="00B84B19"/>
    <w:rsid w:val="00B84C33"/>
    <w:rsid w:val="00B84E96"/>
    <w:rsid w:val="00B85077"/>
    <w:rsid w:val="00B851B5"/>
    <w:rsid w:val="00B8525D"/>
    <w:rsid w:val="00B85330"/>
    <w:rsid w:val="00B8549D"/>
    <w:rsid w:val="00B85865"/>
    <w:rsid w:val="00B85B61"/>
    <w:rsid w:val="00B85CF2"/>
    <w:rsid w:val="00B865BF"/>
    <w:rsid w:val="00B8667A"/>
    <w:rsid w:val="00B86C88"/>
    <w:rsid w:val="00B875FF"/>
    <w:rsid w:val="00B87A96"/>
    <w:rsid w:val="00B87B2B"/>
    <w:rsid w:val="00B87F8F"/>
    <w:rsid w:val="00B901C0"/>
    <w:rsid w:val="00B9060A"/>
    <w:rsid w:val="00B90692"/>
    <w:rsid w:val="00B9088B"/>
    <w:rsid w:val="00B909F5"/>
    <w:rsid w:val="00B90E94"/>
    <w:rsid w:val="00B91104"/>
    <w:rsid w:val="00B91176"/>
    <w:rsid w:val="00B91C1B"/>
    <w:rsid w:val="00B92176"/>
    <w:rsid w:val="00B924B5"/>
    <w:rsid w:val="00B928C6"/>
    <w:rsid w:val="00B92A3D"/>
    <w:rsid w:val="00B92AC0"/>
    <w:rsid w:val="00B930EC"/>
    <w:rsid w:val="00B93632"/>
    <w:rsid w:val="00B9390B"/>
    <w:rsid w:val="00B94009"/>
    <w:rsid w:val="00B940F0"/>
    <w:rsid w:val="00B947BF"/>
    <w:rsid w:val="00B948D9"/>
    <w:rsid w:val="00B94E42"/>
    <w:rsid w:val="00B95112"/>
    <w:rsid w:val="00B95C4B"/>
    <w:rsid w:val="00B95E30"/>
    <w:rsid w:val="00B95EC7"/>
    <w:rsid w:val="00B95F45"/>
    <w:rsid w:val="00B96099"/>
    <w:rsid w:val="00B960DA"/>
    <w:rsid w:val="00B9639A"/>
    <w:rsid w:val="00B964E1"/>
    <w:rsid w:val="00B979A1"/>
    <w:rsid w:val="00B97A98"/>
    <w:rsid w:val="00B97DC0"/>
    <w:rsid w:val="00B97EE3"/>
    <w:rsid w:val="00B97F4E"/>
    <w:rsid w:val="00BA075D"/>
    <w:rsid w:val="00BA0795"/>
    <w:rsid w:val="00BA081B"/>
    <w:rsid w:val="00BA091C"/>
    <w:rsid w:val="00BA09AD"/>
    <w:rsid w:val="00BA0B71"/>
    <w:rsid w:val="00BA1020"/>
    <w:rsid w:val="00BA16F8"/>
    <w:rsid w:val="00BA1C22"/>
    <w:rsid w:val="00BA1D5A"/>
    <w:rsid w:val="00BA1FE2"/>
    <w:rsid w:val="00BA22D6"/>
    <w:rsid w:val="00BA261A"/>
    <w:rsid w:val="00BA26B9"/>
    <w:rsid w:val="00BA2877"/>
    <w:rsid w:val="00BA2F5C"/>
    <w:rsid w:val="00BA329C"/>
    <w:rsid w:val="00BA35C3"/>
    <w:rsid w:val="00BA3661"/>
    <w:rsid w:val="00BA36A5"/>
    <w:rsid w:val="00BA3769"/>
    <w:rsid w:val="00BA3D55"/>
    <w:rsid w:val="00BA3DD4"/>
    <w:rsid w:val="00BA3E6D"/>
    <w:rsid w:val="00BA4396"/>
    <w:rsid w:val="00BA4C5D"/>
    <w:rsid w:val="00BA54A8"/>
    <w:rsid w:val="00BA5A80"/>
    <w:rsid w:val="00BA5CC0"/>
    <w:rsid w:val="00BA65F4"/>
    <w:rsid w:val="00BA6723"/>
    <w:rsid w:val="00BA6A03"/>
    <w:rsid w:val="00BA6AC4"/>
    <w:rsid w:val="00BA6E66"/>
    <w:rsid w:val="00BA6F5D"/>
    <w:rsid w:val="00BA7059"/>
    <w:rsid w:val="00BA73C1"/>
    <w:rsid w:val="00BA75CF"/>
    <w:rsid w:val="00BA7600"/>
    <w:rsid w:val="00BA7880"/>
    <w:rsid w:val="00BA7CEF"/>
    <w:rsid w:val="00BA7F88"/>
    <w:rsid w:val="00BB011C"/>
    <w:rsid w:val="00BB02B5"/>
    <w:rsid w:val="00BB034C"/>
    <w:rsid w:val="00BB053C"/>
    <w:rsid w:val="00BB055F"/>
    <w:rsid w:val="00BB0699"/>
    <w:rsid w:val="00BB06F9"/>
    <w:rsid w:val="00BB090F"/>
    <w:rsid w:val="00BB099D"/>
    <w:rsid w:val="00BB0BB0"/>
    <w:rsid w:val="00BB0D87"/>
    <w:rsid w:val="00BB0EAE"/>
    <w:rsid w:val="00BB115A"/>
    <w:rsid w:val="00BB12C8"/>
    <w:rsid w:val="00BB1C97"/>
    <w:rsid w:val="00BB208C"/>
    <w:rsid w:val="00BB25EF"/>
    <w:rsid w:val="00BB29DF"/>
    <w:rsid w:val="00BB2E4B"/>
    <w:rsid w:val="00BB34BB"/>
    <w:rsid w:val="00BB3B86"/>
    <w:rsid w:val="00BB4283"/>
    <w:rsid w:val="00BB4434"/>
    <w:rsid w:val="00BB467C"/>
    <w:rsid w:val="00BB48BF"/>
    <w:rsid w:val="00BB4AF3"/>
    <w:rsid w:val="00BB51E3"/>
    <w:rsid w:val="00BB57ED"/>
    <w:rsid w:val="00BB5E8D"/>
    <w:rsid w:val="00BB618C"/>
    <w:rsid w:val="00BB62D0"/>
    <w:rsid w:val="00BB662E"/>
    <w:rsid w:val="00BB6E49"/>
    <w:rsid w:val="00BB6EDF"/>
    <w:rsid w:val="00BB6F4B"/>
    <w:rsid w:val="00BB7197"/>
    <w:rsid w:val="00BB71DC"/>
    <w:rsid w:val="00BB73BB"/>
    <w:rsid w:val="00BB761C"/>
    <w:rsid w:val="00BB7A76"/>
    <w:rsid w:val="00BB7CC9"/>
    <w:rsid w:val="00BB7F14"/>
    <w:rsid w:val="00BC080A"/>
    <w:rsid w:val="00BC09BF"/>
    <w:rsid w:val="00BC0A32"/>
    <w:rsid w:val="00BC0A41"/>
    <w:rsid w:val="00BC133D"/>
    <w:rsid w:val="00BC1357"/>
    <w:rsid w:val="00BC17B0"/>
    <w:rsid w:val="00BC180B"/>
    <w:rsid w:val="00BC1BE3"/>
    <w:rsid w:val="00BC2228"/>
    <w:rsid w:val="00BC2534"/>
    <w:rsid w:val="00BC2EE7"/>
    <w:rsid w:val="00BC3095"/>
    <w:rsid w:val="00BC327E"/>
    <w:rsid w:val="00BC352A"/>
    <w:rsid w:val="00BC3CBD"/>
    <w:rsid w:val="00BC3D2F"/>
    <w:rsid w:val="00BC3DB4"/>
    <w:rsid w:val="00BC4070"/>
    <w:rsid w:val="00BC4931"/>
    <w:rsid w:val="00BC4968"/>
    <w:rsid w:val="00BC4BDB"/>
    <w:rsid w:val="00BC4C62"/>
    <w:rsid w:val="00BC4D32"/>
    <w:rsid w:val="00BC4E49"/>
    <w:rsid w:val="00BC4EE1"/>
    <w:rsid w:val="00BC53F4"/>
    <w:rsid w:val="00BC5799"/>
    <w:rsid w:val="00BC580B"/>
    <w:rsid w:val="00BC5BD4"/>
    <w:rsid w:val="00BC6038"/>
    <w:rsid w:val="00BC6088"/>
    <w:rsid w:val="00BC60E4"/>
    <w:rsid w:val="00BC63AB"/>
    <w:rsid w:val="00BC651A"/>
    <w:rsid w:val="00BC6671"/>
    <w:rsid w:val="00BC678F"/>
    <w:rsid w:val="00BC6956"/>
    <w:rsid w:val="00BC6DA0"/>
    <w:rsid w:val="00BC6E70"/>
    <w:rsid w:val="00BC70D8"/>
    <w:rsid w:val="00BC7182"/>
    <w:rsid w:val="00BC752C"/>
    <w:rsid w:val="00BC793B"/>
    <w:rsid w:val="00BC7AA8"/>
    <w:rsid w:val="00BC7BA9"/>
    <w:rsid w:val="00BC7D37"/>
    <w:rsid w:val="00BC7E9B"/>
    <w:rsid w:val="00BC7F04"/>
    <w:rsid w:val="00BD0025"/>
    <w:rsid w:val="00BD0053"/>
    <w:rsid w:val="00BD045F"/>
    <w:rsid w:val="00BD104E"/>
    <w:rsid w:val="00BD1088"/>
    <w:rsid w:val="00BD1253"/>
    <w:rsid w:val="00BD1416"/>
    <w:rsid w:val="00BD148C"/>
    <w:rsid w:val="00BD15AE"/>
    <w:rsid w:val="00BD1663"/>
    <w:rsid w:val="00BD1C2C"/>
    <w:rsid w:val="00BD2099"/>
    <w:rsid w:val="00BD2350"/>
    <w:rsid w:val="00BD23A5"/>
    <w:rsid w:val="00BD249D"/>
    <w:rsid w:val="00BD268C"/>
    <w:rsid w:val="00BD2D74"/>
    <w:rsid w:val="00BD35DD"/>
    <w:rsid w:val="00BD384D"/>
    <w:rsid w:val="00BD5434"/>
    <w:rsid w:val="00BD5D19"/>
    <w:rsid w:val="00BD6010"/>
    <w:rsid w:val="00BD6122"/>
    <w:rsid w:val="00BD640B"/>
    <w:rsid w:val="00BD6523"/>
    <w:rsid w:val="00BD663A"/>
    <w:rsid w:val="00BD6A15"/>
    <w:rsid w:val="00BD6A80"/>
    <w:rsid w:val="00BD6EE7"/>
    <w:rsid w:val="00BD77BC"/>
    <w:rsid w:val="00BD7BAE"/>
    <w:rsid w:val="00BD7CF3"/>
    <w:rsid w:val="00BD7E45"/>
    <w:rsid w:val="00BE0239"/>
    <w:rsid w:val="00BE0594"/>
    <w:rsid w:val="00BE0595"/>
    <w:rsid w:val="00BE07F6"/>
    <w:rsid w:val="00BE0D1E"/>
    <w:rsid w:val="00BE12C1"/>
    <w:rsid w:val="00BE13A4"/>
    <w:rsid w:val="00BE19A9"/>
    <w:rsid w:val="00BE1C06"/>
    <w:rsid w:val="00BE20B2"/>
    <w:rsid w:val="00BE20FD"/>
    <w:rsid w:val="00BE21FD"/>
    <w:rsid w:val="00BE22D1"/>
    <w:rsid w:val="00BE260B"/>
    <w:rsid w:val="00BE2B0C"/>
    <w:rsid w:val="00BE2BF7"/>
    <w:rsid w:val="00BE2D2A"/>
    <w:rsid w:val="00BE2F5C"/>
    <w:rsid w:val="00BE30AC"/>
    <w:rsid w:val="00BE320B"/>
    <w:rsid w:val="00BE3255"/>
    <w:rsid w:val="00BE37DE"/>
    <w:rsid w:val="00BE3BF4"/>
    <w:rsid w:val="00BE425D"/>
    <w:rsid w:val="00BE459E"/>
    <w:rsid w:val="00BE45EE"/>
    <w:rsid w:val="00BE4A11"/>
    <w:rsid w:val="00BE50EC"/>
    <w:rsid w:val="00BE56C5"/>
    <w:rsid w:val="00BE5A34"/>
    <w:rsid w:val="00BE5B74"/>
    <w:rsid w:val="00BE5BF5"/>
    <w:rsid w:val="00BE5C59"/>
    <w:rsid w:val="00BE61F7"/>
    <w:rsid w:val="00BE6392"/>
    <w:rsid w:val="00BE6407"/>
    <w:rsid w:val="00BE6537"/>
    <w:rsid w:val="00BE6F70"/>
    <w:rsid w:val="00BE700E"/>
    <w:rsid w:val="00BE7441"/>
    <w:rsid w:val="00BE74F3"/>
    <w:rsid w:val="00BE75B6"/>
    <w:rsid w:val="00BE76E3"/>
    <w:rsid w:val="00BE7BD6"/>
    <w:rsid w:val="00BE7E85"/>
    <w:rsid w:val="00BF00EC"/>
    <w:rsid w:val="00BF06C3"/>
    <w:rsid w:val="00BF08CC"/>
    <w:rsid w:val="00BF0C6D"/>
    <w:rsid w:val="00BF0D16"/>
    <w:rsid w:val="00BF0D2E"/>
    <w:rsid w:val="00BF10E1"/>
    <w:rsid w:val="00BF140A"/>
    <w:rsid w:val="00BF14E1"/>
    <w:rsid w:val="00BF1670"/>
    <w:rsid w:val="00BF17D7"/>
    <w:rsid w:val="00BF1878"/>
    <w:rsid w:val="00BF23B0"/>
    <w:rsid w:val="00BF261A"/>
    <w:rsid w:val="00BF2A5F"/>
    <w:rsid w:val="00BF2BFD"/>
    <w:rsid w:val="00BF2E37"/>
    <w:rsid w:val="00BF3032"/>
    <w:rsid w:val="00BF31D5"/>
    <w:rsid w:val="00BF3228"/>
    <w:rsid w:val="00BF3381"/>
    <w:rsid w:val="00BF3467"/>
    <w:rsid w:val="00BF3AA7"/>
    <w:rsid w:val="00BF3FC4"/>
    <w:rsid w:val="00BF4130"/>
    <w:rsid w:val="00BF4351"/>
    <w:rsid w:val="00BF4D79"/>
    <w:rsid w:val="00BF53D5"/>
    <w:rsid w:val="00BF547E"/>
    <w:rsid w:val="00BF5581"/>
    <w:rsid w:val="00BF59E3"/>
    <w:rsid w:val="00BF5C1D"/>
    <w:rsid w:val="00BF5FE7"/>
    <w:rsid w:val="00BF61A2"/>
    <w:rsid w:val="00BF65FA"/>
    <w:rsid w:val="00BF6904"/>
    <w:rsid w:val="00BF69EE"/>
    <w:rsid w:val="00BF69F7"/>
    <w:rsid w:val="00BF6F58"/>
    <w:rsid w:val="00BF708F"/>
    <w:rsid w:val="00BF714C"/>
    <w:rsid w:val="00BF7B31"/>
    <w:rsid w:val="00C001F8"/>
    <w:rsid w:val="00C0067C"/>
    <w:rsid w:val="00C006A7"/>
    <w:rsid w:val="00C006AF"/>
    <w:rsid w:val="00C0085B"/>
    <w:rsid w:val="00C0112F"/>
    <w:rsid w:val="00C0122C"/>
    <w:rsid w:val="00C01447"/>
    <w:rsid w:val="00C01745"/>
    <w:rsid w:val="00C0177E"/>
    <w:rsid w:val="00C01FBA"/>
    <w:rsid w:val="00C020A9"/>
    <w:rsid w:val="00C02405"/>
    <w:rsid w:val="00C029CF"/>
    <w:rsid w:val="00C02D45"/>
    <w:rsid w:val="00C03011"/>
    <w:rsid w:val="00C0334E"/>
    <w:rsid w:val="00C0347D"/>
    <w:rsid w:val="00C03CAB"/>
    <w:rsid w:val="00C03EFE"/>
    <w:rsid w:val="00C03F2F"/>
    <w:rsid w:val="00C0404A"/>
    <w:rsid w:val="00C0419D"/>
    <w:rsid w:val="00C04A4E"/>
    <w:rsid w:val="00C04A75"/>
    <w:rsid w:val="00C04F58"/>
    <w:rsid w:val="00C04F71"/>
    <w:rsid w:val="00C05839"/>
    <w:rsid w:val="00C059D2"/>
    <w:rsid w:val="00C05B4F"/>
    <w:rsid w:val="00C062D0"/>
    <w:rsid w:val="00C0636D"/>
    <w:rsid w:val="00C06617"/>
    <w:rsid w:val="00C06F8E"/>
    <w:rsid w:val="00C072FB"/>
    <w:rsid w:val="00C078C8"/>
    <w:rsid w:val="00C078CE"/>
    <w:rsid w:val="00C07E93"/>
    <w:rsid w:val="00C10035"/>
    <w:rsid w:val="00C100FD"/>
    <w:rsid w:val="00C101EC"/>
    <w:rsid w:val="00C107A9"/>
    <w:rsid w:val="00C1087F"/>
    <w:rsid w:val="00C1093A"/>
    <w:rsid w:val="00C10D0B"/>
    <w:rsid w:val="00C11131"/>
    <w:rsid w:val="00C11351"/>
    <w:rsid w:val="00C1163D"/>
    <w:rsid w:val="00C11713"/>
    <w:rsid w:val="00C11A69"/>
    <w:rsid w:val="00C11AE0"/>
    <w:rsid w:val="00C1201D"/>
    <w:rsid w:val="00C1206B"/>
    <w:rsid w:val="00C137A1"/>
    <w:rsid w:val="00C13F0A"/>
    <w:rsid w:val="00C14116"/>
    <w:rsid w:val="00C14704"/>
    <w:rsid w:val="00C15705"/>
    <w:rsid w:val="00C1594A"/>
    <w:rsid w:val="00C15AA2"/>
    <w:rsid w:val="00C15C1D"/>
    <w:rsid w:val="00C15CF3"/>
    <w:rsid w:val="00C15E1A"/>
    <w:rsid w:val="00C15E70"/>
    <w:rsid w:val="00C15EDB"/>
    <w:rsid w:val="00C16682"/>
    <w:rsid w:val="00C16C5C"/>
    <w:rsid w:val="00C16CC6"/>
    <w:rsid w:val="00C16F49"/>
    <w:rsid w:val="00C17180"/>
    <w:rsid w:val="00C17345"/>
    <w:rsid w:val="00C17678"/>
    <w:rsid w:val="00C17826"/>
    <w:rsid w:val="00C17A8D"/>
    <w:rsid w:val="00C17C2B"/>
    <w:rsid w:val="00C17EF8"/>
    <w:rsid w:val="00C20614"/>
    <w:rsid w:val="00C20741"/>
    <w:rsid w:val="00C20875"/>
    <w:rsid w:val="00C208D3"/>
    <w:rsid w:val="00C20965"/>
    <w:rsid w:val="00C20CE8"/>
    <w:rsid w:val="00C211C4"/>
    <w:rsid w:val="00C2144E"/>
    <w:rsid w:val="00C215C8"/>
    <w:rsid w:val="00C218AD"/>
    <w:rsid w:val="00C21A90"/>
    <w:rsid w:val="00C21FB5"/>
    <w:rsid w:val="00C220BD"/>
    <w:rsid w:val="00C22696"/>
    <w:rsid w:val="00C22CC1"/>
    <w:rsid w:val="00C22E73"/>
    <w:rsid w:val="00C22F4B"/>
    <w:rsid w:val="00C22F76"/>
    <w:rsid w:val="00C22FA0"/>
    <w:rsid w:val="00C23587"/>
    <w:rsid w:val="00C23634"/>
    <w:rsid w:val="00C23789"/>
    <w:rsid w:val="00C23922"/>
    <w:rsid w:val="00C23E28"/>
    <w:rsid w:val="00C240AF"/>
    <w:rsid w:val="00C240F7"/>
    <w:rsid w:val="00C24226"/>
    <w:rsid w:val="00C2462D"/>
    <w:rsid w:val="00C24A95"/>
    <w:rsid w:val="00C24AF0"/>
    <w:rsid w:val="00C24E27"/>
    <w:rsid w:val="00C24E95"/>
    <w:rsid w:val="00C2505F"/>
    <w:rsid w:val="00C2532D"/>
    <w:rsid w:val="00C258FD"/>
    <w:rsid w:val="00C265A7"/>
    <w:rsid w:val="00C2695D"/>
    <w:rsid w:val="00C26CDF"/>
    <w:rsid w:val="00C26E15"/>
    <w:rsid w:val="00C27118"/>
    <w:rsid w:val="00C2716F"/>
    <w:rsid w:val="00C27D82"/>
    <w:rsid w:val="00C27E5B"/>
    <w:rsid w:val="00C27FF9"/>
    <w:rsid w:val="00C3002B"/>
    <w:rsid w:val="00C307BE"/>
    <w:rsid w:val="00C307F7"/>
    <w:rsid w:val="00C30C08"/>
    <w:rsid w:val="00C30FA2"/>
    <w:rsid w:val="00C31212"/>
    <w:rsid w:val="00C314AC"/>
    <w:rsid w:val="00C31541"/>
    <w:rsid w:val="00C31688"/>
    <w:rsid w:val="00C31AE1"/>
    <w:rsid w:val="00C31EC7"/>
    <w:rsid w:val="00C31F3E"/>
    <w:rsid w:val="00C323BF"/>
    <w:rsid w:val="00C3247C"/>
    <w:rsid w:val="00C327EF"/>
    <w:rsid w:val="00C328AA"/>
    <w:rsid w:val="00C329F3"/>
    <w:rsid w:val="00C32E4B"/>
    <w:rsid w:val="00C33203"/>
    <w:rsid w:val="00C333CE"/>
    <w:rsid w:val="00C3363F"/>
    <w:rsid w:val="00C33A96"/>
    <w:rsid w:val="00C342B2"/>
    <w:rsid w:val="00C3446A"/>
    <w:rsid w:val="00C344A9"/>
    <w:rsid w:val="00C3480B"/>
    <w:rsid w:val="00C3520F"/>
    <w:rsid w:val="00C352C1"/>
    <w:rsid w:val="00C354CB"/>
    <w:rsid w:val="00C35720"/>
    <w:rsid w:val="00C35811"/>
    <w:rsid w:val="00C35A08"/>
    <w:rsid w:val="00C35E01"/>
    <w:rsid w:val="00C3624E"/>
    <w:rsid w:val="00C36423"/>
    <w:rsid w:val="00C3650B"/>
    <w:rsid w:val="00C36512"/>
    <w:rsid w:val="00C3692F"/>
    <w:rsid w:val="00C36B8E"/>
    <w:rsid w:val="00C36E49"/>
    <w:rsid w:val="00C371E0"/>
    <w:rsid w:val="00C372EC"/>
    <w:rsid w:val="00C372FA"/>
    <w:rsid w:val="00C37417"/>
    <w:rsid w:val="00C37444"/>
    <w:rsid w:val="00C375F2"/>
    <w:rsid w:val="00C37BD6"/>
    <w:rsid w:val="00C37E28"/>
    <w:rsid w:val="00C40976"/>
    <w:rsid w:val="00C40A4E"/>
    <w:rsid w:val="00C40DBB"/>
    <w:rsid w:val="00C40DC6"/>
    <w:rsid w:val="00C41072"/>
    <w:rsid w:val="00C414EA"/>
    <w:rsid w:val="00C4172B"/>
    <w:rsid w:val="00C41BD3"/>
    <w:rsid w:val="00C4204A"/>
    <w:rsid w:val="00C421FF"/>
    <w:rsid w:val="00C42650"/>
    <w:rsid w:val="00C4267C"/>
    <w:rsid w:val="00C429BD"/>
    <w:rsid w:val="00C42DFC"/>
    <w:rsid w:val="00C42F66"/>
    <w:rsid w:val="00C43026"/>
    <w:rsid w:val="00C433E0"/>
    <w:rsid w:val="00C434B1"/>
    <w:rsid w:val="00C435A9"/>
    <w:rsid w:val="00C436E0"/>
    <w:rsid w:val="00C43982"/>
    <w:rsid w:val="00C43AC1"/>
    <w:rsid w:val="00C43F51"/>
    <w:rsid w:val="00C4416F"/>
    <w:rsid w:val="00C44309"/>
    <w:rsid w:val="00C446A2"/>
    <w:rsid w:val="00C45F9B"/>
    <w:rsid w:val="00C46C74"/>
    <w:rsid w:val="00C46E37"/>
    <w:rsid w:val="00C474DE"/>
    <w:rsid w:val="00C477BC"/>
    <w:rsid w:val="00C47941"/>
    <w:rsid w:val="00C47DAE"/>
    <w:rsid w:val="00C5021C"/>
    <w:rsid w:val="00C50630"/>
    <w:rsid w:val="00C5074D"/>
    <w:rsid w:val="00C50A30"/>
    <w:rsid w:val="00C50AB9"/>
    <w:rsid w:val="00C50DD6"/>
    <w:rsid w:val="00C51290"/>
    <w:rsid w:val="00C515DE"/>
    <w:rsid w:val="00C51700"/>
    <w:rsid w:val="00C51817"/>
    <w:rsid w:val="00C5194F"/>
    <w:rsid w:val="00C51D76"/>
    <w:rsid w:val="00C51E4D"/>
    <w:rsid w:val="00C51E86"/>
    <w:rsid w:val="00C524ED"/>
    <w:rsid w:val="00C5250C"/>
    <w:rsid w:val="00C527DE"/>
    <w:rsid w:val="00C52841"/>
    <w:rsid w:val="00C52D72"/>
    <w:rsid w:val="00C52E82"/>
    <w:rsid w:val="00C531F7"/>
    <w:rsid w:val="00C53627"/>
    <w:rsid w:val="00C539CE"/>
    <w:rsid w:val="00C53DD2"/>
    <w:rsid w:val="00C53DD4"/>
    <w:rsid w:val="00C540EF"/>
    <w:rsid w:val="00C54550"/>
    <w:rsid w:val="00C5474E"/>
    <w:rsid w:val="00C54938"/>
    <w:rsid w:val="00C5495C"/>
    <w:rsid w:val="00C5496A"/>
    <w:rsid w:val="00C54A68"/>
    <w:rsid w:val="00C54ACC"/>
    <w:rsid w:val="00C54D09"/>
    <w:rsid w:val="00C54E5F"/>
    <w:rsid w:val="00C55203"/>
    <w:rsid w:val="00C5562D"/>
    <w:rsid w:val="00C55E22"/>
    <w:rsid w:val="00C55FB9"/>
    <w:rsid w:val="00C55FF8"/>
    <w:rsid w:val="00C5608D"/>
    <w:rsid w:val="00C56275"/>
    <w:rsid w:val="00C56764"/>
    <w:rsid w:val="00C5699C"/>
    <w:rsid w:val="00C56A8C"/>
    <w:rsid w:val="00C5702F"/>
    <w:rsid w:val="00C57098"/>
    <w:rsid w:val="00C570C7"/>
    <w:rsid w:val="00C57492"/>
    <w:rsid w:val="00C57621"/>
    <w:rsid w:val="00C57939"/>
    <w:rsid w:val="00C57D30"/>
    <w:rsid w:val="00C60566"/>
    <w:rsid w:val="00C6067F"/>
    <w:rsid w:val="00C606C4"/>
    <w:rsid w:val="00C606D5"/>
    <w:rsid w:val="00C60E28"/>
    <w:rsid w:val="00C60F3D"/>
    <w:rsid w:val="00C60FC0"/>
    <w:rsid w:val="00C6101D"/>
    <w:rsid w:val="00C61087"/>
    <w:rsid w:val="00C61C70"/>
    <w:rsid w:val="00C62346"/>
    <w:rsid w:val="00C626DD"/>
    <w:rsid w:val="00C627FE"/>
    <w:rsid w:val="00C63004"/>
    <w:rsid w:val="00C632DB"/>
    <w:rsid w:val="00C6340C"/>
    <w:rsid w:val="00C63496"/>
    <w:rsid w:val="00C636D5"/>
    <w:rsid w:val="00C63886"/>
    <w:rsid w:val="00C63952"/>
    <w:rsid w:val="00C6409C"/>
    <w:rsid w:val="00C6431C"/>
    <w:rsid w:val="00C6444E"/>
    <w:rsid w:val="00C64869"/>
    <w:rsid w:val="00C64AC4"/>
    <w:rsid w:val="00C64C19"/>
    <w:rsid w:val="00C650A7"/>
    <w:rsid w:val="00C652BA"/>
    <w:rsid w:val="00C654C5"/>
    <w:rsid w:val="00C656E5"/>
    <w:rsid w:val="00C65E47"/>
    <w:rsid w:val="00C66095"/>
    <w:rsid w:val="00C6648F"/>
    <w:rsid w:val="00C66FD0"/>
    <w:rsid w:val="00C674F8"/>
    <w:rsid w:val="00C67566"/>
    <w:rsid w:val="00C701D2"/>
    <w:rsid w:val="00C70245"/>
    <w:rsid w:val="00C70327"/>
    <w:rsid w:val="00C70872"/>
    <w:rsid w:val="00C70A67"/>
    <w:rsid w:val="00C70DA6"/>
    <w:rsid w:val="00C70EB2"/>
    <w:rsid w:val="00C70F40"/>
    <w:rsid w:val="00C7113E"/>
    <w:rsid w:val="00C711A8"/>
    <w:rsid w:val="00C713D8"/>
    <w:rsid w:val="00C71435"/>
    <w:rsid w:val="00C714D9"/>
    <w:rsid w:val="00C7223E"/>
    <w:rsid w:val="00C723B7"/>
    <w:rsid w:val="00C726EB"/>
    <w:rsid w:val="00C72807"/>
    <w:rsid w:val="00C728F4"/>
    <w:rsid w:val="00C72968"/>
    <w:rsid w:val="00C72C9B"/>
    <w:rsid w:val="00C730AF"/>
    <w:rsid w:val="00C730C7"/>
    <w:rsid w:val="00C7380B"/>
    <w:rsid w:val="00C73A35"/>
    <w:rsid w:val="00C73C40"/>
    <w:rsid w:val="00C73FC5"/>
    <w:rsid w:val="00C74734"/>
    <w:rsid w:val="00C74826"/>
    <w:rsid w:val="00C74B26"/>
    <w:rsid w:val="00C74E68"/>
    <w:rsid w:val="00C7551E"/>
    <w:rsid w:val="00C761F2"/>
    <w:rsid w:val="00C76C6D"/>
    <w:rsid w:val="00C7795B"/>
    <w:rsid w:val="00C77A41"/>
    <w:rsid w:val="00C800B4"/>
    <w:rsid w:val="00C80123"/>
    <w:rsid w:val="00C801C8"/>
    <w:rsid w:val="00C803ED"/>
    <w:rsid w:val="00C8048C"/>
    <w:rsid w:val="00C80AE0"/>
    <w:rsid w:val="00C814E4"/>
    <w:rsid w:val="00C8154F"/>
    <w:rsid w:val="00C81558"/>
    <w:rsid w:val="00C81825"/>
    <w:rsid w:val="00C818F8"/>
    <w:rsid w:val="00C81966"/>
    <w:rsid w:val="00C81DBE"/>
    <w:rsid w:val="00C823E4"/>
    <w:rsid w:val="00C825E5"/>
    <w:rsid w:val="00C83194"/>
    <w:rsid w:val="00C834D5"/>
    <w:rsid w:val="00C83892"/>
    <w:rsid w:val="00C83E7C"/>
    <w:rsid w:val="00C8400D"/>
    <w:rsid w:val="00C8401E"/>
    <w:rsid w:val="00C841FD"/>
    <w:rsid w:val="00C842AA"/>
    <w:rsid w:val="00C845D1"/>
    <w:rsid w:val="00C848E8"/>
    <w:rsid w:val="00C84A08"/>
    <w:rsid w:val="00C84E8E"/>
    <w:rsid w:val="00C84FA5"/>
    <w:rsid w:val="00C851BB"/>
    <w:rsid w:val="00C85466"/>
    <w:rsid w:val="00C856E0"/>
    <w:rsid w:val="00C8584F"/>
    <w:rsid w:val="00C85E00"/>
    <w:rsid w:val="00C85E72"/>
    <w:rsid w:val="00C861AB"/>
    <w:rsid w:val="00C866A6"/>
    <w:rsid w:val="00C86901"/>
    <w:rsid w:val="00C86C0C"/>
    <w:rsid w:val="00C87276"/>
    <w:rsid w:val="00C872E9"/>
    <w:rsid w:val="00C87447"/>
    <w:rsid w:val="00C87614"/>
    <w:rsid w:val="00C87775"/>
    <w:rsid w:val="00C879FD"/>
    <w:rsid w:val="00C87AB3"/>
    <w:rsid w:val="00C87B36"/>
    <w:rsid w:val="00C87BD4"/>
    <w:rsid w:val="00C907E8"/>
    <w:rsid w:val="00C90D25"/>
    <w:rsid w:val="00C90D4F"/>
    <w:rsid w:val="00C90DC9"/>
    <w:rsid w:val="00C911FA"/>
    <w:rsid w:val="00C91729"/>
    <w:rsid w:val="00C91A9A"/>
    <w:rsid w:val="00C91ADB"/>
    <w:rsid w:val="00C92263"/>
    <w:rsid w:val="00C92595"/>
    <w:rsid w:val="00C92728"/>
    <w:rsid w:val="00C928CB"/>
    <w:rsid w:val="00C92A9C"/>
    <w:rsid w:val="00C92EFF"/>
    <w:rsid w:val="00C9338F"/>
    <w:rsid w:val="00C93436"/>
    <w:rsid w:val="00C9364C"/>
    <w:rsid w:val="00C93DB7"/>
    <w:rsid w:val="00C941E0"/>
    <w:rsid w:val="00C95087"/>
    <w:rsid w:val="00C95371"/>
    <w:rsid w:val="00C958D6"/>
    <w:rsid w:val="00C95CC9"/>
    <w:rsid w:val="00C95DC5"/>
    <w:rsid w:val="00C95FD3"/>
    <w:rsid w:val="00C965CD"/>
    <w:rsid w:val="00C96A2E"/>
    <w:rsid w:val="00C96AA9"/>
    <w:rsid w:val="00C96B6A"/>
    <w:rsid w:val="00C96D9F"/>
    <w:rsid w:val="00C96FB9"/>
    <w:rsid w:val="00C978A0"/>
    <w:rsid w:val="00CA13C3"/>
    <w:rsid w:val="00CA1D3C"/>
    <w:rsid w:val="00CA22BF"/>
    <w:rsid w:val="00CA2648"/>
    <w:rsid w:val="00CA3105"/>
    <w:rsid w:val="00CA32F2"/>
    <w:rsid w:val="00CA3809"/>
    <w:rsid w:val="00CA3B17"/>
    <w:rsid w:val="00CA3EA2"/>
    <w:rsid w:val="00CA3EB2"/>
    <w:rsid w:val="00CA40D3"/>
    <w:rsid w:val="00CA427A"/>
    <w:rsid w:val="00CA4910"/>
    <w:rsid w:val="00CA549E"/>
    <w:rsid w:val="00CA55F4"/>
    <w:rsid w:val="00CA562E"/>
    <w:rsid w:val="00CA574B"/>
    <w:rsid w:val="00CA5ECA"/>
    <w:rsid w:val="00CA5F08"/>
    <w:rsid w:val="00CA641D"/>
    <w:rsid w:val="00CA65A8"/>
    <w:rsid w:val="00CA6787"/>
    <w:rsid w:val="00CA68F4"/>
    <w:rsid w:val="00CA69A6"/>
    <w:rsid w:val="00CA6A6D"/>
    <w:rsid w:val="00CA727F"/>
    <w:rsid w:val="00CA74E2"/>
    <w:rsid w:val="00CA74F9"/>
    <w:rsid w:val="00CA7756"/>
    <w:rsid w:val="00CA7763"/>
    <w:rsid w:val="00CA77E2"/>
    <w:rsid w:val="00CA7BBE"/>
    <w:rsid w:val="00CA7EDF"/>
    <w:rsid w:val="00CB0525"/>
    <w:rsid w:val="00CB08CF"/>
    <w:rsid w:val="00CB0C82"/>
    <w:rsid w:val="00CB131C"/>
    <w:rsid w:val="00CB1484"/>
    <w:rsid w:val="00CB15DB"/>
    <w:rsid w:val="00CB17B1"/>
    <w:rsid w:val="00CB1DA0"/>
    <w:rsid w:val="00CB206E"/>
    <w:rsid w:val="00CB21BC"/>
    <w:rsid w:val="00CB23A6"/>
    <w:rsid w:val="00CB28C0"/>
    <w:rsid w:val="00CB2AF7"/>
    <w:rsid w:val="00CB2EC3"/>
    <w:rsid w:val="00CB3510"/>
    <w:rsid w:val="00CB3F1F"/>
    <w:rsid w:val="00CB3FEB"/>
    <w:rsid w:val="00CB4135"/>
    <w:rsid w:val="00CB420D"/>
    <w:rsid w:val="00CB4299"/>
    <w:rsid w:val="00CB4340"/>
    <w:rsid w:val="00CB46A2"/>
    <w:rsid w:val="00CB4932"/>
    <w:rsid w:val="00CB4ECC"/>
    <w:rsid w:val="00CB5380"/>
    <w:rsid w:val="00CB5631"/>
    <w:rsid w:val="00CB6006"/>
    <w:rsid w:val="00CB6045"/>
    <w:rsid w:val="00CB611F"/>
    <w:rsid w:val="00CB62D0"/>
    <w:rsid w:val="00CB66AE"/>
    <w:rsid w:val="00CB6895"/>
    <w:rsid w:val="00CB6AE2"/>
    <w:rsid w:val="00CB700E"/>
    <w:rsid w:val="00CB70BC"/>
    <w:rsid w:val="00CB724D"/>
    <w:rsid w:val="00CB7263"/>
    <w:rsid w:val="00CB7309"/>
    <w:rsid w:val="00CB7AFD"/>
    <w:rsid w:val="00CC02FF"/>
    <w:rsid w:val="00CC0369"/>
    <w:rsid w:val="00CC07EF"/>
    <w:rsid w:val="00CC08FB"/>
    <w:rsid w:val="00CC09A4"/>
    <w:rsid w:val="00CC0DBA"/>
    <w:rsid w:val="00CC0E93"/>
    <w:rsid w:val="00CC0EE6"/>
    <w:rsid w:val="00CC1416"/>
    <w:rsid w:val="00CC15A1"/>
    <w:rsid w:val="00CC1FC2"/>
    <w:rsid w:val="00CC35FC"/>
    <w:rsid w:val="00CC386D"/>
    <w:rsid w:val="00CC3CD9"/>
    <w:rsid w:val="00CC3FAB"/>
    <w:rsid w:val="00CC4046"/>
    <w:rsid w:val="00CC4326"/>
    <w:rsid w:val="00CC4328"/>
    <w:rsid w:val="00CC44A0"/>
    <w:rsid w:val="00CC497E"/>
    <w:rsid w:val="00CC5154"/>
    <w:rsid w:val="00CC5C2D"/>
    <w:rsid w:val="00CC5C32"/>
    <w:rsid w:val="00CC5D74"/>
    <w:rsid w:val="00CC5F8E"/>
    <w:rsid w:val="00CC6131"/>
    <w:rsid w:val="00CC617F"/>
    <w:rsid w:val="00CC6286"/>
    <w:rsid w:val="00CC64A1"/>
    <w:rsid w:val="00CC658E"/>
    <w:rsid w:val="00CC6663"/>
    <w:rsid w:val="00CC6A94"/>
    <w:rsid w:val="00CC74A1"/>
    <w:rsid w:val="00CC7788"/>
    <w:rsid w:val="00CC7C95"/>
    <w:rsid w:val="00CC7CAE"/>
    <w:rsid w:val="00CC7D3A"/>
    <w:rsid w:val="00CC7E12"/>
    <w:rsid w:val="00CC7F0A"/>
    <w:rsid w:val="00CC7F90"/>
    <w:rsid w:val="00CD05F2"/>
    <w:rsid w:val="00CD0924"/>
    <w:rsid w:val="00CD0973"/>
    <w:rsid w:val="00CD0B9F"/>
    <w:rsid w:val="00CD0F06"/>
    <w:rsid w:val="00CD0F39"/>
    <w:rsid w:val="00CD0FBD"/>
    <w:rsid w:val="00CD1087"/>
    <w:rsid w:val="00CD141D"/>
    <w:rsid w:val="00CD1771"/>
    <w:rsid w:val="00CD19E5"/>
    <w:rsid w:val="00CD242D"/>
    <w:rsid w:val="00CD2476"/>
    <w:rsid w:val="00CD2867"/>
    <w:rsid w:val="00CD29EB"/>
    <w:rsid w:val="00CD2E0E"/>
    <w:rsid w:val="00CD3272"/>
    <w:rsid w:val="00CD32B7"/>
    <w:rsid w:val="00CD366C"/>
    <w:rsid w:val="00CD36C5"/>
    <w:rsid w:val="00CD3764"/>
    <w:rsid w:val="00CD3AC7"/>
    <w:rsid w:val="00CD3D37"/>
    <w:rsid w:val="00CD4470"/>
    <w:rsid w:val="00CD4AC6"/>
    <w:rsid w:val="00CD4F79"/>
    <w:rsid w:val="00CD535C"/>
    <w:rsid w:val="00CD55A6"/>
    <w:rsid w:val="00CD55EC"/>
    <w:rsid w:val="00CD5ADE"/>
    <w:rsid w:val="00CD5B97"/>
    <w:rsid w:val="00CD5CF0"/>
    <w:rsid w:val="00CD5D7D"/>
    <w:rsid w:val="00CD5EDC"/>
    <w:rsid w:val="00CD6191"/>
    <w:rsid w:val="00CD6FF9"/>
    <w:rsid w:val="00CD721E"/>
    <w:rsid w:val="00CD7723"/>
    <w:rsid w:val="00CD7FFC"/>
    <w:rsid w:val="00CE00C9"/>
    <w:rsid w:val="00CE031B"/>
    <w:rsid w:val="00CE03CF"/>
    <w:rsid w:val="00CE0791"/>
    <w:rsid w:val="00CE08D4"/>
    <w:rsid w:val="00CE0C54"/>
    <w:rsid w:val="00CE0C60"/>
    <w:rsid w:val="00CE1541"/>
    <w:rsid w:val="00CE166E"/>
    <w:rsid w:val="00CE1685"/>
    <w:rsid w:val="00CE1752"/>
    <w:rsid w:val="00CE197D"/>
    <w:rsid w:val="00CE19EE"/>
    <w:rsid w:val="00CE1AC5"/>
    <w:rsid w:val="00CE1D03"/>
    <w:rsid w:val="00CE2038"/>
    <w:rsid w:val="00CE2190"/>
    <w:rsid w:val="00CE26D4"/>
    <w:rsid w:val="00CE28A6"/>
    <w:rsid w:val="00CE3025"/>
    <w:rsid w:val="00CE312A"/>
    <w:rsid w:val="00CE34A5"/>
    <w:rsid w:val="00CE3932"/>
    <w:rsid w:val="00CE39B8"/>
    <w:rsid w:val="00CE3C28"/>
    <w:rsid w:val="00CE3EE4"/>
    <w:rsid w:val="00CE3F87"/>
    <w:rsid w:val="00CE48B8"/>
    <w:rsid w:val="00CE4A3C"/>
    <w:rsid w:val="00CE5354"/>
    <w:rsid w:val="00CE53D7"/>
    <w:rsid w:val="00CE5A0D"/>
    <w:rsid w:val="00CE5A2F"/>
    <w:rsid w:val="00CE5C9A"/>
    <w:rsid w:val="00CE5E6A"/>
    <w:rsid w:val="00CE608E"/>
    <w:rsid w:val="00CE63FC"/>
    <w:rsid w:val="00CE6E11"/>
    <w:rsid w:val="00CE6EAD"/>
    <w:rsid w:val="00CE734F"/>
    <w:rsid w:val="00CE73FD"/>
    <w:rsid w:val="00CE7778"/>
    <w:rsid w:val="00CE7BDC"/>
    <w:rsid w:val="00CE7EDD"/>
    <w:rsid w:val="00CE7F3D"/>
    <w:rsid w:val="00CF0266"/>
    <w:rsid w:val="00CF0FD1"/>
    <w:rsid w:val="00CF10D3"/>
    <w:rsid w:val="00CF13B1"/>
    <w:rsid w:val="00CF1591"/>
    <w:rsid w:val="00CF189D"/>
    <w:rsid w:val="00CF1EC5"/>
    <w:rsid w:val="00CF289E"/>
    <w:rsid w:val="00CF2A23"/>
    <w:rsid w:val="00CF2D93"/>
    <w:rsid w:val="00CF2FA0"/>
    <w:rsid w:val="00CF3169"/>
    <w:rsid w:val="00CF33D8"/>
    <w:rsid w:val="00CF3A17"/>
    <w:rsid w:val="00CF3A92"/>
    <w:rsid w:val="00CF3E7F"/>
    <w:rsid w:val="00CF40DF"/>
    <w:rsid w:val="00CF40F7"/>
    <w:rsid w:val="00CF41B5"/>
    <w:rsid w:val="00CF4706"/>
    <w:rsid w:val="00CF4D43"/>
    <w:rsid w:val="00CF4EF7"/>
    <w:rsid w:val="00CF5027"/>
    <w:rsid w:val="00CF56E5"/>
    <w:rsid w:val="00CF59EF"/>
    <w:rsid w:val="00CF5B3C"/>
    <w:rsid w:val="00CF600D"/>
    <w:rsid w:val="00CF6647"/>
    <w:rsid w:val="00CF66EC"/>
    <w:rsid w:val="00CF6834"/>
    <w:rsid w:val="00CF6B4F"/>
    <w:rsid w:val="00CF6DF8"/>
    <w:rsid w:val="00CF6EC2"/>
    <w:rsid w:val="00CF6ED5"/>
    <w:rsid w:val="00CF6FD1"/>
    <w:rsid w:val="00CF7117"/>
    <w:rsid w:val="00D007E8"/>
    <w:rsid w:val="00D008A5"/>
    <w:rsid w:val="00D00970"/>
    <w:rsid w:val="00D00AEE"/>
    <w:rsid w:val="00D00E43"/>
    <w:rsid w:val="00D01103"/>
    <w:rsid w:val="00D0117C"/>
    <w:rsid w:val="00D01488"/>
    <w:rsid w:val="00D0178F"/>
    <w:rsid w:val="00D0187C"/>
    <w:rsid w:val="00D01E06"/>
    <w:rsid w:val="00D01EE5"/>
    <w:rsid w:val="00D02669"/>
    <w:rsid w:val="00D02896"/>
    <w:rsid w:val="00D02D13"/>
    <w:rsid w:val="00D02D74"/>
    <w:rsid w:val="00D02FD5"/>
    <w:rsid w:val="00D032FD"/>
    <w:rsid w:val="00D0339D"/>
    <w:rsid w:val="00D03817"/>
    <w:rsid w:val="00D03B26"/>
    <w:rsid w:val="00D03D77"/>
    <w:rsid w:val="00D04ECE"/>
    <w:rsid w:val="00D0542A"/>
    <w:rsid w:val="00D0551C"/>
    <w:rsid w:val="00D05658"/>
    <w:rsid w:val="00D05A2A"/>
    <w:rsid w:val="00D05B10"/>
    <w:rsid w:val="00D05CA6"/>
    <w:rsid w:val="00D05DA5"/>
    <w:rsid w:val="00D06423"/>
    <w:rsid w:val="00D06BA6"/>
    <w:rsid w:val="00D07222"/>
    <w:rsid w:val="00D073B6"/>
    <w:rsid w:val="00D074CC"/>
    <w:rsid w:val="00D0794B"/>
    <w:rsid w:val="00D07B58"/>
    <w:rsid w:val="00D07BF5"/>
    <w:rsid w:val="00D07D2F"/>
    <w:rsid w:val="00D07F6F"/>
    <w:rsid w:val="00D108D6"/>
    <w:rsid w:val="00D10942"/>
    <w:rsid w:val="00D10A3B"/>
    <w:rsid w:val="00D10B74"/>
    <w:rsid w:val="00D10C13"/>
    <w:rsid w:val="00D110A3"/>
    <w:rsid w:val="00D112F3"/>
    <w:rsid w:val="00D114F5"/>
    <w:rsid w:val="00D1158C"/>
    <w:rsid w:val="00D11DDC"/>
    <w:rsid w:val="00D122BE"/>
    <w:rsid w:val="00D12591"/>
    <w:rsid w:val="00D131E8"/>
    <w:rsid w:val="00D135C5"/>
    <w:rsid w:val="00D1398B"/>
    <w:rsid w:val="00D13A39"/>
    <w:rsid w:val="00D13CEA"/>
    <w:rsid w:val="00D13E9C"/>
    <w:rsid w:val="00D13F85"/>
    <w:rsid w:val="00D14B9D"/>
    <w:rsid w:val="00D1599A"/>
    <w:rsid w:val="00D15CC1"/>
    <w:rsid w:val="00D15D52"/>
    <w:rsid w:val="00D15E43"/>
    <w:rsid w:val="00D16637"/>
    <w:rsid w:val="00D16703"/>
    <w:rsid w:val="00D16741"/>
    <w:rsid w:val="00D16842"/>
    <w:rsid w:val="00D16CAA"/>
    <w:rsid w:val="00D16D4C"/>
    <w:rsid w:val="00D16DA1"/>
    <w:rsid w:val="00D16E2D"/>
    <w:rsid w:val="00D17A84"/>
    <w:rsid w:val="00D17B3C"/>
    <w:rsid w:val="00D17C5C"/>
    <w:rsid w:val="00D17E91"/>
    <w:rsid w:val="00D208A0"/>
    <w:rsid w:val="00D20B5F"/>
    <w:rsid w:val="00D20D71"/>
    <w:rsid w:val="00D210B8"/>
    <w:rsid w:val="00D210CC"/>
    <w:rsid w:val="00D21515"/>
    <w:rsid w:val="00D21B20"/>
    <w:rsid w:val="00D22C56"/>
    <w:rsid w:val="00D23009"/>
    <w:rsid w:val="00D231A2"/>
    <w:rsid w:val="00D23317"/>
    <w:rsid w:val="00D23582"/>
    <w:rsid w:val="00D235F9"/>
    <w:rsid w:val="00D240F9"/>
    <w:rsid w:val="00D24115"/>
    <w:rsid w:val="00D24132"/>
    <w:rsid w:val="00D24551"/>
    <w:rsid w:val="00D247A4"/>
    <w:rsid w:val="00D24D98"/>
    <w:rsid w:val="00D2507F"/>
    <w:rsid w:val="00D25598"/>
    <w:rsid w:val="00D25B58"/>
    <w:rsid w:val="00D261F3"/>
    <w:rsid w:val="00D26ED8"/>
    <w:rsid w:val="00D27138"/>
    <w:rsid w:val="00D271BF"/>
    <w:rsid w:val="00D273A5"/>
    <w:rsid w:val="00D273D2"/>
    <w:rsid w:val="00D276A2"/>
    <w:rsid w:val="00D276AC"/>
    <w:rsid w:val="00D27B0A"/>
    <w:rsid w:val="00D27B6E"/>
    <w:rsid w:val="00D27C52"/>
    <w:rsid w:val="00D3003B"/>
    <w:rsid w:val="00D300E5"/>
    <w:rsid w:val="00D3020A"/>
    <w:rsid w:val="00D30363"/>
    <w:rsid w:val="00D303B8"/>
    <w:rsid w:val="00D30986"/>
    <w:rsid w:val="00D30C75"/>
    <w:rsid w:val="00D311D3"/>
    <w:rsid w:val="00D31497"/>
    <w:rsid w:val="00D314E5"/>
    <w:rsid w:val="00D31649"/>
    <w:rsid w:val="00D31833"/>
    <w:rsid w:val="00D318D7"/>
    <w:rsid w:val="00D318DD"/>
    <w:rsid w:val="00D31C6A"/>
    <w:rsid w:val="00D3229B"/>
    <w:rsid w:val="00D32340"/>
    <w:rsid w:val="00D32602"/>
    <w:rsid w:val="00D32845"/>
    <w:rsid w:val="00D32E7D"/>
    <w:rsid w:val="00D335E1"/>
    <w:rsid w:val="00D3387B"/>
    <w:rsid w:val="00D33904"/>
    <w:rsid w:val="00D339F4"/>
    <w:rsid w:val="00D33D23"/>
    <w:rsid w:val="00D33DDC"/>
    <w:rsid w:val="00D342DF"/>
    <w:rsid w:val="00D34700"/>
    <w:rsid w:val="00D347AD"/>
    <w:rsid w:val="00D349C9"/>
    <w:rsid w:val="00D34B87"/>
    <w:rsid w:val="00D34FCA"/>
    <w:rsid w:val="00D354A5"/>
    <w:rsid w:val="00D3569F"/>
    <w:rsid w:val="00D3589E"/>
    <w:rsid w:val="00D358F6"/>
    <w:rsid w:val="00D35995"/>
    <w:rsid w:val="00D3622A"/>
    <w:rsid w:val="00D366BB"/>
    <w:rsid w:val="00D3734F"/>
    <w:rsid w:val="00D374DE"/>
    <w:rsid w:val="00D374F8"/>
    <w:rsid w:val="00D3750C"/>
    <w:rsid w:val="00D37837"/>
    <w:rsid w:val="00D378EC"/>
    <w:rsid w:val="00D37BF3"/>
    <w:rsid w:val="00D37C4F"/>
    <w:rsid w:val="00D37E7B"/>
    <w:rsid w:val="00D37E7F"/>
    <w:rsid w:val="00D37E86"/>
    <w:rsid w:val="00D37EC2"/>
    <w:rsid w:val="00D40204"/>
    <w:rsid w:val="00D40261"/>
    <w:rsid w:val="00D4054C"/>
    <w:rsid w:val="00D4074F"/>
    <w:rsid w:val="00D40E65"/>
    <w:rsid w:val="00D410B3"/>
    <w:rsid w:val="00D41145"/>
    <w:rsid w:val="00D41206"/>
    <w:rsid w:val="00D41391"/>
    <w:rsid w:val="00D4153C"/>
    <w:rsid w:val="00D420A6"/>
    <w:rsid w:val="00D421AF"/>
    <w:rsid w:val="00D42537"/>
    <w:rsid w:val="00D42605"/>
    <w:rsid w:val="00D42721"/>
    <w:rsid w:val="00D42B58"/>
    <w:rsid w:val="00D42B99"/>
    <w:rsid w:val="00D42B9D"/>
    <w:rsid w:val="00D42BA0"/>
    <w:rsid w:val="00D42FA1"/>
    <w:rsid w:val="00D4304B"/>
    <w:rsid w:val="00D43BF7"/>
    <w:rsid w:val="00D43E74"/>
    <w:rsid w:val="00D44539"/>
    <w:rsid w:val="00D44769"/>
    <w:rsid w:val="00D44CB9"/>
    <w:rsid w:val="00D44E7C"/>
    <w:rsid w:val="00D44F8E"/>
    <w:rsid w:val="00D44FA1"/>
    <w:rsid w:val="00D45558"/>
    <w:rsid w:val="00D4557A"/>
    <w:rsid w:val="00D461F2"/>
    <w:rsid w:val="00D46835"/>
    <w:rsid w:val="00D4728F"/>
    <w:rsid w:val="00D47437"/>
    <w:rsid w:val="00D476C3"/>
    <w:rsid w:val="00D47950"/>
    <w:rsid w:val="00D47BDC"/>
    <w:rsid w:val="00D47C50"/>
    <w:rsid w:val="00D47FF4"/>
    <w:rsid w:val="00D501D5"/>
    <w:rsid w:val="00D505ED"/>
    <w:rsid w:val="00D5071A"/>
    <w:rsid w:val="00D50996"/>
    <w:rsid w:val="00D509B8"/>
    <w:rsid w:val="00D50EDD"/>
    <w:rsid w:val="00D50F9F"/>
    <w:rsid w:val="00D51068"/>
    <w:rsid w:val="00D5131C"/>
    <w:rsid w:val="00D513D2"/>
    <w:rsid w:val="00D51476"/>
    <w:rsid w:val="00D51789"/>
    <w:rsid w:val="00D5179D"/>
    <w:rsid w:val="00D519D0"/>
    <w:rsid w:val="00D51B7E"/>
    <w:rsid w:val="00D51C3D"/>
    <w:rsid w:val="00D51E8F"/>
    <w:rsid w:val="00D51E90"/>
    <w:rsid w:val="00D51FAB"/>
    <w:rsid w:val="00D5206E"/>
    <w:rsid w:val="00D5230D"/>
    <w:rsid w:val="00D5244C"/>
    <w:rsid w:val="00D52594"/>
    <w:rsid w:val="00D52779"/>
    <w:rsid w:val="00D52C8A"/>
    <w:rsid w:val="00D52F23"/>
    <w:rsid w:val="00D5356D"/>
    <w:rsid w:val="00D5386B"/>
    <w:rsid w:val="00D53DA1"/>
    <w:rsid w:val="00D53DBA"/>
    <w:rsid w:val="00D541C5"/>
    <w:rsid w:val="00D545D1"/>
    <w:rsid w:val="00D54C14"/>
    <w:rsid w:val="00D55514"/>
    <w:rsid w:val="00D5585A"/>
    <w:rsid w:val="00D56108"/>
    <w:rsid w:val="00D5659C"/>
    <w:rsid w:val="00D56B97"/>
    <w:rsid w:val="00D56C9C"/>
    <w:rsid w:val="00D56D27"/>
    <w:rsid w:val="00D5725B"/>
    <w:rsid w:val="00D572C9"/>
    <w:rsid w:val="00D5752F"/>
    <w:rsid w:val="00D5785C"/>
    <w:rsid w:val="00D57D00"/>
    <w:rsid w:val="00D602E9"/>
    <w:rsid w:val="00D6078B"/>
    <w:rsid w:val="00D61251"/>
    <w:rsid w:val="00D613EC"/>
    <w:rsid w:val="00D61465"/>
    <w:rsid w:val="00D618A7"/>
    <w:rsid w:val="00D61A8E"/>
    <w:rsid w:val="00D62784"/>
    <w:rsid w:val="00D628C0"/>
    <w:rsid w:val="00D629C6"/>
    <w:rsid w:val="00D63567"/>
    <w:rsid w:val="00D6365D"/>
    <w:rsid w:val="00D6366A"/>
    <w:rsid w:val="00D6398D"/>
    <w:rsid w:val="00D63C63"/>
    <w:rsid w:val="00D63E7E"/>
    <w:rsid w:val="00D63F4D"/>
    <w:rsid w:val="00D64397"/>
    <w:rsid w:val="00D6445A"/>
    <w:rsid w:val="00D644A4"/>
    <w:rsid w:val="00D644A7"/>
    <w:rsid w:val="00D644CD"/>
    <w:rsid w:val="00D644F8"/>
    <w:rsid w:val="00D64B8A"/>
    <w:rsid w:val="00D64C3D"/>
    <w:rsid w:val="00D64DDC"/>
    <w:rsid w:val="00D64E52"/>
    <w:rsid w:val="00D64F7A"/>
    <w:rsid w:val="00D658BA"/>
    <w:rsid w:val="00D65FA9"/>
    <w:rsid w:val="00D66623"/>
    <w:rsid w:val="00D66639"/>
    <w:rsid w:val="00D66969"/>
    <w:rsid w:val="00D66CB2"/>
    <w:rsid w:val="00D67274"/>
    <w:rsid w:val="00D67279"/>
    <w:rsid w:val="00D673C2"/>
    <w:rsid w:val="00D6773A"/>
    <w:rsid w:val="00D67833"/>
    <w:rsid w:val="00D67867"/>
    <w:rsid w:val="00D6796B"/>
    <w:rsid w:val="00D67E1F"/>
    <w:rsid w:val="00D702A1"/>
    <w:rsid w:val="00D70459"/>
    <w:rsid w:val="00D70500"/>
    <w:rsid w:val="00D70A7D"/>
    <w:rsid w:val="00D70B20"/>
    <w:rsid w:val="00D70D88"/>
    <w:rsid w:val="00D70DC9"/>
    <w:rsid w:val="00D710C0"/>
    <w:rsid w:val="00D711A7"/>
    <w:rsid w:val="00D71464"/>
    <w:rsid w:val="00D714CA"/>
    <w:rsid w:val="00D71733"/>
    <w:rsid w:val="00D71B16"/>
    <w:rsid w:val="00D71D87"/>
    <w:rsid w:val="00D71F42"/>
    <w:rsid w:val="00D720DD"/>
    <w:rsid w:val="00D7226C"/>
    <w:rsid w:val="00D724D6"/>
    <w:rsid w:val="00D72A83"/>
    <w:rsid w:val="00D72BE3"/>
    <w:rsid w:val="00D72C82"/>
    <w:rsid w:val="00D7300D"/>
    <w:rsid w:val="00D731D2"/>
    <w:rsid w:val="00D73F82"/>
    <w:rsid w:val="00D745B2"/>
    <w:rsid w:val="00D75A63"/>
    <w:rsid w:val="00D75ADB"/>
    <w:rsid w:val="00D75C5E"/>
    <w:rsid w:val="00D75DA0"/>
    <w:rsid w:val="00D75E00"/>
    <w:rsid w:val="00D760A3"/>
    <w:rsid w:val="00D7630A"/>
    <w:rsid w:val="00D7654D"/>
    <w:rsid w:val="00D76723"/>
    <w:rsid w:val="00D767AD"/>
    <w:rsid w:val="00D76A2D"/>
    <w:rsid w:val="00D76C13"/>
    <w:rsid w:val="00D771D3"/>
    <w:rsid w:val="00D77315"/>
    <w:rsid w:val="00D77663"/>
    <w:rsid w:val="00D7770A"/>
    <w:rsid w:val="00D7783D"/>
    <w:rsid w:val="00D779D0"/>
    <w:rsid w:val="00D77F58"/>
    <w:rsid w:val="00D80013"/>
    <w:rsid w:val="00D8017E"/>
    <w:rsid w:val="00D803DF"/>
    <w:rsid w:val="00D809F3"/>
    <w:rsid w:val="00D80A8D"/>
    <w:rsid w:val="00D80AD6"/>
    <w:rsid w:val="00D80D98"/>
    <w:rsid w:val="00D80FD8"/>
    <w:rsid w:val="00D814A7"/>
    <w:rsid w:val="00D8178A"/>
    <w:rsid w:val="00D81A1B"/>
    <w:rsid w:val="00D81F4D"/>
    <w:rsid w:val="00D82243"/>
    <w:rsid w:val="00D8264B"/>
    <w:rsid w:val="00D82AF6"/>
    <w:rsid w:val="00D82DB7"/>
    <w:rsid w:val="00D832AD"/>
    <w:rsid w:val="00D83825"/>
    <w:rsid w:val="00D83873"/>
    <w:rsid w:val="00D83AC4"/>
    <w:rsid w:val="00D83E5E"/>
    <w:rsid w:val="00D83EB4"/>
    <w:rsid w:val="00D83FD9"/>
    <w:rsid w:val="00D84201"/>
    <w:rsid w:val="00D84643"/>
    <w:rsid w:val="00D846AB"/>
    <w:rsid w:val="00D849AA"/>
    <w:rsid w:val="00D84BC8"/>
    <w:rsid w:val="00D853E6"/>
    <w:rsid w:val="00D85626"/>
    <w:rsid w:val="00D859F0"/>
    <w:rsid w:val="00D85D6D"/>
    <w:rsid w:val="00D85E60"/>
    <w:rsid w:val="00D86036"/>
    <w:rsid w:val="00D863F0"/>
    <w:rsid w:val="00D864F8"/>
    <w:rsid w:val="00D86888"/>
    <w:rsid w:val="00D86B87"/>
    <w:rsid w:val="00D87CC3"/>
    <w:rsid w:val="00D87E29"/>
    <w:rsid w:val="00D905A5"/>
    <w:rsid w:val="00D9094B"/>
    <w:rsid w:val="00D90BB7"/>
    <w:rsid w:val="00D914D8"/>
    <w:rsid w:val="00D917A6"/>
    <w:rsid w:val="00D91B0A"/>
    <w:rsid w:val="00D91BA3"/>
    <w:rsid w:val="00D92149"/>
    <w:rsid w:val="00D925D6"/>
    <w:rsid w:val="00D929EC"/>
    <w:rsid w:val="00D92E41"/>
    <w:rsid w:val="00D93052"/>
    <w:rsid w:val="00D938F4"/>
    <w:rsid w:val="00D94231"/>
    <w:rsid w:val="00D9457E"/>
    <w:rsid w:val="00D94644"/>
    <w:rsid w:val="00D94F32"/>
    <w:rsid w:val="00D94FA8"/>
    <w:rsid w:val="00D951B8"/>
    <w:rsid w:val="00D952AC"/>
    <w:rsid w:val="00D95774"/>
    <w:rsid w:val="00D957BB"/>
    <w:rsid w:val="00D95911"/>
    <w:rsid w:val="00D95A1E"/>
    <w:rsid w:val="00D95EC2"/>
    <w:rsid w:val="00D96085"/>
    <w:rsid w:val="00D962D7"/>
    <w:rsid w:val="00D9639D"/>
    <w:rsid w:val="00D96925"/>
    <w:rsid w:val="00D96B72"/>
    <w:rsid w:val="00D97052"/>
    <w:rsid w:val="00D9757B"/>
    <w:rsid w:val="00D97608"/>
    <w:rsid w:val="00D976B6"/>
    <w:rsid w:val="00D97A16"/>
    <w:rsid w:val="00DA024F"/>
    <w:rsid w:val="00DA0440"/>
    <w:rsid w:val="00DA0451"/>
    <w:rsid w:val="00DA0907"/>
    <w:rsid w:val="00DA0F29"/>
    <w:rsid w:val="00DA137C"/>
    <w:rsid w:val="00DA17EA"/>
    <w:rsid w:val="00DA18E7"/>
    <w:rsid w:val="00DA1C59"/>
    <w:rsid w:val="00DA1DEE"/>
    <w:rsid w:val="00DA1E83"/>
    <w:rsid w:val="00DA2224"/>
    <w:rsid w:val="00DA28A0"/>
    <w:rsid w:val="00DA2BD9"/>
    <w:rsid w:val="00DA2FA2"/>
    <w:rsid w:val="00DA302C"/>
    <w:rsid w:val="00DA3823"/>
    <w:rsid w:val="00DA3F57"/>
    <w:rsid w:val="00DA431F"/>
    <w:rsid w:val="00DA48D8"/>
    <w:rsid w:val="00DA4901"/>
    <w:rsid w:val="00DA4B2C"/>
    <w:rsid w:val="00DA53DF"/>
    <w:rsid w:val="00DA56F3"/>
    <w:rsid w:val="00DA61E3"/>
    <w:rsid w:val="00DA6224"/>
    <w:rsid w:val="00DA645E"/>
    <w:rsid w:val="00DA64C3"/>
    <w:rsid w:val="00DA6545"/>
    <w:rsid w:val="00DA6736"/>
    <w:rsid w:val="00DA69AD"/>
    <w:rsid w:val="00DA6AB6"/>
    <w:rsid w:val="00DA6D8F"/>
    <w:rsid w:val="00DA6F2C"/>
    <w:rsid w:val="00DA70BF"/>
    <w:rsid w:val="00DA7193"/>
    <w:rsid w:val="00DA7DC6"/>
    <w:rsid w:val="00DB02BA"/>
    <w:rsid w:val="00DB0D84"/>
    <w:rsid w:val="00DB146F"/>
    <w:rsid w:val="00DB181D"/>
    <w:rsid w:val="00DB195A"/>
    <w:rsid w:val="00DB1A77"/>
    <w:rsid w:val="00DB1C8E"/>
    <w:rsid w:val="00DB201E"/>
    <w:rsid w:val="00DB20DB"/>
    <w:rsid w:val="00DB233C"/>
    <w:rsid w:val="00DB2406"/>
    <w:rsid w:val="00DB26CE"/>
    <w:rsid w:val="00DB2B47"/>
    <w:rsid w:val="00DB2EF1"/>
    <w:rsid w:val="00DB31B7"/>
    <w:rsid w:val="00DB3349"/>
    <w:rsid w:val="00DB37B1"/>
    <w:rsid w:val="00DB47E8"/>
    <w:rsid w:val="00DB49FD"/>
    <w:rsid w:val="00DB4F85"/>
    <w:rsid w:val="00DB5240"/>
    <w:rsid w:val="00DB59A3"/>
    <w:rsid w:val="00DB59B4"/>
    <w:rsid w:val="00DB5C81"/>
    <w:rsid w:val="00DB5E96"/>
    <w:rsid w:val="00DB5FA8"/>
    <w:rsid w:val="00DB60BF"/>
    <w:rsid w:val="00DB65CC"/>
    <w:rsid w:val="00DB65F2"/>
    <w:rsid w:val="00DB6643"/>
    <w:rsid w:val="00DB670F"/>
    <w:rsid w:val="00DB691C"/>
    <w:rsid w:val="00DB696D"/>
    <w:rsid w:val="00DB69A6"/>
    <w:rsid w:val="00DB6F7F"/>
    <w:rsid w:val="00DB73F1"/>
    <w:rsid w:val="00DB7583"/>
    <w:rsid w:val="00DB7608"/>
    <w:rsid w:val="00DB770A"/>
    <w:rsid w:val="00DB7A44"/>
    <w:rsid w:val="00DB7D16"/>
    <w:rsid w:val="00DB7DC3"/>
    <w:rsid w:val="00DC0B49"/>
    <w:rsid w:val="00DC0DA6"/>
    <w:rsid w:val="00DC0DC7"/>
    <w:rsid w:val="00DC0FC5"/>
    <w:rsid w:val="00DC1463"/>
    <w:rsid w:val="00DC18CF"/>
    <w:rsid w:val="00DC1CF3"/>
    <w:rsid w:val="00DC22BF"/>
    <w:rsid w:val="00DC2586"/>
    <w:rsid w:val="00DC26E5"/>
    <w:rsid w:val="00DC285A"/>
    <w:rsid w:val="00DC2C99"/>
    <w:rsid w:val="00DC34DC"/>
    <w:rsid w:val="00DC3A17"/>
    <w:rsid w:val="00DC3AA6"/>
    <w:rsid w:val="00DC4021"/>
    <w:rsid w:val="00DC4452"/>
    <w:rsid w:val="00DC4691"/>
    <w:rsid w:val="00DC4E1E"/>
    <w:rsid w:val="00DC5019"/>
    <w:rsid w:val="00DC506E"/>
    <w:rsid w:val="00DC55AF"/>
    <w:rsid w:val="00DC562C"/>
    <w:rsid w:val="00DC57CC"/>
    <w:rsid w:val="00DC5F92"/>
    <w:rsid w:val="00DC601A"/>
    <w:rsid w:val="00DC630B"/>
    <w:rsid w:val="00DC645C"/>
    <w:rsid w:val="00DC6496"/>
    <w:rsid w:val="00DC6512"/>
    <w:rsid w:val="00DC687F"/>
    <w:rsid w:val="00DC68FB"/>
    <w:rsid w:val="00DC69C4"/>
    <w:rsid w:val="00DC6EC8"/>
    <w:rsid w:val="00DC73D1"/>
    <w:rsid w:val="00DC773F"/>
    <w:rsid w:val="00DC77E3"/>
    <w:rsid w:val="00DC7AA9"/>
    <w:rsid w:val="00DD0083"/>
    <w:rsid w:val="00DD00C6"/>
    <w:rsid w:val="00DD0359"/>
    <w:rsid w:val="00DD0EE3"/>
    <w:rsid w:val="00DD136C"/>
    <w:rsid w:val="00DD1B7C"/>
    <w:rsid w:val="00DD25F4"/>
    <w:rsid w:val="00DD29E5"/>
    <w:rsid w:val="00DD2B70"/>
    <w:rsid w:val="00DD2FEC"/>
    <w:rsid w:val="00DD38D2"/>
    <w:rsid w:val="00DD3BF0"/>
    <w:rsid w:val="00DD3DD0"/>
    <w:rsid w:val="00DD48C3"/>
    <w:rsid w:val="00DD4903"/>
    <w:rsid w:val="00DD5363"/>
    <w:rsid w:val="00DD536E"/>
    <w:rsid w:val="00DD592F"/>
    <w:rsid w:val="00DD5E3D"/>
    <w:rsid w:val="00DD6510"/>
    <w:rsid w:val="00DD656D"/>
    <w:rsid w:val="00DD6745"/>
    <w:rsid w:val="00DD6CFA"/>
    <w:rsid w:val="00DD723D"/>
    <w:rsid w:val="00DD74A3"/>
    <w:rsid w:val="00DD7548"/>
    <w:rsid w:val="00DD7D8B"/>
    <w:rsid w:val="00DD7DA8"/>
    <w:rsid w:val="00DE0078"/>
    <w:rsid w:val="00DE0125"/>
    <w:rsid w:val="00DE0833"/>
    <w:rsid w:val="00DE11FA"/>
    <w:rsid w:val="00DE1217"/>
    <w:rsid w:val="00DE1225"/>
    <w:rsid w:val="00DE1289"/>
    <w:rsid w:val="00DE145B"/>
    <w:rsid w:val="00DE1619"/>
    <w:rsid w:val="00DE16FB"/>
    <w:rsid w:val="00DE178B"/>
    <w:rsid w:val="00DE191E"/>
    <w:rsid w:val="00DE1A88"/>
    <w:rsid w:val="00DE2300"/>
    <w:rsid w:val="00DE2753"/>
    <w:rsid w:val="00DE2C57"/>
    <w:rsid w:val="00DE31F5"/>
    <w:rsid w:val="00DE35C1"/>
    <w:rsid w:val="00DE3A56"/>
    <w:rsid w:val="00DE3B5C"/>
    <w:rsid w:val="00DE4008"/>
    <w:rsid w:val="00DE46DA"/>
    <w:rsid w:val="00DE4942"/>
    <w:rsid w:val="00DE4AC7"/>
    <w:rsid w:val="00DE4D9D"/>
    <w:rsid w:val="00DE4F6A"/>
    <w:rsid w:val="00DE5137"/>
    <w:rsid w:val="00DE5156"/>
    <w:rsid w:val="00DE525E"/>
    <w:rsid w:val="00DE596D"/>
    <w:rsid w:val="00DE622A"/>
    <w:rsid w:val="00DE6415"/>
    <w:rsid w:val="00DE6C99"/>
    <w:rsid w:val="00DE6CA7"/>
    <w:rsid w:val="00DE6CCB"/>
    <w:rsid w:val="00DE6EE1"/>
    <w:rsid w:val="00DE6F91"/>
    <w:rsid w:val="00DE73B8"/>
    <w:rsid w:val="00DE75FF"/>
    <w:rsid w:val="00DE76B3"/>
    <w:rsid w:val="00DE7724"/>
    <w:rsid w:val="00DE7798"/>
    <w:rsid w:val="00DF00A1"/>
    <w:rsid w:val="00DF0116"/>
    <w:rsid w:val="00DF07B4"/>
    <w:rsid w:val="00DF0DCD"/>
    <w:rsid w:val="00DF0E63"/>
    <w:rsid w:val="00DF1316"/>
    <w:rsid w:val="00DF137A"/>
    <w:rsid w:val="00DF14CA"/>
    <w:rsid w:val="00DF177D"/>
    <w:rsid w:val="00DF1A97"/>
    <w:rsid w:val="00DF280E"/>
    <w:rsid w:val="00DF3017"/>
    <w:rsid w:val="00DF3CC7"/>
    <w:rsid w:val="00DF4133"/>
    <w:rsid w:val="00DF4196"/>
    <w:rsid w:val="00DF4281"/>
    <w:rsid w:val="00DF4A11"/>
    <w:rsid w:val="00DF4C38"/>
    <w:rsid w:val="00DF4CF1"/>
    <w:rsid w:val="00DF4ED6"/>
    <w:rsid w:val="00DF4EF3"/>
    <w:rsid w:val="00DF50BD"/>
    <w:rsid w:val="00DF5539"/>
    <w:rsid w:val="00DF559C"/>
    <w:rsid w:val="00DF5661"/>
    <w:rsid w:val="00DF5AC1"/>
    <w:rsid w:val="00DF5AD2"/>
    <w:rsid w:val="00DF60CF"/>
    <w:rsid w:val="00DF67FA"/>
    <w:rsid w:val="00DF6CDC"/>
    <w:rsid w:val="00DF7368"/>
    <w:rsid w:val="00DF76DD"/>
    <w:rsid w:val="00DF788D"/>
    <w:rsid w:val="00DF7D23"/>
    <w:rsid w:val="00DF7F8D"/>
    <w:rsid w:val="00E00076"/>
    <w:rsid w:val="00E000AE"/>
    <w:rsid w:val="00E002B3"/>
    <w:rsid w:val="00E00FE9"/>
    <w:rsid w:val="00E01230"/>
    <w:rsid w:val="00E012E8"/>
    <w:rsid w:val="00E01416"/>
    <w:rsid w:val="00E015A8"/>
    <w:rsid w:val="00E01DB5"/>
    <w:rsid w:val="00E01E46"/>
    <w:rsid w:val="00E01F3E"/>
    <w:rsid w:val="00E01F55"/>
    <w:rsid w:val="00E023DB"/>
    <w:rsid w:val="00E02753"/>
    <w:rsid w:val="00E02975"/>
    <w:rsid w:val="00E03454"/>
    <w:rsid w:val="00E034BB"/>
    <w:rsid w:val="00E0391E"/>
    <w:rsid w:val="00E03A2C"/>
    <w:rsid w:val="00E03F31"/>
    <w:rsid w:val="00E03FA8"/>
    <w:rsid w:val="00E0425B"/>
    <w:rsid w:val="00E04296"/>
    <w:rsid w:val="00E04F95"/>
    <w:rsid w:val="00E05130"/>
    <w:rsid w:val="00E05350"/>
    <w:rsid w:val="00E05388"/>
    <w:rsid w:val="00E055BD"/>
    <w:rsid w:val="00E05B8D"/>
    <w:rsid w:val="00E05C50"/>
    <w:rsid w:val="00E05EC9"/>
    <w:rsid w:val="00E05EF3"/>
    <w:rsid w:val="00E06389"/>
    <w:rsid w:val="00E064E3"/>
    <w:rsid w:val="00E065FF"/>
    <w:rsid w:val="00E06615"/>
    <w:rsid w:val="00E06A4B"/>
    <w:rsid w:val="00E06B2F"/>
    <w:rsid w:val="00E06BEC"/>
    <w:rsid w:val="00E06C8A"/>
    <w:rsid w:val="00E072E4"/>
    <w:rsid w:val="00E07B50"/>
    <w:rsid w:val="00E07F42"/>
    <w:rsid w:val="00E1015B"/>
    <w:rsid w:val="00E10230"/>
    <w:rsid w:val="00E10264"/>
    <w:rsid w:val="00E10412"/>
    <w:rsid w:val="00E10551"/>
    <w:rsid w:val="00E10CB5"/>
    <w:rsid w:val="00E113A0"/>
    <w:rsid w:val="00E11507"/>
    <w:rsid w:val="00E11738"/>
    <w:rsid w:val="00E11B4C"/>
    <w:rsid w:val="00E11EBE"/>
    <w:rsid w:val="00E11EDE"/>
    <w:rsid w:val="00E11F31"/>
    <w:rsid w:val="00E12359"/>
    <w:rsid w:val="00E12A7E"/>
    <w:rsid w:val="00E1327D"/>
    <w:rsid w:val="00E13660"/>
    <w:rsid w:val="00E1367C"/>
    <w:rsid w:val="00E137A1"/>
    <w:rsid w:val="00E13989"/>
    <w:rsid w:val="00E13B8B"/>
    <w:rsid w:val="00E13BDC"/>
    <w:rsid w:val="00E13FAD"/>
    <w:rsid w:val="00E149EC"/>
    <w:rsid w:val="00E14E82"/>
    <w:rsid w:val="00E150E5"/>
    <w:rsid w:val="00E156CB"/>
    <w:rsid w:val="00E16176"/>
    <w:rsid w:val="00E16289"/>
    <w:rsid w:val="00E16DF1"/>
    <w:rsid w:val="00E174BB"/>
    <w:rsid w:val="00E17B87"/>
    <w:rsid w:val="00E17C71"/>
    <w:rsid w:val="00E17E4B"/>
    <w:rsid w:val="00E17F5D"/>
    <w:rsid w:val="00E20163"/>
    <w:rsid w:val="00E20D8E"/>
    <w:rsid w:val="00E21073"/>
    <w:rsid w:val="00E21098"/>
    <w:rsid w:val="00E21667"/>
    <w:rsid w:val="00E2190E"/>
    <w:rsid w:val="00E219F6"/>
    <w:rsid w:val="00E21BD0"/>
    <w:rsid w:val="00E21F17"/>
    <w:rsid w:val="00E22454"/>
    <w:rsid w:val="00E2271E"/>
    <w:rsid w:val="00E22967"/>
    <w:rsid w:val="00E235F8"/>
    <w:rsid w:val="00E23953"/>
    <w:rsid w:val="00E23A68"/>
    <w:rsid w:val="00E23CD5"/>
    <w:rsid w:val="00E23D0E"/>
    <w:rsid w:val="00E23DD8"/>
    <w:rsid w:val="00E23DED"/>
    <w:rsid w:val="00E24206"/>
    <w:rsid w:val="00E246C1"/>
    <w:rsid w:val="00E2482A"/>
    <w:rsid w:val="00E24997"/>
    <w:rsid w:val="00E24B84"/>
    <w:rsid w:val="00E25115"/>
    <w:rsid w:val="00E252E3"/>
    <w:rsid w:val="00E2558F"/>
    <w:rsid w:val="00E2579A"/>
    <w:rsid w:val="00E25DF0"/>
    <w:rsid w:val="00E26156"/>
    <w:rsid w:val="00E2647D"/>
    <w:rsid w:val="00E2664B"/>
    <w:rsid w:val="00E26C37"/>
    <w:rsid w:val="00E26D01"/>
    <w:rsid w:val="00E27011"/>
    <w:rsid w:val="00E3001D"/>
    <w:rsid w:val="00E3002C"/>
    <w:rsid w:val="00E30128"/>
    <w:rsid w:val="00E3033C"/>
    <w:rsid w:val="00E31003"/>
    <w:rsid w:val="00E312C2"/>
    <w:rsid w:val="00E324A8"/>
    <w:rsid w:val="00E32650"/>
    <w:rsid w:val="00E32AD0"/>
    <w:rsid w:val="00E32D31"/>
    <w:rsid w:val="00E33133"/>
    <w:rsid w:val="00E332A9"/>
    <w:rsid w:val="00E3341B"/>
    <w:rsid w:val="00E33806"/>
    <w:rsid w:val="00E33AA3"/>
    <w:rsid w:val="00E34624"/>
    <w:rsid w:val="00E3475E"/>
    <w:rsid w:val="00E34AD5"/>
    <w:rsid w:val="00E34B51"/>
    <w:rsid w:val="00E34D30"/>
    <w:rsid w:val="00E35265"/>
    <w:rsid w:val="00E355D1"/>
    <w:rsid w:val="00E355DF"/>
    <w:rsid w:val="00E36085"/>
    <w:rsid w:val="00E36561"/>
    <w:rsid w:val="00E36703"/>
    <w:rsid w:val="00E36995"/>
    <w:rsid w:val="00E36F9E"/>
    <w:rsid w:val="00E3756A"/>
    <w:rsid w:val="00E376F7"/>
    <w:rsid w:val="00E37A74"/>
    <w:rsid w:val="00E40260"/>
    <w:rsid w:val="00E409FD"/>
    <w:rsid w:val="00E41080"/>
    <w:rsid w:val="00E41235"/>
    <w:rsid w:val="00E416C2"/>
    <w:rsid w:val="00E41972"/>
    <w:rsid w:val="00E42134"/>
    <w:rsid w:val="00E42289"/>
    <w:rsid w:val="00E422A7"/>
    <w:rsid w:val="00E4279C"/>
    <w:rsid w:val="00E42854"/>
    <w:rsid w:val="00E42B01"/>
    <w:rsid w:val="00E42E00"/>
    <w:rsid w:val="00E4315F"/>
    <w:rsid w:val="00E432E9"/>
    <w:rsid w:val="00E43B98"/>
    <w:rsid w:val="00E43CF2"/>
    <w:rsid w:val="00E4454E"/>
    <w:rsid w:val="00E44684"/>
    <w:rsid w:val="00E44E8E"/>
    <w:rsid w:val="00E44EA4"/>
    <w:rsid w:val="00E44F61"/>
    <w:rsid w:val="00E4509B"/>
    <w:rsid w:val="00E45319"/>
    <w:rsid w:val="00E455A4"/>
    <w:rsid w:val="00E458FF"/>
    <w:rsid w:val="00E45D7B"/>
    <w:rsid w:val="00E45EEA"/>
    <w:rsid w:val="00E46028"/>
    <w:rsid w:val="00E47129"/>
    <w:rsid w:val="00E4738D"/>
    <w:rsid w:val="00E47BC6"/>
    <w:rsid w:val="00E47D77"/>
    <w:rsid w:val="00E47E4E"/>
    <w:rsid w:val="00E50065"/>
    <w:rsid w:val="00E501EB"/>
    <w:rsid w:val="00E5079F"/>
    <w:rsid w:val="00E50A24"/>
    <w:rsid w:val="00E50EAF"/>
    <w:rsid w:val="00E51908"/>
    <w:rsid w:val="00E51A36"/>
    <w:rsid w:val="00E51A41"/>
    <w:rsid w:val="00E51B50"/>
    <w:rsid w:val="00E51D31"/>
    <w:rsid w:val="00E51D3A"/>
    <w:rsid w:val="00E51DC7"/>
    <w:rsid w:val="00E526B4"/>
    <w:rsid w:val="00E527E8"/>
    <w:rsid w:val="00E52AED"/>
    <w:rsid w:val="00E530F4"/>
    <w:rsid w:val="00E53225"/>
    <w:rsid w:val="00E53496"/>
    <w:rsid w:val="00E534A5"/>
    <w:rsid w:val="00E53E69"/>
    <w:rsid w:val="00E54229"/>
    <w:rsid w:val="00E543A7"/>
    <w:rsid w:val="00E543C1"/>
    <w:rsid w:val="00E54A64"/>
    <w:rsid w:val="00E54B70"/>
    <w:rsid w:val="00E54FBA"/>
    <w:rsid w:val="00E5521E"/>
    <w:rsid w:val="00E56CAC"/>
    <w:rsid w:val="00E56EE5"/>
    <w:rsid w:val="00E56FC6"/>
    <w:rsid w:val="00E5765C"/>
    <w:rsid w:val="00E605CC"/>
    <w:rsid w:val="00E60914"/>
    <w:rsid w:val="00E60A9F"/>
    <w:rsid w:val="00E60BD5"/>
    <w:rsid w:val="00E60CB4"/>
    <w:rsid w:val="00E60F59"/>
    <w:rsid w:val="00E61132"/>
    <w:rsid w:val="00E613C5"/>
    <w:rsid w:val="00E613E7"/>
    <w:rsid w:val="00E614E9"/>
    <w:rsid w:val="00E61678"/>
    <w:rsid w:val="00E6182B"/>
    <w:rsid w:val="00E61BAF"/>
    <w:rsid w:val="00E61E0C"/>
    <w:rsid w:val="00E61E1F"/>
    <w:rsid w:val="00E61E6E"/>
    <w:rsid w:val="00E6232B"/>
    <w:rsid w:val="00E62916"/>
    <w:rsid w:val="00E62E6F"/>
    <w:rsid w:val="00E62F51"/>
    <w:rsid w:val="00E6307E"/>
    <w:rsid w:val="00E63283"/>
    <w:rsid w:val="00E633BF"/>
    <w:rsid w:val="00E63450"/>
    <w:rsid w:val="00E636D2"/>
    <w:rsid w:val="00E641AA"/>
    <w:rsid w:val="00E64309"/>
    <w:rsid w:val="00E64472"/>
    <w:rsid w:val="00E645E5"/>
    <w:rsid w:val="00E647A7"/>
    <w:rsid w:val="00E64849"/>
    <w:rsid w:val="00E649EC"/>
    <w:rsid w:val="00E64C70"/>
    <w:rsid w:val="00E65091"/>
    <w:rsid w:val="00E650D7"/>
    <w:rsid w:val="00E65258"/>
    <w:rsid w:val="00E6542E"/>
    <w:rsid w:val="00E65B3B"/>
    <w:rsid w:val="00E65B51"/>
    <w:rsid w:val="00E65B55"/>
    <w:rsid w:val="00E6627C"/>
    <w:rsid w:val="00E6662A"/>
    <w:rsid w:val="00E669FC"/>
    <w:rsid w:val="00E66C5D"/>
    <w:rsid w:val="00E66D7F"/>
    <w:rsid w:val="00E66DC7"/>
    <w:rsid w:val="00E67BEA"/>
    <w:rsid w:val="00E67EAD"/>
    <w:rsid w:val="00E70396"/>
    <w:rsid w:val="00E7089C"/>
    <w:rsid w:val="00E70D03"/>
    <w:rsid w:val="00E70DFA"/>
    <w:rsid w:val="00E70F42"/>
    <w:rsid w:val="00E711D8"/>
    <w:rsid w:val="00E712C3"/>
    <w:rsid w:val="00E71349"/>
    <w:rsid w:val="00E71662"/>
    <w:rsid w:val="00E718A6"/>
    <w:rsid w:val="00E719E3"/>
    <w:rsid w:val="00E71C83"/>
    <w:rsid w:val="00E72764"/>
    <w:rsid w:val="00E72B56"/>
    <w:rsid w:val="00E72C2B"/>
    <w:rsid w:val="00E7317A"/>
    <w:rsid w:val="00E7317B"/>
    <w:rsid w:val="00E731ED"/>
    <w:rsid w:val="00E73418"/>
    <w:rsid w:val="00E734CF"/>
    <w:rsid w:val="00E73565"/>
    <w:rsid w:val="00E73667"/>
    <w:rsid w:val="00E73755"/>
    <w:rsid w:val="00E738F8"/>
    <w:rsid w:val="00E739A5"/>
    <w:rsid w:val="00E73D94"/>
    <w:rsid w:val="00E7434D"/>
    <w:rsid w:val="00E74597"/>
    <w:rsid w:val="00E74A6C"/>
    <w:rsid w:val="00E74C21"/>
    <w:rsid w:val="00E74D93"/>
    <w:rsid w:val="00E75364"/>
    <w:rsid w:val="00E753E6"/>
    <w:rsid w:val="00E75641"/>
    <w:rsid w:val="00E75715"/>
    <w:rsid w:val="00E7598B"/>
    <w:rsid w:val="00E75EC4"/>
    <w:rsid w:val="00E76636"/>
    <w:rsid w:val="00E76BB4"/>
    <w:rsid w:val="00E76CC3"/>
    <w:rsid w:val="00E77301"/>
    <w:rsid w:val="00E77399"/>
    <w:rsid w:val="00E77BE3"/>
    <w:rsid w:val="00E80373"/>
    <w:rsid w:val="00E8046E"/>
    <w:rsid w:val="00E806DF"/>
    <w:rsid w:val="00E80748"/>
    <w:rsid w:val="00E80903"/>
    <w:rsid w:val="00E80B1A"/>
    <w:rsid w:val="00E80D24"/>
    <w:rsid w:val="00E80D8A"/>
    <w:rsid w:val="00E8101D"/>
    <w:rsid w:val="00E81052"/>
    <w:rsid w:val="00E81081"/>
    <w:rsid w:val="00E812FA"/>
    <w:rsid w:val="00E81945"/>
    <w:rsid w:val="00E823BF"/>
    <w:rsid w:val="00E823D4"/>
    <w:rsid w:val="00E82750"/>
    <w:rsid w:val="00E82791"/>
    <w:rsid w:val="00E82911"/>
    <w:rsid w:val="00E82E91"/>
    <w:rsid w:val="00E83D0C"/>
    <w:rsid w:val="00E83D2B"/>
    <w:rsid w:val="00E83D6B"/>
    <w:rsid w:val="00E840D8"/>
    <w:rsid w:val="00E84758"/>
    <w:rsid w:val="00E8488A"/>
    <w:rsid w:val="00E84906"/>
    <w:rsid w:val="00E84B83"/>
    <w:rsid w:val="00E850F9"/>
    <w:rsid w:val="00E85277"/>
    <w:rsid w:val="00E85BCD"/>
    <w:rsid w:val="00E8609F"/>
    <w:rsid w:val="00E860A1"/>
    <w:rsid w:val="00E861AB"/>
    <w:rsid w:val="00E86987"/>
    <w:rsid w:val="00E86A3A"/>
    <w:rsid w:val="00E86DD2"/>
    <w:rsid w:val="00E8703B"/>
    <w:rsid w:val="00E87352"/>
    <w:rsid w:val="00E8766A"/>
    <w:rsid w:val="00E87790"/>
    <w:rsid w:val="00E87850"/>
    <w:rsid w:val="00E8799F"/>
    <w:rsid w:val="00E9059D"/>
    <w:rsid w:val="00E90B36"/>
    <w:rsid w:val="00E90EAC"/>
    <w:rsid w:val="00E90EFD"/>
    <w:rsid w:val="00E91573"/>
    <w:rsid w:val="00E91620"/>
    <w:rsid w:val="00E91894"/>
    <w:rsid w:val="00E91B2D"/>
    <w:rsid w:val="00E91D3A"/>
    <w:rsid w:val="00E9218F"/>
    <w:rsid w:val="00E9229C"/>
    <w:rsid w:val="00E92489"/>
    <w:rsid w:val="00E929E2"/>
    <w:rsid w:val="00E92A93"/>
    <w:rsid w:val="00E92C7B"/>
    <w:rsid w:val="00E92EA2"/>
    <w:rsid w:val="00E93A0C"/>
    <w:rsid w:val="00E93C9A"/>
    <w:rsid w:val="00E93E61"/>
    <w:rsid w:val="00E9448E"/>
    <w:rsid w:val="00E9494D"/>
    <w:rsid w:val="00E94954"/>
    <w:rsid w:val="00E94F91"/>
    <w:rsid w:val="00E956BC"/>
    <w:rsid w:val="00E95981"/>
    <w:rsid w:val="00E95985"/>
    <w:rsid w:val="00E959FA"/>
    <w:rsid w:val="00E95CE7"/>
    <w:rsid w:val="00E95DE1"/>
    <w:rsid w:val="00E961D8"/>
    <w:rsid w:val="00E96389"/>
    <w:rsid w:val="00E9665C"/>
    <w:rsid w:val="00E96997"/>
    <w:rsid w:val="00E96B04"/>
    <w:rsid w:val="00E96F02"/>
    <w:rsid w:val="00E97263"/>
    <w:rsid w:val="00E9735B"/>
    <w:rsid w:val="00E9737A"/>
    <w:rsid w:val="00E97472"/>
    <w:rsid w:val="00E974CB"/>
    <w:rsid w:val="00E9760F"/>
    <w:rsid w:val="00E97759"/>
    <w:rsid w:val="00E97E64"/>
    <w:rsid w:val="00EA05DE"/>
    <w:rsid w:val="00EA0E56"/>
    <w:rsid w:val="00EA0F80"/>
    <w:rsid w:val="00EA1131"/>
    <w:rsid w:val="00EA12AE"/>
    <w:rsid w:val="00EA12B6"/>
    <w:rsid w:val="00EA27DD"/>
    <w:rsid w:val="00EA2D7D"/>
    <w:rsid w:val="00EA2D9C"/>
    <w:rsid w:val="00EA2DE5"/>
    <w:rsid w:val="00EA2E4C"/>
    <w:rsid w:val="00EA3449"/>
    <w:rsid w:val="00EA3656"/>
    <w:rsid w:val="00EA36E8"/>
    <w:rsid w:val="00EA3A6B"/>
    <w:rsid w:val="00EA3DE1"/>
    <w:rsid w:val="00EA3EAA"/>
    <w:rsid w:val="00EA3FBA"/>
    <w:rsid w:val="00EA4234"/>
    <w:rsid w:val="00EA44A7"/>
    <w:rsid w:val="00EA4DDE"/>
    <w:rsid w:val="00EA4E01"/>
    <w:rsid w:val="00EA4EDD"/>
    <w:rsid w:val="00EA519A"/>
    <w:rsid w:val="00EA5256"/>
    <w:rsid w:val="00EA5507"/>
    <w:rsid w:val="00EA5629"/>
    <w:rsid w:val="00EA57BA"/>
    <w:rsid w:val="00EA58F2"/>
    <w:rsid w:val="00EA5935"/>
    <w:rsid w:val="00EA5A15"/>
    <w:rsid w:val="00EA5D8D"/>
    <w:rsid w:val="00EA5FEC"/>
    <w:rsid w:val="00EA65C0"/>
    <w:rsid w:val="00EA6604"/>
    <w:rsid w:val="00EA6FF4"/>
    <w:rsid w:val="00EA723B"/>
    <w:rsid w:val="00EA727F"/>
    <w:rsid w:val="00EA7BB1"/>
    <w:rsid w:val="00EA7C8D"/>
    <w:rsid w:val="00EA7D86"/>
    <w:rsid w:val="00EB0727"/>
    <w:rsid w:val="00EB0748"/>
    <w:rsid w:val="00EB08D0"/>
    <w:rsid w:val="00EB0D4F"/>
    <w:rsid w:val="00EB12D2"/>
    <w:rsid w:val="00EB1B19"/>
    <w:rsid w:val="00EB1CB1"/>
    <w:rsid w:val="00EB20A2"/>
    <w:rsid w:val="00EB269A"/>
    <w:rsid w:val="00EB28EC"/>
    <w:rsid w:val="00EB2B91"/>
    <w:rsid w:val="00EB3364"/>
    <w:rsid w:val="00EB3442"/>
    <w:rsid w:val="00EB3476"/>
    <w:rsid w:val="00EB3940"/>
    <w:rsid w:val="00EB3AAA"/>
    <w:rsid w:val="00EB3F2A"/>
    <w:rsid w:val="00EB3F65"/>
    <w:rsid w:val="00EB437D"/>
    <w:rsid w:val="00EB4505"/>
    <w:rsid w:val="00EB468C"/>
    <w:rsid w:val="00EB4CAB"/>
    <w:rsid w:val="00EB4FC4"/>
    <w:rsid w:val="00EB50C7"/>
    <w:rsid w:val="00EB5145"/>
    <w:rsid w:val="00EB5475"/>
    <w:rsid w:val="00EB5FEB"/>
    <w:rsid w:val="00EB6058"/>
    <w:rsid w:val="00EB6471"/>
    <w:rsid w:val="00EB6473"/>
    <w:rsid w:val="00EB64E1"/>
    <w:rsid w:val="00EB6A4B"/>
    <w:rsid w:val="00EB6A61"/>
    <w:rsid w:val="00EB6EFB"/>
    <w:rsid w:val="00EB706C"/>
    <w:rsid w:val="00EB72D8"/>
    <w:rsid w:val="00EB734D"/>
    <w:rsid w:val="00EB780D"/>
    <w:rsid w:val="00EB7E6A"/>
    <w:rsid w:val="00EC009B"/>
    <w:rsid w:val="00EC029B"/>
    <w:rsid w:val="00EC070D"/>
    <w:rsid w:val="00EC089D"/>
    <w:rsid w:val="00EC0A43"/>
    <w:rsid w:val="00EC0B8C"/>
    <w:rsid w:val="00EC0D21"/>
    <w:rsid w:val="00EC0F33"/>
    <w:rsid w:val="00EC0F4A"/>
    <w:rsid w:val="00EC1297"/>
    <w:rsid w:val="00EC1A23"/>
    <w:rsid w:val="00EC1BFD"/>
    <w:rsid w:val="00EC1ED7"/>
    <w:rsid w:val="00EC27EE"/>
    <w:rsid w:val="00EC3364"/>
    <w:rsid w:val="00EC33C9"/>
    <w:rsid w:val="00EC34A5"/>
    <w:rsid w:val="00EC35CE"/>
    <w:rsid w:val="00EC3720"/>
    <w:rsid w:val="00EC3CF9"/>
    <w:rsid w:val="00EC3D2A"/>
    <w:rsid w:val="00EC4815"/>
    <w:rsid w:val="00EC49FF"/>
    <w:rsid w:val="00EC4A97"/>
    <w:rsid w:val="00EC4E6D"/>
    <w:rsid w:val="00EC51A3"/>
    <w:rsid w:val="00EC5470"/>
    <w:rsid w:val="00EC59A9"/>
    <w:rsid w:val="00EC5BA9"/>
    <w:rsid w:val="00EC620C"/>
    <w:rsid w:val="00EC6345"/>
    <w:rsid w:val="00EC63A6"/>
    <w:rsid w:val="00EC640E"/>
    <w:rsid w:val="00EC65DB"/>
    <w:rsid w:val="00EC6674"/>
    <w:rsid w:val="00EC66C5"/>
    <w:rsid w:val="00EC69D7"/>
    <w:rsid w:val="00EC6BA2"/>
    <w:rsid w:val="00EC703B"/>
    <w:rsid w:val="00EC713C"/>
    <w:rsid w:val="00EC731F"/>
    <w:rsid w:val="00EC7326"/>
    <w:rsid w:val="00EC7348"/>
    <w:rsid w:val="00EC73AE"/>
    <w:rsid w:val="00EC7D29"/>
    <w:rsid w:val="00EC7F70"/>
    <w:rsid w:val="00ED0094"/>
    <w:rsid w:val="00ED03D5"/>
    <w:rsid w:val="00ED0594"/>
    <w:rsid w:val="00ED0957"/>
    <w:rsid w:val="00ED0970"/>
    <w:rsid w:val="00ED0B28"/>
    <w:rsid w:val="00ED0DE2"/>
    <w:rsid w:val="00ED0F6B"/>
    <w:rsid w:val="00ED12C0"/>
    <w:rsid w:val="00ED12EA"/>
    <w:rsid w:val="00ED13C9"/>
    <w:rsid w:val="00ED1BE6"/>
    <w:rsid w:val="00ED1DBD"/>
    <w:rsid w:val="00ED1E47"/>
    <w:rsid w:val="00ED27A2"/>
    <w:rsid w:val="00ED31D4"/>
    <w:rsid w:val="00ED3667"/>
    <w:rsid w:val="00ED38DA"/>
    <w:rsid w:val="00ED3D0C"/>
    <w:rsid w:val="00ED3EEA"/>
    <w:rsid w:val="00ED3FF2"/>
    <w:rsid w:val="00ED4A22"/>
    <w:rsid w:val="00ED4E36"/>
    <w:rsid w:val="00ED5190"/>
    <w:rsid w:val="00ED51C6"/>
    <w:rsid w:val="00ED557B"/>
    <w:rsid w:val="00ED5601"/>
    <w:rsid w:val="00ED56D4"/>
    <w:rsid w:val="00ED58FE"/>
    <w:rsid w:val="00ED5C21"/>
    <w:rsid w:val="00ED63FA"/>
    <w:rsid w:val="00ED6435"/>
    <w:rsid w:val="00ED6AD6"/>
    <w:rsid w:val="00ED6AED"/>
    <w:rsid w:val="00ED6B50"/>
    <w:rsid w:val="00ED6D9E"/>
    <w:rsid w:val="00ED7646"/>
    <w:rsid w:val="00ED7953"/>
    <w:rsid w:val="00ED7F11"/>
    <w:rsid w:val="00ED7F64"/>
    <w:rsid w:val="00EE0086"/>
    <w:rsid w:val="00EE0583"/>
    <w:rsid w:val="00EE05E6"/>
    <w:rsid w:val="00EE0C00"/>
    <w:rsid w:val="00EE0CE9"/>
    <w:rsid w:val="00EE10B8"/>
    <w:rsid w:val="00EE113A"/>
    <w:rsid w:val="00EE1419"/>
    <w:rsid w:val="00EE1556"/>
    <w:rsid w:val="00EE162D"/>
    <w:rsid w:val="00EE1794"/>
    <w:rsid w:val="00EE2163"/>
    <w:rsid w:val="00EE216F"/>
    <w:rsid w:val="00EE234A"/>
    <w:rsid w:val="00EE2B2E"/>
    <w:rsid w:val="00EE2C40"/>
    <w:rsid w:val="00EE2D5E"/>
    <w:rsid w:val="00EE370A"/>
    <w:rsid w:val="00EE3CA9"/>
    <w:rsid w:val="00EE3EDC"/>
    <w:rsid w:val="00EE4101"/>
    <w:rsid w:val="00EE4394"/>
    <w:rsid w:val="00EE480F"/>
    <w:rsid w:val="00EE4887"/>
    <w:rsid w:val="00EE4B61"/>
    <w:rsid w:val="00EE4C15"/>
    <w:rsid w:val="00EE4D6E"/>
    <w:rsid w:val="00EE4E1B"/>
    <w:rsid w:val="00EE537D"/>
    <w:rsid w:val="00EE539C"/>
    <w:rsid w:val="00EE5F6B"/>
    <w:rsid w:val="00EE5FA4"/>
    <w:rsid w:val="00EE61D9"/>
    <w:rsid w:val="00EE6312"/>
    <w:rsid w:val="00EE64BA"/>
    <w:rsid w:val="00EE66EF"/>
    <w:rsid w:val="00EE6BD6"/>
    <w:rsid w:val="00EE6BD7"/>
    <w:rsid w:val="00EE703A"/>
    <w:rsid w:val="00EE7A27"/>
    <w:rsid w:val="00EE7BBB"/>
    <w:rsid w:val="00EE7C41"/>
    <w:rsid w:val="00EF0FBA"/>
    <w:rsid w:val="00EF1150"/>
    <w:rsid w:val="00EF11FE"/>
    <w:rsid w:val="00EF1366"/>
    <w:rsid w:val="00EF169C"/>
    <w:rsid w:val="00EF1AD4"/>
    <w:rsid w:val="00EF1FFB"/>
    <w:rsid w:val="00EF24DF"/>
    <w:rsid w:val="00EF2B31"/>
    <w:rsid w:val="00EF354D"/>
    <w:rsid w:val="00EF3581"/>
    <w:rsid w:val="00EF3C66"/>
    <w:rsid w:val="00EF3DC7"/>
    <w:rsid w:val="00EF3E6F"/>
    <w:rsid w:val="00EF4076"/>
    <w:rsid w:val="00EF40A5"/>
    <w:rsid w:val="00EF44D0"/>
    <w:rsid w:val="00EF452A"/>
    <w:rsid w:val="00EF4557"/>
    <w:rsid w:val="00EF4664"/>
    <w:rsid w:val="00EF4689"/>
    <w:rsid w:val="00EF46C0"/>
    <w:rsid w:val="00EF47E9"/>
    <w:rsid w:val="00EF4AFC"/>
    <w:rsid w:val="00EF4DD0"/>
    <w:rsid w:val="00EF4E70"/>
    <w:rsid w:val="00EF5123"/>
    <w:rsid w:val="00EF54D8"/>
    <w:rsid w:val="00EF5648"/>
    <w:rsid w:val="00EF5D8E"/>
    <w:rsid w:val="00EF5F2B"/>
    <w:rsid w:val="00EF62F3"/>
    <w:rsid w:val="00EF64BD"/>
    <w:rsid w:val="00EF6A8F"/>
    <w:rsid w:val="00EF6D8B"/>
    <w:rsid w:val="00EF7852"/>
    <w:rsid w:val="00EF7B67"/>
    <w:rsid w:val="00EF7DF7"/>
    <w:rsid w:val="00F00207"/>
    <w:rsid w:val="00F0032F"/>
    <w:rsid w:val="00F00493"/>
    <w:rsid w:val="00F0085B"/>
    <w:rsid w:val="00F00B0E"/>
    <w:rsid w:val="00F00B4A"/>
    <w:rsid w:val="00F00F95"/>
    <w:rsid w:val="00F01617"/>
    <w:rsid w:val="00F018D7"/>
    <w:rsid w:val="00F019E8"/>
    <w:rsid w:val="00F01F94"/>
    <w:rsid w:val="00F022D7"/>
    <w:rsid w:val="00F0231F"/>
    <w:rsid w:val="00F023C4"/>
    <w:rsid w:val="00F02661"/>
    <w:rsid w:val="00F02674"/>
    <w:rsid w:val="00F02767"/>
    <w:rsid w:val="00F02855"/>
    <w:rsid w:val="00F02876"/>
    <w:rsid w:val="00F02BA5"/>
    <w:rsid w:val="00F02BAF"/>
    <w:rsid w:val="00F030E1"/>
    <w:rsid w:val="00F0385C"/>
    <w:rsid w:val="00F038D0"/>
    <w:rsid w:val="00F039F6"/>
    <w:rsid w:val="00F03CC3"/>
    <w:rsid w:val="00F03D57"/>
    <w:rsid w:val="00F03E06"/>
    <w:rsid w:val="00F04260"/>
    <w:rsid w:val="00F04D64"/>
    <w:rsid w:val="00F05100"/>
    <w:rsid w:val="00F0511B"/>
    <w:rsid w:val="00F055B4"/>
    <w:rsid w:val="00F05667"/>
    <w:rsid w:val="00F05690"/>
    <w:rsid w:val="00F0590D"/>
    <w:rsid w:val="00F05B3B"/>
    <w:rsid w:val="00F05D0A"/>
    <w:rsid w:val="00F060DC"/>
    <w:rsid w:val="00F06429"/>
    <w:rsid w:val="00F06681"/>
    <w:rsid w:val="00F06B2D"/>
    <w:rsid w:val="00F07420"/>
    <w:rsid w:val="00F079C3"/>
    <w:rsid w:val="00F07C71"/>
    <w:rsid w:val="00F07F87"/>
    <w:rsid w:val="00F1060A"/>
    <w:rsid w:val="00F10900"/>
    <w:rsid w:val="00F10BC9"/>
    <w:rsid w:val="00F10CC9"/>
    <w:rsid w:val="00F10DDF"/>
    <w:rsid w:val="00F10F69"/>
    <w:rsid w:val="00F110EB"/>
    <w:rsid w:val="00F11324"/>
    <w:rsid w:val="00F11541"/>
    <w:rsid w:val="00F11C8F"/>
    <w:rsid w:val="00F12437"/>
    <w:rsid w:val="00F124C1"/>
    <w:rsid w:val="00F12A02"/>
    <w:rsid w:val="00F12C2D"/>
    <w:rsid w:val="00F12EDD"/>
    <w:rsid w:val="00F131AF"/>
    <w:rsid w:val="00F13883"/>
    <w:rsid w:val="00F13A3F"/>
    <w:rsid w:val="00F13A72"/>
    <w:rsid w:val="00F13E84"/>
    <w:rsid w:val="00F13FEA"/>
    <w:rsid w:val="00F142D0"/>
    <w:rsid w:val="00F149AA"/>
    <w:rsid w:val="00F14C76"/>
    <w:rsid w:val="00F14E2E"/>
    <w:rsid w:val="00F14EA4"/>
    <w:rsid w:val="00F1539E"/>
    <w:rsid w:val="00F15792"/>
    <w:rsid w:val="00F158AF"/>
    <w:rsid w:val="00F15A1B"/>
    <w:rsid w:val="00F16135"/>
    <w:rsid w:val="00F16296"/>
    <w:rsid w:val="00F1655C"/>
    <w:rsid w:val="00F17711"/>
    <w:rsid w:val="00F17B67"/>
    <w:rsid w:val="00F17B9B"/>
    <w:rsid w:val="00F17DAE"/>
    <w:rsid w:val="00F201D2"/>
    <w:rsid w:val="00F203D8"/>
    <w:rsid w:val="00F20475"/>
    <w:rsid w:val="00F206BF"/>
    <w:rsid w:val="00F20BDF"/>
    <w:rsid w:val="00F20C2F"/>
    <w:rsid w:val="00F20C63"/>
    <w:rsid w:val="00F21078"/>
    <w:rsid w:val="00F21471"/>
    <w:rsid w:val="00F218BD"/>
    <w:rsid w:val="00F22635"/>
    <w:rsid w:val="00F23104"/>
    <w:rsid w:val="00F2341A"/>
    <w:rsid w:val="00F23705"/>
    <w:rsid w:val="00F23A73"/>
    <w:rsid w:val="00F23A80"/>
    <w:rsid w:val="00F23A98"/>
    <w:rsid w:val="00F24104"/>
    <w:rsid w:val="00F244BB"/>
    <w:rsid w:val="00F246EB"/>
    <w:rsid w:val="00F249D0"/>
    <w:rsid w:val="00F24D35"/>
    <w:rsid w:val="00F2501E"/>
    <w:rsid w:val="00F251DB"/>
    <w:rsid w:val="00F25598"/>
    <w:rsid w:val="00F25738"/>
    <w:rsid w:val="00F258F6"/>
    <w:rsid w:val="00F25C3B"/>
    <w:rsid w:val="00F25D33"/>
    <w:rsid w:val="00F26231"/>
    <w:rsid w:val="00F263D6"/>
    <w:rsid w:val="00F267F6"/>
    <w:rsid w:val="00F26883"/>
    <w:rsid w:val="00F269A6"/>
    <w:rsid w:val="00F269E1"/>
    <w:rsid w:val="00F26DF9"/>
    <w:rsid w:val="00F270EC"/>
    <w:rsid w:val="00F272E7"/>
    <w:rsid w:val="00F272FF"/>
    <w:rsid w:val="00F274AF"/>
    <w:rsid w:val="00F27905"/>
    <w:rsid w:val="00F27CD5"/>
    <w:rsid w:val="00F27EFE"/>
    <w:rsid w:val="00F30105"/>
    <w:rsid w:val="00F3019E"/>
    <w:rsid w:val="00F30209"/>
    <w:rsid w:val="00F307E0"/>
    <w:rsid w:val="00F30B49"/>
    <w:rsid w:val="00F30B5B"/>
    <w:rsid w:val="00F31530"/>
    <w:rsid w:val="00F316B6"/>
    <w:rsid w:val="00F31CA4"/>
    <w:rsid w:val="00F326D7"/>
    <w:rsid w:val="00F3287B"/>
    <w:rsid w:val="00F32B50"/>
    <w:rsid w:val="00F3331B"/>
    <w:rsid w:val="00F3343C"/>
    <w:rsid w:val="00F3368C"/>
    <w:rsid w:val="00F336A3"/>
    <w:rsid w:val="00F33880"/>
    <w:rsid w:val="00F34227"/>
    <w:rsid w:val="00F34430"/>
    <w:rsid w:val="00F346A5"/>
    <w:rsid w:val="00F346C9"/>
    <w:rsid w:val="00F35148"/>
    <w:rsid w:val="00F35403"/>
    <w:rsid w:val="00F355E0"/>
    <w:rsid w:val="00F35685"/>
    <w:rsid w:val="00F35895"/>
    <w:rsid w:val="00F35D64"/>
    <w:rsid w:val="00F35EAA"/>
    <w:rsid w:val="00F35F5F"/>
    <w:rsid w:val="00F36023"/>
    <w:rsid w:val="00F36725"/>
    <w:rsid w:val="00F36AA7"/>
    <w:rsid w:val="00F370C1"/>
    <w:rsid w:val="00F37745"/>
    <w:rsid w:val="00F37B08"/>
    <w:rsid w:val="00F37DFB"/>
    <w:rsid w:val="00F40152"/>
    <w:rsid w:val="00F4015C"/>
    <w:rsid w:val="00F40DF7"/>
    <w:rsid w:val="00F40E41"/>
    <w:rsid w:val="00F411E4"/>
    <w:rsid w:val="00F4142D"/>
    <w:rsid w:val="00F417F5"/>
    <w:rsid w:val="00F418BA"/>
    <w:rsid w:val="00F41B63"/>
    <w:rsid w:val="00F41EA6"/>
    <w:rsid w:val="00F41F40"/>
    <w:rsid w:val="00F4253A"/>
    <w:rsid w:val="00F425EF"/>
    <w:rsid w:val="00F427A4"/>
    <w:rsid w:val="00F42BB1"/>
    <w:rsid w:val="00F42C5C"/>
    <w:rsid w:val="00F432A4"/>
    <w:rsid w:val="00F4375C"/>
    <w:rsid w:val="00F4379C"/>
    <w:rsid w:val="00F4388C"/>
    <w:rsid w:val="00F43E50"/>
    <w:rsid w:val="00F44265"/>
    <w:rsid w:val="00F44E66"/>
    <w:rsid w:val="00F44EFB"/>
    <w:rsid w:val="00F450AC"/>
    <w:rsid w:val="00F45EE0"/>
    <w:rsid w:val="00F469DC"/>
    <w:rsid w:val="00F46A24"/>
    <w:rsid w:val="00F471FC"/>
    <w:rsid w:val="00F4736D"/>
    <w:rsid w:val="00F473E8"/>
    <w:rsid w:val="00F47443"/>
    <w:rsid w:val="00F474FF"/>
    <w:rsid w:val="00F47781"/>
    <w:rsid w:val="00F477C0"/>
    <w:rsid w:val="00F50251"/>
    <w:rsid w:val="00F504CD"/>
    <w:rsid w:val="00F50ACD"/>
    <w:rsid w:val="00F50DF2"/>
    <w:rsid w:val="00F50E0A"/>
    <w:rsid w:val="00F50E39"/>
    <w:rsid w:val="00F51030"/>
    <w:rsid w:val="00F51098"/>
    <w:rsid w:val="00F51567"/>
    <w:rsid w:val="00F51D16"/>
    <w:rsid w:val="00F51D1F"/>
    <w:rsid w:val="00F51EAE"/>
    <w:rsid w:val="00F527F4"/>
    <w:rsid w:val="00F529D5"/>
    <w:rsid w:val="00F52B84"/>
    <w:rsid w:val="00F52DE8"/>
    <w:rsid w:val="00F52FB8"/>
    <w:rsid w:val="00F53123"/>
    <w:rsid w:val="00F5321B"/>
    <w:rsid w:val="00F53DF2"/>
    <w:rsid w:val="00F54331"/>
    <w:rsid w:val="00F54474"/>
    <w:rsid w:val="00F547E6"/>
    <w:rsid w:val="00F54A17"/>
    <w:rsid w:val="00F54A35"/>
    <w:rsid w:val="00F54C22"/>
    <w:rsid w:val="00F54C7D"/>
    <w:rsid w:val="00F54E03"/>
    <w:rsid w:val="00F55808"/>
    <w:rsid w:val="00F5598C"/>
    <w:rsid w:val="00F55A45"/>
    <w:rsid w:val="00F55BF7"/>
    <w:rsid w:val="00F56189"/>
    <w:rsid w:val="00F564B0"/>
    <w:rsid w:val="00F5678E"/>
    <w:rsid w:val="00F567FE"/>
    <w:rsid w:val="00F568CD"/>
    <w:rsid w:val="00F56A7B"/>
    <w:rsid w:val="00F571F4"/>
    <w:rsid w:val="00F5741E"/>
    <w:rsid w:val="00F574E6"/>
    <w:rsid w:val="00F57580"/>
    <w:rsid w:val="00F57B23"/>
    <w:rsid w:val="00F57E52"/>
    <w:rsid w:val="00F60088"/>
    <w:rsid w:val="00F602A8"/>
    <w:rsid w:val="00F6037C"/>
    <w:rsid w:val="00F6068B"/>
    <w:rsid w:val="00F607FF"/>
    <w:rsid w:val="00F60A89"/>
    <w:rsid w:val="00F60B8D"/>
    <w:rsid w:val="00F60C1C"/>
    <w:rsid w:val="00F6113D"/>
    <w:rsid w:val="00F61922"/>
    <w:rsid w:val="00F620A0"/>
    <w:rsid w:val="00F621F7"/>
    <w:rsid w:val="00F626CF"/>
    <w:rsid w:val="00F62F60"/>
    <w:rsid w:val="00F62FDC"/>
    <w:rsid w:val="00F63014"/>
    <w:rsid w:val="00F631DC"/>
    <w:rsid w:val="00F63256"/>
    <w:rsid w:val="00F632D0"/>
    <w:rsid w:val="00F633E4"/>
    <w:rsid w:val="00F63E00"/>
    <w:rsid w:val="00F63E78"/>
    <w:rsid w:val="00F6421B"/>
    <w:rsid w:val="00F64548"/>
    <w:rsid w:val="00F64734"/>
    <w:rsid w:val="00F6478A"/>
    <w:rsid w:val="00F64894"/>
    <w:rsid w:val="00F64BAC"/>
    <w:rsid w:val="00F64EDA"/>
    <w:rsid w:val="00F6503F"/>
    <w:rsid w:val="00F653F7"/>
    <w:rsid w:val="00F6574A"/>
    <w:rsid w:val="00F65A7D"/>
    <w:rsid w:val="00F65C16"/>
    <w:rsid w:val="00F65D9E"/>
    <w:rsid w:val="00F6632F"/>
    <w:rsid w:val="00F6654F"/>
    <w:rsid w:val="00F6655F"/>
    <w:rsid w:val="00F66614"/>
    <w:rsid w:val="00F6671F"/>
    <w:rsid w:val="00F66BD9"/>
    <w:rsid w:val="00F6711A"/>
    <w:rsid w:val="00F67500"/>
    <w:rsid w:val="00F67742"/>
    <w:rsid w:val="00F67DCE"/>
    <w:rsid w:val="00F706CA"/>
    <w:rsid w:val="00F70A27"/>
    <w:rsid w:val="00F70D08"/>
    <w:rsid w:val="00F71101"/>
    <w:rsid w:val="00F711C9"/>
    <w:rsid w:val="00F71514"/>
    <w:rsid w:val="00F71922"/>
    <w:rsid w:val="00F71AD7"/>
    <w:rsid w:val="00F71CD1"/>
    <w:rsid w:val="00F720EE"/>
    <w:rsid w:val="00F721D4"/>
    <w:rsid w:val="00F723E8"/>
    <w:rsid w:val="00F72599"/>
    <w:rsid w:val="00F7276E"/>
    <w:rsid w:val="00F7295B"/>
    <w:rsid w:val="00F729D8"/>
    <w:rsid w:val="00F72B82"/>
    <w:rsid w:val="00F72D89"/>
    <w:rsid w:val="00F72EBA"/>
    <w:rsid w:val="00F734F0"/>
    <w:rsid w:val="00F73533"/>
    <w:rsid w:val="00F73761"/>
    <w:rsid w:val="00F739C1"/>
    <w:rsid w:val="00F73AF4"/>
    <w:rsid w:val="00F74422"/>
    <w:rsid w:val="00F748CE"/>
    <w:rsid w:val="00F74C1E"/>
    <w:rsid w:val="00F74D1A"/>
    <w:rsid w:val="00F74F85"/>
    <w:rsid w:val="00F7541B"/>
    <w:rsid w:val="00F756CF"/>
    <w:rsid w:val="00F75C00"/>
    <w:rsid w:val="00F75CFC"/>
    <w:rsid w:val="00F75FA1"/>
    <w:rsid w:val="00F75FC3"/>
    <w:rsid w:val="00F762A4"/>
    <w:rsid w:val="00F76FBB"/>
    <w:rsid w:val="00F77073"/>
    <w:rsid w:val="00F7723A"/>
    <w:rsid w:val="00F7767B"/>
    <w:rsid w:val="00F778A5"/>
    <w:rsid w:val="00F7791F"/>
    <w:rsid w:val="00F800E8"/>
    <w:rsid w:val="00F807A8"/>
    <w:rsid w:val="00F80BE9"/>
    <w:rsid w:val="00F80D8C"/>
    <w:rsid w:val="00F80EF6"/>
    <w:rsid w:val="00F8186B"/>
    <w:rsid w:val="00F81916"/>
    <w:rsid w:val="00F81BB4"/>
    <w:rsid w:val="00F82144"/>
    <w:rsid w:val="00F8265E"/>
    <w:rsid w:val="00F82AD3"/>
    <w:rsid w:val="00F82D9B"/>
    <w:rsid w:val="00F82ECF"/>
    <w:rsid w:val="00F82EF9"/>
    <w:rsid w:val="00F82F5A"/>
    <w:rsid w:val="00F834FA"/>
    <w:rsid w:val="00F83697"/>
    <w:rsid w:val="00F837A6"/>
    <w:rsid w:val="00F83AD5"/>
    <w:rsid w:val="00F83D7F"/>
    <w:rsid w:val="00F8425B"/>
    <w:rsid w:val="00F845F7"/>
    <w:rsid w:val="00F84D71"/>
    <w:rsid w:val="00F855EA"/>
    <w:rsid w:val="00F86208"/>
    <w:rsid w:val="00F86222"/>
    <w:rsid w:val="00F8646F"/>
    <w:rsid w:val="00F865A4"/>
    <w:rsid w:val="00F869E2"/>
    <w:rsid w:val="00F86D54"/>
    <w:rsid w:val="00F86E1D"/>
    <w:rsid w:val="00F900CD"/>
    <w:rsid w:val="00F9034B"/>
    <w:rsid w:val="00F9080B"/>
    <w:rsid w:val="00F91086"/>
    <w:rsid w:val="00F9139C"/>
    <w:rsid w:val="00F9176B"/>
    <w:rsid w:val="00F91A50"/>
    <w:rsid w:val="00F91BC4"/>
    <w:rsid w:val="00F91F66"/>
    <w:rsid w:val="00F91FE9"/>
    <w:rsid w:val="00F9244A"/>
    <w:rsid w:val="00F92545"/>
    <w:rsid w:val="00F93759"/>
    <w:rsid w:val="00F93D26"/>
    <w:rsid w:val="00F94010"/>
    <w:rsid w:val="00F941D1"/>
    <w:rsid w:val="00F94689"/>
    <w:rsid w:val="00F94695"/>
    <w:rsid w:val="00F94A4C"/>
    <w:rsid w:val="00F94F23"/>
    <w:rsid w:val="00F95293"/>
    <w:rsid w:val="00F959BC"/>
    <w:rsid w:val="00F95AE7"/>
    <w:rsid w:val="00F95C25"/>
    <w:rsid w:val="00F95C90"/>
    <w:rsid w:val="00F962C8"/>
    <w:rsid w:val="00F964FE"/>
    <w:rsid w:val="00F96A2A"/>
    <w:rsid w:val="00F96B82"/>
    <w:rsid w:val="00F97137"/>
    <w:rsid w:val="00F97415"/>
    <w:rsid w:val="00F97526"/>
    <w:rsid w:val="00F97530"/>
    <w:rsid w:val="00F97D83"/>
    <w:rsid w:val="00F97F08"/>
    <w:rsid w:val="00FA0720"/>
    <w:rsid w:val="00FA1251"/>
    <w:rsid w:val="00FA1472"/>
    <w:rsid w:val="00FA1539"/>
    <w:rsid w:val="00FA1542"/>
    <w:rsid w:val="00FA198D"/>
    <w:rsid w:val="00FA1C4B"/>
    <w:rsid w:val="00FA204F"/>
    <w:rsid w:val="00FA206C"/>
    <w:rsid w:val="00FA24FD"/>
    <w:rsid w:val="00FA2559"/>
    <w:rsid w:val="00FA2620"/>
    <w:rsid w:val="00FA2ACB"/>
    <w:rsid w:val="00FA2B38"/>
    <w:rsid w:val="00FA2D26"/>
    <w:rsid w:val="00FA2EDD"/>
    <w:rsid w:val="00FA327B"/>
    <w:rsid w:val="00FA328F"/>
    <w:rsid w:val="00FA3454"/>
    <w:rsid w:val="00FA4000"/>
    <w:rsid w:val="00FA4287"/>
    <w:rsid w:val="00FA4332"/>
    <w:rsid w:val="00FA43EA"/>
    <w:rsid w:val="00FA44E6"/>
    <w:rsid w:val="00FA4B87"/>
    <w:rsid w:val="00FA5786"/>
    <w:rsid w:val="00FA6276"/>
    <w:rsid w:val="00FA641B"/>
    <w:rsid w:val="00FA64B2"/>
    <w:rsid w:val="00FA64CB"/>
    <w:rsid w:val="00FA6882"/>
    <w:rsid w:val="00FA698A"/>
    <w:rsid w:val="00FA6EF9"/>
    <w:rsid w:val="00FA6F10"/>
    <w:rsid w:val="00FA73BC"/>
    <w:rsid w:val="00FA75D9"/>
    <w:rsid w:val="00FA7832"/>
    <w:rsid w:val="00FA7AC8"/>
    <w:rsid w:val="00FA7D7F"/>
    <w:rsid w:val="00FA7F1D"/>
    <w:rsid w:val="00FB0620"/>
    <w:rsid w:val="00FB0687"/>
    <w:rsid w:val="00FB073B"/>
    <w:rsid w:val="00FB0BF8"/>
    <w:rsid w:val="00FB0D1B"/>
    <w:rsid w:val="00FB11BD"/>
    <w:rsid w:val="00FB1A23"/>
    <w:rsid w:val="00FB1C7F"/>
    <w:rsid w:val="00FB1D39"/>
    <w:rsid w:val="00FB1FF8"/>
    <w:rsid w:val="00FB238D"/>
    <w:rsid w:val="00FB351A"/>
    <w:rsid w:val="00FB372D"/>
    <w:rsid w:val="00FB3DC0"/>
    <w:rsid w:val="00FB4077"/>
    <w:rsid w:val="00FB423A"/>
    <w:rsid w:val="00FB4311"/>
    <w:rsid w:val="00FB44FE"/>
    <w:rsid w:val="00FB4D69"/>
    <w:rsid w:val="00FB52DF"/>
    <w:rsid w:val="00FB624F"/>
    <w:rsid w:val="00FB66FA"/>
    <w:rsid w:val="00FB6939"/>
    <w:rsid w:val="00FB69F5"/>
    <w:rsid w:val="00FB6A5B"/>
    <w:rsid w:val="00FB6CA6"/>
    <w:rsid w:val="00FB7576"/>
    <w:rsid w:val="00FB757C"/>
    <w:rsid w:val="00FB7610"/>
    <w:rsid w:val="00FB7758"/>
    <w:rsid w:val="00FB7814"/>
    <w:rsid w:val="00FB78DE"/>
    <w:rsid w:val="00FB7D0C"/>
    <w:rsid w:val="00FC0038"/>
    <w:rsid w:val="00FC037E"/>
    <w:rsid w:val="00FC07A5"/>
    <w:rsid w:val="00FC08F0"/>
    <w:rsid w:val="00FC0A2D"/>
    <w:rsid w:val="00FC0DAF"/>
    <w:rsid w:val="00FC1058"/>
    <w:rsid w:val="00FC160B"/>
    <w:rsid w:val="00FC1D37"/>
    <w:rsid w:val="00FC1DF5"/>
    <w:rsid w:val="00FC2259"/>
    <w:rsid w:val="00FC246D"/>
    <w:rsid w:val="00FC25A6"/>
    <w:rsid w:val="00FC2627"/>
    <w:rsid w:val="00FC29CF"/>
    <w:rsid w:val="00FC2AEC"/>
    <w:rsid w:val="00FC2E46"/>
    <w:rsid w:val="00FC2F14"/>
    <w:rsid w:val="00FC2FA4"/>
    <w:rsid w:val="00FC341B"/>
    <w:rsid w:val="00FC37C0"/>
    <w:rsid w:val="00FC3807"/>
    <w:rsid w:val="00FC3995"/>
    <w:rsid w:val="00FC3BB1"/>
    <w:rsid w:val="00FC3BD6"/>
    <w:rsid w:val="00FC440C"/>
    <w:rsid w:val="00FC4781"/>
    <w:rsid w:val="00FC4D6D"/>
    <w:rsid w:val="00FC5E34"/>
    <w:rsid w:val="00FC623B"/>
    <w:rsid w:val="00FC6242"/>
    <w:rsid w:val="00FC66C6"/>
    <w:rsid w:val="00FC67B2"/>
    <w:rsid w:val="00FC6829"/>
    <w:rsid w:val="00FC6A40"/>
    <w:rsid w:val="00FC6A84"/>
    <w:rsid w:val="00FC6D71"/>
    <w:rsid w:val="00FC6E55"/>
    <w:rsid w:val="00FC7215"/>
    <w:rsid w:val="00FC730D"/>
    <w:rsid w:val="00FC7703"/>
    <w:rsid w:val="00FC79DE"/>
    <w:rsid w:val="00FC7B85"/>
    <w:rsid w:val="00FD081C"/>
    <w:rsid w:val="00FD08B4"/>
    <w:rsid w:val="00FD0C58"/>
    <w:rsid w:val="00FD10F3"/>
    <w:rsid w:val="00FD13B0"/>
    <w:rsid w:val="00FD1625"/>
    <w:rsid w:val="00FD180C"/>
    <w:rsid w:val="00FD1D5A"/>
    <w:rsid w:val="00FD1E49"/>
    <w:rsid w:val="00FD2416"/>
    <w:rsid w:val="00FD250A"/>
    <w:rsid w:val="00FD2935"/>
    <w:rsid w:val="00FD2BD2"/>
    <w:rsid w:val="00FD3455"/>
    <w:rsid w:val="00FD3751"/>
    <w:rsid w:val="00FD3899"/>
    <w:rsid w:val="00FD38D0"/>
    <w:rsid w:val="00FD39CB"/>
    <w:rsid w:val="00FD3DB8"/>
    <w:rsid w:val="00FD4396"/>
    <w:rsid w:val="00FD45C3"/>
    <w:rsid w:val="00FD50EB"/>
    <w:rsid w:val="00FD5EA2"/>
    <w:rsid w:val="00FD6441"/>
    <w:rsid w:val="00FD6605"/>
    <w:rsid w:val="00FD6897"/>
    <w:rsid w:val="00FD6BDD"/>
    <w:rsid w:val="00FD6F5C"/>
    <w:rsid w:val="00FD6FBA"/>
    <w:rsid w:val="00FD73B9"/>
    <w:rsid w:val="00FD77A8"/>
    <w:rsid w:val="00FD7A4E"/>
    <w:rsid w:val="00FE02CE"/>
    <w:rsid w:val="00FE053F"/>
    <w:rsid w:val="00FE0561"/>
    <w:rsid w:val="00FE0D8B"/>
    <w:rsid w:val="00FE0EE5"/>
    <w:rsid w:val="00FE1571"/>
    <w:rsid w:val="00FE16FC"/>
    <w:rsid w:val="00FE1740"/>
    <w:rsid w:val="00FE19A3"/>
    <w:rsid w:val="00FE1CBF"/>
    <w:rsid w:val="00FE21E4"/>
    <w:rsid w:val="00FE22AC"/>
    <w:rsid w:val="00FE2312"/>
    <w:rsid w:val="00FE2B17"/>
    <w:rsid w:val="00FE2BC4"/>
    <w:rsid w:val="00FE31D1"/>
    <w:rsid w:val="00FE3476"/>
    <w:rsid w:val="00FE391D"/>
    <w:rsid w:val="00FE3B3B"/>
    <w:rsid w:val="00FE3D0F"/>
    <w:rsid w:val="00FE441D"/>
    <w:rsid w:val="00FE4452"/>
    <w:rsid w:val="00FE4868"/>
    <w:rsid w:val="00FE497A"/>
    <w:rsid w:val="00FE4CDE"/>
    <w:rsid w:val="00FE4ED3"/>
    <w:rsid w:val="00FE5590"/>
    <w:rsid w:val="00FE56C2"/>
    <w:rsid w:val="00FE576B"/>
    <w:rsid w:val="00FE5A56"/>
    <w:rsid w:val="00FE5B02"/>
    <w:rsid w:val="00FE5D69"/>
    <w:rsid w:val="00FE5D77"/>
    <w:rsid w:val="00FE5E34"/>
    <w:rsid w:val="00FE5F07"/>
    <w:rsid w:val="00FE5F41"/>
    <w:rsid w:val="00FE61AF"/>
    <w:rsid w:val="00FE62ED"/>
    <w:rsid w:val="00FE65E0"/>
    <w:rsid w:val="00FE6E75"/>
    <w:rsid w:val="00FE6FAA"/>
    <w:rsid w:val="00FE7070"/>
    <w:rsid w:val="00FE72E0"/>
    <w:rsid w:val="00FE7446"/>
    <w:rsid w:val="00FE7562"/>
    <w:rsid w:val="00FE773E"/>
    <w:rsid w:val="00FE78B5"/>
    <w:rsid w:val="00FF0552"/>
    <w:rsid w:val="00FF0BFA"/>
    <w:rsid w:val="00FF0DE3"/>
    <w:rsid w:val="00FF0E7D"/>
    <w:rsid w:val="00FF1504"/>
    <w:rsid w:val="00FF1D1B"/>
    <w:rsid w:val="00FF2032"/>
    <w:rsid w:val="00FF20B3"/>
    <w:rsid w:val="00FF21D4"/>
    <w:rsid w:val="00FF265F"/>
    <w:rsid w:val="00FF2A01"/>
    <w:rsid w:val="00FF2A42"/>
    <w:rsid w:val="00FF2FAE"/>
    <w:rsid w:val="00FF3E7E"/>
    <w:rsid w:val="00FF423F"/>
    <w:rsid w:val="00FF43AE"/>
    <w:rsid w:val="00FF446A"/>
    <w:rsid w:val="00FF4A20"/>
    <w:rsid w:val="00FF4AF1"/>
    <w:rsid w:val="00FF4F0B"/>
    <w:rsid w:val="00FF514F"/>
    <w:rsid w:val="00FF5615"/>
    <w:rsid w:val="00FF5B6C"/>
    <w:rsid w:val="00FF5EEB"/>
    <w:rsid w:val="00FF6011"/>
    <w:rsid w:val="00FF63EA"/>
    <w:rsid w:val="00FF6663"/>
    <w:rsid w:val="00FF6898"/>
    <w:rsid w:val="00FF6D6E"/>
    <w:rsid w:val="00FF6DAA"/>
    <w:rsid w:val="00FF6E12"/>
    <w:rsid w:val="00FF6E5E"/>
    <w:rsid w:val="00FF70E6"/>
    <w:rsid w:val="00FF786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wrap-style:none" fill="f" fillcolor="white" stroke="f">
      <v:fill color="white" on="f"/>
      <v:stroke on="f"/>
      <v:textbox style="mso-fit-shape-to-text:t" inset="5.85pt,.7pt,5.85pt,.7pt"/>
    </o:shapedefaults>
    <o:shapelayout v:ext="edit">
      <o:idmap v:ext="edit" data="2"/>
    </o:shapelayout>
  </w:shapeDefaults>
  <w:decimalSymbol w:val="."/>
  <w:listSeparator w:val=","/>
  <w14:docId w14:val="4E50A5E9"/>
  <w15:docId w15:val="{18A3D16B-4639-44B4-8BA1-CAB0ADD3E7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27F6A"/>
    <w:pPr>
      <w:spacing w:after="180"/>
    </w:pPr>
    <w:rPr>
      <w:lang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link w:val="20"/>
    <w:qFormat/>
    <w:rsid w:val="009B3FC6"/>
    <w:pPr>
      <w:numPr>
        <w:ilvl w:val="1"/>
      </w:numPr>
      <w:pBdr>
        <w:top w:val="none" w:sz="0" w:space="0" w:color="auto"/>
      </w:pBdr>
      <w:tabs>
        <w:tab w:val="clear" w:pos="3828"/>
        <w:tab w:val="num" w:pos="426"/>
        <w:tab w:val="num" w:pos="1135"/>
      </w:tabs>
      <w:spacing w:before="180"/>
      <w:ind w:left="0"/>
      <w:outlineLvl w:val="1"/>
    </w:pPr>
    <w:rPr>
      <w:sz w:val="32"/>
      <w:lang w:eastAsia="ja-JP"/>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tabs>
        <w:tab w:val="clear" w:pos="3556"/>
        <w:tab w:val="num" w:pos="720"/>
        <w:tab w:val="num" w:pos="1135"/>
      </w:tabs>
      <w:spacing w:before="120"/>
      <w:ind w:left="7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link w:val="60"/>
    <w:qFormat/>
    <w:pPr>
      <w:numPr>
        <w:ilvl w:val="5"/>
      </w:numPr>
      <w:outlineLvl w:val="5"/>
    </w:pPr>
  </w:style>
  <w:style w:type="paragraph" w:styleId="7">
    <w:name w:val="heading 7"/>
    <w:basedOn w:val="H6"/>
    <w:next w:val="a"/>
    <w:qFormat/>
    <w:pPr>
      <w:numPr>
        <w:ilvl w:val="6"/>
      </w:numPr>
      <w:tabs>
        <w:tab w:val="num" w:pos="1135"/>
      </w:tabs>
      <w:outlineLvl w:val="6"/>
    </w:pPr>
  </w:style>
  <w:style w:type="paragraph" w:styleId="8">
    <w:name w:val="heading 8"/>
    <w:basedOn w:val="H6"/>
    <w:next w:val="a"/>
    <w:qFormat/>
    <w:pPr>
      <w:numPr>
        <w:ilvl w:val="7"/>
      </w:numPr>
      <w:tabs>
        <w:tab w:val="num" w:pos="1135"/>
      </w:tabs>
      <w:outlineLvl w:val="7"/>
    </w:pPr>
  </w:style>
  <w:style w:type="paragraph" w:styleId="9">
    <w:name w:val="heading 9"/>
    <w:basedOn w:val="H6"/>
    <w:next w:val="a"/>
    <w:qFormat/>
    <w:pPr>
      <w:numPr>
        <w:ilvl w:val="8"/>
      </w:numPr>
      <w:tabs>
        <w:tab w:val="num" w:pos="1135"/>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1"/>
    <w:semiHidden/>
    <w:pPr>
      <w:keepNext w:val="0"/>
      <w:spacing w:before="0"/>
      <w:ind w:left="851" w:hanging="851"/>
    </w:pPr>
    <w:rPr>
      <w:sz w:val="20"/>
    </w:rPr>
  </w:style>
  <w:style w:type="paragraph" w:styleId="12">
    <w:name w:val="index 1"/>
    <w:basedOn w:val="a"/>
    <w:semiHidden/>
    <w:pPr>
      <w:keepLines/>
      <w:spacing w:after="0"/>
    </w:pPr>
  </w:style>
  <w:style w:type="paragraph" w:styleId="22">
    <w:name w:val="index 2"/>
    <w:basedOn w:val="12"/>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styleId="23">
    <w:name w:val="List Number 2"/>
    <w:basedOn w:val="a8"/>
    <w:pPr>
      <w:ind w:left="851"/>
    </w:pPr>
  </w:style>
  <w:style w:type="paragraph" w:styleId="a8">
    <w:name w:val="List Number"/>
    <w:basedOn w:val="a9"/>
  </w:style>
  <w:style w:type="paragraph" w:styleId="a9">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Char1"/>
    <w:qFormat/>
  </w:style>
  <w:style w:type="paragraph" w:styleId="61">
    <w:name w:val="toc 6"/>
    <w:basedOn w:val="50"/>
    <w:next w:val="a"/>
    <w:semiHidden/>
    <w:pPr>
      <w:ind w:left="1985" w:hanging="1985"/>
    </w:pPr>
  </w:style>
  <w:style w:type="paragraph" w:styleId="70">
    <w:name w:val="toc 7"/>
    <w:basedOn w:val="61"/>
    <w:next w:val="a"/>
    <w:semiHidden/>
    <w:pPr>
      <w:ind w:left="2268" w:hanging="2268"/>
    </w:pPr>
  </w:style>
  <w:style w:type="paragraph" w:styleId="24">
    <w:name w:val="List Bullet 2"/>
    <w:basedOn w:val="aa"/>
    <w:pPr>
      <w:ind w:left="851"/>
    </w:pPr>
  </w:style>
  <w:style w:type="paragraph" w:styleId="aa">
    <w:name w:val="List Bullet"/>
    <w:basedOn w:val="a9"/>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9"/>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link w:val="B2Char"/>
    <w:qFormat/>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style>
  <w:style w:type="paragraph" w:customStyle="1" w:styleId="CouvRecTitle">
    <w:name w:val="Couv Rec Title"/>
    <w:basedOn w:val="a"/>
    <w:pPr>
      <w:keepNext/>
      <w:keepLines/>
      <w:spacing w:before="240"/>
      <w:ind w:left="1418"/>
    </w:pPr>
    <w:rPr>
      <w:rFonts w:ascii="Arial" w:hAnsi="Arial"/>
      <w:b/>
      <w:sz w:val="36"/>
    </w:rPr>
  </w:style>
  <w:style w:type="paragraph" w:styleId="ac">
    <w:name w:val="caption"/>
    <w:aliases w:val="cap,cap Char,Caption Char,Caption Char1 Char,cap Char Char1,Caption Char Char1 Char,cap Char2,cap Char Char Char Char Char Char Char,cap1,cap2,cap3,cap4,cap5,cap6,cap7,cap8,cap9,cap10,cap11,cap21,cap31,cap41,cap51,cap61,cap71,cap81,cap91,cap101"/>
    <w:basedOn w:val="a"/>
    <w:next w:val="a"/>
    <w:link w:val="ad"/>
    <w:qFormat/>
    <w:pPr>
      <w:spacing w:before="120" w:after="120"/>
    </w:pPr>
    <w:rPr>
      <w:b/>
    </w:rPr>
  </w:style>
  <w:style w:type="character" w:styleId="ae">
    <w:name w:val="Hyperlink"/>
    <w:uiPriority w:val="99"/>
    <w:rPr>
      <w:color w:val="0000FF"/>
      <w:u w:val="single"/>
    </w:rPr>
  </w:style>
  <w:style w:type="character" w:styleId="af">
    <w:name w:val="FollowedHyperlink"/>
    <w:rPr>
      <w:color w:val="800080"/>
      <w:u w:val="single"/>
    </w:rPr>
  </w:style>
  <w:style w:type="paragraph" w:styleId="af0">
    <w:name w:val="Document Map"/>
    <w:basedOn w:val="a"/>
    <w:semiHidden/>
    <w:pPr>
      <w:shd w:val="clear" w:color="auto" w:fill="000080"/>
    </w:pPr>
    <w:rPr>
      <w:rFonts w:ascii="Tahoma" w:hAnsi="Tahoma"/>
    </w:rPr>
  </w:style>
  <w:style w:type="paragraph" w:styleId="af1">
    <w:name w:val="Plain Text"/>
    <w:basedOn w:val="a"/>
    <w:link w:val="af2"/>
    <w:uiPriority w:val="99"/>
    <w:rPr>
      <w:rFonts w:ascii="Courier New" w:hAnsi="Courier New"/>
      <w:lang w:val="nb-NO"/>
    </w:rPr>
  </w:style>
  <w:style w:type="paragraph" w:customStyle="1" w:styleId="TAJ">
    <w:name w:val="TAJ"/>
    <w:basedOn w:val="TH"/>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style>
  <w:style w:type="character" w:styleId="af5">
    <w:name w:val="annotation reference"/>
    <w:rPr>
      <w:sz w:val="16"/>
    </w:rPr>
  </w:style>
  <w:style w:type="paragraph" w:customStyle="1" w:styleId="Guidance">
    <w:name w:val="Guidance"/>
    <w:basedOn w:val="a"/>
    <w:rPr>
      <w:i/>
      <w:color w:val="0000FF"/>
    </w:rPr>
  </w:style>
  <w:style w:type="paragraph" w:styleId="af6">
    <w:name w:val="annotation text"/>
    <w:basedOn w:val="a"/>
    <w:link w:val="af7"/>
    <w:uiPriority w:val="99"/>
  </w:style>
  <w:style w:type="character" w:styleId="af8">
    <w:name w:val="page number"/>
    <w:basedOn w:val="a0"/>
  </w:style>
  <w:style w:type="paragraph" w:styleId="af9">
    <w:name w:val="Body Text Indent"/>
    <w:basedOn w:val="a"/>
    <w:pPr>
      <w:tabs>
        <w:tab w:val="left" w:pos="2127"/>
      </w:tabs>
      <w:spacing w:before="120"/>
      <w:ind w:left="2127" w:hanging="2127"/>
    </w:pPr>
    <w:rPr>
      <w:rFonts w:ascii="Arial" w:hAnsi="Arial"/>
      <w:b/>
      <w:sz w:val="24"/>
    </w:rPr>
  </w:style>
  <w:style w:type="paragraph" w:customStyle="1" w:styleId="13">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6">
    <w:name w:val="Body Text 2"/>
    <w:basedOn w:val="a"/>
    <w:rPr>
      <w:color w:val="FF0000"/>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4">
    <w:name w:val="コメント内容1"/>
    <w:basedOn w:val="af6"/>
    <w:next w:val="af6"/>
    <w:semiHidden/>
    <w:rPr>
      <w:b/>
      <w:bCs/>
    </w:rPr>
  </w:style>
  <w:style w:type="paragraph" w:styleId="afa">
    <w:name w:val="Balloon Text"/>
    <w:basedOn w:val="a"/>
    <w:semiHidden/>
    <w:rPr>
      <w:rFonts w:ascii="Arial" w:eastAsia="ＭＳ ゴシック" w:hAnsi="Arial"/>
      <w:sz w:val="16"/>
      <w:szCs w:val="16"/>
    </w:rPr>
  </w:style>
  <w:style w:type="paragraph" w:styleId="afb">
    <w:name w:val="annotation subject"/>
    <w:basedOn w:val="af6"/>
    <w:next w:val="af6"/>
    <w:semiHidden/>
    <w:rPr>
      <w:b/>
      <w:bCs/>
    </w:rPr>
  </w:style>
  <w:style w:type="paragraph" w:styleId="27">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c">
    <w:name w:val="Table Grid"/>
    <w:aliases w:val="TableGrid"/>
    <w:basedOn w:val="a1"/>
    <w:uiPriority w:val="5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3"/>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d">
    <w:name w:val="Body Text First Indent"/>
    <w:basedOn w:val="af3"/>
    <w:pPr>
      <w:ind w:firstLineChars="100" w:firstLine="210"/>
    </w:pPr>
  </w:style>
  <w:style w:type="paragraph" w:styleId="28">
    <w:name w:val="Body Text First Indent 2"/>
    <w:basedOn w:val="af9"/>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qFormat/>
    <w:rsid w:val="001D5F89"/>
    <w:rPr>
      <w:lang w:val="en-GB" w:eastAsia="en-US"/>
    </w:rPr>
  </w:style>
  <w:style w:type="character" w:customStyle="1" w:styleId="THChar">
    <w:name w:val="TH Char"/>
    <w:link w:val="TH"/>
    <w:qFormat/>
    <w:rsid w:val="001D5F89"/>
    <w:rPr>
      <w:rFonts w:ascii="Arial" w:hAnsi="Arial"/>
      <w:b/>
      <w:lang w:val="en-GB" w:eastAsia="en-US"/>
    </w:rPr>
  </w:style>
  <w:style w:type="character" w:customStyle="1" w:styleId="af4">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3"/>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a"/>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7">
    <w:name w:val="コメント文字列 (文字)"/>
    <w:link w:val="af6"/>
    <w:uiPriority w:val="99"/>
    <w:rsid w:val="001D5F89"/>
    <w:rPr>
      <w:lang w:val="en-GB" w:eastAsia="en-US"/>
    </w:rPr>
  </w:style>
  <w:style w:type="paragraph" w:styleId="afe">
    <w:name w:val="Date"/>
    <w:basedOn w:val="a"/>
    <w:next w:val="a"/>
    <w:link w:val="aff"/>
    <w:rsid w:val="001D5F89"/>
    <w:pPr>
      <w:overflowPunct w:val="0"/>
      <w:autoSpaceDE w:val="0"/>
      <w:autoSpaceDN w:val="0"/>
      <w:adjustRightInd w:val="0"/>
      <w:spacing w:after="0"/>
      <w:jc w:val="both"/>
      <w:textAlignment w:val="baseline"/>
    </w:pPr>
    <w:rPr>
      <w:rFonts w:eastAsia="Times New Roman"/>
    </w:rPr>
  </w:style>
  <w:style w:type="character" w:customStyle="1" w:styleId="aff">
    <w:name w:val="日付 (文字)"/>
    <w:link w:val="afe"/>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0">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qFormat/>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eastAsia="ja-JP"/>
    </w:rPr>
  </w:style>
  <w:style w:type="paragraph" w:customStyle="1" w:styleId="15">
    <w:name w:val="リスト段落1"/>
    <w:basedOn w:val="a"/>
    <w:qFormat/>
    <w:rsid w:val="006D6369"/>
    <w:pPr>
      <w:spacing w:after="200" w:line="276" w:lineRule="auto"/>
      <w:ind w:firstLineChars="200" w:firstLine="420"/>
    </w:pPr>
    <w:rPr>
      <w:rFonts w:ascii="Calibri" w:eastAsia="Calibri" w:hAnsi="Calibri"/>
      <w:sz w:val="22"/>
      <w:szCs w:val="22"/>
    </w:rPr>
  </w:style>
  <w:style w:type="paragraph" w:customStyle="1" w:styleId="16">
    <w:name w:val="変更箇所1"/>
    <w:hidden/>
    <w:uiPriority w:val="99"/>
    <w:semiHidden/>
    <w:rsid w:val="000D3D6D"/>
    <w:rPr>
      <w:lang w:val="en-GB" w:eastAsia="en-US"/>
    </w:rPr>
  </w:style>
  <w:style w:type="paragraph" w:customStyle="1" w:styleId="29">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eastAsia="zh-CN"/>
    </w:rPr>
  </w:style>
  <w:style w:type="paragraph" w:styleId="aff1">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2">
    <w:name w:val="Title"/>
    <w:basedOn w:val="a"/>
    <w:link w:val="aff3"/>
    <w:qFormat/>
    <w:rsid w:val="002536ED"/>
    <w:pPr>
      <w:widowControl w:val="0"/>
      <w:spacing w:after="0"/>
      <w:jc w:val="center"/>
    </w:pPr>
    <w:rPr>
      <w:rFonts w:ascii="Century" w:hAnsi="Century"/>
      <w:b/>
      <w:kern w:val="2"/>
      <w:sz w:val="28"/>
      <w:lang w:val="x-none" w:eastAsia="ja-JP"/>
    </w:rPr>
  </w:style>
  <w:style w:type="character" w:customStyle="1" w:styleId="aff3">
    <w:name w:val="表題 (文字)"/>
    <w:link w:val="aff2"/>
    <w:rsid w:val="002536ED"/>
    <w:rPr>
      <w:rFonts w:ascii="Century" w:hAnsi="Century"/>
      <w:b/>
      <w:kern w:val="2"/>
      <w:sz w:val="28"/>
      <w:lang w:eastAsia="ja-JP"/>
    </w:rPr>
  </w:style>
  <w:style w:type="character" w:customStyle="1" w:styleId="TALChar">
    <w:name w:val="TAL Char"/>
    <w:link w:val="TAL"/>
    <w:qFormat/>
    <w:locked/>
    <w:rsid w:val="001F2420"/>
    <w:rPr>
      <w:rFonts w:ascii="Arial" w:hAnsi="Arial"/>
      <w:sz w:val="18"/>
      <w:lang w:val="en-GB" w:eastAsia="en-US"/>
    </w:rPr>
  </w:style>
  <w:style w:type="paragraph" w:styleId="aff4">
    <w:name w:val="List Paragraph"/>
    <w:aliases w:val="- Bullets,목록 단락,?? ??,?????,????,Lista1,列出段落1,中等深浅网格 1 - 着色 21,列出段落,列表段落,¥¡¡¡¡ì¬º¥¹¥È¶ÎÂä,ÁÐ³ö¶ÎÂä,¥ê¥¹¥È¶ÎÂä,列表段落1,—ño’i—Ž,1st level - Bullet List Paragraph,Lettre d'introduction,Paragrafo elenco,Normal bullet 2,Bullet list,列表段落11,목록단락,Task Body"/>
    <w:basedOn w:val="a"/>
    <w:link w:val="aff5"/>
    <w:uiPriority w:val="34"/>
    <w:qFormat/>
    <w:rsid w:val="00A1241B"/>
    <w:pPr>
      <w:ind w:leftChars="400" w:left="840"/>
    </w:pPr>
  </w:style>
  <w:style w:type="character" w:customStyle="1" w:styleId="PLChar">
    <w:name w:val="PL Char"/>
    <w:basedOn w:val="a0"/>
    <w:link w:val="PL"/>
    <w:locked/>
    <w:rsid w:val="00F018D7"/>
    <w:rPr>
      <w:rFonts w:ascii="Courier New" w:hAnsi="Courier New"/>
      <w:noProof/>
      <w:sz w:val="16"/>
      <w:lang w:val="en-GB" w:eastAsia="en-US"/>
    </w:r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basedOn w:val="a0"/>
    <w:link w:val="a3"/>
    <w:locked/>
    <w:rsid w:val="003735B3"/>
    <w:rPr>
      <w:rFonts w:ascii="Arial" w:hAnsi="Arial"/>
      <w:b/>
      <w:noProof/>
      <w:sz w:val="18"/>
      <w:lang w:val="en-GB" w:eastAsia="en-US"/>
    </w:rPr>
  </w:style>
  <w:style w:type="character" w:customStyle="1" w:styleId="af2">
    <w:name w:val="書式なし (文字)"/>
    <w:basedOn w:val="a0"/>
    <w:link w:val="af1"/>
    <w:uiPriority w:val="99"/>
    <w:rsid w:val="007E4B0F"/>
    <w:rPr>
      <w:rFonts w:ascii="Courier New" w:hAnsi="Courier New"/>
      <w:lang w:val="nb-NO" w:eastAsia="en-US"/>
    </w:rPr>
  </w:style>
  <w:style w:type="character" w:customStyle="1" w:styleId="10">
    <w:name w:val="見出し 1 (文字)"/>
    <w:aliases w:val="H1 (文字),h1 (文字),app heading 1 (文字),l1 (文字),Memo Heading 1 (文字),h11 (文字),h12 (文字),h13 (文字),h14 (文字),h15 (文字),h16 (文字),Heading 1_a (文字),heading 1 (文字),h17 (文字),h111 (文字),h121 (文字),h131 (文字),h141 (文字),h151 (文字),h161 (文字),h18 (文字),h112 (文字)"/>
    <w:basedOn w:val="a0"/>
    <w:link w:val="1"/>
    <w:rsid w:val="00067D32"/>
    <w:rPr>
      <w:rFonts w:ascii="Arial" w:hAnsi="Arial"/>
      <w:sz w:val="36"/>
      <w:lang w:val="en-GB" w:eastAsia="en-US"/>
    </w:rPr>
  </w:style>
  <w:style w:type="paragraph" w:customStyle="1" w:styleId="Doc-text2">
    <w:name w:val="Doc-text2"/>
    <w:basedOn w:val="a"/>
    <w:link w:val="Doc-text2Char"/>
    <w:qFormat/>
    <w:rsid w:val="00785B4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85B41"/>
    <w:rPr>
      <w:rFonts w:ascii="Arial" w:hAnsi="Arial"/>
      <w:szCs w:val="24"/>
      <w:lang w:val="en-GB" w:eastAsia="en-GB"/>
    </w:rPr>
  </w:style>
  <w:style w:type="paragraph" w:customStyle="1" w:styleId="Comments">
    <w:name w:val="Comments"/>
    <w:basedOn w:val="a"/>
    <w:link w:val="CommentsChar"/>
    <w:qFormat/>
    <w:rsid w:val="001F35D5"/>
    <w:pPr>
      <w:spacing w:before="40" w:after="0"/>
    </w:pPr>
    <w:rPr>
      <w:rFonts w:ascii="Arial" w:hAnsi="Arial"/>
      <w:i/>
      <w:noProof/>
      <w:sz w:val="18"/>
      <w:szCs w:val="24"/>
      <w:lang w:eastAsia="en-GB"/>
    </w:rPr>
  </w:style>
  <w:style w:type="character" w:customStyle="1" w:styleId="CommentsChar">
    <w:name w:val="Comments Char"/>
    <w:link w:val="Comments"/>
    <w:rsid w:val="001F35D5"/>
    <w:rPr>
      <w:rFonts w:ascii="Arial" w:hAnsi="Arial"/>
      <w:i/>
      <w:noProof/>
      <w:sz w:val="18"/>
      <w:szCs w:val="24"/>
      <w:lang w:val="en-GB" w:eastAsia="en-GB"/>
    </w:rPr>
  </w:style>
  <w:style w:type="character" w:customStyle="1" w:styleId="aff5">
    <w:name w:val="リスト段落 (文字)"/>
    <w:aliases w:val="- Bullets (文字),목록 단락 (文字),?? ?? (文字),????? (文字),???? (文字),Lista1 (文字),列出段落1 (文字),中等深浅网格 1 - 着色 21 (文字),列出段落 (文字),列表段落 (文字),¥¡¡¡¡ì¬º¥¹¥È¶ÎÂä (文字),ÁÐ³ö¶ÎÂä (文字),¥ê¥¹¥È¶ÎÂä (文字),列表段落1 (文字),—ño’i—Ž (文字),1st level - Bullet List Paragraph (文字)"/>
    <w:link w:val="aff4"/>
    <w:uiPriority w:val="34"/>
    <w:qFormat/>
    <w:rsid w:val="005A55B0"/>
    <w:rPr>
      <w:lang w:val="en-GB" w:eastAsia="en-US"/>
    </w:rPr>
  </w:style>
  <w:style w:type="character" w:customStyle="1" w:styleId="B2Char">
    <w:name w:val="B2 Char"/>
    <w:link w:val="B2"/>
    <w:rsid w:val="00BB011C"/>
    <w:rPr>
      <w:lang w:val="en-GB" w:eastAsia="en-US"/>
    </w:rPr>
  </w:style>
  <w:style w:type="character" w:customStyle="1" w:styleId="TACChar">
    <w:name w:val="TAC Char"/>
    <w:link w:val="TAC"/>
    <w:qFormat/>
    <w:locked/>
    <w:rsid w:val="004230C2"/>
    <w:rPr>
      <w:rFonts w:ascii="Arial" w:hAnsi="Arial"/>
      <w:sz w:val="18"/>
      <w:lang w:val="en-GB" w:eastAsia="en-US"/>
    </w:rPr>
  </w:style>
  <w:style w:type="character" w:customStyle="1" w:styleId="TAHCar">
    <w:name w:val="TAH Car"/>
    <w:link w:val="TAH"/>
    <w:qFormat/>
    <w:locked/>
    <w:rsid w:val="004230C2"/>
    <w:rPr>
      <w:rFonts w:ascii="Arial" w:hAnsi="Arial"/>
      <w:b/>
      <w:sz w:val="18"/>
      <w:lang w:val="en-GB" w:eastAsia="en-US"/>
    </w:rPr>
  </w:style>
  <w:style w:type="character" w:customStyle="1" w:styleId="shorttext">
    <w:name w:val="short_text"/>
    <w:basedOn w:val="a0"/>
    <w:rsid w:val="00431796"/>
  </w:style>
  <w:style w:type="character" w:customStyle="1" w:styleId="tlid-translation">
    <w:name w:val="tlid-translation"/>
    <w:basedOn w:val="a0"/>
    <w:rsid w:val="00D24D98"/>
  </w:style>
  <w:style w:type="character" w:customStyle="1" w:styleId="B1Char">
    <w:name w:val="B1 Char"/>
    <w:locked/>
    <w:rsid w:val="006328CC"/>
    <w:rPr>
      <w:lang w:val="en-GB" w:eastAsia="x-none"/>
    </w:rPr>
  </w:style>
  <w:style w:type="character" w:customStyle="1" w:styleId="20">
    <w:name w:val="見出し 2 (文字)"/>
    <w:aliases w:val="Head2A (文字),2 (文字),H2 (文字),UNDERRUBRIK 1-2 (文字),DO NOT USE_h2 (文字),h2 (文字),h21 (文字),Heading 2 Char (文字),H2 Char (文字),h2 Char (文字)"/>
    <w:basedOn w:val="a0"/>
    <w:link w:val="2"/>
    <w:rsid w:val="00D16637"/>
    <w:rPr>
      <w:rFonts w:ascii="Arial" w:hAnsi="Arial"/>
      <w:sz w:val="32"/>
      <w:lang w:val="en-GB"/>
    </w:rPr>
  </w:style>
  <w:style w:type="character" w:customStyle="1" w:styleId="jlqj4b">
    <w:name w:val="jlqj4b"/>
    <w:basedOn w:val="a0"/>
    <w:rsid w:val="00D52C8A"/>
  </w:style>
  <w:style w:type="character" w:customStyle="1" w:styleId="ad">
    <w:name w:val="図表番号 (文字)"/>
    <w:aliases w:val="cap (文字),cap Char (文字),Caption Char (文字),Caption Char1 Char (文字),cap Char Char1 (文字),Caption Char Char1 Char (文字),cap Char2 (文字),cap Char Char Char Char Char Char Char (文字),cap1 (文字),cap2 (文字),cap3 (文字),cap4 (文字),cap5 (文字),cap6 (文字),cap7 (文字)"/>
    <w:link w:val="ac"/>
    <w:rsid w:val="00522E7E"/>
    <w:rPr>
      <w:b/>
      <w:lang w:val="en-GB" w:eastAsia="en-US"/>
    </w:rPr>
  </w:style>
  <w:style w:type="character" w:customStyle="1" w:styleId="60">
    <w:name w:val="見出し 6 (文字)"/>
    <w:basedOn w:val="a0"/>
    <w:link w:val="6"/>
    <w:rsid w:val="00977FBF"/>
    <w:rPr>
      <w:rFonts w:ascii="Arial" w:hAnsi="Arial"/>
      <w:lang w:val="en-GB"/>
    </w:rPr>
  </w:style>
  <w:style w:type="character" w:customStyle="1" w:styleId="B11">
    <w:name w:val="B1 (文字)"/>
    <w:qFormat/>
    <w:locked/>
    <w:rsid w:val="002C7DD5"/>
    <w:rPr>
      <w:lang w:eastAsia="en-US"/>
    </w:rPr>
  </w:style>
  <w:style w:type="table" w:styleId="17">
    <w:name w:val="Grid Table 1 Light"/>
    <w:basedOn w:val="a1"/>
    <w:uiPriority w:val="46"/>
    <w:rsid w:val="008E48C0"/>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aff6">
    <w:name w:val="Unresolved Mention"/>
    <w:basedOn w:val="a0"/>
    <w:uiPriority w:val="99"/>
    <w:semiHidden/>
    <w:unhideWhenUsed/>
    <w:rsid w:val="00196B61"/>
    <w:rPr>
      <w:color w:val="605E5C"/>
      <w:shd w:val="clear" w:color="auto" w:fill="E1DFDD"/>
    </w:rPr>
  </w:style>
  <w:style w:type="character" w:customStyle="1" w:styleId="aff7">
    <w:name w:val="列出段落 字符"/>
    <w:link w:val="2a"/>
    <w:uiPriority w:val="34"/>
    <w:qFormat/>
    <w:locked/>
    <w:rsid w:val="005E4FC3"/>
    <w:rPr>
      <w:rFonts w:ascii="Cambria" w:eastAsia="SimHei" w:hAnsi="Cambria" w:cs="SimSun"/>
      <w:lang w:eastAsia="en-US"/>
    </w:rPr>
  </w:style>
  <w:style w:type="paragraph" w:customStyle="1" w:styleId="2a">
    <w:name w:val="列出段落2"/>
    <w:basedOn w:val="a"/>
    <w:link w:val="aff7"/>
    <w:uiPriority w:val="34"/>
    <w:qFormat/>
    <w:rsid w:val="005E4FC3"/>
    <w:pPr>
      <w:suppressAutoHyphens/>
      <w:spacing w:after="50"/>
      <w:ind w:left="840"/>
    </w:pPr>
    <w:rPr>
      <w:rFonts w:ascii="Cambria" w:eastAsia="SimHei" w:hAnsi="Cambria" w:cs="SimSun"/>
    </w:rPr>
  </w:style>
  <w:style w:type="character" w:customStyle="1" w:styleId="TANChar">
    <w:name w:val="TAN Char"/>
    <w:link w:val="TAN"/>
    <w:qFormat/>
    <w:locked/>
    <w:rsid w:val="0053072A"/>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36050380">
      <w:bodyDiv w:val="1"/>
      <w:marLeft w:val="0"/>
      <w:marRight w:val="0"/>
      <w:marTop w:val="0"/>
      <w:marBottom w:val="0"/>
      <w:divBdr>
        <w:top w:val="none" w:sz="0" w:space="0" w:color="auto"/>
        <w:left w:val="none" w:sz="0" w:space="0" w:color="auto"/>
        <w:bottom w:val="none" w:sz="0" w:space="0" w:color="auto"/>
        <w:right w:val="none" w:sz="0" w:space="0" w:color="auto"/>
      </w:divBdr>
    </w:div>
    <w:div w:id="66803070">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325717">
      <w:bodyDiv w:val="1"/>
      <w:marLeft w:val="0"/>
      <w:marRight w:val="0"/>
      <w:marTop w:val="0"/>
      <w:marBottom w:val="0"/>
      <w:divBdr>
        <w:top w:val="none" w:sz="0" w:space="0" w:color="auto"/>
        <w:left w:val="none" w:sz="0" w:space="0" w:color="auto"/>
        <w:bottom w:val="none" w:sz="0" w:space="0" w:color="auto"/>
        <w:right w:val="none" w:sz="0" w:space="0" w:color="auto"/>
      </w:divBdr>
      <w:divsChild>
        <w:div w:id="136991272">
          <w:marLeft w:val="1166"/>
          <w:marRight w:val="0"/>
          <w:marTop w:val="77"/>
          <w:marBottom w:val="0"/>
          <w:divBdr>
            <w:top w:val="none" w:sz="0" w:space="0" w:color="auto"/>
            <w:left w:val="none" w:sz="0" w:space="0" w:color="auto"/>
            <w:bottom w:val="none" w:sz="0" w:space="0" w:color="auto"/>
            <w:right w:val="none" w:sz="0" w:space="0" w:color="auto"/>
          </w:divBdr>
        </w:div>
        <w:div w:id="218825130">
          <w:marLeft w:val="1166"/>
          <w:marRight w:val="0"/>
          <w:marTop w:val="77"/>
          <w:marBottom w:val="0"/>
          <w:divBdr>
            <w:top w:val="none" w:sz="0" w:space="0" w:color="auto"/>
            <w:left w:val="none" w:sz="0" w:space="0" w:color="auto"/>
            <w:bottom w:val="none" w:sz="0" w:space="0" w:color="auto"/>
            <w:right w:val="none" w:sz="0" w:space="0" w:color="auto"/>
          </w:divBdr>
        </w:div>
        <w:div w:id="515849653">
          <w:marLeft w:val="1166"/>
          <w:marRight w:val="0"/>
          <w:marTop w:val="77"/>
          <w:marBottom w:val="0"/>
          <w:divBdr>
            <w:top w:val="none" w:sz="0" w:space="0" w:color="auto"/>
            <w:left w:val="none" w:sz="0" w:space="0" w:color="auto"/>
            <w:bottom w:val="none" w:sz="0" w:space="0" w:color="auto"/>
            <w:right w:val="none" w:sz="0" w:space="0" w:color="auto"/>
          </w:divBdr>
        </w:div>
        <w:div w:id="781613161">
          <w:marLeft w:val="1166"/>
          <w:marRight w:val="0"/>
          <w:marTop w:val="77"/>
          <w:marBottom w:val="0"/>
          <w:divBdr>
            <w:top w:val="none" w:sz="0" w:space="0" w:color="auto"/>
            <w:left w:val="none" w:sz="0" w:space="0" w:color="auto"/>
            <w:bottom w:val="none" w:sz="0" w:space="0" w:color="auto"/>
            <w:right w:val="none" w:sz="0" w:space="0" w:color="auto"/>
          </w:divBdr>
        </w:div>
        <w:div w:id="1667442657">
          <w:marLeft w:val="1166"/>
          <w:marRight w:val="0"/>
          <w:marTop w:val="77"/>
          <w:marBottom w:val="0"/>
          <w:divBdr>
            <w:top w:val="none" w:sz="0" w:space="0" w:color="auto"/>
            <w:left w:val="none" w:sz="0" w:space="0" w:color="auto"/>
            <w:bottom w:val="none" w:sz="0" w:space="0" w:color="auto"/>
            <w:right w:val="none" w:sz="0" w:space="0" w:color="auto"/>
          </w:divBdr>
        </w:div>
        <w:div w:id="2089113845">
          <w:marLeft w:val="1166"/>
          <w:marRight w:val="0"/>
          <w:marTop w:val="77"/>
          <w:marBottom w:val="0"/>
          <w:divBdr>
            <w:top w:val="none" w:sz="0" w:space="0" w:color="auto"/>
            <w:left w:val="none" w:sz="0" w:space="0" w:color="auto"/>
            <w:bottom w:val="none" w:sz="0" w:space="0" w:color="auto"/>
            <w:right w:val="none" w:sz="0" w:space="0" w:color="auto"/>
          </w:divBdr>
        </w:div>
        <w:div w:id="2144156105">
          <w:marLeft w:val="1166"/>
          <w:marRight w:val="0"/>
          <w:marTop w:val="77"/>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77140141">
      <w:bodyDiv w:val="1"/>
      <w:marLeft w:val="0"/>
      <w:marRight w:val="0"/>
      <w:marTop w:val="0"/>
      <w:marBottom w:val="0"/>
      <w:divBdr>
        <w:top w:val="none" w:sz="0" w:space="0" w:color="auto"/>
        <w:left w:val="none" w:sz="0" w:space="0" w:color="auto"/>
        <w:bottom w:val="none" w:sz="0" w:space="0" w:color="auto"/>
        <w:right w:val="none" w:sz="0" w:space="0" w:color="auto"/>
      </w:divBdr>
    </w:div>
    <w:div w:id="85420886">
      <w:bodyDiv w:val="1"/>
      <w:marLeft w:val="0"/>
      <w:marRight w:val="0"/>
      <w:marTop w:val="0"/>
      <w:marBottom w:val="0"/>
      <w:divBdr>
        <w:top w:val="none" w:sz="0" w:space="0" w:color="auto"/>
        <w:left w:val="none" w:sz="0" w:space="0" w:color="auto"/>
        <w:bottom w:val="none" w:sz="0" w:space="0" w:color="auto"/>
        <w:right w:val="none" w:sz="0" w:space="0" w:color="auto"/>
      </w:divBdr>
    </w:div>
    <w:div w:id="87585374">
      <w:bodyDiv w:val="1"/>
      <w:marLeft w:val="0"/>
      <w:marRight w:val="0"/>
      <w:marTop w:val="0"/>
      <w:marBottom w:val="0"/>
      <w:divBdr>
        <w:top w:val="none" w:sz="0" w:space="0" w:color="auto"/>
        <w:left w:val="none" w:sz="0" w:space="0" w:color="auto"/>
        <w:bottom w:val="none" w:sz="0" w:space="0" w:color="auto"/>
        <w:right w:val="none" w:sz="0" w:space="0" w:color="auto"/>
      </w:divBdr>
    </w:div>
    <w:div w:id="95223965">
      <w:bodyDiv w:val="1"/>
      <w:marLeft w:val="0"/>
      <w:marRight w:val="0"/>
      <w:marTop w:val="0"/>
      <w:marBottom w:val="0"/>
      <w:divBdr>
        <w:top w:val="none" w:sz="0" w:space="0" w:color="auto"/>
        <w:left w:val="none" w:sz="0" w:space="0" w:color="auto"/>
        <w:bottom w:val="none" w:sz="0" w:space="0" w:color="auto"/>
        <w:right w:val="none" w:sz="0" w:space="0" w:color="auto"/>
      </w:divBdr>
    </w:div>
    <w:div w:id="105582750">
      <w:bodyDiv w:val="1"/>
      <w:marLeft w:val="0"/>
      <w:marRight w:val="0"/>
      <w:marTop w:val="0"/>
      <w:marBottom w:val="0"/>
      <w:divBdr>
        <w:top w:val="none" w:sz="0" w:space="0" w:color="auto"/>
        <w:left w:val="none" w:sz="0" w:space="0" w:color="auto"/>
        <w:bottom w:val="none" w:sz="0" w:space="0" w:color="auto"/>
        <w:right w:val="none" w:sz="0" w:space="0" w:color="auto"/>
      </w:divBdr>
      <w:divsChild>
        <w:div w:id="1758018155">
          <w:marLeft w:val="547"/>
          <w:marRight w:val="0"/>
          <w:marTop w:val="96"/>
          <w:marBottom w:val="0"/>
          <w:divBdr>
            <w:top w:val="none" w:sz="0" w:space="0" w:color="auto"/>
            <w:left w:val="none" w:sz="0" w:space="0" w:color="auto"/>
            <w:bottom w:val="none" w:sz="0" w:space="0" w:color="auto"/>
            <w:right w:val="none" w:sz="0" w:space="0" w:color="auto"/>
          </w:divBdr>
        </w:div>
        <w:div w:id="213395275">
          <w:marLeft w:val="1166"/>
          <w:marRight w:val="0"/>
          <w:marTop w:val="86"/>
          <w:marBottom w:val="0"/>
          <w:divBdr>
            <w:top w:val="none" w:sz="0" w:space="0" w:color="auto"/>
            <w:left w:val="none" w:sz="0" w:space="0" w:color="auto"/>
            <w:bottom w:val="none" w:sz="0" w:space="0" w:color="auto"/>
            <w:right w:val="none" w:sz="0" w:space="0" w:color="auto"/>
          </w:divBdr>
        </w:div>
        <w:div w:id="1033994033">
          <w:marLeft w:val="1800"/>
          <w:marRight w:val="0"/>
          <w:marTop w:val="77"/>
          <w:marBottom w:val="0"/>
          <w:divBdr>
            <w:top w:val="none" w:sz="0" w:space="0" w:color="auto"/>
            <w:left w:val="none" w:sz="0" w:space="0" w:color="auto"/>
            <w:bottom w:val="none" w:sz="0" w:space="0" w:color="auto"/>
            <w:right w:val="none" w:sz="0" w:space="0" w:color="auto"/>
          </w:divBdr>
        </w:div>
        <w:div w:id="1417828559">
          <w:marLeft w:val="1166"/>
          <w:marRight w:val="0"/>
          <w:marTop w:val="86"/>
          <w:marBottom w:val="0"/>
          <w:divBdr>
            <w:top w:val="none" w:sz="0" w:space="0" w:color="auto"/>
            <w:left w:val="none" w:sz="0" w:space="0" w:color="auto"/>
            <w:bottom w:val="none" w:sz="0" w:space="0" w:color="auto"/>
            <w:right w:val="none" w:sz="0" w:space="0" w:color="auto"/>
          </w:divBdr>
        </w:div>
        <w:div w:id="98453087">
          <w:marLeft w:val="1800"/>
          <w:marRight w:val="0"/>
          <w:marTop w:val="77"/>
          <w:marBottom w:val="0"/>
          <w:divBdr>
            <w:top w:val="none" w:sz="0" w:space="0" w:color="auto"/>
            <w:left w:val="none" w:sz="0" w:space="0" w:color="auto"/>
            <w:bottom w:val="none" w:sz="0" w:space="0" w:color="auto"/>
            <w:right w:val="none" w:sz="0" w:space="0" w:color="auto"/>
          </w:divBdr>
        </w:div>
        <w:div w:id="723135795">
          <w:marLeft w:val="1800"/>
          <w:marRight w:val="0"/>
          <w:marTop w:val="77"/>
          <w:marBottom w:val="0"/>
          <w:divBdr>
            <w:top w:val="none" w:sz="0" w:space="0" w:color="auto"/>
            <w:left w:val="none" w:sz="0" w:space="0" w:color="auto"/>
            <w:bottom w:val="none" w:sz="0" w:space="0" w:color="auto"/>
            <w:right w:val="none" w:sz="0" w:space="0" w:color="auto"/>
          </w:divBdr>
        </w:div>
      </w:divsChild>
    </w:div>
    <w:div w:id="125244629">
      <w:bodyDiv w:val="1"/>
      <w:marLeft w:val="0"/>
      <w:marRight w:val="0"/>
      <w:marTop w:val="0"/>
      <w:marBottom w:val="0"/>
      <w:divBdr>
        <w:top w:val="none" w:sz="0" w:space="0" w:color="auto"/>
        <w:left w:val="none" w:sz="0" w:space="0" w:color="auto"/>
        <w:bottom w:val="none" w:sz="0" w:space="0" w:color="auto"/>
        <w:right w:val="none" w:sz="0" w:space="0" w:color="auto"/>
      </w:divBdr>
    </w:div>
    <w:div w:id="134840282">
      <w:bodyDiv w:val="1"/>
      <w:marLeft w:val="0"/>
      <w:marRight w:val="0"/>
      <w:marTop w:val="0"/>
      <w:marBottom w:val="0"/>
      <w:divBdr>
        <w:top w:val="none" w:sz="0" w:space="0" w:color="auto"/>
        <w:left w:val="none" w:sz="0" w:space="0" w:color="auto"/>
        <w:bottom w:val="none" w:sz="0" w:space="0" w:color="auto"/>
        <w:right w:val="none" w:sz="0" w:space="0" w:color="auto"/>
      </w:divBdr>
      <w:divsChild>
        <w:div w:id="1030491250">
          <w:marLeft w:val="0"/>
          <w:marRight w:val="0"/>
          <w:marTop w:val="0"/>
          <w:marBottom w:val="0"/>
          <w:divBdr>
            <w:top w:val="none" w:sz="0" w:space="0" w:color="auto"/>
            <w:left w:val="none" w:sz="0" w:space="0" w:color="auto"/>
            <w:bottom w:val="none" w:sz="0" w:space="0" w:color="auto"/>
            <w:right w:val="none" w:sz="0" w:space="0" w:color="auto"/>
          </w:divBdr>
          <w:divsChild>
            <w:div w:id="1713505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041072">
      <w:bodyDiv w:val="1"/>
      <w:marLeft w:val="0"/>
      <w:marRight w:val="0"/>
      <w:marTop w:val="0"/>
      <w:marBottom w:val="0"/>
      <w:divBdr>
        <w:top w:val="none" w:sz="0" w:space="0" w:color="auto"/>
        <w:left w:val="none" w:sz="0" w:space="0" w:color="auto"/>
        <w:bottom w:val="none" w:sz="0" w:space="0" w:color="auto"/>
        <w:right w:val="none" w:sz="0" w:space="0" w:color="auto"/>
      </w:divBdr>
    </w:div>
    <w:div w:id="148792788">
      <w:bodyDiv w:val="1"/>
      <w:marLeft w:val="0"/>
      <w:marRight w:val="0"/>
      <w:marTop w:val="0"/>
      <w:marBottom w:val="0"/>
      <w:divBdr>
        <w:top w:val="none" w:sz="0" w:space="0" w:color="auto"/>
        <w:left w:val="none" w:sz="0" w:space="0" w:color="auto"/>
        <w:bottom w:val="none" w:sz="0" w:space="0" w:color="auto"/>
        <w:right w:val="none" w:sz="0" w:space="0" w:color="auto"/>
      </w:divBdr>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819663">
      <w:bodyDiv w:val="1"/>
      <w:marLeft w:val="0"/>
      <w:marRight w:val="0"/>
      <w:marTop w:val="0"/>
      <w:marBottom w:val="0"/>
      <w:divBdr>
        <w:top w:val="none" w:sz="0" w:space="0" w:color="auto"/>
        <w:left w:val="none" w:sz="0" w:space="0" w:color="auto"/>
        <w:bottom w:val="none" w:sz="0" w:space="0" w:color="auto"/>
        <w:right w:val="none" w:sz="0" w:space="0" w:color="auto"/>
      </w:divBdr>
    </w:div>
    <w:div w:id="219365703">
      <w:bodyDiv w:val="1"/>
      <w:marLeft w:val="0"/>
      <w:marRight w:val="0"/>
      <w:marTop w:val="0"/>
      <w:marBottom w:val="0"/>
      <w:divBdr>
        <w:top w:val="none" w:sz="0" w:space="0" w:color="auto"/>
        <w:left w:val="none" w:sz="0" w:space="0" w:color="auto"/>
        <w:bottom w:val="none" w:sz="0" w:space="0" w:color="auto"/>
        <w:right w:val="none" w:sz="0" w:space="0" w:color="auto"/>
      </w:divBdr>
    </w:div>
    <w:div w:id="228617292">
      <w:bodyDiv w:val="1"/>
      <w:marLeft w:val="0"/>
      <w:marRight w:val="0"/>
      <w:marTop w:val="0"/>
      <w:marBottom w:val="0"/>
      <w:divBdr>
        <w:top w:val="none" w:sz="0" w:space="0" w:color="auto"/>
        <w:left w:val="none" w:sz="0" w:space="0" w:color="auto"/>
        <w:bottom w:val="none" w:sz="0" w:space="0" w:color="auto"/>
        <w:right w:val="none" w:sz="0" w:space="0" w:color="auto"/>
      </w:divBdr>
    </w:div>
    <w:div w:id="229193878">
      <w:bodyDiv w:val="1"/>
      <w:marLeft w:val="0"/>
      <w:marRight w:val="0"/>
      <w:marTop w:val="0"/>
      <w:marBottom w:val="0"/>
      <w:divBdr>
        <w:top w:val="none" w:sz="0" w:space="0" w:color="auto"/>
        <w:left w:val="none" w:sz="0" w:space="0" w:color="auto"/>
        <w:bottom w:val="none" w:sz="0" w:space="0" w:color="auto"/>
        <w:right w:val="none" w:sz="0" w:space="0" w:color="auto"/>
      </w:divBdr>
    </w:div>
    <w:div w:id="231432098">
      <w:bodyDiv w:val="1"/>
      <w:marLeft w:val="0"/>
      <w:marRight w:val="0"/>
      <w:marTop w:val="0"/>
      <w:marBottom w:val="0"/>
      <w:divBdr>
        <w:top w:val="none" w:sz="0" w:space="0" w:color="auto"/>
        <w:left w:val="none" w:sz="0" w:space="0" w:color="auto"/>
        <w:bottom w:val="none" w:sz="0" w:space="0" w:color="auto"/>
        <w:right w:val="none" w:sz="0" w:space="0" w:color="auto"/>
      </w:divBdr>
      <w:divsChild>
        <w:div w:id="549388291">
          <w:marLeft w:val="547"/>
          <w:marRight w:val="0"/>
          <w:marTop w:val="77"/>
          <w:marBottom w:val="0"/>
          <w:divBdr>
            <w:top w:val="none" w:sz="0" w:space="0" w:color="auto"/>
            <w:left w:val="none" w:sz="0" w:space="0" w:color="auto"/>
            <w:bottom w:val="none" w:sz="0" w:space="0" w:color="auto"/>
            <w:right w:val="none" w:sz="0" w:space="0" w:color="auto"/>
          </w:divBdr>
        </w:div>
        <w:div w:id="1537043413">
          <w:marLeft w:val="1166"/>
          <w:marRight w:val="0"/>
          <w:marTop w:val="67"/>
          <w:marBottom w:val="0"/>
          <w:divBdr>
            <w:top w:val="none" w:sz="0" w:space="0" w:color="auto"/>
            <w:left w:val="none" w:sz="0" w:space="0" w:color="auto"/>
            <w:bottom w:val="none" w:sz="0" w:space="0" w:color="auto"/>
            <w:right w:val="none" w:sz="0" w:space="0" w:color="auto"/>
          </w:divBdr>
        </w:div>
        <w:div w:id="543909163">
          <w:marLeft w:val="1800"/>
          <w:marRight w:val="0"/>
          <w:marTop w:val="67"/>
          <w:marBottom w:val="0"/>
          <w:divBdr>
            <w:top w:val="none" w:sz="0" w:space="0" w:color="auto"/>
            <w:left w:val="none" w:sz="0" w:space="0" w:color="auto"/>
            <w:bottom w:val="none" w:sz="0" w:space="0" w:color="auto"/>
            <w:right w:val="none" w:sz="0" w:space="0" w:color="auto"/>
          </w:divBdr>
        </w:div>
        <w:div w:id="1725789622">
          <w:marLeft w:val="1800"/>
          <w:marRight w:val="0"/>
          <w:marTop w:val="67"/>
          <w:marBottom w:val="0"/>
          <w:divBdr>
            <w:top w:val="none" w:sz="0" w:space="0" w:color="auto"/>
            <w:left w:val="none" w:sz="0" w:space="0" w:color="auto"/>
            <w:bottom w:val="none" w:sz="0" w:space="0" w:color="auto"/>
            <w:right w:val="none" w:sz="0" w:space="0" w:color="auto"/>
          </w:divBdr>
        </w:div>
        <w:div w:id="1751849352">
          <w:marLeft w:val="1800"/>
          <w:marRight w:val="0"/>
          <w:marTop w:val="67"/>
          <w:marBottom w:val="0"/>
          <w:divBdr>
            <w:top w:val="none" w:sz="0" w:space="0" w:color="auto"/>
            <w:left w:val="none" w:sz="0" w:space="0" w:color="auto"/>
            <w:bottom w:val="none" w:sz="0" w:space="0" w:color="auto"/>
            <w:right w:val="none" w:sz="0" w:space="0" w:color="auto"/>
          </w:divBdr>
        </w:div>
        <w:div w:id="1336304299">
          <w:marLeft w:val="1166"/>
          <w:marRight w:val="0"/>
          <w:marTop w:val="67"/>
          <w:marBottom w:val="0"/>
          <w:divBdr>
            <w:top w:val="none" w:sz="0" w:space="0" w:color="auto"/>
            <w:left w:val="none" w:sz="0" w:space="0" w:color="auto"/>
            <w:bottom w:val="none" w:sz="0" w:space="0" w:color="auto"/>
            <w:right w:val="none" w:sz="0" w:space="0" w:color="auto"/>
          </w:divBdr>
        </w:div>
        <w:div w:id="162866415">
          <w:marLeft w:val="1800"/>
          <w:marRight w:val="0"/>
          <w:marTop w:val="67"/>
          <w:marBottom w:val="0"/>
          <w:divBdr>
            <w:top w:val="none" w:sz="0" w:space="0" w:color="auto"/>
            <w:left w:val="none" w:sz="0" w:space="0" w:color="auto"/>
            <w:bottom w:val="none" w:sz="0" w:space="0" w:color="auto"/>
            <w:right w:val="none" w:sz="0" w:space="0" w:color="auto"/>
          </w:divBdr>
        </w:div>
        <w:div w:id="491213121">
          <w:marLeft w:val="1800"/>
          <w:marRight w:val="0"/>
          <w:marTop w:val="67"/>
          <w:marBottom w:val="0"/>
          <w:divBdr>
            <w:top w:val="none" w:sz="0" w:space="0" w:color="auto"/>
            <w:left w:val="none" w:sz="0" w:space="0" w:color="auto"/>
            <w:bottom w:val="none" w:sz="0" w:space="0" w:color="auto"/>
            <w:right w:val="none" w:sz="0" w:space="0" w:color="auto"/>
          </w:divBdr>
        </w:div>
        <w:div w:id="123694792">
          <w:marLeft w:val="1800"/>
          <w:marRight w:val="0"/>
          <w:marTop w:val="67"/>
          <w:marBottom w:val="0"/>
          <w:divBdr>
            <w:top w:val="none" w:sz="0" w:space="0" w:color="auto"/>
            <w:left w:val="none" w:sz="0" w:space="0" w:color="auto"/>
            <w:bottom w:val="none" w:sz="0" w:space="0" w:color="auto"/>
            <w:right w:val="none" w:sz="0" w:space="0" w:color="auto"/>
          </w:divBdr>
        </w:div>
        <w:div w:id="1605964028">
          <w:marLeft w:val="547"/>
          <w:marRight w:val="0"/>
          <w:marTop w:val="77"/>
          <w:marBottom w:val="0"/>
          <w:divBdr>
            <w:top w:val="none" w:sz="0" w:space="0" w:color="auto"/>
            <w:left w:val="none" w:sz="0" w:space="0" w:color="auto"/>
            <w:bottom w:val="none" w:sz="0" w:space="0" w:color="auto"/>
            <w:right w:val="none" w:sz="0" w:space="0" w:color="auto"/>
          </w:divBdr>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8410461">
      <w:bodyDiv w:val="1"/>
      <w:marLeft w:val="0"/>
      <w:marRight w:val="0"/>
      <w:marTop w:val="0"/>
      <w:marBottom w:val="0"/>
      <w:divBdr>
        <w:top w:val="none" w:sz="0" w:space="0" w:color="auto"/>
        <w:left w:val="none" w:sz="0" w:space="0" w:color="auto"/>
        <w:bottom w:val="none" w:sz="0" w:space="0" w:color="auto"/>
        <w:right w:val="none" w:sz="0" w:space="0" w:color="auto"/>
      </w:divBdr>
    </w:div>
    <w:div w:id="268899159">
      <w:bodyDiv w:val="1"/>
      <w:marLeft w:val="0"/>
      <w:marRight w:val="0"/>
      <w:marTop w:val="0"/>
      <w:marBottom w:val="0"/>
      <w:divBdr>
        <w:top w:val="none" w:sz="0" w:space="0" w:color="auto"/>
        <w:left w:val="none" w:sz="0" w:space="0" w:color="auto"/>
        <w:bottom w:val="none" w:sz="0" w:space="0" w:color="auto"/>
        <w:right w:val="none" w:sz="0" w:space="0" w:color="auto"/>
      </w:divBdr>
    </w:div>
    <w:div w:id="274756462">
      <w:bodyDiv w:val="1"/>
      <w:marLeft w:val="0"/>
      <w:marRight w:val="0"/>
      <w:marTop w:val="0"/>
      <w:marBottom w:val="0"/>
      <w:divBdr>
        <w:top w:val="none" w:sz="0" w:space="0" w:color="auto"/>
        <w:left w:val="none" w:sz="0" w:space="0" w:color="auto"/>
        <w:bottom w:val="none" w:sz="0" w:space="0" w:color="auto"/>
        <w:right w:val="none" w:sz="0" w:space="0" w:color="auto"/>
      </w:divBdr>
    </w:div>
    <w:div w:id="282731141">
      <w:bodyDiv w:val="1"/>
      <w:marLeft w:val="0"/>
      <w:marRight w:val="0"/>
      <w:marTop w:val="0"/>
      <w:marBottom w:val="0"/>
      <w:divBdr>
        <w:top w:val="none" w:sz="0" w:space="0" w:color="auto"/>
        <w:left w:val="none" w:sz="0" w:space="0" w:color="auto"/>
        <w:bottom w:val="none" w:sz="0" w:space="0" w:color="auto"/>
        <w:right w:val="none" w:sz="0" w:space="0" w:color="auto"/>
      </w:divBdr>
    </w:div>
    <w:div w:id="296449414">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0578660">
      <w:bodyDiv w:val="1"/>
      <w:marLeft w:val="0"/>
      <w:marRight w:val="0"/>
      <w:marTop w:val="0"/>
      <w:marBottom w:val="0"/>
      <w:divBdr>
        <w:top w:val="none" w:sz="0" w:space="0" w:color="auto"/>
        <w:left w:val="none" w:sz="0" w:space="0" w:color="auto"/>
        <w:bottom w:val="none" w:sz="0" w:space="0" w:color="auto"/>
        <w:right w:val="none" w:sz="0" w:space="0" w:color="auto"/>
      </w:divBdr>
    </w:div>
    <w:div w:id="302128255">
      <w:bodyDiv w:val="1"/>
      <w:marLeft w:val="0"/>
      <w:marRight w:val="0"/>
      <w:marTop w:val="0"/>
      <w:marBottom w:val="0"/>
      <w:divBdr>
        <w:top w:val="none" w:sz="0" w:space="0" w:color="auto"/>
        <w:left w:val="none" w:sz="0" w:space="0" w:color="auto"/>
        <w:bottom w:val="none" w:sz="0" w:space="0" w:color="auto"/>
        <w:right w:val="none" w:sz="0" w:space="0" w:color="auto"/>
      </w:divBdr>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25668585">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41519385">
      <w:bodyDiv w:val="1"/>
      <w:marLeft w:val="0"/>
      <w:marRight w:val="0"/>
      <w:marTop w:val="0"/>
      <w:marBottom w:val="0"/>
      <w:divBdr>
        <w:top w:val="none" w:sz="0" w:space="0" w:color="auto"/>
        <w:left w:val="none" w:sz="0" w:space="0" w:color="auto"/>
        <w:bottom w:val="none" w:sz="0" w:space="0" w:color="auto"/>
        <w:right w:val="none" w:sz="0" w:space="0" w:color="auto"/>
      </w:divBdr>
    </w:div>
    <w:div w:id="346179334">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7609543">
      <w:bodyDiv w:val="1"/>
      <w:marLeft w:val="0"/>
      <w:marRight w:val="0"/>
      <w:marTop w:val="0"/>
      <w:marBottom w:val="0"/>
      <w:divBdr>
        <w:top w:val="none" w:sz="0" w:space="0" w:color="auto"/>
        <w:left w:val="none" w:sz="0" w:space="0" w:color="auto"/>
        <w:bottom w:val="none" w:sz="0" w:space="0" w:color="auto"/>
        <w:right w:val="none" w:sz="0" w:space="0" w:color="auto"/>
      </w:divBdr>
    </w:div>
    <w:div w:id="374085089">
      <w:bodyDiv w:val="1"/>
      <w:marLeft w:val="0"/>
      <w:marRight w:val="0"/>
      <w:marTop w:val="0"/>
      <w:marBottom w:val="0"/>
      <w:divBdr>
        <w:top w:val="none" w:sz="0" w:space="0" w:color="auto"/>
        <w:left w:val="none" w:sz="0" w:space="0" w:color="auto"/>
        <w:bottom w:val="none" w:sz="0" w:space="0" w:color="auto"/>
        <w:right w:val="none" w:sz="0" w:space="0" w:color="auto"/>
      </w:divBdr>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385685220">
      <w:bodyDiv w:val="1"/>
      <w:marLeft w:val="0"/>
      <w:marRight w:val="0"/>
      <w:marTop w:val="0"/>
      <w:marBottom w:val="0"/>
      <w:divBdr>
        <w:top w:val="none" w:sz="0" w:space="0" w:color="auto"/>
        <w:left w:val="none" w:sz="0" w:space="0" w:color="auto"/>
        <w:bottom w:val="none" w:sz="0" w:space="0" w:color="auto"/>
        <w:right w:val="none" w:sz="0" w:space="0" w:color="auto"/>
      </w:divBdr>
    </w:div>
    <w:div w:id="390924503">
      <w:bodyDiv w:val="1"/>
      <w:marLeft w:val="0"/>
      <w:marRight w:val="0"/>
      <w:marTop w:val="0"/>
      <w:marBottom w:val="0"/>
      <w:divBdr>
        <w:top w:val="none" w:sz="0" w:space="0" w:color="auto"/>
        <w:left w:val="none" w:sz="0" w:space="0" w:color="auto"/>
        <w:bottom w:val="none" w:sz="0" w:space="0" w:color="auto"/>
        <w:right w:val="none" w:sz="0" w:space="0" w:color="auto"/>
      </w:divBdr>
      <w:divsChild>
        <w:div w:id="674919923">
          <w:marLeft w:val="1498"/>
          <w:marRight w:val="0"/>
          <w:marTop w:val="58"/>
          <w:marBottom w:val="0"/>
          <w:divBdr>
            <w:top w:val="none" w:sz="0" w:space="0" w:color="auto"/>
            <w:left w:val="none" w:sz="0" w:space="0" w:color="auto"/>
            <w:bottom w:val="none" w:sz="0" w:space="0" w:color="auto"/>
            <w:right w:val="none" w:sz="0" w:space="0" w:color="auto"/>
          </w:divBdr>
        </w:div>
      </w:divsChild>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14058564">
      <w:bodyDiv w:val="1"/>
      <w:marLeft w:val="0"/>
      <w:marRight w:val="0"/>
      <w:marTop w:val="0"/>
      <w:marBottom w:val="0"/>
      <w:divBdr>
        <w:top w:val="none" w:sz="0" w:space="0" w:color="auto"/>
        <w:left w:val="none" w:sz="0" w:space="0" w:color="auto"/>
        <w:bottom w:val="none" w:sz="0" w:space="0" w:color="auto"/>
        <w:right w:val="none" w:sz="0" w:space="0" w:color="auto"/>
      </w:divBdr>
    </w:div>
    <w:div w:id="430394609">
      <w:bodyDiv w:val="1"/>
      <w:marLeft w:val="0"/>
      <w:marRight w:val="0"/>
      <w:marTop w:val="0"/>
      <w:marBottom w:val="0"/>
      <w:divBdr>
        <w:top w:val="none" w:sz="0" w:space="0" w:color="auto"/>
        <w:left w:val="none" w:sz="0" w:space="0" w:color="auto"/>
        <w:bottom w:val="none" w:sz="0" w:space="0" w:color="auto"/>
        <w:right w:val="none" w:sz="0" w:space="0" w:color="auto"/>
      </w:divBdr>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3430620">
      <w:bodyDiv w:val="1"/>
      <w:marLeft w:val="0"/>
      <w:marRight w:val="0"/>
      <w:marTop w:val="0"/>
      <w:marBottom w:val="0"/>
      <w:divBdr>
        <w:top w:val="none" w:sz="0" w:space="0" w:color="auto"/>
        <w:left w:val="none" w:sz="0" w:space="0" w:color="auto"/>
        <w:bottom w:val="none" w:sz="0" w:space="0" w:color="auto"/>
        <w:right w:val="none" w:sz="0" w:space="0" w:color="auto"/>
      </w:divBdr>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64205763">
      <w:bodyDiv w:val="1"/>
      <w:marLeft w:val="0"/>
      <w:marRight w:val="0"/>
      <w:marTop w:val="0"/>
      <w:marBottom w:val="0"/>
      <w:divBdr>
        <w:top w:val="none" w:sz="0" w:space="0" w:color="auto"/>
        <w:left w:val="none" w:sz="0" w:space="0" w:color="auto"/>
        <w:bottom w:val="none" w:sz="0" w:space="0" w:color="auto"/>
        <w:right w:val="none" w:sz="0" w:space="0" w:color="auto"/>
      </w:divBdr>
      <w:divsChild>
        <w:div w:id="1330672943">
          <w:marLeft w:val="1166"/>
          <w:marRight w:val="0"/>
          <w:marTop w:val="134"/>
          <w:marBottom w:val="0"/>
          <w:divBdr>
            <w:top w:val="none" w:sz="0" w:space="0" w:color="auto"/>
            <w:left w:val="none" w:sz="0" w:space="0" w:color="auto"/>
            <w:bottom w:val="none" w:sz="0" w:space="0" w:color="auto"/>
            <w:right w:val="none" w:sz="0" w:space="0" w:color="auto"/>
          </w:divBdr>
        </w:div>
        <w:div w:id="1349793356">
          <w:marLeft w:val="547"/>
          <w:marRight w:val="0"/>
          <w:marTop w:val="154"/>
          <w:marBottom w:val="0"/>
          <w:divBdr>
            <w:top w:val="none" w:sz="0" w:space="0" w:color="auto"/>
            <w:left w:val="none" w:sz="0" w:space="0" w:color="auto"/>
            <w:bottom w:val="none" w:sz="0" w:space="0" w:color="auto"/>
            <w:right w:val="none" w:sz="0" w:space="0" w:color="auto"/>
          </w:divBdr>
        </w:div>
        <w:div w:id="1787697847">
          <w:marLeft w:val="1166"/>
          <w:marRight w:val="0"/>
          <w:marTop w:val="134"/>
          <w:marBottom w:val="0"/>
          <w:divBdr>
            <w:top w:val="none" w:sz="0" w:space="0" w:color="auto"/>
            <w:left w:val="none" w:sz="0" w:space="0" w:color="auto"/>
            <w:bottom w:val="none" w:sz="0" w:space="0" w:color="auto"/>
            <w:right w:val="none" w:sz="0" w:space="0" w:color="auto"/>
          </w:divBdr>
        </w:div>
        <w:div w:id="1933509106">
          <w:marLeft w:val="1166"/>
          <w:marRight w:val="0"/>
          <w:marTop w:val="134"/>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487405445">
      <w:bodyDiv w:val="1"/>
      <w:marLeft w:val="0"/>
      <w:marRight w:val="0"/>
      <w:marTop w:val="0"/>
      <w:marBottom w:val="0"/>
      <w:divBdr>
        <w:top w:val="none" w:sz="0" w:space="0" w:color="auto"/>
        <w:left w:val="none" w:sz="0" w:space="0" w:color="auto"/>
        <w:bottom w:val="none" w:sz="0" w:space="0" w:color="auto"/>
        <w:right w:val="none" w:sz="0" w:space="0" w:color="auto"/>
      </w:divBdr>
      <w:divsChild>
        <w:div w:id="1444377455">
          <w:marLeft w:val="1498"/>
          <w:marRight w:val="0"/>
          <w:marTop w:val="58"/>
          <w:marBottom w:val="0"/>
          <w:divBdr>
            <w:top w:val="none" w:sz="0" w:space="0" w:color="auto"/>
            <w:left w:val="none" w:sz="0" w:space="0" w:color="auto"/>
            <w:bottom w:val="none" w:sz="0" w:space="0" w:color="auto"/>
            <w:right w:val="none" w:sz="0" w:space="0" w:color="auto"/>
          </w:divBdr>
        </w:div>
      </w:divsChild>
    </w:div>
    <w:div w:id="491722306">
      <w:bodyDiv w:val="1"/>
      <w:marLeft w:val="0"/>
      <w:marRight w:val="0"/>
      <w:marTop w:val="0"/>
      <w:marBottom w:val="0"/>
      <w:divBdr>
        <w:top w:val="none" w:sz="0" w:space="0" w:color="auto"/>
        <w:left w:val="none" w:sz="0" w:space="0" w:color="auto"/>
        <w:bottom w:val="none" w:sz="0" w:space="0" w:color="auto"/>
        <w:right w:val="none" w:sz="0" w:space="0" w:color="auto"/>
      </w:divBdr>
    </w:div>
    <w:div w:id="50085850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16773950">
      <w:bodyDiv w:val="1"/>
      <w:marLeft w:val="0"/>
      <w:marRight w:val="0"/>
      <w:marTop w:val="0"/>
      <w:marBottom w:val="0"/>
      <w:divBdr>
        <w:top w:val="none" w:sz="0" w:space="0" w:color="auto"/>
        <w:left w:val="none" w:sz="0" w:space="0" w:color="auto"/>
        <w:bottom w:val="none" w:sz="0" w:space="0" w:color="auto"/>
        <w:right w:val="none" w:sz="0" w:space="0" w:color="auto"/>
      </w:divBdr>
      <w:divsChild>
        <w:div w:id="247033841">
          <w:marLeft w:val="547"/>
          <w:marRight w:val="0"/>
          <w:marTop w:val="0"/>
          <w:marBottom w:val="0"/>
          <w:divBdr>
            <w:top w:val="none" w:sz="0" w:space="0" w:color="auto"/>
            <w:left w:val="none" w:sz="0" w:space="0" w:color="auto"/>
            <w:bottom w:val="none" w:sz="0" w:space="0" w:color="auto"/>
            <w:right w:val="none" w:sz="0" w:space="0" w:color="auto"/>
          </w:divBdr>
        </w:div>
      </w:divsChild>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33421201">
      <w:bodyDiv w:val="1"/>
      <w:marLeft w:val="0"/>
      <w:marRight w:val="0"/>
      <w:marTop w:val="0"/>
      <w:marBottom w:val="0"/>
      <w:divBdr>
        <w:top w:val="none" w:sz="0" w:space="0" w:color="auto"/>
        <w:left w:val="none" w:sz="0" w:space="0" w:color="auto"/>
        <w:bottom w:val="none" w:sz="0" w:space="0" w:color="auto"/>
        <w:right w:val="none" w:sz="0" w:space="0" w:color="auto"/>
      </w:divBdr>
    </w:div>
    <w:div w:id="538469236">
      <w:bodyDiv w:val="1"/>
      <w:marLeft w:val="0"/>
      <w:marRight w:val="0"/>
      <w:marTop w:val="0"/>
      <w:marBottom w:val="0"/>
      <w:divBdr>
        <w:top w:val="none" w:sz="0" w:space="0" w:color="auto"/>
        <w:left w:val="none" w:sz="0" w:space="0" w:color="auto"/>
        <w:bottom w:val="none" w:sz="0" w:space="0" w:color="auto"/>
        <w:right w:val="none" w:sz="0" w:space="0" w:color="auto"/>
      </w:divBdr>
      <w:divsChild>
        <w:div w:id="492531774">
          <w:marLeft w:val="1498"/>
          <w:marRight w:val="0"/>
          <w:marTop w:val="58"/>
          <w:marBottom w:val="0"/>
          <w:divBdr>
            <w:top w:val="none" w:sz="0" w:space="0" w:color="auto"/>
            <w:left w:val="none" w:sz="0" w:space="0" w:color="auto"/>
            <w:bottom w:val="none" w:sz="0" w:space="0" w:color="auto"/>
            <w:right w:val="none" w:sz="0" w:space="0" w:color="auto"/>
          </w:divBdr>
        </w:div>
      </w:divsChild>
    </w:div>
    <w:div w:id="538514666">
      <w:bodyDiv w:val="1"/>
      <w:marLeft w:val="0"/>
      <w:marRight w:val="0"/>
      <w:marTop w:val="0"/>
      <w:marBottom w:val="0"/>
      <w:divBdr>
        <w:top w:val="none" w:sz="0" w:space="0" w:color="auto"/>
        <w:left w:val="none" w:sz="0" w:space="0" w:color="auto"/>
        <w:bottom w:val="none" w:sz="0" w:space="0" w:color="auto"/>
        <w:right w:val="none" w:sz="0" w:space="0" w:color="auto"/>
      </w:divBdr>
    </w:div>
    <w:div w:id="543491261">
      <w:bodyDiv w:val="1"/>
      <w:marLeft w:val="0"/>
      <w:marRight w:val="0"/>
      <w:marTop w:val="0"/>
      <w:marBottom w:val="0"/>
      <w:divBdr>
        <w:top w:val="none" w:sz="0" w:space="0" w:color="auto"/>
        <w:left w:val="none" w:sz="0" w:space="0" w:color="auto"/>
        <w:bottom w:val="none" w:sz="0" w:space="0" w:color="auto"/>
        <w:right w:val="none" w:sz="0" w:space="0" w:color="auto"/>
      </w:divBdr>
      <w:divsChild>
        <w:div w:id="22560993">
          <w:marLeft w:val="1800"/>
          <w:marRight w:val="0"/>
          <w:marTop w:val="86"/>
          <w:marBottom w:val="0"/>
          <w:divBdr>
            <w:top w:val="none" w:sz="0" w:space="0" w:color="auto"/>
            <w:left w:val="none" w:sz="0" w:space="0" w:color="auto"/>
            <w:bottom w:val="none" w:sz="0" w:space="0" w:color="auto"/>
            <w:right w:val="none" w:sz="0" w:space="0" w:color="auto"/>
          </w:divBdr>
        </w:div>
      </w:divsChild>
    </w:div>
    <w:div w:id="555820759">
      <w:bodyDiv w:val="1"/>
      <w:marLeft w:val="0"/>
      <w:marRight w:val="0"/>
      <w:marTop w:val="0"/>
      <w:marBottom w:val="0"/>
      <w:divBdr>
        <w:top w:val="none" w:sz="0" w:space="0" w:color="auto"/>
        <w:left w:val="none" w:sz="0" w:space="0" w:color="auto"/>
        <w:bottom w:val="none" w:sz="0" w:space="0" w:color="auto"/>
        <w:right w:val="none" w:sz="0" w:space="0" w:color="auto"/>
      </w:divBdr>
      <w:divsChild>
        <w:div w:id="795828288">
          <w:marLeft w:val="547"/>
          <w:marRight w:val="0"/>
          <w:marTop w:val="0"/>
          <w:marBottom w:val="0"/>
          <w:divBdr>
            <w:top w:val="none" w:sz="0" w:space="0" w:color="auto"/>
            <w:left w:val="none" w:sz="0" w:space="0" w:color="auto"/>
            <w:bottom w:val="none" w:sz="0" w:space="0" w:color="auto"/>
            <w:right w:val="none" w:sz="0" w:space="0" w:color="auto"/>
          </w:divBdr>
        </w:div>
      </w:divsChild>
    </w:div>
    <w:div w:id="558907671">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6519469">
      <w:bodyDiv w:val="1"/>
      <w:marLeft w:val="0"/>
      <w:marRight w:val="0"/>
      <w:marTop w:val="0"/>
      <w:marBottom w:val="0"/>
      <w:divBdr>
        <w:top w:val="none" w:sz="0" w:space="0" w:color="auto"/>
        <w:left w:val="none" w:sz="0" w:space="0" w:color="auto"/>
        <w:bottom w:val="none" w:sz="0" w:space="0" w:color="auto"/>
        <w:right w:val="none" w:sz="0" w:space="0" w:color="auto"/>
      </w:divBdr>
      <w:divsChild>
        <w:div w:id="176501748">
          <w:marLeft w:val="1166"/>
          <w:marRight w:val="0"/>
          <w:marTop w:val="67"/>
          <w:marBottom w:val="0"/>
          <w:divBdr>
            <w:top w:val="none" w:sz="0" w:space="0" w:color="auto"/>
            <w:left w:val="none" w:sz="0" w:space="0" w:color="auto"/>
            <w:bottom w:val="none" w:sz="0" w:space="0" w:color="auto"/>
            <w:right w:val="none" w:sz="0" w:space="0" w:color="auto"/>
          </w:divBdr>
        </w:div>
      </w:divsChild>
    </w:div>
    <w:div w:id="599874292">
      <w:bodyDiv w:val="1"/>
      <w:marLeft w:val="0"/>
      <w:marRight w:val="0"/>
      <w:marTop w:val="0"/>
      <w:marBottom w:val="0"/>
      <w:divBdr>
        <w:top w:val="none" w:sz="0" w:space="0" w:color="auto"/>
        <w:left w:val="none" w:sz="0" w:space="0" w:color="auto"/>
        <w:bottom w:val="none" w:sz="0" w:space="0" w:color="auto"/>
        <w:right w:val="none" w:sz="0" w:space="0" w:color="auto"/>
      </w:divBdr>
    </w:div>
    <w:div w:id="616522699">
      <w:bodyDiv w:val="1"/>
      <w:marLeft w:val="0"/>
      <w:marRight w:val="0"/>
      <w:marTop w:val="0"/>
      <w:marBottom w:val="0"/>
      <w:divBdr>
        <w:top w:val="none" w:sz="0" w:space="0" w:color="auto"/>
        <w:left w:val="none" w:sz="0" w:space="0" w:color="auto"/>
        <w:bottom w:val="none" w:sz="0" w:space="0" w:color="auto"/>
        <w:right w:val="none" w:sz="0" w:space="0" w:color="auto"/>
      </w:divBdr>
    </w:div>
    <w:div w:id="621881340">
      <w:bodyDiv w:val="1"/>
      <w:marLeft w:val="0"/>
      <w:marRight w:val="0"/>
      <w:marTop w:val="0"/>
      <w:marBottom w:val="0"/>
      <w:divBdr>
        <w:top w:val="none" w:sz="0" w:space="0" w:color="auto"/>
        <w:left w:val="none" w:sz="0" w:space="0" w:color="auto"/>
        <w:bottom w:val="none" w:sz="0" w:space="0" w:color="auto"/>
        <w:right w:val="none" w:sz="0" w:space="0" w:color="auto"/>
      </w:divBdr>
    </w:div>
    <w:div w:id="652027738">
      <w:bodyDiv w:val="1"/>
      <w:marLeft w:val="0"/>
      <w:marRight w:val="0"/>
      <w:marTop w:val="0"/>
      <w:marBottom w:val="0"/>
      <w:divBdr>
        <w:top w:val="none" w:sz="0" w:space="0" w:color="auto"/>
        <w:left w:val="none" w:sz="0" w:space="0" w:color="auto"/>
        <w:bottom w:val="none" w:sz="0" w:space="0" w:color="auto"/>
        <w:right w:val="none" w:sz="0" w:space="0" w:color="auto"/>
      </w:divBdr>
    </w:div>
    <w:div w:id="666054615">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677199687">
      <w:bodyDiv w:val="1"/>
      <w:marLeft w:val="0"/>
      <w:marRight w:val="0"/>
      <w:marTop w:val="0"/>
      <w:marBottom w:val="0"/>
      <w:divBdr>
        <w:top w:val="none" w:sz="0" w:space="0" w:color="auto"/>
        <w:left w:val="none" w:sz="0" w:space="0" w:color="auto"/>
        <w:bottom w:val="none" w:sz="0" w:space="0" w:color="auto"/>
        <w:right w:val="none" w:sz="0" w:space="0" w:color="auto"/>
      </w:divBdr>
    </w:div>
    <w:div w:id="706872418">
      <w:bodyDiv w:val="1"/>
      <w:marLeft w:val="0"/>
      <w:marRight w:val="0"/>
      <w:marTop w:val="0"/>
      <w:marBottom w:val="0"/>
      <w:divBdr>
        <w:top w:val="none" w:sz="0" w:space="0" w:color="auto"/>
        <w:left w:val="none" w:sz="0" w:space="0" w:color="auto"/>
        <w:bottom w:val="none" w:sz="0" w:space="0" w:color="auto"/>
        <w:right w:val="none" w:sz="0" w:space="0" w:color="auto"/>
      </w:divBdr>
    </w:div>
    <w:div w:id="712851112">
      <w:bodyDiv w:val="1"/>
      <w:marLeft w:val="0"/>
      <w:marRight w:val="0"/>
      <w:marTop w:val="0"/>
      <w:marBottom w:val="0"/>
      <w:divBdr>
        <w:top w:val="none" w:sz="0" w:space="0" w:color="auto"/>
        <w:left w:val="none" w:sz="0" w:space="0" w:color="auto"/>
        <w:bottom w:val="none" w:sz="0" w:space="0" w:color="auto"/>
        <w:right w:val="none" w:sz="0" w:space="0" w:color="auto"/>
      </w:divBdr>
    </w:div>
    <w:div w:id="722558148">
      <w:bodyDiv w:val="1"/>
      <w:marLeft w:val="0"/>
      <w:marRight w:val="0"/>
      <w:marTop w:val="0"/>
      <w:marBottom w:val="0"/>
      <w:divBdr>
        <w:top w:val="none" w:sz="0" w:space="0" w:color="auto"/>
        <w:left w:val="none" w:sz="0" w:space="0" w:color="auto"/>
        <w:bottom w:val="none" w:sz="0" w:space="0" w:color="auto"/>
        <w:right w:val="none" w:sz="0" w:space="0" w:color="auto"/>
      </w:divBdr>
    </w:div>
    <w:div w:id="733049674">
      <w:bodyDiv w:val="1"/>
      <w:marLeft w:val="0"/>
      <w:marRight w:val="0"/>
      <w:marTop w:val="0"/>
      <w:marBottom w:val="0"/>
      <w:divBdr>
        <w:top w:val="none" w:sz="0" w:space="0" w:color="auto"/>
        <w:left w:val="none" w:sz="0" w:space="0" w:color="auto"/>
        <w:bottom w:val="none" w:sz="0" w:space="0" w:color="auto"/>
        <w:right w:val="none" w:sz="0" w:space="0" w:color="auto"/>
      </w:divBdr>
    </w:div>
    <w:div w:id="733896303">
      <w:bodyDiv w:val="1"/>
      <w:marLeft w:val="0"/>
      <w:marRight w:val="0"/>
      <w:marTop w:val="0"/>
      <w:marBottom w:val="0"/>
      <w:divBdr>
        <w:top w:val="none" w:sz="0" w:space="0" w:color="auto"/>
        <w:left w:val="none" w:sz="0" w:space="0" w:color="auto"/>
        <w:bottom w:val="none" w:sz="0" w:space="0" w:color="auto"/>
        <w:right w:val="none" w:sz="0" w:space="0" w:color="auto"/>
      </w:divBdr>
    </w:div>
    <w:div w:id="735862975">
      <w:bodyDiv w:val="1"/>
      <w:marLeft w:val="0"/>
      <w:marRight w:val="0"/>
      <w:marTop w:val="0"/>
      <w:marBottom w:val="0"/>
      <w:divBdr>
        <w:top w:val="none" w:sz="0" w:space="0" w:color="auto"/>
        <w:left w:val="none" w:sz="0" w:space="0" w:color="auto"/>
        <w:bottom w:val="none" w:sz="0" w:space="0" w:color="auto"/>
        <w:right w:val="none" w:sz="0" w:space="0" w:color="auto"/>
      </w:divBdr>
      <w:divsChild>
        <w:div w:id="1412389125">
          <w:marLeft w:val="3240"/>
          <w:marRight w:val="0"/>
          <w:marTop w:val="58"/>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62647498">
      <w:bodyDiv w:val="1"/>
      <w:marLeft w:val="0"/>
      <w:marRight w:val="0"/>
      <w:marTop w:val="0"/>
      <w:marBottom w:val="0"/>
      <w:divBdr>
        <w:top w:val="none" w:sz="0" w:space="0" w:color="auto"/>
        <w:left w:val="none" w:sz="0" w:space="0" w:color="auto"/>
        <w:bottom w:val="none" w:sz="0" w:space="0" w:color="auto"/>
        <w:right w:val="none" w:sz="0" w:space="0" w:color="auto"/>
      </w:divBdr>
    </w:div>
    <w:div w:id="789662390">
      <w:bodyDiv w:val="1"/>
      <w:marLeft w:val="0"/>
      <w:marRight w:val="0"/>
      <w:marTop w:val="0"/>
      <w:marBottom w:val="0"/>
      <w:divBdr>
        <w:top w:val="none" w:sz="0" w:space="0" w:color="auto"/>
        <w:left w:val="none" w:sz="0" w:space="0" w:color="auto"/>
        <w:bottom w:val="none" w:sz="0" w:space="0" w:color="auto"/>
        <w:right w:val="none" w:sz="0" w:space="0" w:color="auto"/>
      </w:divBdr>
    </w:div>
    <w:div w:id="802651152">
      <w:bodyDiv w:val="1"/>
      <w:marLeft w:val="0"/>
      <w:marRight w:val="0"/>
      <w:marTop w:val="0"/>
      <w:marBottom w:val="0"/>
      <w:divBdr>
        <w:top w:val="none" w:sz="0" w:space="0" w:color="auto"/>
        <w:left w:val="none" w:sz="0" w:space="0" w:color="auto"/>
        <w:bottom w:val="none" w:sz="0" w:space="0" w:color="auto"/>
        <w:right w:val="none" w:sz="0" w:space="0" w:color="auto"/>
      </w:divBdr>
      <w:divsChild>
        <w:div w:id="1852599982">
          <w:marLeft w:val="547"/>
          <w:marRight w:val="0"/>
          <w:marTop w:val="96"/>
          <w:marBottom w:val="0"/>
          <w:divBdr>
            <w:top w:val="none" w:sz="0" w:space="0" w:color="auto"/>
            <w:left w:val="none" w:sz="0" w:space="0" w:color="auto"/>
            <w:bottom w:val="none" w:sz="0" w:space="0" w:color="auto"/>
            <w:right w:val="none" w:sz="0" w:space="0" w:color="auto"/>
          </w:divBdr>
        </w:div>
      </w:divsChild>
    </w:div>
    <w:div w:id="819273214">
      <w:bodyDiv w:val="1"/>
      <w:marLeft w:val="0"/>
      <w:marRight w:val="0"/>
      <w:marTop w:val="0"/>
      <w:marBottom w:val="0"/>
      <w:divBdr>
        <w:top w:val="none" w:sz="0" w:space="0" w:color="auto"/>
        <w:left w:val="none" w:sz="0" w:space="0" w:color="auto"/>
        <w:bottom w:val="none" w:sz="0" w:space="0" w:color="auto"/>
        <w:right w:val="none" w:sz="0" w:space="0" w:color="auto"/>
      </w:divBdr>
    </w:div>
    <w:div w:id="848329521">
      <w:bodyDiv w:val="1"/>
      <w:marLeft w:val="0"/>
      <w:marRight w:val="0"/>
      <w:marTop w:val="0"/>
      <w:marBottom w:val="0"/>
      <w:divBdr>
        <w:top w:val="none" w:sz="0" w:space="0" w:color="auto"/>
        <w:left w:val="none" w:sz="0" w:space="0" w:color="auto"/>
        <w:bottom w:val="none" w:sz="0" w:space="0" w:color="auto"/>
        <w:right w:val="none" w:sz="0" w:space="0" w:color="auto"/>
      </w:divBdr>
    </w:div>
    <w:div w:id="850729000">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62288374">
      <w:bodyDiv w:val="1"/>
      <w:marLeft w:val="0"/>
      <w:marRight w:val="0"/>
      <w:marTop w:val="0"/>
      <w:marBottom w:val="0"/>
      <w:divBdr>
        <w:top w:val="none" w:sz="0" w:space="0" w:color="auto"/>
        <w:left w:val="none" w:sz="0" w:space="0" w:color="auto"/>
        <w:bottom w:val="none" w:sz="0" w:space="0" w:color="auto"/>
        <w:right w:val="none" w:sz="0" w:space="0" w:color="auto"/>
      </w:divBdr>
    </w:div>
    <w:div w:id="879055928">
      <w:bodyDiv w:val="1"/>
      <w:marLeft w:val="0"/>
      <w:marRight w:val="0"/>
      <w:marTop w:val="0"/>
      <w:marBottom w:val="0"/>
      <w:divBdr>
        <w:top w:val="none" w:sz="0" w:space="0" w:color="auto"/>
        <w:left w:val="none" w:sz="0" w:space="0" w:color="auto"/>
        <w:bottom w:val="none" w:sz="0" w:space="0" w:color="auto"/>
        <w:right w:val="none" w:sz="0" w:space="0" w:color="auto"/>
      </w:divBdr>
      <w:divsChild>
        <w:div w:id="1986279233">
          <w:marLeft w:val="547"/>
          <w:marRight w:val="0"/>
          <w:marTop w:val="0"/>
          <w:marBottom w:val="120"/>
          <w:divBdr>
            <w:top w:val="none" w:sz="0" w:space="0" w:color="auto"/>
            <w:left w:val="none" w:sz="0" w:space="0" w:color="auto"/>
            <w:bottom w:val="none" w:sz="0" w:space="0" w:color="auto"/>
            <w:right w:val="none" w:sz="0" w:space="0" w:color="auto"/>
          </w:divBdr>
        </w:div>
        <w:div w:id="1502694547">
          <w:marLeft w:val="547"/>
          <w:marRight w:val="0"/>
          <w:marTop w:val="0"/>
          <w:marBottom w:val="120"/>
          <w:divBdr>
            <w:top w:val="none" w:sz="0" w:space="0" w:color="auto"/>
            <w:left w:val="none" w:sz="0" w:space="0" w:color="auto"/>
            <w:bottom w:val="none" w:sz="0" w:space="0" w:color="auto"/>
            <w:right w:val="none" w:sz="0" w:space="0" w:color="auto"/>
          </w:divBdr>
        </w:div>
      </w:divsChild>
    </w:div>
    <w:div w:id="892934489">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3493599">
      <w:bodyDiv w:val="1"/>
      <w:marLeft w:val="0"/>
      <w:marRight w:val="0"/>
      <w:marTop w:val="0"/>
      <w:marBottom w:val="0"/>
      <w:divBdr>
        <w:top w:val="none" w:sz="0" w:space="0" w:color="auto"/>
        <w:left w:val="none" w:sz="0" w:space="0" w:color="auto"/>
        <w:bottom w:val="none" w:sz="0" w:space="0" w:color="auto"/>
        <w:right w:val="none" w:sz="0" w:space="0" w:color="auto"/>
      </w:divBdr>
    </w:div>
    <w:div w:id="915474629">
      <w:bodyDiv w:val="1"/>
      <w:marLeft w:val="0"/>
      <w:marRight w:val="0"/>
      <w:marTop w:val="0"/>
      <w:marBottom w:val="0"/>
      <w:divBdr>
        <w:top w:val="none" w:sz="0" w:space="0" w:color="auto"/>
        <w:left w:val="none" w:sz="0" w:space="0" w:color="auto"/>
        <w:bottom w:val="none" w:sz="0" w:space="0" w:color="auto"/>
        <w:right w:val="none" w:sz="0" w:space="0" w:color="auto"/>
      </w:divBdr>
    </w:div>
    <w:div w:id="922419504">
      <w:bodyDiv w:val="1"/>
      <w:marLeft w:val="0"/>
      <w:marRight w:val="0"/>
      <w:marTop w:val="0"/>
      <w:marBottom w:val="0"/>
      <w:divBdr>
        <w:top w:val="none" w:sz="0" w:space="0" w:color="auto"/>
        <w:left w:val="none" w:sz="0" w:space="0" w:color="auto"/>
        <w:bottom w:val="none" w:sz="0" w:space="0" w:color="auto"/>
        <w:right w:val="none" w:sz="0" w:space="0" w:color="auto"/>
      </w:divBdr>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7280120">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326856">
      <w:bodyDiv w:val="1"/>
      <w:marLeft w:val="0"/>
      <w:marRight w:val="0"/>
      <w:marTop w:val="0"/>
      <w:marBottom w:val="0"/>
      <w:divBdr>
        <w:top w:val="none" w:sz="0" w:space="0" w:color="auto"/>
        <w:left w:val="none" w:sz="0" w:space="0" w:color="auto"/>
        <w:bottom w:val="none" w:sz="0" w:space="0" w:color="auto"/>
        <w:right w:val="none" w:sz="0" w:space="0" w:color="auto"/>
      </w:divBdr>
    </w:div>
    <w:div w:id="954794591">
      <w:bodyDiv w:val="1"/>
      <w:marLeft w:val="0"/>
      <w:marRight w:val="0"/>
      <w:marTop w:val="0"/>
      <w:marBottom w:val="0"/>
      <w:divBdr>
        <w:top w:val="none" w:sz="0" w:space="0" w:color="auto"/>
        <w:left w:val="none" w:sz="0" w:space="0" w:color="auto"/>
        <w:bottom w:val="none" w:sz="0" w:space="0" w:color="auto"/>
        <w:right w:val="none" w:sz="0" w:space="0" w:color="auto"/>
      </w:divBdr>
    </w:div>
    <w:div w:id="954873354">
      <w:bodyDiv w:val="1"/>
      <w:marLeft w:val="0"/>
      <w:marRight w:val="0"/>
      <w:marTop w:val="0"/>
      <w:marBottom w:val="0"/>
      <w:divBdr>
        <w:top w:val="none" w:sz="0" w:space="0" w:color="auto"/>
        <w:left w:val="none" w:sz="0" w:space="0" w:color="auto"/>
        <w:bottom w:val="none" w:sz="0" w:space="0" w:color="auto"/>
        <w:right w:val="none" w:sz="0" w:space="0" w:color="auto"/>
      </w:divBdr>
      <w:divsChild>
        <w:div w:id="495387170">
          <w:marLeft w:val="1800"/>
          <w:marRight w:val="0"/>
          <w:marTop w:val="67"/>
          <w:marBottom w:val="0"/>
          <w:divBdr>
            <w:top w:val="none" w:sz="0" w:space="0" w:color="auto"/>
            <w:left w:val="none" w:sz="0" w:space="0" w:color="auto"/>
            <w:bottom w:val="none" w:sz="0" w:space="0" w:color="auto"/>
            <w:right w:val="none" w:sz="0" w:space="0" w:color="auto"/>
          </w:divBdr>
        </w:div>
        <w:div w:id="535893448">
          <w:marLeft w:val="2520"/>
          <w:marRight w:val="0"/>
          <w:marTop w:val="67"/>
          <w:marBottom w:val="0"/>
          <w:divBdr>
            <w:top w:val="none" w:sz="0" w:space="0" w:color="auto"/>
            <w:left w:val="none" w:sz="0" w:space="0" w:color="auto"/>
            <w:bottom w:val="none" w:sz="0" w:space="0" w:color="auto"/>
            <w:right w:val="none" w:sz="0" w:space="0" w:color="auto"/>
          </w:divBdr>
        </w:div>
        <w:div w:id="1798836448">
          <w:marLeft w:val="2520"/>
          <w:marRight w:val="0"/>
          <w:marTop w:val="67"/>
          <w:marBottom w:val="0"/>
          <w:divBdr>
            <w:top w:val="none" w:sz="0" w:space="0" w:color="auto"/>
            <w:left w:val="none" w:sz="0" w:space="0" w:color="auto"/>
            <w:bottom w:val="none" w:sz="0" w:space="0" w:color="auto"/>
            <w:right w:val="none" w:sz="0" w:space="0" w:color="auto"/>
          </w:divBdr>
        </w:div>
      </w:divsChild>
    </w:div>
    <w:div w:id="960456857">
      <w:bodyDiv w:val="1"/>
      <w:marLeft w:val="0"/>
      <w:marRight w:val="0"/>
      <w:marTop w:val="0"/>
      <w:marBottom w:val="0"/>
      <w:divBdr>
        <w:top w:val="none" w:sz="0" w:space="0" w:color="auto"/>
        <w:left w:val="none" w:sz="0" w:space="0" w:color="auto"/>
        <w:bottom w:val="none" w:sz="0" w:space="0" w:color="auto"/>
        <w:right w:val="none" w:sz="0" w:space="0" w:color="auto"/>
      </w:divBdr>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964627620">
      <w:bodyDiv w:val="1"/>
      <w:marLeft w:val="0"/>
      <w:marRight w:val="0"/>
      <w:marTop w:val="0"/>
      <w:marBottom w:val="0"/>
      <w:divBdr>
        <w:top w:val="none" w:sz="0" w:space="0" w:color="auto"/>
        <w:left w:val="none" w:sz="0" w:space="0" w:color="auto"/>
        <w:bottom w:val="none" w:sz="0" w:space="0" w:color="auto"/>
        <w:right w:val="none" w:sz="0" w:space="0" w:color="auto"/>
      </w:divBdr>
    </w:div>
    <w:div w:id="966469608">
      <w:bodyDiv w:val="1"/>
      <w:marLeft w:val="0"/>
      <w:marRight w:val="0"/>
      <w:marTop w:val="0"/>
      <w:marBottom w:val="0"/>
      <w:divBdr>
        <w:top w:val="none" w:sz="0" w:space="0" w:color="auto"/>
        <w:left w:val="none" w:sz="0" w:space="0" w:color="auto"/>
        <w:bottom w:val="none" w:sz="0" w:space="0" w:color="auto"/>
        <w:right w:val="none" w:sz="0" w:space="0" w:color="auto"/>
      </w:divBdr>
    </w:div>
    <w:div w:id="967977617">
      <w:bodyDiv w:val="1"/>
      <w:marLeft w:val="0"/>
      <w:marRight w:val="0"/>
      <w:marTop w:val="0"/>
      <w:marBottom w:val="0"/>
      <w:divBdr>
        <w:top w:val="none" w:sz="0" w:space="0" w:color="auto"/>
        <w:left w:val="none" w:sz="0" w:space="0" w:color="auto"/>
        <w:bottom w:val="none" w:sz="0" w:space="0" w:color="auto"/>
        <w:right w:val="none" w:sz="0" w:space="0" w:color="auto"/>
      </w:divBdr>
      <w:divsChild>
        <w:div w:id="1559167871">
          <w:marLeft w:val="2520"/>
          <w:marRight w:val="0"/>
          <w:marTop w:val="58"/>
          <w:marBottom w:val="0"/>
          <w:divBdr>
            <w:top w:val="none" w:sz="0" w:space="0" w:color="auto"/>
            <w:left w:val="none" w:sz="0" w:space="0" w:color="auto"/>
            <w:bottom w:val="none" w:sz="0" w:space="0" w:color="auto"/>
            <w:right w:val="none" w:sz="0" w:space="0" w:color="auto"/>
          </w:divBdr>
        </w:div>
      </w:divsChild>
    </w:div>
    <w:div w:id="1004749973">
      <w:bodyDiv w:val="1"/>
      <w:marLeft w:val="0"/>
      <w:marRight w:val="0"/>
      <w:marTop w:val="0"/>
      <w:marBottom w:val="0"/>
      <w:divBdr>
        <w:top w:val="none" w:sz="0" w:space="0" w:color="auto"/>
        <w:left w:val="none" w:sz="0" w:space="0" w:color="auto"/>
        <w:bottom w:val="none" w:sz="0" w:space="0" w:color="auto"/>
        <w:right w:val="none" w:sz="0" w:space="0" w:color="auto"/>
      </w:divBdr>
    </w:div>
    <w:div w:id="1014305585">
      <w:bodyDiv w:val="1"/>
      <w:marLeft w:val="0"/>
      <w:marRight w:val="0"/>
      <w:marTop w:val="0"/>
      <w:marBottom w:val="0"/>
      <w:divBdr>
        <w:top w:val="none" w:sz="0" w:space="0" w:color="auto"/>
        <w:left w:val="none" w:sz="0" w:space="0" w:color="auto"/>
        <w:bottom w:val="none" w:sz="0" w:space="0" w:color="auto"/>
        <w:right w:val="none" w:sz="0" w:space="0" w:color="auto"/>
      </w:divBdr>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5546861">
      <w:bodyDiv w:val="1"/>
      <w:marLeft w:val="0"/>
      <w:marRight w:val="0"/>
      <w:marTop w:val="0"/>
      <w:marBottom w:val="0"/>
      <w:divBdr>
        <w:top w:val="none" w:sz="0" w:space="0" w:color="auto"/>
        <w:left w:val="none" w:sz="0" w:space="0" w:color="auto"/>
        <w:bottom w:val="none" w:sz="0" w:space="0" w:color="auto"/>
        <w:right w:val="none" w:sz="0" w:space="0" w:color="auto"/>
      </w:divBdr>
      <w:divsChild>
        <w:div w:id="1583635762">
          <w:marLeft w:val="1166"/>
          <w:marRight w:val="0"/>
          <w:marTop w:val="0"/>
          <w:marBottom w:val="0"/>
          <w:divBdr>
            <w:top w:val="none" w:sz="0" w:space="0" w:color="auto"/>
            <w:left w:val="none" w:sz="0" w:space="0" w:color="auto"/>
            <w:bottom w:val="none" w:sz="0" w:space="0" w:color="auto"/>
            <w:right w:val="none" w:sz="0" w:space="0" w:color="auto"/>
          </w:divBdr>
        </w:div>
        <w:div w:id="647825410">
          <w:marLeft w:val="1166"/>
          <w:marRight w:val="0"/>
          <w:marTop w:val="0"/>
          <w:marBottom w:val="0"/>
          <w:divBdr>
            <w:top w:val="none" w:sz="0" w:space="0" w:color="auto"/>
            <w:left w:val="none" w:sz="0" w:space="0" w:color="auto"/>
            <w:bottom w:val="none" w:sz="0" w:space="0" w:color="auto"/>
            <w:right w:val="none" w:sz="0" w:space="0" w:color="auto"/>
          </w:divBdr>
        </w:div>
        <w:div w:id="1805391213">
          <w:marLeft w:val="1166"/>
          <w:marRight w:val="0"/>
          <w:marTop w:val="0"/>
          <w:marBottom w:val="0"/>
          <w:divBdr>
            <w:top w:val="none" w:sz="0" w:space="0" w:color="auto"/>
            <w:left w:val="none" w:sz="0" w:space="0" w:color="auto"/>
            <w:bottom w:val="none" w:sz="0" w:space="0" w:color="auto"/>
            <w:right w:val="none" w:sz="0" w:space="0" w:color="auto"/>
          </w:divBdr>
        </w:div>
        <w:div w:id="1083991079">
          <w:marLeft w:val="1166"/>
          <w:marRight w:val="0"/>
          <w:marTop w:val="0"/>
          <w:marBottom w:val="0"/>
          <w:divBdr>
            <w:top w:val="none" w:sz="0" w:space="0" w:color="auto"/>
            <w:left w:val="none" w:sz="0" w:space="0" w:color="auto"/>
            <w:bottom w:val="none" w:sz="0" w:space="0" w:color="auto"/>
            <w:right w:val="none" w:sz="0" w:space="0" w:color="auto"/>
          </w:divBdr>
        </w:div>
        <w:div w:id="1323318052">
          <w:marLeft w:val="1166"/>
          <w:marRight w:val="0"/>
          <w:marTop w:val="0"/>
          <w:marBottom w:val="0"/>
          <w:divBdr>
            <w:top w:val="none" w:sz="0" w:space="0" w:color="auto"/>
            <w:left w:val="none" w:sz="0" w:space="0" w:color="auto"/>
            <w:bottom w:val="none" w:sz="0" w:space="0" w:color="auto"/>
            <w:right w:val="none" w:sz="0" w:space="0" w:color="auto"/>
          </w:divBdr>
        </w:div>
        <w:div w:id="557017744">
          <w:marLeft w:val="1166"/>
          <w:marRight w:val="0"/>
          <w:marTop w:val="0"/>
          <w:marBottom w:val="0"/>
          <w:divBdr>
            <w:top w:val="none" w:sz="0" w:space="0" w:color="auto"/>
            <w:left w:val="none" w:sz="0" w:space="0" w:color="auto"/>
            <w:bottom w:val="none" w:sz="0" w:space="0" w:color="auto"/>
            <w:right w:val="none" w:sz="0" w:space="0" w:color="auto"/>
          </w:divBdr>
        </w:div>
        <w:div w:id="1821654276">
          <w:marLeft w:val="1166"/>
          <w:marRight w:val="0"/>
          <w:marTop w:val="0"/>
          <w:marBottom w:val="0"/>
          <w:divBdr>
            <w:top w:val="none" w:sz="0" w:space="0" w:color="auto"/>
            <w:left w:val="none" w:sz="0" w:space="0" w:color="auto"/>
            <w:bottom w:val="none" w:sz="0" w:space="0" w:color="auto"/>
            <w:right w:val="none" w:sz="0" w:space="0" w:color="auto"/>
          </w:divBdr>
        </w:div>
        <w:div w:id="1210534183">
          <w:marLeft w:val="1166"/>
          <w:marRight w:val="0"/>
          <w:marTop w:val="0"/>
          <w:marBottom w:val="0"/>
          <w:divBdr>
            <w:top w:val="none" w:sz="0" w:space="0" w:color="auto"/>
            <w:left w:val="none" w:sz="0" w:space="0" w:color="auto"/>
            <w:bottom w:val="none" w:sz="0" w:space="0" w:color="auto"/>
            <w:right w:val="none" w:sz="0" w:space="0" w:color="auto"/>
          </w:divBdr>
        </w:div>
        <w:div w:id="1017390924">
          <w:marLeft w:val="1166"/>
          <w:marRight w:val="0"/>
          <w:marTop w:val="0"/>
          <w:marBottom w:val="0"/>
          <w:divBdr>
            <w:top w:val="none" w:sz="0" w:space="0" w:color="auto"/>
            <w:left w:val="none" w:sz="0" w:space="0" w:color="auto"/>
            <w:bottom w:val="none" w:sz="0" w:space="0" w:color="auto"/>
            <w:right w:val="none" w:sz="0" w:space="0" w:color="auto"/>
          </w:divBdr>
        </w:div>
        <w:div w:id="1263611161">
          <w:marLeft w:val="1166"/>
          <w:marRight w:val="0"/>
          <w:marTop w:val="0"/>
          <w:marBottom w:val="0"/>
          <w:divBdr>
            <w:top w:val="none" w:sz="0" w:space="0" w:color="auto"/>
            <w:left w:val="none" w:sz="0" w:space="0" w:color="auto"/>
            <w:bottom w:val="none" w:sz="0" w:space="0" w:color="auto"/>
            <w:right w:val="none" w:sz="0" w:space="0" w:color="auto"/>
          </w:divBdr>
        </w:div>
        <w:div w:id="23484263">
          <w:marLeft w:val="1166"/>
          <w:marRight w:val="0"/>
          <w:marTop w:val="0"/>
          <w:marBottom w:val="0"/>
          <w:divBdr>
            <w:top w:val="none" w:sz="0" w:space="0" w:color="auto"/>
            <w:left w:val="none" w:sz="0" w:space="0" w:color="auto"/>
            <w:bottom w:val="none" w:sz="0" w:space="0" w:color="auto"/>
            <w:right w:val="none" w:sz="0" w:space="0" w:color="auto"/>
          </w:divBdr>
        </w:div>
        <w:div w:id="2027293818">
          <w:marLeft w:val="1166"/>
          <w:marRight w:val="0"/>
          <w:marTop w:val="0"/>
          <w:marBottom w:val="0"/>
          <w:divBdr>
            <w:top w:val="none" w:sz="0" w:space="0" w:color="auto"/>
            <w:left w:val="none" w:sz="0" w:space="0" w:color="auto"/>
            <w:bottom w:val="none" w:sz="0" w:space="0" w:color="auto"/>
            <w:right w:val="none" w:sz="0" w:space="0" w:color="auto"/>
          </w:divBdr>
        </w:div>
      </w:divsChild>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140903">
      <w:bodyDiv w:val="1"/>
      <w:marLeft w:val="0"/>
      <w:marRight w:val="0"/>
      <w:marTop w:val="0"/>
      <w:marBottom w:val="0"/>
      <w:divBdr>
        <w:top w:val="none" w:sz="0" w:space="0" w:color="auto"/>
        <w:left w:val="none" w:sz="0" w:space="0" w:color="auto"/>
        <w:bottom w:val="none" w:sz="0" w:space="0" w:color="auto"/>
        <w:right w:val="none" w:sz="0" w:space="0" w:color="auto"/>
      </w:divBdr>
      <w:divsChild>
        <w:div w:id="552471047">
          <w:marLeft w:val="1166"/>
          <w:marRight w:val="0"/>
          <w:marTop w:val="134"/>
          <w:marBottom w:val="0"/>
          <w:divBdr>
            <w:top w:val="none" w:sz="0" w:space="0" w:color="auto"/>
            <w:left w:val="none" w:sz="0" w:space="0" w:color="auto"/>
            <w:bottom w:val="none" w:sz="0" w:space="0" w:color="auto"/>
            <w:right w:val="none" w:sz="0" w:space="0" w:color="auto"/>
          </w:divBdr>
        </w:div>
        <w:div w:id="1835563460">
          <w:marLeft w:val="547"/>
          <w:marRight w:val="0"/>
          <w:marTop w:val="154"/>
          <w:marBottom w:val="0"/>
          <w:divBdr>
            <w:top w:val="none" w:sz="0" w:space="0" w:color="auto"/>
            <w:left w:val="none" w:sz="0" w:space="0" w:color="auto"/>
            <w:bottom w:val="none" w:sz="0" w:space="0" w:color="auto"/>
            <w:right w:val="none" w:sz="0" w:space="0" w:color="auto"/>
          </w:divBdr>
        </w:div>
      </w:divsChild>
    </w:div>
    <w:div w:id="1064446467">
      <w:bodyDiv w:val="1"/>
      <w:marLeft w:val="0"/>
      <w:marRight w:val="0"/>
      <w:marTop w:val="0"/>
      <w:marBottom w:val="0"/>
      <w:divBdr>
        <w:top w:val="none" w:sz="0" w:space="0" w:color="auto"/>
        <w:left w:val="none" w:sz="0" w:space="0" w:color="auto"/>
        <w:bottom w:val="none" w:sz="0" w:space="0" w:color="auto"/>
        <w:right w:val="none" w:sz="0" w:space="0" w:color="auto"/>
      </w:divBdr>
      <w:divsChild>
        <w:div w:id="154340142">
          <w:marLeft w:val="1080"/>
          <w:marRight w:val="0"/>
          <w:marTop w:val="100"/>
          <w:marBottom w:val="0"/>
          <w:divBdr>
            <w:top w:val="none" w:sz="0" w:space="0" w:color="auto"/>
            <w:left w:val="none" w:sz="0" w:space="0" w:color="auto"/>
            <w:bottom w:val="none" w:sz="0" w:space="0" w:color="auto"/>
            <w:right w:val="none" w:sz="0" w:space="0" w:color="auto"/>
          </w:divBdr>
        </w:div>
        <w:div w:id="1867257695">
          <w:marLeft w:val="1800"/>
          <w:marRight w:val="0"/>
          <w:marTop w:val="100"/>
          <w:marBottom w:val="0"/>
          <w:divBdr>
            <w:top w:val="none" w:sz="0" w:space="0" w:color="auto"/>
            <w:left w:val="none" w:sz="0" w:space="0" w:color="auto"/>
            <w:bottom w:val="none" w:sz="0" w:space="0" w:color="auto"/>
            <w:right w:val="none" w:sz="0" w:space="0" w:color="auto"/>
          </w:divBdr>
        </w:div>
        <w:div w:id="1487359224">
          <w:marLeft w:val="1080"/>
          <w:marRight w:val="0"/>
          <w:marTop w:val="100"/>
          <w:marBottom w:val="0"/>
          <w:divBdr>
            <w:top w:val="none" w:sz="0" w:space="0" w:color="auto"/>
            <w:left w:val="none" w:sz="0" w:space="0" w:color="auto"/>
            <w:bottom w:val="none" w:sz="0" w:space="0" w:color="auto"/>
            <w:right w:val="none" w:sz="0" w:space="0" w:color="auto"/>
          </w:divBdr>
        </w:div>
        <w:div w:id="359667206">
          <w:marLeft w:val="1800"/>
          <w:marRight w:val="0"/>
          <w:marTop w:val="100"/>
          <w:marBottom w:val="0"/>
          <w:divBdr>
            <w:top w:val="none" w:sz="0" w:space="0" w:color="auto"/>
            <w:left w:val="none" w:sz="0" w:space="0" w:color="auto"/>
            <w:bottom w:val="none" w:sz="0" w:space="0" w:color="auto"/>
            <w:right w:val="none" w:sz="0" w:space="0" w:color="auto"/>
          </w:divBdr>
        </w:div>
        <w:div w:id="820927870">
          <w:marLeft w:val="1080"/>
          <w:marRight w:val="0"/>
          <w:marTop w:val="100"/>
          <w:marBottom w:val="0"/>
          <w:divBdr>
            <w:top w:val="none" w:sz="0" w:space="0" w:color="auto"/>
            <w:left w:val="none" w:sz="0" w:space="0" w:color="auto"/>
            <w:bottom w:val="none" w:sz="0" w:space="0" w:color="auto"/>
            <w:right w:val="none" w:sz="0" w:space="0" w:color="auto"/>
          </w:divBdr>
        </w:div>
      </w:divsChild>
    </w:div>
    <w:div w:id="1079904393">
      <w:bodyDiv w:val="1"/>
      <w:marLeft w:val="0"/>
      <w:marRight w:val="0"/>
      <w:marTop w:val="0"/>
      <w:marBottom w:val="0"/>
      <w:divBdr>
        <w:top w:val="none" w:sz="0" w:space="0" w:color="auto"/>
        <w:left w:val="none" w:sz="0" w:space="0" w:color="auto"/>
        <w:bottom w:val="none" w:sz="0" w:space="0" w:color="auto"/>
        <w:right w:val="none" w:sz="0" w:space="0" w:color="auto"/>
      </w:divBdr>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1922734">
      <w:bodyDiv w:val="1"/>
      <w:marLeft w:val="0"/>
      <w:marRight w:val="0"/>
      <w:marTop w:val="0"/>
      <w:marBottom w:val="0"/>
      <w:divBdr>
        <w:top w:val="none" w:sz="0" w:space="0" w:color="auto"/>
        <w:left w:val="none" w:sz="0" w:space="0" w:color="auto"/>
        <w:bottom w:val="none" w:sz="0" w:space="0" w:color="auto"/>
        <w:right w:val="none" w:sz="0" w:space="0" w:color="auto"/>
      </w:divBdr>
    </w:div>
    <w:div w:id="1109856937">
      <w:bodyDiv w:val="1"/>
      <w:marLeft w:val="0"/>
      <w:marRight w:val="0"/>
      <w:marTop w:val="0"/>
      <w:marBottom w:val="0"/>
      <w:divBdr>
        <w:top w:val="none" w:sz="0" w:space="0" w:color="auto"/>
        <w:left w:val="none" w:sz="0" w:space="0" w:color="auto"/>
        <w:bottom w:val="none" w:sz="0" w:space="0" w:color="auto"/>
        <w:right w:val="none" w:sz="0" w:space="0" w:color="auto"/>
      </w:divBdr>
    </w:div>
    <w:div w:id="1114133656">
      <w:bodyDiv w:val="1"/>
      <w:marLeft w:val="0"/>
      <w:marRight w:val="0"/>
      <w:marTop w:val="0"/>
      <w:marBottom w:val="0"/>
      <w:divBdr>
        <w:top w:val="none" w:sz="0" w:space="0" w:color="auto"/>
        <w:left w:val="none" w:sz="0" w:space="0" w:color="auto"/>
        <w:bottom w:val="none" w:sz="0" w:space="0" w:color="auto"/>
        <w:right w:val="none" w:sz="0" w:space="0" w:color="auto"/>
      </w:divBdr>
    </w:div>
    <w:div w:id="1127701089">
      <w:bodyDiv w:val="1"/>
      <w:marLeft w:val="0"/>
      <w:marRight w:val="0"/>
      <w:marTop w:val="0"/>
      <w:marBottom w:val="0"/>
      <w:divBdr>
        <w:top w:val="none" w:sz="0" w:space="0" w:color="auto"/>
        <w:left w:val="none" w:sz="0" w:space="0" w:color="auto"/>
        <w:bottom w:val="none" w:sz="0" w:space="0" w:color="auto"/>
        <w:right w:val="none" w:sz="0" w:space="0" w:color="auto"/>
      </w:divBdr>
      <w:divsChild>
        <w:div w:id="1278414404">
          <w:marLeft w:val="446"/>
          <w:marRight w:val="0"/>
          <w:marTop w:val="0"/>
          <w:marBottom w:val="0"/>
          <w:divBdr>
            <w:top w:val="none" w:sz="0" w:space="0" w:color="auto"/>
            <w:left w:val="none" w:sz="0" w:space="0" w:color="auto"/>
            <w:bottom w:val="none" w:sz="0" w:space="0" w:color="auto"/>
            <w:right w:val="none" w:sz="0" w:space="0" w:color="auto"/>
          </w:divBdr>
        </w:div>
        <w:div w:id="1906841095">
          <w:marLeft w:val="1166"/>
          <w:marRight w:val="0"/>
          <w:marTop w:val="0"/>
          <w:marBottom w:val="0"/>
          <w:divBdr>
            <w:top w:val="none" w:sz="0" w:space="0" w:color="auto"/>
            <w:left w:val="none" w:sz="0" w:space="0" w:color="auto"/>
            <w:bottom w:val="none" w:sz="0" w:space="0" w:color="auto"/>
            <w:right w:val="none" w:sz="0" w:space="0" w:color="auto"/>
          </w:divBdr>
        </w:div>
        <w:div w:id="1105805486">
          <w:marLeft w:val="1886"/>
          <w:marRight w:val="0"/>
          <w:marTop w:val="0"/>
          <w:marBottom w:val="0"/>
          <w:divBdr>
            <w:top w:val="none" w:sz="0" w:space="0" w:color="auto"/>
            <w:left w:val="none" w:sz="0" w:space="0" w:color="auto"/>
            <w:bottom w:val="none" w:sz="0" w:space="0" w:color="auto"/>
            <w:right w:val="none" w:sz="0" w:space="0" w:color="auto"/>
          </w:divBdr>
        </w:div>
        <w:div w:id="77678042">
          <w:marLeft w:val="1886"/>
          <w:marRight w:val="0"/>
          <w:marTop w:val="0"/>
          <w:marBottom w:val="0"/>
          <w:divBdr>
            <w:top w:val="none" w:sz="0" w:space="0" w:color="auto"/>
            <w:left w:val="none" w:sz="0" w:space="0" w:color="auto"/>
            <w:bottom w:val="none" w:sz="0" w:space="0" w:color="auto"/>
            <w:right w:val="none" w:sz="0" w:space="0" w:color="auto"/>
          </w:divBdr>
        </w:div>
        <w:div w:id="1340935502">
          <w:marLeft w:val="1166"/>
          <w:marRight w:val="0"/>
          <w:marTop w:val="0"/>
          <w:marBottom w:val="0"/>
          <w:divBdr>
            <w:top w:val="none" w:sz="0" w:space="0" w:color="auto"/>
            <w:left w:val="none" w:sz="0" w:space="0" w:color="auto"/>
            <w:bottom w:val="none" w:sz="0" w:space="0" w:color="auto"/>
            <w:right w:val="none" w:sz="0" w:space="0" w:color="auto"/>
          </w:divBdr>
        </w:div>
        <w:div w:id="107820842">
          <w:marLeft w:val="446"/>
          <w:marRight w:val="0"/>
          <w:marTop w:val="0"/>
          <w:marBottom w:val="0"/>
          <w:divBdr>
            <w:top w:val="none" w:sz="0" w:space="0" w:color="auto"/>
            <w:left w:val="none" w:sz="0" w:space="0" w:color="auto"/>
            <w:bottom w:val="none" w:sz="0" w:space="0" w:color="auto"/>
            <w:right w:val="none" w:sz="0" w:space="0" w:color="auto"/>
          </w:divBdr>
        </w:div>
        <w:div w:id="14625778">
          <w:marLeft w:val="1166"/>
          <w:marRight w:val="0"/>
          <w:marTop w:val="0"/>
          <w:marBottom w:val="0"/>
          <w:divBdr>
            <w:top w:val="none" w:sz="0" w:space="0" w:color="auto"/>
            <w:left w:val="none" w:sz="0" w:space="0" w:color="auto"/>
            <w:bottom w:val="none" w:sz="0" w:space="0" w:color="auto"/>
            <w:right w:val="none" w:sz="0" w:space="0" w:color="auto"/>
          </w:divBdr>
        </w:div>
        <w:div w:id="478960906">
          <w:marLeft w:val="1166"/>
          <w:marRight w:val="0"/>
          <w:marTop w:val="0"/>
          <w:marBottom w:val="0"/>
          <w:divBdr>
            <w:top w:val="none" w:sz="0" w:space="0" w:color="auto"/>
            <w:left w:val="none" w:sz="0" w:space="0" w:color="auto"/>
            <w:bottom w:val="none" w:sz="0" w:space="0" w:color="auto"/>
            <w:right w:val="none" w:sz="0" w:space="0" w:color="auto"/>
          </w:divBdr>
        </w:div>
        <w:div w:id="1689407374">
          <w:marLeft w:val="1166"/>
          <w:marRight w:val="0"/>
          <w:marTop w:val="0"/>
          <w:marBottom w:val="0"/>
          <w:divBdr>
            <w:top w:val="none" w:sz="0" w:space="0" w:color="auto"/>
            <w:left w:val="none" w:sz="0" w:space="0" w:color="auto"/>
            <w:bottom w:val="none" w:sz="0" w:space="0" w:color="auto"/>
            <w:right w:val="none" w:sz="0" w:space="0" w:color="auto"/>
          </w:divBdr>
        </w:div>
        <w:div w:id="672144153">
          <w:marLeft w:val="446"/>
          <w:marRight w:val="0"/>
          <w:marTop w:val="0"/>
          <w:marBottom w:val="0"/>
          <w:divBdr>
            <w:top w:val="none" w:sz="0" w:space="0" w:color="auto"/>
            <w:left w:val="none" w:sz="0" w:space="0" w:color="auto"/>
            <w:bottom w:val="none" w:sz="0" w:space="0" w:color="auto"/>
            <w:right w:val="none" w:sz="0" w:space="0" w:color="auto"/>
          </w:divBdr>
        </w:div>
        <w:div w:id="1369256486">
          <w:marLeft w:val="1166"/>
          <w:marRight w:val="0"/>
          <w:marTop w:val="0"/>
          <w:marBottom w:val="0"/>
          <w:divBdr>
            <w:top w:val="none" w:sz="0" w:space="0" w:color="auto"/>
            <w:left w:val="none" w:sz="0" w:space="0" w:color="auto"/>
            <w:bottom w:val="none" w:sz="0" w:space="0" w:color="auto"/>
            <w:right w:val="none" w:sz="0" w:space="0" w:color="auto"/>
          </w:divBdr>
        </w:div>
        <w:div w:id="440995275">
          <w:marLeft w:val="1166"/>
          <w:marRight w:val="0"/>
          <w:marTop w:val="0"/>
          <w:marBottom w:val="0"/>
          <w:divBdr>
            <w:top w:val="none" w:sz="0" w:space="0" w:color="auto"/>
            <w:left w:val="none" w:sz="0" w:space="0" w:color="auto"/>
            <w:bottom w:val="none" w:sz="0" w:space="0" w:color="auto"/>
            <w:right w:val="none" w:sz="0" w:space="0" w:color="auto"/>
          </w:divBdr>
        </w:div>
        <w:div w:id="772089737">
          <w:marLeft w:val="1166"/>
          <w:marRight w:val="0"/>
          <w:marTop w:val="0"/>
          <w:marBottom w:val="0"/>
          <w:divBdr>
            <w:top w:val="none" w:sz="0" w:space="0" w:color="auto"/>
            <w:left w:val="none" w:sz="0" w:space="0" w:color="auto"/>
            <w:bottom w:val="none" w:sz="0" w:space="0" w:color="auto"/>
            <w:right w:val="none" w:sz="0" w:space="0" w:color="auto"/>
          </w:divBdr>
        </w:div>
      </w:divsChild>
    </w:div>
    <w:div w:id="1127816973">
      <w:bodyDiv w:val="1"/>
      <w:marLeft w:val="0"/>
      <w:marRight w:val="0"/>
      <w:marTop w:val="0"/>
      <w:marBottom w:val="0"/>
      <w:divBdr>
        <w:top w:val="none" w:sz="0" w:space="0" w:color="auto"/>
        <w:left w:val="none" w:sz="0" w:space="0" w:color="auto"/>
        <w:bottom w:val="none" w:sz="0" w:space="0" w:color="auto"/>
        <w:right w:val="none" w:sz="0" w:space="0" w:color="auto"/>
      </w:divBdr>
    </w:div>
    <w:div w:id="1144660309">
      <w:bodyDiv w:val="1"/>
      <w:marLeft w:val="0"/>
      <w:marRight w:val="0"/>
      <w:marTop w:val="0"/>
      <w:marBottom w:val="0"/>
      <w:divBdr>
        <w:top w:val="none" w:sz="0" w:space="0" w:color="auto"/>
        <w:left w:val="none" w:sz="0" w:space="0" w:color="auto"/>
        <w:bottom w:val="none" w:sz="0" w:space="0" w:color="auto"/>
        <w:right w:val="none" w:sz="0" w:space="0" w:color="auto"/>
      </w:divBdr>
      <w:divsChild>
        <w:div w:id="1974602568">
          <w:marLeft w:val="1800"/>
          <w:marRight w:val="0"/>
          <w:marTop w:val="67"/>
          <w:marBottom w:val="0"/>
          <w:divBdr>
            <w:top w:val="none" w:sz="0" w:space="0" w:color="auto"/>
            <w:left w:val="none" w:sz="0" w:space="0" w:color="auto"/>
            <w:bottom w:val="none" w:sz="0" w:space="0" w:color="auto"/>
            <w:right w:val="none" w:sz="0" w:space="0" w:color="auto"/>
          </w:divBdr>
        </w:div>
      </w:divsChild>
    </w:div>
    <w:div w:id="1150636392">
      <w:bodyDiv w:val="1"/>
      <w:marLeft w:val="0"/>
      <w:marRight w:val="0"/>
      <w:marTop w:val="0"/>
      <w:marBottom w:val="0"/>
      <w:divBdr>
        <w:top w:val="none" w:sz="0" w:space="0" w:color="auto"/>
        <w:left w:val="none" w:sz="0" w:space="0" w:color="auto"/>
        <w:bottom w:val="none" w:sz="0" w:space="0" w:color="auto"/>
        <w:right w:val="none" w:sz="0" w:space="0" w:color="auto"/>
      </w:divBdr>
      <w:divsChild>
        <w:div w:id="2115784468">
          <w:marLeft w:val="1800"/>
          <w:marRight w:val="0"/>
          <w:marTop w:val="67"/>
          <w:marBottom w:val="0"/>
          <w:divBdr>
            <w:top w:val="none" w:sz="0" w:space="0" w:color="auto"/>
            <w:left w:val="none" w:sz="0" w:space="0" w:color="auto"/>
            <w:bottom w:val="none" w:sz="0" w:space="0" w:color="auto"/>
            <w:right w:val="none" w:sz="0" w:space="0" w:color="auto"/>
          </w:divBdr>
        </w:div>
      </w:divsChild>
    </w:div>
    <w:div w:id="1155336344">
      <w:bodyDiv w:val="1"/>
      <w:marLeft w:val="0"/>
      <w:marRight w:val="0"/>
      <w:marTop w:val="0"/>
      <w:marBottom w:val="0"/>
      <w:divBdr>
        <w:top w:val="none" w:sz="0" w:space="0" w:color="auto"/>
        <w:left w:val="none" w:sz="0" w:space="0" w:color="auto"/>
        <w:bottom w:val="none" w:sz="0" w:space="0" w:color="auto"/>
        <w:right w:val="none" w:sz="0" w:space="0" w:color="auto"/>
      </w:divBdr>
      <w:divsChild>
        <w:div w:id="188498186">
          <w:marLeft w:val="1166"/>
          <w:marRight w:val="0"/>
          <w:marTop w:val="96"/>
          <w:marBottom w:val="0"/>
          <w:divBdr>
            <w:top w:val="none" w:sz="0" w:space="0" w:color="auto"/>
            <w:left w:val="none" w:sz="0" w:space="0" w:color="auto"/>
            <w:bottom w:val="none" w:sz="0" w:space="0" w:color="auto"/>
            <w:right w:val="none" w:sz="0" w:space="0" w:color="auto"/>
          </w:divBdr>
        </w:div>
        <w:div w:id="994533208">
          <w:marLeft w:val="1800"/>
          <w:marRight w:val="0"/>
          <w:marTop w:val="86"/>
          <w:marBottom w:val="0"/>
          <w:divBdr>
            <w:top w:val="none" w:sz="0" w:space="0" w:color="auto"/>
            <w:left w:val="none" w:sz="0" w:space="0" w:color="auto"/>
            <w:bottom w:val="none" w:sz="0" w:space="0" w:color="auto"/>
            <w:right w:val="none" w:sz="0" w:space="0" w:color="auto"/>
          </w:divBdr>
        </w:div>
        <w:div w:id="1044526145">
          <w:marLeft w:val="1166"/>
          <w:marRight w:val="0"/>
          <w:marTop w:val="96"/>
          <w:marBottom w:val="0"/>
          <w:divBdr>
            <w:top w:val="none" w:sz="0" w:space="0" w:color="auto"/>
            <w:left w:val="none" w:sz="0" w:space="0" w:color="auto"/>
            <w:bottom w:val="none" w:sz="0" w:space="0" w:color="auto"/>
            <w:right w:val="none" w:sz="0" w:space="0" w:color="auto"/>
          </w:divBdr>
        </w:div>
      </w:divsChild>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199661252">
      <w:bodyDiv w:val="1"/>
      <w:marLeft w:val="0"/>
      <w:marRight w:val="0"/>
      <w:marTop w:val="0"/>
      <w:marBottom w:val="0"/>
      <w:divBdr>
        <w:top w:val="none" w:sz="0" w:space="0" w:color="auto"/>
        <w:left w:val="none" w:sz="0" w:space="0" w:color="auto"/>
        <w:bottom w:val="none" w:sz="0" w:space="0" w:color="auto"/>
        <w:right w:val="none" w:sz="0" w:space="0" w:color="auto"/>
      </w:divBdr>
    </w:div>
    <w:div w:id="1216041776">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33008833">
      <w:bodyDiv w:val="1"/>
      <w:marLeft w:val="0"/>
      <w:marRight w:val="0"/>
      <w:marTop w:val="0"/>
      <w:marBottom w:val="0"/>
      <w:divBdr>
        <w:top w:val="none" w:sz="0" w:space="0" w:color="auto"/>
        <w:left w:val="none" w:sz="0" w:space="0" w:color="auto"/>
        <w:bottom w:val="none" w:sz="0" w:space="0" w:color="auto"/>
        <w:right w:val="none" w:sz="0" w:space="0" w:color="auto"/>
      </w:divBdr>
      <w:divsChild>
        <w:div w:id="1486579853">
          <w:marLeft w:val="547"/>
          <w:marRight w:val="0"/>
          <w:marTop w:val="77"/>
          <w:marBottom w:val="0"/>
          <w:divBdr>
            <w:top w:val="none" w:sz="0" w:space="0" w:color="auto"/>
            <w:left w:val="none" w:sz="0" w:space="0" w:color="auto"/>
            <w:bottom w:val="none" w:sz="0" w:space="0" w:color="auto"/>
            <w:right w:val="none" w:sz="0" w:space="0" w:color="auto"/>
          </w:divBdr>
        </w:div>
        <w:div w:id="607588683">
          <w:marLeft w:val="1166"/>
          <w:marRight w:val="0"/>
          <w:marTop w:val="67"/>
          <w:marBottom w:val="0"/>
          <w:divBdr>
            <w:top w:val="none" w:sz="0" w:space="0" w:color="auto"/>
            <w:left w:val="none" w:sz="0" w:space="0" w:color="auto"/>
            <w:bottom w:val="none" w:sz="0" w:space="0" w:color="auto"/>
            <w:right w:val="none" w:sz="0" w:space="0" w:color="auto"/>
          </w:divBdr>
        </w:div>
        <w:div w:id="336930595">
          <w:marLeft w:val="1800"/>
          <w:marRight w:val="0"/>
          <w:marTop w:val="67"/>
          <w:marBottom w:val="0"/>
          <w:divBdr>
            <w:top w:val="none" w:sz="0" w:space="0" w:color="auto"/>
            <w:left w:val="none" w:sz="0" w:space="0" w:color="auto"/>
            <w:bottom w:val="none" w:sz="0" w:space="0" w:color="auto"/>
            <w:right w:val="none" w:sz="0" w:space="0" w:color="auto"/>
          </w:divBdr>
        </w:div>
        <w:div w:id="623729178">
          <w:marLeft w:val="1800"/>
          <w:marRight w:val="0"/>
          <w:marTop w:val="67"/>
          <w:marBottom w:val="0"/>
          <w:divBdr>
            <w:top w:val="none" w:sz="0" w:space="0" w:color="auto"/>
            <w:left w:val="none" w:sz="0" w:space="0" w:color="auto"/>
            <w:bottom w:val="none" w:sz="0" w:space="0" w:color="auto"/>
            <w:right w:val="none" w:sz="0" w:space="0" w:color="auto"/>
          </w:divBdr>
        </w:div>
        <w:div w:id="1502116635">
          <w:marLeft w:val="2520"/>
          <w:marRight w:val="0"/>
          <w:marTop w:val="58"/>
          <w:marBottom w:val="0"/>
          <w:divBdr>
            <w:top w:val="none" w:sz="0" w:space="0" w:color="auto"/>
            <w:left w:val="none" w:sz="0" w:space="0" w:color="auto"/>
            <w:bottom w:val="none" w:sz="0" w:space="0" w:color="auto"/>
            <w:right w:val="none" w:sz="0" w:space="0" w:color="auto"/>
          </w:divBdr>
        </w:div>
        <w:div w:id="428087789">
          <w:marLeft w:val="2520"/>
          <w:marRight w:val="0"/>
          <w:marTop w:val="58"/>
          <w:marBottom w:val="0"/>
          <w:divBdr>
            <w:top w:val="none" w:sz="0" w:space="0" w:color="auto"/>
            <w:left w:val="none" w:sz="0" w:space="0" w:color="auto"/>
            <w:bottom w:val="none" w:sz="0" w:space="0" w:color="auto"/>
            <w:right w:val="none" w:sz="0" w:space="0" w:color="auto"/>
          </w:divBdr>
        </w:div>
        <w:div w:id="1152864783">
          <w:marLeft w:val="1166"/>
          <w:marRight w:val="0"/>
          <w:marTop w:val="67"/>
          <w:marBottom w:val="0"/>
          <w:divBdr>
            <w:top w:val="none" w:sz="0" w:space="0" w:color="auto"/>
            <w:left w:val="none" w:sz="0" w:space="0" w:color="auto"/>
            <w:bottom w:val="none" w:sz="0" w:space="0" w:color="auto"/>
            <w:right w:val="none" w:sz="0" w:space="0" w:color="auto"/>
          </w:divBdr>
        </w:div>
        <w:div w:id="1539270074">
          <w:marLeft w:val="1800"/>
          <w:marRight w:val="0"/>
          <w:marTop w:val="67"/>
          <w:marBottom w:val="0"/>
          <w:divBdr>
            <w:top w:val="none" w:sz="0" w:space="0" w:color="auto"/>
            <w:left w:val="none" w:sz="0" w:space="0" w:color="auto"/>
            <w:bottom w:val="none" w:sz="0" w:space="0" w:color="auto"/>
            <w:right w:val="none" w:sz="0" w:space="0" w:color="auto"/>
          </w:divBdr>
        </w:div>
        <w:div w:id="1188520506">
          <w:marLeft w:val="2520"/>
          <w:marRight w:val="0"/>
          <w:marTop w:val="58"/>
          <w:marBottom w:val="0"/>
          <w:divBdr>
            <w:top w:val="none" w:sz="0" w:space="0" w:color="auto"/>
            <w:left w:val="none" w:sz="0" w:space="0" w:color="auto"/>
            <w:bottom w:val="none" w:sz="0" w:space="0" w:color="auto"/>
            <w:right w:val="none" w:sz="0" w:space="0" w:color="auto"/>
          </w:divBdr>
        </w:div>
        <w:div w:id="282737706">
          <w:marLeft w:val="1800"/>
          <w:marRight w:val="0"/>
          <w:marTop w:val="67"/>
          <w:marBottom w:val="0"/>
          <w:divBdr>
            <w:top w:val="none" w:sz="0" w:space="0" w:color="auto"/>
            <w:left w:val="none" w:sz="0" w:space="0" w:color="auto"/>
            <w:bottom w:val="none" w:sz="0" w:space="0" w:color="auto"/>
            <w:right w:val="none" w:sz="0" w:space="0" w:color="auto"/>
          </w:divBdr>
        </w:div>
        <w:div w:id="2122457171">
          <w:marLeft w:val="1166"/>
          <w:marRight w:val="0"/>
          <w:marTop w:val="67"/>
          <w:marBottom w:val="0"/>
          <w:divBdr>
            <w:top w:val="none" w:sz="0" w:space="0" w:color="auto"/>
            <w:left w:val="none" w:sz="0" w:space="0" w:color="auto"/>
            <w:bottom w:val="none" w:sz="0" w:space="0" w:color="auto"/>
            <w:right w:val="none" w:sz="0" w:space="0" w:color="auto"/>
          </w:divBdr>
        </w:div>
        <w:div w:id="1530096486">
          <w:marLeft w:val="1800"/>
          <w:marRight w:val="0"/>
          <w:marTop w:val="67"/>
          <w:marBottom w:val="0"/>
          <w:divBdr>
            <w:top w:val="none" w:sz="0" w:space="0" w:color="auto"/>
            <w:left w:val="none" w:sz="0" w:space="0" w:color="auto"/>
            <w:bottom w:val="none" w:sz="0" w:space="0" w:color="auto"/>
            <w:right w:val="none" w:sz="0" w:space="0" w:color="auto"/>
          </w:divBdr>
        </w:div>
      </w:divsChild>
    </w:div>
    <w:div w:id="1239707280">
      <w:bodyDiv w:val="1"/>
      <w:marLeft w:val="0"/>
      <w:marRight w:val="0"/>
      <w:marTop w:val="0"/>
      <w:marBottom w:val="0"/>
      <w:divBdr>
        <w:top w:val="none" w:sz="0" w:space="0" w:color="auto"/>
        <w:left w:val="none" w:sz="0" w:space="0" w:color="auto"/>
        <w:bottom w:val="none" w:sz="0" w:space="0" w:color="auto"/>
        <w:right w:val="none" w:sz="0" w:space="0" w:color="auto"/>
      </w:divBdr>
    </w:div>
    <w:div w:id="1240168959">
      <w:bodyDiv w:val="1"/>
      <w:marLeft w:val="0"/>
      <w:marRight w:val="0"/>
      <w:marTop w:val="0"/>
      <w:marBottom w:val="0"/>
      <w:divBdr>
        <w:top w:val="none" w:sz="0" w:space="0" w:color="auto"/>
        <w:left w:val="none" w:sz="0" w:space="0" w:color="auto"/>
        <w:bottom w:val="none" w:sz="0" w:space="0" w:color="auto"/>
        <w:right w:val="none" w:sz="0" w:space="0" w:color="auto"/>
      </w:divBdr>
      <w:divsChild>
        <w:div w:id="85080555">
          <w:marLeft w:val="1166"/>
          <w:marRight w:val="0"/>
          <w:marTop w:val="86"/>
          <w:marBottom w:val="0"/>
          <w:divBdr>
            <w:top w:val="none" w:sz="0" w:space="0" w:color="auto"/>
            <w:left w:val="none" w:sz="0" w:space="0" w:color="auto"/>
            <w:bottom w:val="none" w:sz="0" w:space="0" w:color="auto"/>
            <w:right w:val="none" w:sz="0" w:space="0" w:color="auto"/>
          </w:divBdr>
        </w:div>
        <w:div w:id="800195894">
          <w:marLeft w:val="1800"/>
          <w:marRight w:val="0"/>
          <w:marTop w:val="77"/>
          <w:marBottom w:val="0"/>
          <w:divBdr>
            <w:top w:val="none" w:sz="0" w:space="0" w:color="auto"/>
            <w:left w:val="none" w:sz="0" w:space="0" w:color="auto"/>
            <w:bottom w:val="none" w:sz="0" w:space="0" w:color="auto"/>
            <w:right w:val="none" w:sz="0" w:space="0" w:color="auto"/>
          </w:divBdr>
        </w:div>
        <w:div w:id="205217161">
          <w:marLeft w:val="2520"/>
          <w:marRight w:val="0"/>
          <w:marTop w:val="67"/>
          <w:marBottom w:val="0"/>
          <w:divBdr>
            <w:top w:val="none" w:sz="0" w:space="0" w:color="auto"/>
            <w:left w:val="none" w:sz="0" w:space="0" w:color="auto"/>
            <w:bottom w:val="none" w:sz="0" w:space="0" w:color="auto"/>
            <w:right w:val="none" w:sz="0" w:space="0" w:color="auto"/>
          </w:divBdr>
        </w:div>
        <w:div w:id="2114590204">
          <w:marLeft w:val="1166"/>
          <w:marRight w:val="0"/>
          <w:marTop w:val="86"/>
          <w:marBottom w:val="0"/>
          <w:divBdr>
            <w:top w:val="none" w:sz="0" w:space="0" w:color="auto"/>
            <w:left w:val="none" w:sz="0" w:space="0" w:color="auto"/>
            <w:bottom w:val="none" w:sz="0" w:space="0" w:color="auto"/>
            <w:right w:val="none" w:sz="0" w:space="0" w:color="auto"/>
          </w:divBdr>
        </w:div>
        <w:div w:id="2019917541">
          <w:marLeft w:val="1800"/>
          <w:marRight w:val="0"/>
          <w:marTop w:val="77"/>
          <w:marBottom w:val="0"/>
          <w:divBdr>
            <w:top w:val="none" w:sz="0" w:space="0" w:color="auto"/>
            <w:left w:val="none" w:sz="0" w:space="0" w:color="auto"/>
            <w:bottom w:val="none" w:sz="0" w:space="0" w:color="auto"/>
            <w:right w:val="none" w:sz="0" w:space="0" w:color="auto"/>
          </w:divBdr>
        </w:div>
        <w:div w:id="73819350">
          <w:marLeft w:val="2520"/>
          <w:marRight w:val="0"/>
          <w:marTop w:val="67"/>
          <w:marBottom w:val="0"/>
          <w:divBdr>
            <w:top w:val="none" w:sz="0" w:space="0" w:color="auto"/>
            <w:left w:val="none" w:sz="0" w:space="0" w:color="auto"/>
            <w:bottom w:val="none" w:sz="0" w:space="0" w:color="auto"/>
            <w:right w:val="none" w:sz="0" w:space="0" w:color="auto"/>
          </w:divBdr>
        </w:div>
        <w:div w:id="1324309795">
          <w:marLeft w:val="3240"/>
          <w:marRight w:val="0"/>
          <w:marTop w:val="67"/>
          <w:marBottom w:val="0"/>
          <w:divBdr>
            <w:top w:val="none" w:sz="0" w:space="0" w:color="auto"/>
            <w:left w:val="none" w:sz="0" w:space="0" w:color="auto"/>
            <w:bottom w:val="none" w:sz="0" w:space="0" w:color="auto"/>
            <w:right w:val="none" w:sz="0" w:space="0" w:color="auto"/>
          </w:divBdr>
        </w:div>
        <w:div w:id="119035756">
          <w:marLeft w:val="2520"/>
          <w:marRight w:val="0"/>
          <w:marTop w:val="67"/>
          <w:marBottom w:val="0"/>
          <w:divBdr>
            <w:top w:val="none" w:sz="0" w:space="0" w:color="auto"/>
            <w:left w:val="none" w:sz="0" w:space="0" w:color="auto"/>
            <w:bottom w:val="none" w:sz="0" w:space="0" w:color="auto"/>
            <w:right w:val="none" w:sz="0" w:space="0" w:color="auto"/>
          </w:divBdr>
        </w:div>
        <w:div w:id="2058581960">
          <w:marLeft w:val="3240"/>
          <w:marRight w:val="0"/>
          <w:marTop w:val="67"/>
          <w:marBottom w:val="0"/>
          <w:divBdr>
            <w:top w:val="none" w:sz="0" w:space="0" w:color="auto"/>
            <w:left w:val="none" w:sz="0" w:space="0" w:color="auto"/>
            <w:bottom w:val="none" w:sz="0" w:space="0" w:color="auto"/>
            <w:right w:val="none" w:sz="0" w:space="0" w:color="auto"/>
          </w:divBdr>
        </w:div>
        <w:div w:id="1692564634">
          <w:marLeft w:val="3240"/>
          <w:marRight w:val="0"/>
          <w:marTop w:val="67"/>
          <w:marBottom w:val="0"/>
          <w:divBdr>
            <w:top w:val="none" w:sz="0" w:space="0" w:color="auto"/>
            <w:left w:val="none" w:sz="0" w:space="0" w:color="auto"/>
            <w:bottom w:val="none" w:sz="0" w:space="0" w:color="auto"/>
            <w:right w:val="none" w:sz="0" w:space="0" w:color="auto"/>
          </w:divBdr>
        </w:div>
      </w:divsChild>
    </w:div>
    <w:div w:id="1240824813">
      <w:bodyDiv w:val="1"/>
      <w:marLeft w:val="0"/>
      <w:marRight w:val="0"/>
      <w:marTop w:val="0"/>
      <w:marBottom w:val="0"/>
      <w:divBdr>
        <w:top w:val="none" w:sz="0" w:space="0" w:color="auto"/>
        <w:left w:val="none" w:sz="0" w:space="0" w:color="auto"/>
        <w:bottom w:val="none" w:sz="0" w:space="0" w:color="auto"/>
        <w:right w:val="none" w:sz="0" w:space="0" w:color="auto"/>
      </w:divBdr>
    </w:div>
    <w:div w:id="1244533376">
      <w:bodyDiv w:val="1"/>
      <w:marLeft w:val="0"/>
      <w:marRight w:val="0"/>
      <w:marTop w:val="0"/>
      <w:marBottom w:val="0"/>
      <w:divBdr>
        <w:top w:val="none" w:sz="0" w:space="0" w:color="auto"/>
        <w:left w:val="none" w:sz="0" w:space="0" w:color="auto"/>
        <w:bottom w:val="none" w:sz="0" w:space="0" w:color="auto"/>
        <w:right w:val="none" w:sz="0" w:space="0" w:color="auto"/>
      </w:divBdr>
    </w:div>
    <w:div w:id="1250383189">
      <w:bodyDiv w:val="1"/>
      <w:marLeft w:val="0"/>
      <w:marRight w:val="0"/>
      <w:marTop w:val="0"/>
      <w:marBottom w:val="0"/>
      <w:divBdr>
        <w:top w:val="none" w:sz="0" w:space="0" w:color="auto"/>
        <w:left w:val="none" w:sz="0" w:space="0" w:color="auto"/>
        <w:bottom w:val="none" w:sz="0" w:space="0" w:color="auto"/>
        <w:right w:val="none" w:sz="0" w:space="0" w:color="auto"/>
      </w:divBdr>
    </w:div>
    <w:div w:id="1250963914">
      <w:bodyDiv w:val="1"/>
      <w:marLeft w:val="0"/>
      <w:marRight w:val="0"/>
      <w:marTop w:val="0"/>
      <w:marBottom w:val="0"/>
      <w:divBdr>
        <w:top w:val="none" w:sz="0" w:space="0" w:color="auto"/>
        <w:left w:val="none" w:sz="0" w:space="0" w:color="auto"/>
        <w:bottom w:val="none" w:sz="0" w:space="0" w:color="auto"/>
        <w:right w:val="none" w:sz="0" w:space="0" w:color="auto"/>
      </w:divBdr>
    </w:div>
    <w:div w:id="1271551712">
      <w:bodyDiv w:val="1"/>
      <w:marLeft w:val="0"/>
      <w:marRight w:val="0"/>
      <w:marTop w:val="0"/>
      <w:marBottom w:val="0"/>
      <w:divBdr>
        <w:top w:val="none" w:sz="0" w:space="0" w:color="auto"/>
        <w:left w:val="none" w:sz="0" w:space="0" w:color="auto"/>
        <w:bottom w:val="none" w:sz="0" w:space="0" w:color="auto"/>
        <w:right w:val="none" w:sz="0" w:space="0" w:color="auto"/>
      </w:divBdr>
    </w:div>
    <w:div w:id="1274559286">
      <w:bodyDiv w:val="1"/>
      <w:marLeft w:val="0"/>
      <w:marRight w:val="0"/>
      <w:marTop w:val="0"/>
      <w:marBottom w:val="0"/>
      <w:divBdr>
        <w:top w:val="none" w:sz="0" w:space="0" w:color="auto"/>
        <w:left w:val="none" w:sz="0" w:space="0" w:color="auto"/>
        <w:bottom w:val="none" w:sz="0" w:space="0" w:color="auto"/>
        <w:right w:val="none" w:sz="0" w:space="0" w:color="auto"/>
      </w:divBdr>
      <w:divsChild>
        <w:div w:id="1238632193">
          <w:marLeft w:val="547"/>
          <w:marRight w:val="0"/>
          <w:marTop w:val="67"/>
          <w:marBottom w:val="0"/>
          <w:divBdr>
            <w:top w:val="none" w:sz="0" w:space="0" w:color="auto"/>
            <w:left w:val="none" w:sz="0" w:space="0" w:color="auto"/>
            <w:bottom w:val="none" w:sz="0" w:space="0" w:color="auto"/>
            <w:right w:val="none" w:sz="0" w:space="0" w:color="auto"/>
          </w:divBdr>
        </w:div>
      </w:divsChild>
    </w:div>
    <w:div w:id="1288777421">
      <w:bodyDiv w:val="1"/>
      <w:marLeft w:val="0"/>
      <w:marRight w:val="0"/>
      <w:marTop w:val="0"/>
      <w:marBottom w:val="0"/>
      <w:divBdr>
        <w:top w:val="none" w:sz="0" w:space="0" w:color="auto"/>
        <w:left w:val="none" w:sz="0" w:space="0" w:color="auto"/>
        <w:bottom w:val="none" w:sz="0" w:space="0" w:color="auto"/>
        <w:right w:val="none" w:sz="0" w:space="0" w:color="auto"/>
      </w:divBdr>
    </w:div>
    <w:div w:id="1292514729">
      <w:bodyDiv w:val="1"/>
      <w:marLeft w:val="0"/>
      <w:marRight w:val="0"/>
      <w:marTop w:val="0"/>
      <w:marBottom w:val="0"/>
      <w:divBdr>
        <w:top w:val="none" w:sz="0" w:space="0" w:color="auto"/>
        <w:left w:val="none" w:sz="0" w:space="0" w:color="auto"/>
        <w:bottom w:val="none" w:sz="0" w:space="0" w:color="auto"/>
        <w:right w:val="none" w:sz="0" w:space="0" w:color="auto"/>
      </w:divBdr>
      <w:divsChild>
        <w:div w:id="722676678">
          <w:marLeft w:val="547"/>
          <w:marRight w:val="0"/>
          <w:marTop w:val="0"/>
          <w:marBottom w:val="0"/>
          <w:divBdr>
            <w:top w:val="none" w:sz="0" w:space="0" w:color="auto"/>
            <w:left w:val="none" w:sz="0" w:space="0" w:color="auto"/>
            <w:bottom w:val="none" w:sz="0" w:space="0" w:color="auto"/>
            <w:right w:val="none" w:sz="0" w:space="0" w:color="auto"/>
          </w:divBdr>
        </w:div>
      </w:divsChild>
    </w:div>
    <w:div w:id="1301572556">
      <w:bodyDiv w:val="1"/>
      <w:marLeft w:val="0"/>
      <w:marRight w:val="0"/>
      <w:marTop w:val="0"/>
      <w:marBottom w:val="0"/>
      <w:divBdr>
        <w:top w:val="none" w:sz="0" w:space="0" w:color="auto"/>
        <w:left w:val="none" w:sz="0" w:space="0" w:color="auto"/>
        <w:bottom w:val="none" w:sz="0" w:space="0" w:color="auto"/>
        <w:right w:val="none" w:sz="0" w:space="0" w:color="auto"/>
      </w:divBdr>
    </w:div>
    <w:div w:id="1310010960">
      <w:bodyDiv w:val="1"/>
      <w:marLeft w:val="0"/>
      <w:marRight w:val="0"/>
      <w:marTop w:val="0"/>
      <w:marBottom w:val="0"/>
      <w:divBdr>
        <w:top w:val="none" w:sz="0" w:space="0" w:color="auto"/>
        <w:left w:val="none" w:sz="0" w:space="0" w:color="auto"/>
        <w:bottom w:val="none" w:sz="0" w:space="0" w:color="auto"/>
        <w:right w:val="none" w:sz="0" w:space="0" w:color="auto"/>
      </w:divBdr>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19265466">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33266382">
      <w:bodyDiv w:val="1"/>
      <w:marLeft w:val="0"/>
      <w:marRight w:val="0"/>
      <w:marTop w:val="0"/>
      <w:marBottom w:val="0"/>
      <w:divBdr>
        <w:top w:val="none" w:sz="0" w:space="0" w:color="auto"/>
        <w:left w:val="none" w:sz="0" w:space="0" w:color="auto"/>
        <w:bottom w:val="none" w:sz="0" w:space="0" w:color="auto"/>
        <w:right w:val="none" w:sz="0" w:space="0" w:color="auto"/>
      </w:divBdr>
    </w:div>
    <w:div w:id="1341157344">
      <w:bodyDiv w:val="1"/>
      <w:marLeft w:val="0"/>
      <w:marRight w:val="0"/>
      <w:marTop w:val="0"/>
      <w:marBottom w:val="0"/>
      <w:divBdr>
        <w:top w:val="none" w:sz="0" w:space="0" w:color="auto"/>
        <w:left w:val="none" w:sz="0" w:space="0" w:color="auto"/>
        <w:bottom w:val="none" w:sz="0" w:space="0" w:color="auto"/>
        <w:right w:val="none" w:sz="0" w:space="0" w:color="auto"/>
      </w:divBdr>
    </w:div>
    <w:div w:id="1347370224">
      <w:bodyDiv w:val="1"/>
      <w:marLeft w:val="0"/>
      <w:marRight w:val="0"/>
      <w:marTop w:val="0"/>
      <w:marBottom w:val="0"/>
      <w:divBdr>
        <w:top w:val="none" w:sz="0" w:space="0" w:color="auto"/>
        <w:left w:val="none" w:sz="0" w:space="0" w:color="auto"/>
        <w:bottom w:val="none" w:sz="0" w:space="0" w:color="auto"/>
        <w:right w:val="none" w:sz="0" w:space="0" w:color="auto"/>
      </w:divBdr>
    </w:div>
    <w:div w:id="1354913218">
      <w:bodyDiv w:val="1"/>
      <w:marLeft w:val="0"/>
      <w:marRight w:val="0"/>
      <w:marTop w:val="0"/>
      <w:marBottom w:val="0"/>
      <w:divBdr>
        <w:top w:val="none" w:sz="0" w:space="0" w:color="auto"/>
        <w:left w:val="none" w:sz="0" w:space="0" w:color="auto"/>
        <w:bottom w:val="none" w:sz="0" w:space="0" w:color="auto"/>
        <w:right w:val="none" w:sz="0" w:space="0" w:color="auto"/>
      </w:divBdr>
    </w:div>
    <w:div w:id="1365598670">
      <w:bodyDiv w:val="1"/>
      <w:marLeft w:val="0"/>
      <w:marRight w:val="0"/>
      <w:marTop w:val="0"/>
      <w:marBottom w:val="0"/>
      <w:divBdr>
        <w:top w:val="none" w:sz="0" w:space="0" w:color="auto"/>
        <w:left w:val="none" w:sz="0" w:space="0" w:color="auto"/>
        <w:bottom w:val="none" w:sz="0" w:space="0" w:color="auto"/>
        <w:right w:val="none" w:sz="0" w:space="0" w:color="auto"/>
      </w:divBdr>
      <w:divsChild>
        <w:div w:id="98763515">
          <w:marLeft w:val="0"/>
          <w:marRight w:val="0"/>
          <w:marTop w:val="0"/>
          <w:marBottom w:val="0"/>
          <w:divBdr>
            <w:top w:val="none" w:sz="0" w:space="0" w:color="auto"/>
            <w:left w:val="none" w:sz="0" w:space="0" w:color="auto"/>
            <w:bottom w:val="none" w:sz="0" w:space="0" w:color="auto"/>
            <w:right w:val="none" w:sz="0" w:space="0" w:color="auto"/>
          </w:divBdr>
        </w:div>
      </w:divsChild>
    </w:div>
    <w:div w:id="1372920902">
      <w:bodyDiv w:val="1"/>
      <w:marLeft w:val="0"/>
      <w:marRight w:val="0"/>
      <w:marTop w:val="0"/>
      <w:marBottom w:val="0"/>
      <w:divBdr>
        <w:top w:val="none" w:sz="0" w:space="0" w:color="auto"/>
        <w:left w:val="none" w:sz="0" w:space="0" w:color="auto"/>
        <w:bottom w:val="none" w:sz="0" w:space="0" w:color="auto"/>
        <w:right w:val="none" w:sz="0" w:space="0" w:color="auto"/>
      </w:divBdr>
      <w:divsChild>
        <w:div w:id="1560440037">
          <w:marLeft w:val="547"/>
          <w:marRight w:val="0"/>
          <w:marTop w:val="0"/>
          <w:marBottom w:val="0"/>
          <w:divBdr>
            <w:top w:val="none" w:sz="0" w:space="0" w:color="auto"/>
            <w:left w:val="none" w:sz="0" w:space="0" w:color="auto"/>
            <w:bottom w:val="none" w:sz="0" w:space="0" w:color="auto"/>
            <w:right w:val="none" w:sz="0" w:space="0" w:color="auto"/>
          </w:divBdr>
        </w:div>
        <w:div w:id="545143011">
          <w:marLeft w:val="1166"/>
          <w:marRight w:val="0"/>
          <w:marTop w:val="0"/>
          <w:marBottom w:val="0"/>
          <w:divBdr>
            <w:top w:val="none" w:sz="0" w:space="0" w:color="auto"/>
            <w:left w:val="none" w:sz="0" w:space="0" w:color="auto"/>
            <w:bottom w:val="none" w:sz="0" w:space="0" w:color="auto"/>
            <w:right w:val="none" w:sz="0" w:space="0" w:color="auto"/>
          </w:divBdr>
        </w:div>
        <w:div w:id="945846766">
          <w:marLeft w:val="547"/>
          <w:marRight w:val="0"/>
          <w:marTop w:val="0"/>
          <w:marBottom w:val="0"/>
          <w:divBdr>
            <w:top w:val="none" w:sz="0" w:space="0" w:color="auto"/>
            <w:left w:val="none" w:sz="0" w:space="0" w:color="auto"/>
            <w:bottom w:val="none" w:sz="0" w:space="0" w:color="auto"/>
            <w:right w:val="none" w:sz="0" w:space="0" w:color="auto"/>
          </w:divBdr>
        </w:div>
      </w:divsChild>
    </w:div>
    <w:div w:id="1397825453">
      <w:bodyDiv w:val="1"/>
      <w:marLeft w:val="0"/>
      <w:marRight w:val="0"/>
      <w:marTop w:val="0"/>
      <w:marBottom w:val="0"/>
      <w:divBdr>
        <w:top w:val="none" w:sz="0" w:space="0" w:color="auto"/>
        <w:left w:val="none" w:sz="0" w:space="0" w:color="auto"/>
        <w:bottom w:val="none" w:sz="0" w:space="0" w:color="auto"/>
        <w:right w:val="none" w:sz="0" w:space="0" w:color="auto"/>
      </w:divBdr>
    </w:div>
    <w:div w:id="1405645708">
      <w:bodyDiv w:val="1"/>
      <w:marLeft w:val="0"/>
      <w:marRight w:val="0"/>
      <w:marTop w:val="0"/>
      <w:marBottom w:val="0"/>
      <w:divBdr>
        <w:top w:val="none" w:sz="0" w:space="0" w:color="auto"/>
        <w:left w:val="none" w:sz="0" w:space="0" w:color="auto"/>
        <w:bottom w:val="none" w:sz="0" w:space="0" w:color="auto"/>
        <w:right w:val="none" w:sz="0" w:space="0" w:color="auto"/>
      </w:divBdr>
      <w:divsChild>
        <w:div w:id="1343123422">
          <w:marLeft w:val="1800"/>
          <w:marRight w:val="0"/>
          <w:marTop w:val="86"/>
          <w:marBottom w:val="0"/>
          <w:divBdr>
            <w:top w:val="none" w:sz="0" w:space="0" w:color="auto"/>
            <w:left w:val="none" w:sz="0" w:space="0" w:color="auto"/>
            <w:bottom w:val="none" w:sz="0" w:space="0" w:color="auto"/>
            <w:right w:val="none" w:sz="0" w:space="0" w:color="auto"/>
          </w:divBdr>
        </w:div>
      </w:divsChild>
    </w:div>
    <w:div w:id="1416852797">
      <w:bodyDiv w:val="1"/>
      <w:marLeft w:val="0"/>
      <w:marRight w:val="0"/>
      <w:marTop w:val="0"/>
      <w:marBottom w:val="0"/>
      <w:divBdr>
        <w:top w:val="none" w:sz="0" w:space="0" w:color="auto"/>
        <w:left w:val="none" w:sz="0" w:space="0" w:color="auto"/>
        <w:bottom w:val="none" w:sz="0" w:space="0" w:color="auto"/>
        <w:right w:val="none" w:sz="0" w:space="0" w:color="auto"/>
      </w:divBdr>
    </w:div>
    <w:div w:id="1423988955">
      <w:bodyDiv w:val="1"/>
      <w:marLeft w:val="0"/>
      <w:marRight w:val="0"/>
      <w:marTop w:val="0"/>
      <w:marBottom w:val="0"/>
      <w:divBdr>
        <w:top w:val="none" w:sz="0" w:space="0" w:color="auto"/>
        <w:left w:val="none" w:sz="0" w:space="0" w:color="auto"/>
        <w:bottom w:val="none" w:sz="0" w:space="0" w:color="auto"/>
        <w:right w:val="none" w:sz="0" w:space="0" w:color="auto"/>
      </w:divBdr>
    </w:div>
    <w:div w:id="1449818971">
      <w:bodyDiv w:val="1"/>
      <w:marLeft w:val="0"/>
      <w:marRight w:val="0"/>
      <w:marTop w:val="0"/>
      <w:marBottom w:val="0"/>
      <w:divBdr>
        <w:top w:val="none" w:sz="0" w:space="0" w:color="auto"/>
        <w:left w:val="none" w:sz="0" w:space="0" w:color="auto"/>
        <w:bottom w:val="none" w:sz="0" w:space="0" w:color="auto"/>
        <w:right w:val="none" w:sz="0" w:space="0" w:color="auto"/>
      </w:divBdr>
    </w:div>
    <w:div w:id="1454130253">
      <w:bodyDiv w:val="1"/>
      <w:marLeft w:val="0"/>
      <w:marRight w:val="0"/>
      <w:marTop w:val="0"/>
      <w:marBottom w:val="0"/>
      <w:divBdr>
        <w:top w:val="none" w:sz="0" w:space="0" w:color="auto"/>
        <w:left w:val="none" w:sz="0" w:space="0" w:color="auto"/>
        <w:bottom w:val="none" w:sz="0" w:space="0" w:color="auto"/>
        <w:right w:val="none" w:sz="0" w:space="0" w:color="auto"/>
      </w:divBdr>
      <w:divsChild>
        <w:div w:id="1256284142">
          <w:marLeft w:val="547"/>
          <w:marRight w:val="0"/>
          <w:marTop w:val="67"/>
          <w:marBottom w:val="0"/>
          <w:divBdr>
            <w:top w:val="none" w:sz="0" w:space="0" w:color="auto"/>
            <w:left w:val="none" w:sz="0" w:space="0" w:color="auto"/>
            <w:bottom w:val="none" w:sz="0" w:space="0" w:color="auto"/>
            <w:right w:val="none" w:sz="0" w:space="0" w:color="auto"/>
          </w:divBdr>
        </w:div>
      </w:divsChild>
    </w:div>
    <w:div w:id="1461915722">
      <w:bodyDiv w:val="1"/>
      <w:marLeft w:val="0"/>
      <w:marRight w:val="0"/>
      <w:marTop w:val="0"/>
      <w:marBottom w:val="0"/>
      <w:divBdr>
        <w:top w:val="none" w:sz="0" w:space="0" w:color="auto"/>
        <w:left w:val="none" w:sz="0" w:space="0" w:color="auto"/>
        <w:bottom w:val="none" w:sz="0" w:space="0" w:color="auto"/>
        <w:right w:val="none" w:sz="0" w:space="0" w:color="auto"/>
      </w:divBdr>
      <w:divsChild>
        <w:div w:id="706177521">
          <w:marLeft w:val="2246"/>
          <w:marRight w:val="0"/>
          <w:marTop w:val="34"/>
          <w:marBottom w:val="0"/>
          <w:divBdr>
            <w:top w:val="none" w:sz="0" w:space="0" w:color="auto"/>
            <w:left w:val="none" w:sz="0" w:space="0" w:color="auto"/>
            <w:bottom w:val="none" w:sz="0" w:space="0" w:color="auto"/>
            <w:right w:val="none" w:sz="0" w:space="0" w:color="auto"/>
          </w:divBdr>
        </w:div>
      </w:divsChild>
    </w:div>
    <w:div w:id="1467164795">
      <w:bodyDiv w:val="1"/>
      <w:marLeft w:val="0"/>
      <w:marRight w:val="0"/>
      <w:marTop w:val="0"/>
      <w:marBottom w:val="0"/>
      <w:divBdr>
        <w:top w:val="none" w:sz="0" w:space="0" w:color="auto"/>
        <w:left w:val="none" w:sz="0" w:space="0" w:color="auto"/>
        <w:bottom w:val="none" w:sz="0" w:space="0" w:color="auto"/>
        <w:right w:val="none" w:sz="0" w:space="0" w:color="auto"/>
      </w:divBdr>
    </w:div>
    <w:div w:id="1467430392">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491291990">
      <w:bodyDiv w:val="1"/>
      <w:marLeft w:val="0"/>
      <w:marRight w:val="0"/>
      <w:marTop w:val="0"/>
      <w:marBottom w:val="0"/>
      <w:divBdr>
        <w:top w:val="none" w:sz="0" w:space="0" w:color="auto"/>
        <w:left w:val="none" w:sz="0" w:space="0" w:color="auto"/>
        <w:bottom w:val="none" w:sz="0" w:space="0" w:color="auto"/>
        <w:right w:val="none" w:sz="0" w:space="0" w:color="auto"/>
      </w:divBdr>
      <w:divsChild>
        <w:div w:id="1278874938">
          <w:marLeft w:val="0"/>
          <w:marRight w:val="0"/>
          <w:marTop w:val="0"/>
          <w:marBottom w:val="0"/>
          <w:divBdr>
            <w:top w:val="none" w:sz="0" w:space="0" w:color="auto"/>
            <w:left w:val="none" w:sz="0" w:space="0" w:color="auto"/>
            <w:bottom w:val="none" w:sz="0" w:space="0" w:color="auto"/>
            <w:right w:val="none" w:sz="0" w:space="0" w:color="auto"/>
          </w:divBdr>
        </w:div>
      </w:divsChild>
    </w:div>
    <w:div w:id="1516728387">
      <w:bodyDiv w:val="1"/>
      <w:marLeft w:val="0"/>
      <w:marRight w:val="0"/>
      <w:marTop w:val="0"/>
      <w:marBottom w:val="0"/>
      <w:divBdr>
        <w:top w:val="none" w:sz="0" w:space="0" w:color="auto"/>
        <w:left w:val="none" w:sz="0" w:space="0" w:color="auto"/>
        <w:bottom w:val="none" w:sz="0" w:space="0" w:color="auto"/>
        <w:right w:val="none" w:sz="0" w:space="0" w:color="auto"/>
      </w:divBdr>
    </w:div>
    <w:div w:id="152397783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31339585">
      <w:bodyDiv w:val="1"/>
      <w:marLeft w:val="0"/>
      <w:marRight w:val="0"/>
      <w:marTop w:val="0"/>
      <w:marBottom w:val="0"/>
      <w:divBdr>
        <w:top w:val="none" w:sz="0" w:space="0" w:color="auto"/>
        <w:left w:val="none" w:sz="0" w:space="0" w:color="auto"/>
        <w:bottom w:val="none" w:sz="0" w:space="0" w:color="auto"/>
        <w:right w:val="none" w:sz="0" w:space="0" w:color="auto"/>
      </w:divBdr>
    </w:div>
    <w:div w:id="1537695746">
      <w:bodyDiv w:val="1"/>
      <w:marLeft w:val="0"/>
      <w:marRight w:val="0"/>
      <w:marTop w:val="0"/>
      <w:marBottom w:val="0"/>
      <w:divBdr>
        <w:top w:val="none" w:sz="0" w:space="0" w:color="auto"/>
        <w:left w:val="none" w:sz="0" w:space="0" w:color="auto"/>
        <w:bottom w:val="none" w:sz="0" w:space="0" w:color="auto"/>
        <w:right w:val="none" w:sz="0" w:space="0" w:color="auto"/>
      </w:divBdr>
      <w:divsChild>
        <w:div w:id="806583310">
          <w:marLeft w:val="547"/>
          <w:marRight w:val="0"/>
          <w:marTop w:val="0"/>
          <w:marBottom w:val="120"/>
          <w:divBdr>
            <w:top w:val="none" w:sz="0" w:space="0" w:color="auto"/>
            <w:left w:val="none" w:sz="0" w:space="0" w:color="auto"/>
            <w:bottom w:val="none" w:sz="0" w:space="0" w:color="auto"/>
            <w:right w:val="none" w:sz="0" w:space="0" w:color="auto"/>
          </w:divBdr>
        </w:div>
        <w:div w:id="48310387">
          <w:marLeft w:val="547"/>
          <w:marRight w:val="0"/>
          <w:marTop w:val="0"/>
          <w:marBottom w:val="120"/>
          <w:divBdr>
            <w:top w:val="none" w:sz="0" w:space="0" w:color="auto"/>
            <w:left w:val="none" w:sz="0" w:space="0" w:color="auto"/>
            <w:bottom w:val="none" w:sz="0" w:space="0" w:color="auto"/>
            <w:right w:val="none" w:sz="0" w:space="0" w:color="auto"/>
          </w:divBdr>
        </w:div>
      </w:divsChild>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687819">
      <w:bodyDiv w:val="1"/>
      <w:marLeft w:val="0"/>
      <w:marRight w:val="0"/>
      <w:marTop w:val="0"/>
      <w:marBottom w:val="0"/>
      <w:divBdr>
        <w:top w:val="none" w:sz="0" w:space="0" w:color="auto"/>
        <w:left w:val="none" w:sz="0" w:space="0" w:color="auto"/>
        <w:bottom w:val="none" w:sz="0" w:space="0" w:color="auto"/>
        <w:right w:val="none" w:sz="0" w:space="0" w:color="auto"/>
      </w:divBdr>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1596404">
      <w:bodyDiv w:val="1"/>
      <w:marLeft w:val="0"/>
      <w:marRight w:val="0"/>
      <w:marTop w:val="0"/>
      <w:marBottom w:val="0"/>
      <w:divBdr>
        <w:top w:val="none" w:sz="0" w:space="0" w:color="auto"/>
        <w:left w:val="none" w:sz="0" w:space="0" w:color="auto"/>
        <w:bottom w:val="none" w:sz="0" w:space="0" w:color="auto"/>
        <w:right w:val="none" w:sz="0" w:space="0" w:color="auto"/>
      </w:divBdr>
    </w:div>
    <w:div w:id="1582786790">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02954126">
      <w:bodyDiv w:val="1"/>
      <w:marLeft w:val="0"/>
      <w:marRight w:val="0"/>
      <w:marTop w:val="0"/>
      <w:marBottom w:val="0"/>
      <w:divBdr>
        <w:top w:val="none" w:sz="0" w:space="0" w:color="auto"/>
        <w:left w:val="none" w:sz="0" w:space="0" w:color="auto"/>
        <w:bottom w:val="none" w:sz="0" w:space="0" w:color="auto"/>
        <w:right w:val="none" w:sz="0" w:space="0" w:color="auto"/>
      </w:divBdr>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22999296">
      <w:bodyDiv w:val="1"/>
      <w:marLeft w:val="0"/>
      <w:marRight w:val="0"/>
      <w:marTop w:val="0"/>
      <w:marBottom w:val="0"/>
      <w:divBdr>
        <w:top w:val="none" w:sz="0" w:space="0" w:color="auto"/>
        <w:left w:val="none" w:sz="0" w:space="0" w:color="auto"/>
        <w:bottom w:val="none" w:sz="0" w:space="0" w:color="auto"/>
        <w:right w:val="none" w:sz="0" w:space="0" w:color="auto"/>
      </w:divBdr>
      <w:divsChild>
        <w:div w:id="1198011411">
          <w:marLeft w:val="547"/>
          <w:marRight w:val="0"/>
          <w:marTop w:val="0"/>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52247972">
      <w:bodyDiv w:val="1"/>
      <w:marLeft w:val="0"/>
      <w:marRight w:val="0"/>
      <w:marTop w:val="0"/>
      <w:marBottom w:val="0"/>
      <w:divBdr>
        <w:top w:val="none" w:sz="0" w:space="0" w:color="auto"/>
        <w:left w:val="none" w:sz="0" w:space="0" w:color="auto"/>
        <w:bottom w:val="none" w:sz="0" w:space="0" w:color="auto"/>
        <w:right w:val="none" w:sz="0" w:space="0" w:color="auto"/>
      </w:divBdr>
    </w:div>
    <w:div w:id="1673794016">
      <w:bodyDiv w:val="1"/>
      <w:marLeft w:val="0"/>
      <w:marRight w:val="0"/>
      <w:marTop w:val="0"/>
      <w:marBottom w:val="0"/>
      <w:divBdr>
        <w:top w:val="none" w:sz="0" w:space="0" w:color="auto"/>
        <w:left w:val="none" w:sz="0" w:space="0" w:color="auto"/>
        <w:bottom w:val="none" w:sz="0" w:space="0" w:color="auto"/>
        <w:right w:val="none" w:sz="0" w:space="0" w:color="auto"/>
      </w:divBdr>
    </w:div>
    <w:div w:id="1676491276">
      <w:bodyDiv w:val="1"/>
      <w:marLeft w:val="0"/>
      <w:marRight w:val="0"/>
      <w:marTop w:val="0"/>
      <w:marBottom w:val="0"/>
      <w:divBdr>
        <w:top w:val="none" w:sz="0" w:space="0" w:color="auto"/>
        <w:left w:val="none" w:sz="0" w:space="0" w:color="auto"/>
        <w:bottom w:val="none" w:sz="0" w:space="0" w:color="auto"/>
        <w:right w:val="none" w:sz="0" w:space="0" w:color="auto"/>
      </w:divBdr>
    </w:div>
    <w:div w:id="1680892821">
      <w:bodyDiv w:val="1"/>
      <w:marLeft w:val="0"/>
      <w:marRight w:val="0"/>
      <w:marTop w:val="0"/>
      <w:marBottom w:val="0"/>
      <w:divBdr>
        <w:top w:val="none" w:sz="0" w:space="0" w:color="auto"/>
        <w:left w:val="none" w:sz="0" w:space="0" w:color="auto"/>
        <w:bottom w:val="none" w:sz="0" w:space="0" w:color="auto"/>
        <w:right w:val="none" w:sz="0" w:space="0" w:color="auto"/>
      </w:divBdr>
    </w:div>
    <w:div w:id="1684286461">
      <w:bodyDiv w:val="1"/>
      <w:marLeft w:val="0"/>
      <w:marRight w:val="0"/>
      <w:marTop w:val="0"/>
      <w:marBottom w:val="0"/>
      <w:divBdr>
        <w:top w:val="none" w:sz="0" w:space="0" w:color="auto"/>
        <w:left w:val="none" w:sz="0" w:space="0" w:color="auto"/>
        <w:bottom w:val="none" w:sz="0" w:space="0" w:color="auto"/>
        <w:right w:val="none" w:sz="0" w:space="0" w:color="auto"/>
      </w:divBdr>
      <w:divsChild>
        <w:div w:id="1359313651">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698965346">
      <w:bodyDiv w:val="1"/>
      <w:marLeft w:val="0"/>
      <w:marRight w:val="0"/>
      <w:marTop w:val="0"/>
      <w:marBottom w:val="0"/>
      <w:divBdr>
        <w:top w:val="none" w:sz="0" w:space="0" w:color="auto"/>
        <w:left w:val="none" w:sz="0" w:space="0" w:color="auto"/>
        <w:bottom w:val="none" w:sz="0" w:space="0" w:color="auto"/>
        <w:right w:val="none" w:sz="0" w:space="0" w:color="auto"/>
      </w:divBdr>
      <w:divsChild>
        <w:div w:id="1525359898">
          <w:marLeft w:val="1800"/>
          <w:marRight w:val="0"/>
          <w:marTop w:val="77"/>
          <w:marBottom w:val="0"/>
          <w:divBdr>
            <w:top w:val="none" w:sz="0" w:space="0" w:color="auto"/>
            <w:left w:val="none" w:sz="0" w:space="0" w:color="auto"/>
            <w:bottom w:val="none" w:sz="0" w:space="0" w:color="auto"/>
            <w:right w:val="none" w:sz="0" w:space="0" w:color="auto"/>
          </w:divBdr>
        </w:div>
      </w:divsChild>
    </w:div>
    <w:div w:id="1710304108">
      <w:bodyDiv w:val="1"/>
      <w:marLeft w:val="0"/>
      <w:marRight w:val="0"/>
      <w:marTop w:val="0"/>
      <w:marBottom w:val="0"/>
      <w:divBdr>
        <w:top w:val="none" w:sz="0" w:space="0" w:color="auto"/>
        <w:left w:val="none" w:sz="0" w:space="0" w:color="auto"/>
        <w:bottom w:val="none" w:sz="0" w:space="0" w:color="auto"/>
        <w:right w:val="none" w:sz="0" w:space="0" w:color="auto"/>
      </w:divBdr>
    </w:div>
    <w:div w:id="1729256968">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37513954">
      <w:bodyDiv w:val="1"/>
      <w:marLeft w:val="0"/>
      <w:marRight w:val="0"/>
      <w:marTop w:val="0"/>
      <w:marBottom w:val="0"/>
      <w:divBdr>
        <w:top w:val="none" w:sz="0" w:space="0" w:color="auto"/>
        <w:left w:val="none" w:sz="0" w:space="0" w:color="auto"/>
        <w:bottom w:val="none" w:sz="0" w:space="0" w:color="auto"/>
        <w:right w:val="none" w:sz="0" w:space="0" w:color="auto"/>
      </w:divBdr>
    </w:div>
    <w:div w:id="1752771891">
      <w:bodyDiv w:val="1"/>
      <w:marLeft w:val="0"/>
      <w:marRight w:val="0"/>
      <w:marTop w:val="0"/>
      <w:marBottom w:val="0"/>
      <w:divBdr>
        <w:top w:val="none" w:sz="0" w:space="0" w:color="auto"/>
        <w:left w:val="none" w:sz="0" w:space="0" w:color="auto"/>
        <w:bottom w:val="none" w:sz="0" w:space="0" w:color="auto"/>
        <w:right w:val="none" w:sz="0" w:space="0" w:color="auto"/>
      </w:divBdr>
    </w:div>
    <w:div w:id="1755396080">
      <w:bodyDiv w:val="1"/>
      <w:marLeft w:val="0"/>
      <w:marRight w:val="0"/>
      <w:marTop w:val="0"/>
      <w:marBottom w:val="0"/>
      <w:divBdr>
        <w:top w:val="none" w:sz="0" w:space="0" w:color="auto"/>
        <w:left w:val="none" w:sz="0" w:space="0" w:color="auto"/>
        <w:bottom w:val="none" w:sz="0" w:space="0" w:color="auto"/>
        <w:right w:val="none" w:sz="0" w:space="0" w:color="auto"/>
      </w:divBdr>
      <w:divsChild>
        <w:div w:id="1322585301">
          <w:marLeft w:val="1166"/>
          <w:marRight w:val="0"/>
          <w:marTop w:val="96"/>
          <w:marBottom w:val="0"/>
          <w:divBdr>
            <w:top w:val="none" w:sz="0" w:space="0" w:color="auto"/>
            <w:left w:val="none" w:sz="0" w:space="0" w:color="auto"/>
            <w:bottom w:val="none" w:sz="0" w:space="0" w:color="auto"/>
            <w:right w:val="none" w:sz="0" w:space="0" w:color="auto"/>
          </w:divBdr>
        </w:div>
        <w:div w:id="1727148298">
          <w:marLeft w:val="1800"/>
          <w:marRight w:val="0"/>
          <w:marTop w:val="86"/>
          <w:marBottom w:val="0"/>
          <w:divBdr>
            <w:top w:val="none" w:sz="0" w:space="0" w:color="auto"/>
            <w:left w:val="none" w:sz="0" w:space="0" w:color="auto"/>
            <w:bottom w:val="none" w:sz="0" w:space="0" w:color="auto"/>
            <w:right w:val="none" w:sz="0" w:space="0" w:color="auto"/>
          </w:divBdr>
        </w:div>
        <w:div w:id="1564677479">
          <w:marLeft w:val="1800"/>
          <w:marRight w:val="0"/>
          <w:marTop w:val="86"/>
          <w:marBottom w:val="0"/>
          <w:divBdr>
            <w:top w:val="none" w:sz="0" w:space="0" w:color="auto"/>
            <w:left w:val="none" w:sz="0" w:space="0" w:color="auto"/>
            <w:bottom w:val="none" w:sz="0" w:space="0" w:color="auto"/>
            <w:right w:val="none" w:sz="0" w:space="0" w:color="auto"/>
          </w:divBdr>
        </w:div>
        <w:div w:id="942034209">
          <w:marLeft w:val="1800"/>
          <w:marRight w:val="0"/>
          <w:marTop w:val="86"/>
          <w:marBottom w:val="0"/>
          <w:divBdr>
            <w:top w:val="none" w:sz="0" w:space="0" w:color="auto"/>
            <w:left w:val="none" w:sz="0" w:space="0" w:color="auto"/>
            <w:bottom w:val="none" w:sz="0" w:space="0" w:color="auto"/>
            <w:right w:val="none" w:sz="0" w:space="0" w:color="auto"/>
          </w:divBdr>
        </w:div>
        <w:div w:id="1404834875">
          <w:marLeft w:val="1166"/>
          <w:marRight w:val="0"/>
          <w:marTop w:val="96"/>
          <w:marBottom w:val="0"/>
          <w:divBdr>
            <w:top w:val="none" w:sz="0" w:space="0" w:color="auto"/>
            <w:left w:val="none" w:sz="0" w:space="0" w:color="auto"/>
            <w:bottom w:val="none" w:sz="0" w:space="0" w:color="auto"/>
            <w:right w:val="none" w:sz="0" w:space="0" w:color="auto"/>
          </w:divBdr>
        </w:div>
        <w:div w:id="1108741954">
          <w:marLeft w:val="1800"/>
          <w:marRight w:val="0"/>
          <w:marTop w:val="86"/>
          <w:marBottom w:val="0"/>
          <w:divBdr>
            <w:top w:val="none" w:sz="0" w:space="0" w:color="auto"/>
            <w:left w:val="none" w:sz="0" w:space="0" w:color="auto"/>
            <w:bottom w:val="none" w:sz="0" w:space="0" w:color="auto"/>
            <w:right w:val="none" w:sz="0" w:space="0" w:color="auto"/>
          </w:divBdr>
        </w:div>
        <w:div w:id="1730104100">
          <w:marLeft w:val="1800"/>
          <w:marRight w:val="0"/>
          <w:marTop w:val="86"/>
          <w:marBottom w:val="0"/>
          <w:divBdr>
            <w:top w:val="none" w:sz="0" w:space="0" w:color="auto"/>
            <w:left w:val="none" w:sz="0" w:space="0" w:color="auto"/>
            <w:bottom w:val="none" w:sz="0" w:space="0" w:color="auto"/>
            <w:right w:val="none" w:sz="0" w:space="0" w:color="auto"/>
          </w:divBdr>
        </w:div>
        <w:div w:id="581912433">
          <w:marLeft w:val="1800"/>
          <w:marRight w:val="0"/>
          <w:marTop w:val="86"/>
          <w:marBottom w:val="0"/>
          <w:divBdr>
            <w:top w:val="none" w:sz="0" w:space="0" w:color="auto"/>
            <w:left w:val="none" w:sz="0" w:space="0" w:color="auto"/>
            <w:bottom w:val="none" w:sz="0" w:space="0" w:color="auto"/>
            <w:right w:val="none" w:sz="0" w:space="0" w:color="auto"/>
          </w:divBdr>
        </w:div>
        <w:div w:id="52001261">
          <w:marLeft w:val="1800"/>
          <w:marRight w:val="0"/>
          <w:marTop w:val="86"/>
          <w:marBottom w:val="0"/>
          <w:divBdr>
            <w:top w:val="none" w:sz="0" w:space="0" w:color="auto"/>
            <w:left w:val="none" w:sz="0" w:space="0" w:color="auto"/>
            <w:bottom w:val="none" w:sz="0" w:space="0" w:color="auto"/>
            <w:right w:val="none" w:sz="0" w:space="0" w:color="auto"/>
          </w:divBdr>
        </w:div>
        <w:div w:id="416097311">
          <w:marLeft w:val="1800"/>
          <w:marRight w:val="0"/>
          <w:marTop w:val="86"/>
          <w:marBottom w:val="0"/>
          <w:divBdr>
            <w:top w:val="none" w:sz="0" w:space="0" w:color="auto"/>
            <w:left w:val="none" w:sz="0" w:space="0" w:color="auto"/>
            <w:bottom w:val="none" w:sz="0" w:space="0" w:color="auto"/>
            <w:right w:val="none" w:sz="0" w:space="0" w:color="auto"/>
          </w:divBdr>
        </w:div>
        <w:div w:id="127823425">
          <w:marLeft w:val="1166"/>
          <w:marRight w:val="0"/>
          <w:marTop w:val="96"/>
          <w:marBottom w:val="0"/>
          <w:divBdr>
            <w:top w:val="none" w:sz="0" w:space="0" w:color="auto"/>
            <w:left w:val="none" w:sz="0" w:space="0" w:color="auto"/>
            <w:bottom w:val="none" w:sz="0" w:space="0" w:color="auto"/>
            <w:right w:val="none" w:sz="0" w:space="0" w:color="auto"/>
          </w:divBdr>
        </w:div>
        <w:div w:id="2126848828">
          <w:marLeft w:val="1800"/>
          <w:marRight w:val="0"/>
          <w:marTop w:val="86"/>
          <w:marBottom w:val="0"/>
          <w:divBdr>
            <w:top w:val="none" w:sz="0" w:space="0" w:color="auto"/>
            <w:left w:val="none" w:sz="0" w:space="0" w:color="auto"/>
            <w:bottom w:val="none" w:sz="0" w:space="0" w:color="auto"/>
            <w:right w:val="none" w:sz="0" w:space="0" w:color="auto"/>
          </w:divBdr>
        </w:div>
        <w:div w:id="1628900062">
          <w:marLeft w:val="2520"/>
          <w:marRight w:val="0"/>
          <w:marTop w:val="77"/>
          <w:marBottom w:val="0"/>
          <w:divBdr>
            <w:top w:val="none" w:sz="0" w:space="0" w:color="auto"/>
            <w:left w:val="none" w:sz="0" w:space="0" w:color="auto"/>
            <w:bottom w:val="none" w:sz="0" w:space="0" w:color="auto"/>
            <w:right w:val="none" w:sz="0" w:space="0" w:color="auto"/>
          </w:divBdr>
        </w:div>
      </w:divsChild>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67265904">
      <w:bodyDiv w:val="1"/>
      <w:marLeft w:val="0"/>
      <w:marRight w:val="0"/>
      <w:marTop w:val="0"/>
      <w:marBottom w:val="0"/>
      <w:divBdr>
        <w:top w:val="none" w:sz="0" w:space="0" w:color="auto"/>
        <w:left w:val="none" w:sz="0" w:space="0" w:color="auto"/>
        <w:bottom w:val="none" w:sz="0" w:space="0" w:color="auto"/>
        <w:right w:val="none" w:sz="0" w:space="0" w:color="auto"/>
      </w:divBdr>
      <w:divsChild>
        <w:div w:id="206917293">
          <w:marLeft w:val="2246"/>
          <w:marRight w:val="0"/>
          <w:marTop w:val="34"/>
          <w:marBottom w:val="0"/>
          <w:divBdr>
            <w:top w:val="none" w:sz="0" w:space="0" w:color="auto"/>
            <w:left w:val="none" w:sz="0" w:space="0" w:color="auto"/>
            <w:bottom w:val="none" w:sz="0" w:space="0" w:color="auto"/>
            <w:right w:val="none" w:sz="0" w:space="0" w:color="auto"/>
          </w:divBdr>
        </w:div>
      </w:divsChild>
    </w:div>
    <w:div w:id="1778669904">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789087822">
      <w:bodyDiv w:val="1"/>
      <w:marLeft w:val="0"/>
      <w:marRight w:val="0"/>
      <w:marTop w:val="0"/>
      <w:marBottom w:val="0"/>
      <w:divBdr>
        <w:top w:val="none" w:sz="0" w:space="0" w:color="auto"/>
        <w:left w:val="none" w:sz="0" w:space="0" w:color="auto"/>
        <w:bottom w:val="none" w:sz="0" w:space="0" w:color="auto"/>
        <w:right w:val="none" w:sz="0" w:space="0" w:color="auto"/>
      </w:divBdr>
    </w:div>
    <w:div w:id="1790976453">
      <w:bodyDiv w:val="1"/>
      <w:marLeft w:val="0"/>
      <w:marRight w:val="0"/>
      <w:marTop w:val="0"/>
      <w:marBottom w:val="0"/>
      <w:divBdr>
        <w:top w:val="none" w:sz="0" w:space="0" w:color="auto"/>
        <w:left w:val="none" w:sz="0" w:space="0" w:color="auto"/>
        <w:bottom w:val="none" w:sz="0" w:space="0" w:color="auto"/>
        <w:right w:val="none" w:sz="0" w:space="0" w:color="auto"/>
      </w:divBdr>
    </w:div>
    <w:div w:id="1808812185">
      <w:bodyDiv w:val="1"/>
      <w:marLeft w:val="0"/>
      <w:marRight w:val="0"/>
      <w:marTop w:val="0"/>
      <w:marBottom w:val="0"/>
      <w:divBdr>
        <w:top w:val="none" w:sz="0" w:space="0" w:color="auto"/>
        <w:left w:val="none" w:sz="0" w:space="0" w:color="auto"/>
        <w:bottom w:val="none" w:sz="0" w:space="0" w:color="auto"/>
        <w:right w:val="none" w:sz="0" w:space="0" w:color="auto"/>
      </w:divBdr>
    </w:div>
    <w:div w:id="1816793137">
      <w:bodyDiv w:val="1"/>
      <w:marLeft w:val="0"/>
      <w:marRight w:val="0"/>
      <w:marTop w:val="0"/>
      <w:marBottom w:val="0"/>
      <w:divBdr>
        <w:top w:val="none" w:sz="0" w:space="0" w:color="auto"/>
        <w:left w:val="none" w:sz="0" w:space="0" w:color="auto"/>
        <w:bottom w:val="none" w:sz="0" w:space="0" w:color="auto"/>
        <w:right w:val="none" w:sz="0" w:space="0" w:color="auto"/>
      </w:divBdr>
      <w:divsChild>
        <w:div w:id="1039477737">
          <w:marLeft w:val="1166"/>
          <w:marRight w:val="0"/>
          <w:marTop w:val="96"/>
          <w:marBottom w:val="0"/>
          <w:divBdr>
            <w:top w:val="none" w:sz="0" w:space="0" w:color="auto"/>
            <w:left w:val="none" w:sz="0" w:space="0" w:color="auto"/>
            <w:bottom w:val="none" w:sz="0" w:space="0" w:color="auto"/>
            <w:right w:val="none" w:sz="0" w:space="0" w:color="auto"/>
          </w:divBdr>
        </w:div>
        <w:div w:id="421071914">
          <w:marLeft w:val="1800"/>
          <w:marRight w:val="0"/>
          <w:marTop w:val="86"/>
          <w:marBottom w:val="0"/>
          <w:divBdr>
            <w:top w:val="none" w:sz="0" w:space="0" w:color="auto"/>
            <w:left w:val="none" w:sz="0" w:space="0" w:color="auto"/>
            <w:bottom w:val="none" w:sz="0" w:space="0" w:color="auto"/>
            <w:right w:val="none" w:sz="0" w:space="0" w:color="auto"/>
          </w:divBdr>
        </w:div>
        <w:div w:id="1449658805">
          <w:marLeft w:val="1166"/>
          <w:marRight w:val="0"/>
          <w:marTop w:val="96"/>
          <w:marBottom w:val="0"/>
          <w:divBdr>
            <w:top w:val="none" w:sz="0" w:space="0" w:color="auto"/>
            <w:left w:val="none" w:sz="0" w:space="0" w:color="auto"/>
            <w:bottom w:val="none" w:sz="0" w:space="0" w:color="auto"/>
            <w:right w:val="none" w:sz="0" w:space="0" w:color="auto"/>
          </w:divBdr>
        </w:div>
      </w:divsChild>
    </w:div>
    <w:div w:id="1826388349">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43230849">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0332901">
      <w:bodyDiv w:val="1"/>
      <w:marLeft w:val="0"/>
      <w:marRight w:val="0"/>
      <w:marTop w:val="0"/>
      <w:marBottom w:val="0"/>
      <w:divBdr>
        <w:top w:val="none" w:sz="0" w:space="0" w:color="auto"/>
        <w:left w:val="none" w:sz="0" w:space="0" w:color="auto"/>
        <w:bottom w:val="none" w:sz="0" w:space="0" w:color="auto"/>
        <w:right w:val="none" w:sz="0" w:space="0" w:color="auto"/>
      </w:divBdr>
    </w:div>
    <w:div w:id="1883009033">
      <w:bodyDiv w:val="1"/>
      <w:marLeft w:val="0"/>
      <w:marRight w:val="0"/>
      <w:marTop w:val="0"/>
      <w:marBottom w:val="0"/>
      <w:divBdr>
        <w:top w:val="none" w:sz="0" w:space="0" w:color="auto"/>
        <w:left w:val="none" w:sz="0" w:space="0" w:color="auto"/>
        <w:bottom w:val="none" w:sz="0" w:space="0" w:color="auto"/>
        <w:right w:val="none" w:sz="0" w:space="0" w:color="auto"/>
      </w:divBdr>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37513632">
      <w:bodyDiv w:val="1"/>
      <w:marLeft w:val="0"/>
      <w:marRight w:val="0"/>
      <w:marTop w:val="0"/>
      <w:marBottom w:val="0"/>
      <w:divBdr>
        <w:top w:val="none" w:sz="0" w:space="0" w:color="auto"/>
        <w:left w:val="none" w:sz="0" w:space="0" w:color="auto"/>
        <w:bottom w:val="none" w:sz="0" w:space="0" w:color="auto"/>
        <w:right w:val="none" w:sz="0" w:space="0" w:color="auto"/>
      </w:divBdr>
    </w:div>
    <w:div w:id="1943562859">
      <w:bodyDiv w:val="1"/>
      <w:marLeft w:val="0"/>
      <w:marRight w:val="0"/>
      <w:marTop w:val="0"/>
      <w:marBottom w:val="0"/>
      <w:divBdr>
        <w:top w:val="none" w:sz="0" w:space="0" w:color="auto"/>
        <w:left w:val="none" w:sz="0" w:space="0" w:color="auto"/>
        <w:bottom w:val="none" w:sz="0" w:space="0" w:color="auto"/>
        <w:right w:val="none" w:sz="0" w:space="0" w:color="auto"/>
      </w:divBdr>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6865143">
      <w:bodyDiv w:val="1"/>
      <w:marLeft w:val="0"/>
      <w:marRight w:val="0"/>
      <w:marTop w:val="0"/>
      <w:marBottom w:val="0"/>
      <w:divBdr>
        <w:top w:val="none" w:sz="0" w:space="0" w:color="auto"/>
        <w:left w:val="none" w:sz="0" w:space="0" w:color="auto"/>
        <w:bottom w:val="none" w:sz="0" w:space="0" w:color="auto"/>
        <w:right w:val="none" w:sz="0" w:space="0" w:color="auto"/>
      </w:divBdr>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94210287">
      <w:bodyDiv w:val="1"/>
      <w:marLeft w:val="0"/>
      <w:marRight w:val="0"/>
      <w:marTop w:val="0"/>
      <w:marBottom w:val="0"/>
      <w:divBdr>
        <w:top w:val="none" w:sz="0" w:space="0" w:color="auto"/>
        <w:left w:val="none" w:sz="0" w:space="0" w:color="auto"/>
        <w:bottom w:val="none" w:sz="0" w:space="0" w:color="auto"/>
        <w:right w:val="none" w:sz="0" w:space="0" w:color="auto"/>
      </w:divBdr>
      <w:divsChild>
        <w:div w:id="565532775">
          <w:marLeft w:val="547"/>
          <w:marRight w:val="0"/>
          <w:marTop w:val="96"/>
          <w:marBottom w:val="0"/>
          <w:divBdr>
            <w:top w:val="none" w:sz="0" w:space="0" w:color="auto"/>
            <w:left w:val="none" w:sz="0" w:space="0" w:color="auto"/>
            <w:bottom w:val="none" w:sz="0" w:space="0" w:color="auto"/>
            <w:right w:val="none" w:sz="0" w:space="0" w:color="auto"/>
          </w:divBdr>
        </w:div>
      </w:divsChild>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515928200">
          <w:marLeft w:val="1166"/>
          <w:marRight w:val="0"/>
          <w:marTop w:val="91"/>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836074592">
          <w:marLeft w:val="547"/>
          <w:marRight w:val="0"/>
          <w:marTop w:val="106"/>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sChild>
    </w:div>
    <w:div w:id="2002852859">
      <w:bodyDiv w:val="1"/>
      <w:marLeft w:val="0"/>
      <w:marRight w:val="0"/>
      <w:marTop w:val="0"/>
      <w:marBottom w:val="0"/>
      <w:divBdr>
        <w:top w:val="none" w:sz="0" w:space="0" w:color="auto"/>
        <w:left w:val="none" w:sz="0" w:space="0" w:color="auto"/>
        <w:bottom w:val="none" w:sz="0" w:space="0" w:color="auto"/>
        <w:right w:val="none" w:sz="0" w:space="0" w:color="auto"/>
      </w:divBdr>
    </w:div>
    <w:div w:id="2005666264">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63475915">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02137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svg"/><Relationship Id="rId18" Type="http://schemas.openxmlformats.org/officeDocument/2006/relationships/image" Target="media/image7.svg"/><Relationship Id="rId3" Type="http://schemas.openxmlformats.org/officeDocument/2006/relationships/customXml" Target="../customXml/item2.xml"/><Relationship Id="rId21" Type="http://schemas.openxmlformats.org/officeDocument/2006/relationships/image" Target="media/image10.svg"/><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6.png"/><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9.png"/><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image" Target="media/image4.emf"/><Relationship Id="rId23"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image" Target="media/image8.png"/><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3996281876C934E8ACA2610AF21CCB4" ma:contentTypeVersion="15" ma:contentTypeDescription="Create a new document." ma:contentTypeScope="" ma:versionID="5e7297c300d22caae670982223c13374">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af6edd24a4b2671812ef9b6848aed320"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3:TaxCatchAll"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ce391acf-b2a8-4a1c-9c03-161b1cee9121"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ed6af253-43a3-403c-9b17-1c0a379e9de0}" ma:internalName="TaxCatchAll" ma:showField="CatchAllData" ma:web="40013046-717f-4449-8614-b21769059c6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SharedWithUsers xmlns="40013046-717f-4449-8614-b21769059c69">
      <UserInfo>
        <DisplayName>TCS.受注関係 メンバー</DisplayName>
        <AccountId>60</AccountId>
        <AccountType/>
      </UserInfo>
    </SharedWithUsers>
    <TaxCatchAll xmlns="40013046-717f-4449-8614-b21769059c69" xsi:nil="true"/>
    <lcf76f155ced4ddcb4097134ff3c332f xmlns="77e7d536-9cde-4514-95f2-d894f5dbb2f2">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385D1BF-FA4A-4CF3-ACC5-D6577C2B42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1D1286B-AF50-4EE4-89D2-8D40849803B9}">
  <ds:schemaRefs>
    <ds:schemaRef ds:uri="http://schemas.openxmlformats.org/officeDocument/2006/bibliography"/>
  </ds:schemaRefs>
</ds:datastoreItem>
</file>

<file path=customXml/itemProps3.xml><?xml version="1.0" encoding="utf-8"?>
<ds:datastoreItem xmlns:ds="http://schemas.openxmlformats.org/officeDocument/2006/customXml" ds:itemID="{31BCBBAD-8602-4AE1-9A50-7F0B306F7FF8}">
  <ds:schemaRefs>
    <ds:schemaRef ds:uri="http://schemas.microsoft.com/sharepoint/v3/contenttype/forms"/>
  </ds:schemaRefs>
</ds:datastoreItem>
</file>

<file path=customXml/itemProps4.xml><?xml version="1.0" encoding="utf-8"?>
<ds:datastoreItem xmlns:ds="http://schemas.openxmlformats.org/officeDocument/2006/customXml" ds:itemID="{A0A19EC2-EFCC-412D-94BD-456B71332B7A}">
  <ds:schemaRefs>
    <ds:schemaRef ds:uri="http://schemas.microsoft.com/office/2006/metadata/properties"/>
    <ds:schemaRef ds:uri="http://schemas.microsoft.com/office/infopath/2007/PartnerControls"/>
    <ds:schemaRef ds:uri="40013046-717f-4449-8614-b21769059c69"/>
    <ds:schemaRef ds:uri="77e7d536-9cde-4514-95f2-d894f5dbb2f2"/>
  </ds:schemaRefs>
</ds:datastoreItem>
</file>

<file path=docProps/app.xml><?xml version="1.0" encoding="utf-8"?>
<Properties xmlns="http://schemas.openxmlformats.org/officeDocument/2006/extended-properties" xmlns:vt="http://schemas.openxmlformats.org/officeDocument/2006/docPropsVTypes">
  <Template>Normal.dotm</Template>
  <TotalTime>3231</TotalTime>
  <Pages>12</Pages>
  <Words>5472</Words>
  <Characters>31193</Characters>
  <Application>Microsoft Office Word</Application>
  <DocSecurity>0</DocSecurity>
  <Lines>259</Lines>
  <Paragraphs>73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vt:lpstr>
      <vt:lpstr>3GPP contribution</vt:lpstr>
    </vt:vector>
  </TitlesOfParts>
  <Company/>
  <LinksUpToDate>false</LinksUpToDate>
  <CharactersWithSpaces>36592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Tomoya Nunome</dc:creator>
  <cp:keywords>3GPP</cp:keywords>
  <cp:lastModifiedBy>Tomoya Nunome</cp:lastModifiedBy>
  <cp:revision>848</cp:revision>
  <cp:lastPrinted>2010-04-02T09:58:00Z</cp:lastPrinted>
  <dcterms:created xsi:type="dcterms:W3CDTF">2022-11-06T15:10:00Z</dcterms:created>
  <dcterms:modified xsi:type="dcterms:W3CDTF">2023-05-15T00:07:00Z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y fmtid="{D5CDD505-2E9C-101B-9397-08002B2CF9AE}" pid="5" name="ContentTypeId">
    <vt:lpwstr>0x01010043996281876C934E8ACA2610AF21CCB4</vt:lpwstr>
  </property>
  <property fmtid="{D5CDD505-2E9C-101B-9397-08002B2CF9AE}" pid="6" name="MediaServiceImageTags">
    <vt:lpwstr/>
  </property>
</Properties>
</file>