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324B34"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lastRenderedPageBreak/>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 xml:space="preserve">legacy </w:t>
            </w:r>
            <w:r w:rsidRPr="00126D2B">
              <w:rPr>
                <w:rFonts w:eastAsia="Yu Mincho"/>
                <w:lang w:val="en-US" w:eastAsia="ja-JP"/>
              </w:rPr>
              <w:lastRenderedPageBreak/>
              <w:t>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lastRenderedPageBreak/>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t>
            </w:r>
            <w:r w:rsidR="002A52BB">
              <w:rPr>
                <w:rFonts w:eastAsiaTheme="minorEastAsia"/>
                <w:lang w:val="en-US" w:eastAsia="zh-CN"/>
              </w:rPr>
              <w:lastRenderedPageBreak/>
              <w:t>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lastRenderedPageBreak/>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 xml:space="preserve">We support </w:t>
            </w:r>
            <w:r>
              <w:rPr>
                <w:rFonts w:eastAsiaTheme="minorEastAsia"/>
                <w:lang w:val="en-US" w:eastAsia="zh-CN"/>
              </w:rPr>
              <w:t>also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f Rel-18 RedCap UE doesn’t use the same PRACH as Rel-17 RedCap UE in this scenario.</w:t>
            </w: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w:t>
            </w:r>
            <w:r w:rsidRPr="00FA22BD">
              <w:rPr>
                <w:rFonts w:eastAsia="SimSun"/>
              </w:rPr>
              <w:lastRenderedPageBreak/>
              <w:t xml:space="preserve">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lastRenderedPageBreak/>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 xml:space="preserve">For UE BB bandwidth reduction, for autonomous SI acquisition, the following paragraph in TS 38.214 clause 5.1 </w:t>
            </w:r>
            <w:r w:rsidRPr="00FA0A7F">
              <w:rPr>
                <w:rFonts w:eastAsia="DengXian"/>
                <w:lang w:val="en-US" w:eastAsia="zh-CN"/>
              </w:rPr>
              <w:lastRenderedPageBreak/>
              <w:t>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 xml:space="preserve">If Msg4 PDSCH is not greater than 25/12 PRBs in 15/30kHz SCS, UE is expected </w:t>
            </w:r>
            <w:r w:rsidRPr="00AC5B52">
              <w:rPr>
                <w:rFonts w:eastAsiaTheme="minorEastAsia"/>
                <w:lang w:val="en-US" w:eastAsia="zh-CN"/>
              </w:rPr>
              <w:lastRenderedPageBreak/>
              <w:t>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lastRenderedPageBreak/>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lastRenderedPageBreak/>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lastRenderedPageBreak/>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Yu Mincho"/>
                <w:lang w:val="en-US" w:eastAsia="ja-JP"/>
              </w:rPr>
            </w:pPr>
            <w:r>
              <w:rPr>
                <w:rFonts w:eastAsia="Yu Mincho"/>
                <w:lang w:val="en-US" w:eastAsia="ja-JP"/>
              </w:rPr>
              <w:t>Nokia, NSB</w:t>
            </w:r>
          </w:p>
        </w:tc>
        <w:tc>
          <w:tcPr>
            <w:tcW w:w="1372" w:type="dxa"/>
          </w:tcPr>
          <w:p w14:paraId="50198802" w14:textId="5EA5181E" w:rsidR="000A6B95" w:rsidRDefault="000A6B95" w:rsidP="00521018">
            <w:pPr>
              <w:tabs>
                <w:tab w:val="left" w:pos="551"/>
              </w:tabs>
              <w:jc w:val="left"/>
              <w:rPr>
                <w:rFonts w:eastAsia="Yu Mincho"/>
                <w:lang w:val="en-US" w:eastAsia="ja-JP"/>
              </w:rPr>
            </w:pPr>
            <w:r>
              <w:rPr>
                <w:rFonts w:eastAsia="Yu Mincho"/>
                <w:lang w:val="en-US" w:eastAsia="ja-JP"/>
              </w:rPr>
              <w:t>N</w:t>
            </w:r>
          </w:p>
        </w:tc>
        <w:tc>
          <w:tcPr>
            <w:tcW w:w="6780" w:type="dxa"/>
          </w:tcPr>
          <w:p w14:paraId="7E838C2A" w14:textId="77777777" w:rsidR="000A6B95" w:rsidRDefault="000A6B95" w:rsidP="00521018">
            <w:pPr>
              <w:jc w:val="left"/>
              <w:rPr>
                <w:rFonts w:eastAsia="Yu Mincho"/>
                <w:lang w:val="en-US" w:eastAsia="ja-JP"/>
              </w:rPr>
            </w:pPr>
            <w:r>
              <w:rPr>
                <w:rFonts w:eastAsia="Yu Mincho"/>
                <w:lang w:val="en-US" w:eastAsia="ja-JP"/>
              </w:rPr>
              <w:t>We don’t think UE behavior needs to be defined as this is not expected by the UE.</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lastRenderedPageBreak/>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4805A6" w14:paraId="72A35F12" w14:textId="77777777" w:rsidTr="004805A6">
        <w:tc>
          <w:tcPr>
            <w:tcW w:w="1479" w:type="dxa"/>
          </w:tcPr>
          <w:p w14:paraId="6A1AFC0B" w14:textId="77777777" w:rsidR="004805A6" w:rsidRDefault="004805A6" w:rsidP="00521018">
            <w:pPr>
              <w:jc w:val="left"/>
              <w:rPr>
                <w:rFonts w:eastAsia="Yu Mincho"/>
                <w:lang w:val="en-US" w:eastAsia="ja-JP"/>
              </w:rPr>
            </w:pPr>
            <w:r>
              <w:rPr>
                <w:rFonts w:eastAsia="Yu Mincho"/>
                <w:lang w:val="en-US" w:eastAsia="ja-JP"/>
              </w:rPr>
              <w:t>Nokia, NSB</w:t>
            </w:r>
          </w:p>
        </w:tc>
        <w:tc>
          <w:tcPr>
            <w:tcW w:w="1372" w:type="dxa"/>
          </w:tcPr>
          <w:p w14:paraId="28443426" w14:textId="77777777" w:rsidR="004805A6" w:rsidRDefault="004805A6" w:rsidP="00521018">
            <w:pPr>
              <w:tabs>
                <w:tab w:val="left" w:pos="551"/>
              </w:tabs>
              <w:jc w:val="left"/>
              <w:rPr>
                <w:rFonts w:eastAsia="Yu Mincho"/>
                <w:lang w:val="en-US" w:eastAsia="ja-JP"/>
              </w:rPr>
            </w:pPr>
          </w:p>
        </w:tc>
        <w:tc>
          <w:tcPr>
            <w:tcW w:w="6780" w:type="dxa"/>
          </w:tcPr>
          <w:p w14:paraId="5B915CD6" w14:textId="77777777" w:rsidR="004805A6" w:rsidRDefault="004805A6" w:rsidP="00521018">
            <w:pPr>
              <w:jc w:val="left"/>
              <w:rPr>
                <w:rFonts w:eastAsia="Yu Mincho"/>
                <w:lang w:val="en-US" w:eastAsia="ja-JP"/>
              </w:rPr>
            </w:pPr>
            <w:r>
              <w:rPr>
                <w:rFonts w:eastAsia="Yu Mincho"/>
                <w:lang w:val="en-US" w:eastAsia="ja-JP"/>
              </w:rPr>
              <w:t>We don’t think UE behavior needs to be defined as this is not expected by the UE.</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 xml:space="preserve">The UE is not required to process a Msg4 PDSCH with a larger number of PRBs than 25 PRBs for 15 kHz SCS and 12 </w:t>
            </w:r>
            <w:r w:rsidRPr="00A208F5">
              <w:rPr>
                <w:rFonts w:ascii="Times New Roman" w:eastAsia="DengXian" w:hAnsi="Times New Roman" w:cs="Times New Roman"/>
                <w:b/>
                <w:sz w:val="20"/>
                <w:szCs w:val="20"/>
                <w:lang w:val="en-US" w:eastAsia="zh-CN"/>
              </w:rPr>
              <w:lastRenderedPageBreak/>
              <w:t>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lastRenderedPageBreak/>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lastRenderedPageBreak/>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lastRenderedPageBreak/>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lastRenderedPageBreak/>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lastRenderedPageBreak/>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hint="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hint="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lastRenderedPageBreak/>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w:t>
            </w:r>
            <w:r>
              <w:rPr>
                <w:rFonts w:eastAsiaTheme="minorEastAsia" w:hint="eastAsia"/>
                <w:lang w:val="en-US" w:eastAsia="zh-CN"/>
              </w:rPr>
              <w:lastRenderedPageBreak/>
              <w:t xml:space="preserve">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324B34"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324B34"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324B34"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324B34"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324B34"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324B34"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324B34"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324B34"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324B34"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324B34"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324B34"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324B34"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324B34"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324B34"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324B34"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324B34"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324B34"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324B34"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324B34"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324B34"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324B34"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324B34"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324B34"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lastRenderedPageBreak/>
              <w:t>[24]</w:t>
            </w:r>
          </w:p>
        </w:tc>
        <w:tc>
          <w:tcPr>
            <w:tcW w:w="1456" w:type="dxa"/>
            <w:tcMar>
              <w:top w:w="0" w:type="dxa"/>
              <w:left w:w="70" w:type="dxa"/>
              <w:bottom w:w="0" w:type="dxa"/>
              <w:right w:w="70" w:type="dxa"/>
            </w:tcMar>
          </w:tcPr>
          <w:p w14:paraId="0ADBACB7" w14:textId="484F431B" w:rsidR="001B0B6C" w:rsidRPr="0048724E" w:rsidRDefault="00324B34"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324B34"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324B34"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324B34"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324B34"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324B34"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324B34"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324B34"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324B34"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324B34"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324B34"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324B34"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324B34"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324B34"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324B34"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324B34"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324B34"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324B34"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39E5" w14:textId="77777777" w:rsidR="00367138" w:rsidRDefault="00367138" w:rsidP="00AB238B">
      <w:pPr>
        <w:spacing w:after="0" w:line="240" w:lineRule="auto"/>
      </w:pPr>
      <w:r>
        <w:separator/>
      </w:r>
    </w:p>
  </w:endnote>
  <w:endnote w:type="continuationSeparator" w:id="0">
    <w:p w14:paraId="41EC69B2" w14:textId="77777777" w:rsidR="00367138" w:rsidRDefault="00367138" w:rsidP="00AB238B">
      <w:pPr>
        <w:spacing w:after="0" w:line="240" w:lineRule="auto"/>
      </w:pPr>
      <w:r>
        <w:continuationSeparator/>
      </w:r>
    </w:p>
  </w:endnote>
  <w:endnote w:type="continuationNotice" w:id="1">
    <w:p w14:paraId="7877F18F" w14:textId="77777777" w:rsidR="00367138" w:rsidRDefault="0036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2F92" w14:textId="77777777" w:rsidR="00367138" w:rsidRDefault="00367138" w:rsidP="00AB238B">
      <w:pPr>
        <w:spacing w:after="0" w:line="240" w:lineRule="auto"/>
      </w:pPr>
      <w:r>
        <w:separator/>
      </w:r>
    </w:p>
  </w:footnote>
  <w:footnote w:type="continuationSeparator" w:id="0">
    <w:p w14:paraId="7B843C75" w14:textId="77777777" w:rsidR="00367138" w:rsidRDefault="00367138" w:rsidP="00AB238B">
      <w:pPr>
        <w:spacing w:after="0" w:line="240" w:lineRule="auto"/>
      </w:pPr>
      <w:r>
        <w:continuationSeparator/>
      </w:r>
    </w:p>
  </w:footnote>
  <w:footnote w:type="continuationNotice" w:id="1">
    <w:p w14:paraId="5CD37265" w14:textId="77777777" w:rsidR="00367138" w:rsidRDefault="003671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833837862">
    <w:abstractNumId w:val="9"/>
  </w:num>
  <w:num w:numId="2" w16cid:durableId="2135439522">
    <w:abstractNumId w:val="1"/>
  </w:num>
  <w:num w:numId="3" w16cid:durableId="246697781">
    <w:abstractNumId w:val="0"/>
  </w:num>
  <w:num w:numId="4" w16cid:durableId="2093548727">
    <w:abstractNumId w:val="12"/>
  </w:num>
  <w:num w:numId="5" w16cid:durableId="352149496">
    <w:abstractNumId w:val="17"/>
    <w:lvlOverride w:ilvl="0">
      <w:startOverride w:val="1"/>
    </w:lvlOverride>
  </w:num>
  <w:num w:numId="6" w16cid:durableId="798425343">
    <w:abstractNumId w:val="18"/>
  </w:num>
  <w:num w:numId="7" w16cid:durableId="2016378005">
    <w:abstractNumId w:val="24"/>
  </w:num>
  <w:num w:numId="8" w16cid:durableId="173962715">
    <w:abstractNumId w:val="36"/>
  </w:num>
  <w:num w:numId="9" w16cid:durableId="1761217718">
    <w:abstractNumId w:val="41"/>
  </w:num>
  <w:num w:numId="10" w16cid:durableId="1638074345">
    <w:abstractNumId w:val="26"/>
  </w:num>
  <w:num w:numId="11" w16cid:durableId="1575969780">
    <w:abstractNumId w:val="15"/>
  </w:num>
  <w:num w:numId="12" w16cid:durableId="2138599576">
    <w:abstractNumId w:val="19"/>
  </w:num>
  <w:num w:numId="13" w16cid:durableId="1863588009">
    <w:abstractNumId w:val="10"/>
  </w:num>
  <w:num w:numId="14" w16cid:durableId="1599412644">
    <w:abstractNumId w:val="30"/>
  </w:num>
  <w:num w:numId="15" w16cid:durableId="714236230">
    <w:abstractNumId w:val="2"/>
  </w:num>
  <w:num w:numId="16" w16cid:durableId="1422288201">
    <w:abstractNumId w:val="11"/>
  </w:num>
  <w:num w:numId="17" w16cid:durableId="1766488853">
    <w:abstractNumId w:val="40"/>
  </w:num>
  <w:num w:numId="18" w16cid:durableId="1150438257">
    <w:abstractNumId w:val="20"/>
  </w:num>
  <w:num w:numId="19" w16cid:durableId="1508590992">
    <w:abstractNumId w:val="37"/>
  </w:num>
  <w:num w:numId="20" w16cid:durableId="2145462425">
    <w:abstractNumId w:val="16"/>
  </w:num>
  <w:num w:numId="21" w16cid:durableId="868880644">
    <w:abstractNumId w:val="23"/>
  </w:num>
  <w:num w:numId="22" w16cid:durableId="830752462">
    <w:abstractNumId w:val="8"/>
  </w:num>
  <w:num w:numId="23" w16cid:durableId="213200309">
    <w:abstractNumId w:val="42"/>
  </w:num>
  <w:num w:numId="24" w16cid:durableId="696582545">
    <w:abstractNumId w:val="29"/>
  </w:num>
  <w:num w:numId="25" w16cid:durableId="270281216">
    <w:abstractNumId w:val="7"/>
  </w:num>
  <w:num w:numId="26" w16cid:durableId="147868585">
    <w:abstractNumId w:val="25"/>
  </w:num>
  <w:num w:numId="27" w16cid:durableId="409351495">
    <w:abstractNumId w:val="4"/>
  </w:num>
  <w:num w:numId="28" w16cid:durableId="1582907807">
    <w:abstractNumId w:val="3"/>
  </w:num>
  <w:num w:numId="29" w16cid:durableId="35549633">
    <w:abstractNumId w:val="38"/>
  </w:num>
  <w:num w:numId="30" w16cid:durableId="1324549183">
    <w:abstractNumId w:val="32"/>
  </w:num>
  <w:num w:numId="31" w16cid:durableId="2144614300">
    <w:abstractNumId w:val="13"/>
  </w:num>
  <w:num w:numId="32" w16cid:durableId="502817869">
    <w:abstractNumId w:val="35"/>
  </w:num>
  <w:num w:numId="33" w16cid:durableId="93476830">
    <w:abstractNumId w:val="39"/>
  </w:num>
  <w:num w:numId="34" w16cid:durableId="91360795">
    <w:abstractNumId w:val="33"/>
  </w:num>
  <w:num w:numId="35" w16cid:durableId="1356888343">
    <w:abstractNumId w:val="6"/>
  </w:num>
  <w:num w:numId="36" w16cid:durableId="1582181812">
    <w:abstractNumId w:val="21"/>
  </w:num>
  <w:num w:numId="37" w16cid:durableId="425734449">
    <w:abstractNumId w:val="28"/>
  </w:num>
  <w:num w:numId="38" w16cid:durableId="254292390">
    <w:abstractNumId w:val="5"/>
  </w:num>
  <w:num w:numId="39" w16cid:durableId="1705861801">
    <w:abstractNumId w:val="22"/>
  </w:num>
  <w:num w:numId="40" w16cid:durableId="1969584096">
    <w:abstractNumId w:val="14"/>
  </w:num>
  <w:num w:numId="41" w16cid:durableId="628247800">
    <w:abstractNumId w:val="27"/>
  </w:num>
  <w:num w:numId="42" w16cid:durableId="1955556325">
    <w:abstractNumId w:val="31"/>
  </w:num>
  <w:num w:numId="43" w16cid:durableId="63799807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86C40-9DFD-4A10-A693-B7505818DA6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36</Pages>
  <Words>13710</Words>
  <Characters>78147</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91674</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13</cp:revision>
  <dcterms:created xsi:type="dcterms:W3CDTF">2023-05-22T23:49:00Z</dcterms:created>
  <dcterms:modified xsi:type="dcterms:W3CDTF">2023-05-23T00:11:00Z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