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33CA" w14:textId="35370621" w:rsidR="00EF1627" w:rsidRPr="00E202D3" w:rsidRDefault="00EF1627" w:rsidP="00EF1627">
      <w:pPr>
        <w:tabs>
          <w:tab w:val="center" w:pos="4536"/>
          <w:tab w:val="right" w:pos="8280"/>
          <w:tab w:val="right" w:pos="9639"/>
        </w:tabs>
        <w:ind w:right="2"/>
        <w:rPr>
          <w:rFonts w:ascii="Arial" w:eastAsia="ＭＳ 明朝" w:hAnsi="Arial"/>
          <w:b/>
          <w:noProof/>
          <w:lang w:val="en-US"/>
        </w:rPr>
      </w:pPr>
      <w:bookmarkStart w:id="0" w:name="_Hlk7194408"/>
      <w:bookmarkStart w:id="1" w:name="_Hlk110842847"/>
      <w:bookmarkStart w:id="2" w:name="OLE_LINK3"/>
      <w:r>
        <w:rPr>
          <w:rFonts w:ascii="Arial" w:eastAsia="ＭＳ 明朝" w:hAnsi="Arial"/>
          <w:b/>
          <w:noProof/>
          <w:lang w:val="en-US"/>
        </w:rPr>
        <w:t>3GPP TSG RAN WG1 #11</w:t>
      </w:r>
      <w:r w:rsidR="008602AC">
        <w:rPr>
          <w:rFonts w:ascii="Arial" w:eastAsia="ＭＳ 明朝" w:hAnsi="Arial"/>
          <w:b/>
          <w:noProof/>
          <w:lang w:val="en-US"/>
        </w:rPr>
        <w:t>2</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8704E5" w:rsidRPr="008704E5">
        <w:rPr>
          <w:rFonts w:ascii="Arial" w:eastAsia="ＭＳ 明朝" w:hAnsi="Arial"/>
          <w:b/>
          <w:noProof/>
          <w:lang w:val="en-US"/>
        </w:rPr>
        <w:t>R1-2301506</w:t>
      </w:r>
    </w:p>
    <w:p w14:paraId="497E5488" w14:textId="080B7F07" w:rsidR="00B04777" w:rsidRPr="00852A54" w:rsidRDefault="008602AC" w:rsidP="00B04777">
      <w:pPr>
        <w:tabs>
          <w:tab w:val="center" w:pos="4536"/>
          <w:tab w:val="right" w:pos="8280"/>
          <w:tab w:val="right" w:pos="9639"/>
        </w:tabs>
        <w:ind w:right="2"/>
        <w:rPr>
          <w:rFonts w:ascii="Arial" w:eastAsia="ＭＳ 明朝" w:hAnsi="Arial" w:cs="Arial"/>
          <w:b/>
          <w:bCs/>
          <w:szCs w:val="24"/>
        </w:rPr>
      </w:pPr>
      <w:r>
        <w:rPr>
          <w:rFonts w:ascii="Arial" w:eastAsia="ＭＳ 明朝" w:hAnsi="Arial" w:cs="Arial"/>
          <w:b/>
          <w:bCs/>
          <w:szCs w:val="24"/>
        </w:rPr>
        <w:t>Athen</w:t>
      </w:r>
      <w:r w:rsidR="00CD6F81">
        <w:rPr>
          <w:rFonts w:ascii="Arial" w:eastAsia="ＭＳ 明朝" w:hAnsi="Arial" w:cs="Arial"/>
          <w:b/>
          <w:bCs/>
          <w:szCs w:val="24"/>
        </w:rPr>
        <w:t>s</w:t>
      </w:r>
      <w:r w:rsidR="00B04777" w:rsidRPr="00852A54">
        <w:rPr>
          <w:rFonts w:ascii="Arial" w:eastAsia="ＭＳ 明朝" w:hAnsi="Arial" w:cs="Arial"/>
          <w:b/>
          <w:bCs/>
          <w:szCs w:val="24"/>
        </w:rPr>
        <w:t xml:space="preserve">, </w:t>
      </w:r>
      <w:r>
        <w:rPr>
          <w:rFonts w:ascii="Arial" w:eastAsia="ＭＳ 明朝" w:hAnsi="Arial" w:cs="Arial"/>
          <w:b/>
          <w:bCs/>
          <w:szCs w:val="24"/>
        </w:rPr>
        <w:t>Greece</w:t>
      </w:r>
      <w:r w:rsidR="00B04777" w:rsidRPr="00852A54">
        <w:rPr>
          <w:rFonts w:ascii="Arial" w:eastAsia="ＭＳ 明朝" w:hAnsi="Arial" w:cs="Arial"/>
          <w:b/>
          <w:bCs/>
          <w:szCs w:val="24"/>
        </w:rPr>
        <w:t xml:space="preserve">, </w:t>
      </w:r>
      <w:r>
        <w:rPr>
          <w:rFonts w:ascii="Arial" w:eastAsia="ＭＳ 明朝" w:hAnsi="Arial" w:cs="Arial"/>
          <w:b/>
          <w:bCs/>
          <w:szCs w:val="24"/>
        </w:rPr>
        <w:t>February</w:t>
      </w:r>
      <w:r w:rsidR="00B04777" w:rsidRPr="00852A54">
        <w:rPr>
          <w:rFonts w:ascii="Arial" w:eastAsia="ＭＳ 明朝" w:hAnsi="Arial" w:cs="Arial"/>
          <w:b/>
          <w:bCs/>
          <w:szCs w:val="24"/>
        </w:rPr>
        <w:t xml:space="preserve"> </w:t>
      </w:r>
      <w:r>
        <w:rPr>
          <w:rFonts w:ascii="Arial" w:eastAsia="ＭＳ 明朝" w:hAnsi="Arial" w:cs="Arial"/>
          <w:b/>
          <w:bCs/>
          <w:szCs w:val="24"/>
        </w:rPr>
        <w:t>27</w:t>
      </w:r>
      <w:r w:rsidR="00B04777" w:rsidRPr="00852A54">
        <w:rPr>
          <w:rFonts w:ascii="Arial" w:eastAsia="ＭＳ 明朝" w:hAnsi="Arial" w:cs="Arial"/>
          <w:b/>
          <w:bCs/>
          <w:szCs w:val="24"/>
        </w:rPr>
        <w:t xml:space="preserve">th – </w:t>
      </w:r>
      <w:r>
        <w:rPr>
          <w:rFonts w:ascii="Arial" w:eastAsia="ＭＳ 明朝" w:hAnsi="Arial" w:cs="Arial"/>
          <w:b/>
          <w:bCs/>
          <w:szCs w:val="24"/>
        </w:rPr>
        <w:t>March 3rd</w:t>
      </w:r>
      <w:r w:rsidR="00B04777" w:rsidRPr="00852A54">
        <w:rPr>
          <w:rFonts w:ascii="Arial" w:eastAsia="ＭＳ 明朝" w:hAnsi="Arial" w:cs="Arial"/>
          <w:b/>
          <w:bCs/>
          <w:szCs w:val="24"/>
        </w:rPr>
        <w:t>, 202</w:t>
      </w:r>
      <w:r>
        <w:rPr>
          <w:rFonts w:ascii="Arial" w:eastAsia="ＭＳ 明朝" w:hAnsi="Arial" w:cs="Arial"/>
          <w:b/>
          <w:bCs/>
          <w:szCs w:val="24"/>
        </w:rPr>
        <w:t>3</w:t>
      </w:r>
    </w:p>
    <w:bookmarkEnd w:id="0"/>
    <w:bookmarkEnd w:id="1"/>
    <w:p w14:paraId="121E3C84" w14:textId="77777777" w:rsidR="001A74FB" w:rsidRPr="0069660A"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77DB044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1A74FB" w:rsidRPr="001A74FB">
        <w:rPr>
          <w:sz w:val="24"/>
          <w:lang w:val="en-US"/>
        </w:rPr>
        <w:t xml:space="preserve">Discussion on </w:t>
      </w:r>
      <w:r w:rsidR="008602AC">
        <w:rPr>
          <w:sz w:val="24"/>
          <w:lang w:val="en-US"/>
        </w:rPr>
        <w:t>enhancements on Cell DTX/DRX mechanism</w:t>
      </w:r>
    </w:p>
    <w:bookmarkEnd w:id="3"/>
    <w:bookmarkEnd w:id="4"/>
    <w:bookmarkEnd w:id="5"/>
    <w:bookmarkEnd w:id="6"/>
    <w:p w14:paraId="02FF14B3" w14:textId="6766E594"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74D1B">
        <w:rPr>
          <w:sz w:val="24"/>
          <w:lang w:val="en-US"/>
        </w:rPr>
        <w:t>9.7.</w:t>
      </w:r>
      <w:r w:rsidR="00645896">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05F9B1B9" w:rsidR="00D01411" w:rsidRDefault="00A74D1B" w:rsidP="00061F78">
      <w:pPr>
        <w:rPr>
          <w:sz w:val="22"/>
          <w:szCs w:val="22"/>
        </w:rPr>
      </w:pPr>
      <w:r w:rsidRPr="00A74D1B">
        <w:rPr>
          <w:sz w:val="22"/>
          <w:szCs w:val="22"/>
        </w:rPr>
        <w:t>At RAN#</w:t>
      </w:r>
      <w:r>
        <w:rPr>
          <w:sz w:val="22"/>
          <w:szCs w:val="22"/>
        </w:rPr>
        <w:t>9</w:t>
      </w:r>
      <w:r w:rsidR="00D273DC">
        <w:rPr>
          <w:sz w:val="22"/>
          <w:szCs w:val="22"/>
        </w:rPr>
        <w:t>8</w:t>
      </w:r>
      <w:r w:rsidR="00EF1ED4">
        <w:rPr>
          <w:sz w:val="22"/>
          <w:szCs w:val="22"/>
        </w:rPr>
        <w:t>-</w:t>
      </w:r>
      <w:r w:rsidRPr="00A74D1B">
        <w:rPr>
          <w:sz w:val="22"/>
          <w:szCs w:val="22"/>
        </w:rPr>
        <w:t xml:space="preserve">e meeting, </w:t>
      </w:r>
      <w:r w:rsidR="00D273DC">
        <w:rPr>
          <w:sz w:val="22"/>
          <w:szCs w:val="22"/>
        </w:rPr>
        <w:t>W</w:t>
      </w:r>
      <w:r w:rsidRPr="00A74D1B">
        <w:rPr>
          <w:sz w:val="22"/>
          <w:szCs w:val="22"/>
        </w:rPr>
        <w:t xml:space="preserve">ID on </w:t>
      </w:r>
      <w:r>
        <w:rPr>
          <w:sz w:val="22"/>
          <w:szCs w:val="22"/>
        </w:rPr>
        <w:t>network energy savings</w:t>
      </w:r>
      <w:r w:rsidRPr="00A74D1B">
        <w:rPr>
          <w:sz w:val="22"/>
          <w:szCs w:val="22"/>
        </w:rPr>
        <w:t xml:space="preserve"> was approved with the objective</w:t>
      </w:r>
      <w:r w:rsidR="00EF1ED4">
        <w:rPr>
          <w:sz w:val="22"/>
          <w:szCs w:val="22"/>
        </w:rPr>
        <w:t>s</w:t>
      </w:r>
      <w:r w:rsidRPr="00A74D1B">
        <w:rPr>
          <w:sz w:val="22"/>
          <w:szCs w:val="22"/>
        </w:rPr>
        <w:t xml:space="preserve"> as follows [1]:</w:t>
      </w:r>
    </w:p>
    <w:tbl>
      <w:tblPr>
        <w:tblStyle w:val="afc"/>
        <w:tblW w:w="0" w:type="auto"/>
        <w:tblLook w:val="04A0" w:firstRow="1" w:lastRow="0" w:firstColumn="1" w:lastColumn="0" w:noHBand="0" w:noVBand="1"/>
      </w:tblPr>
      <w:tblGrid>
        <w:gridCol w:w="9962"/>
      </w:tblGrid>
      <w:tr w:rsidR="00A74D1B" w:rsidRPr="00A74D1B" w14:paraId="5C83D725" w14:textId="77777777" w:rsidTr="00A74D1B">
        <w:tc>
          <w:tcPr>
            <w:tcW w:w="9962" w:type="dxa"/>
          </w:tcPr>
          <w:p w14:paraId="05AAEA73" w14:textId="77777777" w:rsidR="00D273DC" w:rsidRDefault="00D273DC" w:rsidP="00D273DC">
            <w:pPr>
              <w:numPr>
                <w:ilvl w:val="0"/>
                <w:numId w:val="27"/>
              </w:numPr>
              <w:spacing w:before="100" w:beforeAutospacing="1" w:after="100" w:afterAutospacing="1"/>
              <w:ind w:leftChars="100" w:left="660"/>
              <w:contextualSpacing/>
              <w:rPr>
                <w:rFonts w:eastAsia="SimSun"/>
                <w:bCs/>
                <w:sz w:val="20"/>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08F0F00F" w14:textId="77777777" w:rsidR="00D273DC" w:rsidRDefault="00D273DC" w:rsidP="00D273DC">
            <w:pPr>
              <w:spacing w:before="100" w:beforeAutospacing="1" w:after="100" w:afterAutospacing="1"/>
              <w:ind w:left="620"/>
              <w:contextualSpacing/>
              <w:rPr>
                <w:bCs/>
              </w:rPr>
            </w:pPr>
          </w:p>
          <w:p w14:paraId="1E361E5B" w14:textId="77777777" w:rsidR="00D273DC" w:rsidRDefault="00D273DC" w:rsidP="00D273DC">
            <w:pPr>
              <w:numPr>
                <w:ilvl w:val="0"/>
                <w:numId w:val="27"/>
              </w:numPr>
              <w:spacing w:before="100" w:beforeAutospacing="1" w:after="100" w:afterAutospacing="1"/>
              <w:ind w:leftChars="100" w:left="660"/>
              <w:contextualSpacing/>
              <w:rPr>
                <w:bCs/>
              </w:rPr>
            </w:pPr>
            <w:r>
              <w:rPr>
                <w:bCs/>
              </w:rPr>
              <w:t>Specify enhancement on cell DTX/DRX mechanism including the alignment of cell DTX/DRX and UE DRX in RRC_CONNECTED mode, and inter-node information exchange on cell DTX/DRX [RAN2, RAN1, RAN3]</w:t>
            </w:r>
          </w:p>
          <w:p w14:paraId="1D3757A9" w14:textId="77777777" w:rsidR="00D273DC" w:rsidRDefault="00D273DC" w:rsidP="00D273DC">
            <w:pPr>
              <w:numPr>
                <w:ilvl w:val="0"/>
                <w:numId w:val="28"/>
              </w:numPr>
              <w:spacing w:before="100" w:beforeAutospacing="1" w:after="100" w:afterAutospacing="1"/>
              <w:ind w:left="1049" w:hanging="329"/>
              <w:contextualSpacing/>
              <w:jc w:val="both"/>
              <w:rPr>
                <w:bCs/>
                <w:lang w:val="en-US" w:eastAsia="zh-CN"/>
              </w:rPr>
            </w:pPr>
            <w:r>
              <w:rPr>
                <w:bCs/>
                <w:lang w:val="en-US" w:eastAsia="zh-CN"/>
              </w:rPr>
              <w:t>Note: No change for SSB transmission due to cell DTX/DRX.</w:t>
            </w:r>
          </w:p>
          <w:p w14:paraId="6F2AB69F" w14:textId="53AF4B2B" w:rsidR="00D273DC" w:rsidRDefault="00D273DC" w:rsidP="00D273DC">
            <w:pPr>
              <w:numPr>
                <w:ilvl w:val="0"/>
                <w:numId w:val="28"/>
              </w:numPr>
              <w:spacing w:before="100" w:beforeAutospacing="1" w:after="100" w:afterAutospacing="1"/>
              <w:ind w:left="1049" w:hanging="329"/>
              <w:contextualSpacing/>
              <w:jc w:val="both"/>
              <w:rPr>
                <w:bCs/>
                <w:lang w:val="en-US" w:eastAsia="zh-CN"/>
              </w:rPr>
            </w:pPr>
            <w:r>
              <w:rPr>
                <w:bCs/>
                <w:lang w:val="en-US" w:eastAsia="zh-CN"/>
              </w:rPr>
              <w:t>Note: The impact to IDLE/INACTIVE UEs due to the above enhancement should be avoided.</w:t>
            </w:r>
          </w:p>
          <w:p w14:paraId="06E391BB" w14:textId="77777777" w:rsidR="00D273DC" w:rsidRDefault="00D273DC" w:rsidP="00D273DC">
            <w:pPr>
              <w:spacing w:before="100" w:beforeAutospacing="1" w:after="100" w:afterAutospacing="1"/>
              <w:ind w:left="720"/>
              <w:contextualSpacing/>
              <w:jc w:val="both"/>
              <w:rPr>
                <w:bCs/>
                <w:lang w:val="en-US" w:eastAsia="zh-CN"/>
              </w:rPr>
            </w:pPr>
          </w:p>
          <w:p w14:paraId="54ACF5DC" w14:textId="77777777" w:rsidR="00D273DC" w:rsidRDefault="00D273DC" w:rsidP="00D273DC">
            <w:pPr>
              <w:numPr>
                <w:ilvl w:val="0"/>
                <w:numId w:val="27"/>
              </w:numPr>
              <w:spacing w:before="100" w:beforeAutospacing="1" w:after="100" w:afterAutospacing="1"/>
              <w:ind w:leftChars="100" w:left="660"/>
              <w:contextualSpacing/>
              <w:rPr>
                <w:bCs/>
                <w:lang w:eastAsia="en-GB"/>
              </w:rPr>
            </w:pPr>
            <w:r>
              <w:rPr>
                <w:bCs/>
              </w:rPr>
              <w:t>Specify the following techniques in spatial and power domains</w:t>
            </w:r>
          </w:p>
          <w:p w14:paraId="0A60DBC2" w14:textId="77777777" w:rsidR="00D273DC" w:rsidRDefault="00D273DC" w:rsidP="00D273DC">
            <w:pPr>
              <w:numPr>
                <w:ilvl w:val="0"/>
                <w:numId w:val="28"/>
              </w:numPr>
              <w:spacing w:before="100" w:beforeAutospacing="1" w:after="100" w:afterAutospacing="1"/>
              <w:ind w:left="1049" w:hanging="329"/>
              <w:contextualSpacing/>
              <w:jc w:val="both"/>
              <w:rPr>
                <w:bCs/>
                <w:lang w:val="en-US" w:eastAsia="zh-CN"/>
              </w:rPr>
            </w:pPr>
            <w:r>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40DB44FE" w14:textId="77777777" w:rsidR="00D273DC" w:rsidRDefault="00D273DC" w:rsidP="00D273DC">
            <w:pPr>
              <w:numPr>
                <w:ilvl w:val="0"/>
                <w:numId w:val="28"/>
              </w:numPr>
              <w:spacing w:before="100" w:beforeAutospacing="1" w:after="100" w:afterAutospacing="1"/>
              <w:ind w:left="1049" w:hanging="329"/>
              <w:contextualSpacing/>
              <w:jc w:val="both"/>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14:paraId="36F2A1DC" w14:textId="77777777" w:rsidR="00D273DC" w:rsidRDefault="00D273DC" w:rsidP="00D273DC">
            <w:pPr>
              <w:numPr>
                <w:ilvl w:val="0"/>
                <w:numId w:val="28"/>
              </w:numPr>
              <w:spacing w:before="100" w:beforeAutospacing="1" w:after="100" w:afterAutospacing="1"/>
              <w:ind w:left="1049" w:hanging="329"/>
              <w:contextualSpacing/>
              <w:jc w:val="both"/>
              <w:rPr>
                <w:bCs/>
                <w:lang w:val="en-US" w:eastAsia="zh-CN"/>
              </w:rPr>
            </w:pPr>
            <w:r>
              <w:rPr>
                <w:bCs/>
                <w:lang w:val="en-US" w:eastAsia="zh-CN"/>
              </w:rPr>
              <w:t>Note: Above objectives are only for UE specific channels/signals</w:t>
            </w:r>
          </w:p>
          <w:p w14:paraId="2B71C92E" w14:textId="10D46368" w:rsidR="00D273DC" w:rsidRPr="00D273DC" w:rsidRDefault="00D273DC" w:rsidP="00C57662">
            <w:pPr>
              <w:numPr>
                <w:ilvl w:val="0"/>
                <w:numId w:val="28"/>
              </w:numPr>
              <w:spacing w:before="100" w:beforeAutospacing="1" w:after="100" w:afterAutospacing="1"/>
              <w:ind w:left="1049" w:hanging="329"/>
              <w:contextualSpacing/>
              <w:jc w:val="both"/>
              <w:rPr>
                <w:rFonts w:ascii="Times" w:hAnsi="Times" w:cs="Times"/>
                <w:bCs/>
                <w:iCs/>
                <w:szCs w:val="22"/>
                <w:lang w:val="en-US" w:eastAsia="zh-CN"/>
              </w:rPr>
            </w:pPr>
            <w:r w:rsidRPr="00D273DC">
              <w:rPr>
                <w:bCs/>
                <w:lang w:val="en-US" w:eastAsia="zh-CN"/>
              </w:rPr>
              <w:t>Note: Legacy UE CSI/CSI-RS capabilities applies when considering total number of CSI reports and requirements</w:t>
            </w:r>
          </w:p>
          <w:p w14:paraId="3EF636D1" w14:textId="77777777" w:rsidR="00D273DC" w:rsidRPr="00D273DC" w:rsidRDefault="00D273DC" w:rsidP="00D273DC">
            <w:pPr>
              <w:spacing w:before="100" w:beforeAutospacing="1" w:after="100" w:afterAutospacing="1"/>
              <w:ind w:left="720"/>
              <w:contextualSpacing/>
              <w:jc w:val="both"/>
              <w:rPr>
                <w:rFonts w:ascii="Times" w:hAnsi="Times" w:cs="Times"/>
                <w:bCs/>
                <w:iCs/>
                <w:szCs w:val="22"/>
                <w:lang w:val="en-US" w:eastAsia="zh-CN"/>
              </w:rPr>
            </w:pPr>
          </w:p>
          <w:p w14:paraId="473FA44E" w14:textId="77777777" w:rsidR="00D273DC" w:rsidRDefault="00D273DC" w:rsidP="00D273DC">
            <w:pPr>
              <w:numPr>
                <w:ilvl w:val="0"/>
                <w:numId w:val="27"/>
              </w:numPr>
              <w:spacing w:before="100" w:beforeAutospacing="1" w:after="100" w:afterAutospacing="1"/>
              <w:ind w:leftChars="100" w:left="660"/>
              <w:contextualSpacing/>
              <w:rPr>
                <w:bCs/>
                <w:lang w:eastAsia="en-GB"/>
              </w:rPr>
            </w:pPr>
            <w:r>
              <w:rPr>
                <w:bCs/>
              </w:rPr>
              <w:t xml:space="preserve">Specify mechanism(s) to prevent legacy UEs camping on cells adopting the Rel-18 NES techniques, if necessary [RAN2] </w:t>
            </w:r>
          </w:p>
          <w:p w14:paraId="6F8F1FD2" w14:textId="77777777" w:rsidR="00D273DC" w:rsidRPr="00D273DC" w:rsidRDefault="00D273DC" w:rsidP="00D273DC">
            <w:pPr>
              <w:spacing w:before="100" w:beforeAutospacing="1" w:after="100" w:afterAutospacing="1"/>
              <w:ind w:left="620"/>
              <w:contextualSpacing/>
              <w:rPr>
                <w:bCs/>
              </w:rPr>
            </w:pPr>
          </w:p>
          <w:p w14:paraId="60C4B32C" w14:textId="77777777" w:rsidR="00D273DC" w:rsidRDefault="00D273DC" w:rsidP="00D273DC">
            <w:pPr>
              <w:numPr>
                <w:ilvl w:val="0"/>
                <w:numId w:val="27"/>
              </w:numPr>
              <w:spacing w:before="100" w:beforeAutospacing="1" w:after="100" w:afterAutospacing="1"/>
              <w:ind w:leftChars="100" w:left="660"/>
              <w:contextualSpacing/>
              <w:rPr>
                <w:bCs/>
              </w:rPr>
            </w:pPr>
            <w:r>
              <w:rPr>
                <w:bCs/>
              </w:rPr>
              <w:t>Specify CHO procedure enhancement(s) in case source/target cell is in NES mode [RAN2]</w:t>
            </w:r>
          </w:p>
          <w:p w14:paraId="751A90CC" w14:textId="77777777" w:rsidR="00D273DC" w:rsidRDefault="00D273DC" w:rsidP="00D273DC">
            <w:pPr>
              <w:spacing w:before="100" w:beforeAutospacing="1" w:after="100" w:afterAutospacing="1"/>
              <w:ind w:left="620"/>
              <w:contextualSpacing/>
              <w:rPr>
                <w:bCs/>
                <w:lang w:val="en-US"/>
              </w:rPr>
            </w:pPr>
          </w:p>
          <w:p w14:paraId="1731DEF1" w14:textId="77777777" w:rsidR="00D273DC" w:rsidRDefault="00D273DC" w:rsidP="00D273DC">
            <w:pPr>
              <w:numPr>
                <w:ilvl w:val="0"/>
                <w:numId w:val="27"/>
              </w:numPr>
              <w:spacing w:before="100" w:beforeAutospacing="1" w:after="100" w:afterAutospacing="1"/>
              <w:ind w:leftChars="100" w:left="660"/>
              <w:contextualSpacing/>
              <w:rPr>
                <w:bCs/>
              </w:rPr>
            </w:pPr>
            <w:r>
              <w:rPr>
                <w:bCs/>
              </w:rPr>
              <w:t>Specify inter-node beam activation and enhancements on restricting paging in a limited area [RAN3].</w:t>
            </w:r>
          </w:p>
          <w:p w14:paraId="6F428EB4" w14:textId="77777777" w:rsidR="00D273DC" w:rsidRDefault="00D273DC" w:rsidP="00D273DC">
            <w:pPr>
              <w:spacing w:before="100" w:beforeAutospacing="1" w:after="100" w:afterAutospacing="1"/>
              <w:contextualSpacing/>
              <w:rPr>
                <w:bCs/>
              </w:rPr>
            </w:pPr>
          </w:p>
          <w:p w14:paraId="1F42B0C2" w14:textId="625D5A24" w:rsidR="00A74D1B" w:rsidRPr="00D273DC" w:rsidRDefault="00D273DC" w:rsidP="00D273DC">
            <w:pPr>
              <w:numPr>
                <w:ilvl w:val="0"/>
                <w:numId w:val="27"/>
              </w:numPr>
              <w:spacing w:before="100" w:beforeAutospacing="1" w:after="100" w:afterAutospacing="1"/>
              <w:ind w:leftChars="100" w:left="660"/>
              <w:contextualSpacing/>
              <w:rPr>
                <w:bCs/>
              </w:rPr>
            </w:pPr>
            <w:r>
              <w:rPr>
                <w:bCs/>
                <w:lang w:eastAsia="zh-CN"/>
              </w:rPr>
              <w:t>Specify the corresponding RRM/RF core requirements, if necessary, for the above features [RAN4]</w:t>
            </w:r>
          </w:p>
        </w:tc>
      </w:tr>
    </w:tbl>
    <w:p w14:paraId="454989A2" w14:textId="1625D52C" w:rsidR="00A74D1B" w:rsidRDefault="00A74D1B" w:rsidP="00061F78">
      <w:pPr>
        <w:rPr>
          <w:sz w:val="22"/>
          <w:szCs w:val="22"/>
          <w:lang w:val="en-US"/>
        </w:rPr>
      </w:pPr>
    </w:p>
    <w:p w14:paraId="0E3A8C00" w14:textId="3EE2BAC7" w:rsidR="00A74D1B" w:rsidRPr="00B414E8" w:rsidRDefault="00A74D1B" w:rsidP="00A74D1B">
      <w:pPr>
        <w:spacing w:afterLines="50" w:after="120"/>
        <w:jc w:val="both"/>
        <w:rPr>
          <w:rFonts w:eastAsiaTheme="minorEastAsia"/>
          <w:sz w:val="20"/>
        </w:rPr>
      </w:pPr>
      <w:r w:rsidRPr="007C29D2">
        <w:rPr>
          <w:rFonts w:eastAsiaTheme="minorEastAsia"/>
          <w:sz w:val="20"/>
        </w:rPr>
        <w:t xml:space="preserve">In this contribution, we share our views on </w:t>
      </w:r>
      <w:r w:rsidR="00300320">
        <w:rPr>
          <w:rFonts w:eastAsiaTheme="minorEastAsia"/>
          <w:sz w:val="20"/>
        </w:rPr>
        <w:t xml:space="preserve">enhancements on </w:t>
      </w:r>
      <w:r w:rsidR="008602AC">
        <w:rPr>
          <w:rFonts w:eastAsiaTheme="minorEastAsia"/>
          <w:sz w:val="20"/>
        </w:rPr>
        <w:t>Cell DTX/DRX mechanism</w:t>
      </w:r>
      <w:r>
        <w:rPr>
          <w:rFonts w:eastAsiaTheme="minorEastAsia"/>
          <w:sz w:val="20"/>
        </w:rPr>
        <w:t>.</w:t>
      </w:r>
    </w:p>
    <w:p w14:paraId="21150588" w14:textId="77777777" w:rsidR="00A74D1B" w:rsidRPr="00BA123E" w:rsidRDefault="00A74D1B" w:rsidP="00061F78">
      <w:pPr>
        <w:rPr>
          <w:sz w:val="22"/>
          <w:szCs w:val="22"/>
        </w:rPr>
      </w:pPr>
    </w:p>
    <w:p w14:paraId="52260AD9" w14:textId="64067C97"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lastRenderedPageBreak/>
        <w:t>Discussion</w:t>
      </w:r>
    </w:p>
    <w:p w14:paraId="7C414A23" w14:textId="712374A5" w:rsidR="00300320" w:rsidRDefault="00300320" w:rsidP="00300320">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 xml:space="preserve">ell DTX/DRX mechanism has been studied during the SI and captured in the TR of network energy savings </w:t>
      </w:r>
      <w:r w:rsidRPr="00B40E6A">
        <w:rPr>
          <w:rFonts w:eastAsiaTheme="minorEastAsia"/>
          <w:sz w:val="20"/>
          <w:szCs w:val="14"/>
          <w:lang w:val="en-US"/>
        </w:rPr>
        <w:t>[2]</w:t>
      </w:r>
      <w:r>
        <w:rPr>
          <w:rFonts w:eastAsiaTheme="minorEastAsia"/>
          <w:sz w:val="20"/>
          <w:szCs w:val="14"/>
          <w:lang w:val="en-US"/>
        </w:rPr>
        <w:t xml:space="preserve">. The motivation of Cell DTX/DRX is to </w:t>
      </w:r>
      <w:r w:rsidR="007C70CD">
        <w:rPr>
          <w:rFonts w:eastAsiaTheme="minorEastAsia"/>
          <w:sz w:val="20"/>
          <w:szCs w:val="14"/>
          <w:lang w:val="en-US"/>
        </w:rPr>
        <w:t>reduce</w:t>
      </w:r>
      <w:r>
        <w:rPr>
          <w:rFonts w:eastAsiaTheme="minorEastAsia"/>
          <w:sz w:val="20"/>
          <w:szCs w:val="14"/>
          <w:lang w:val="en-US"/>
        </w:rPr>
        <w:t xml:space="preserve"> gNB power consumption by informing UEs of Cell inactivity periods for transmission or reception, which </w:t>
      </w:r>
      <w:r w:rsidRPr="00300320">
        <w:rPr>
          <w:rFonts w:eastAsiaTheme="minorEastAsia"/>
          <w:sz w:val="20"/>
          <w:szCs w:val="14"/>
          <w:lang w:val="en-US"/>
        </w:rPr>
        <w:t xml:space="preserve">potentially </w:t>
      </w:r>
      <w:r>
        <w:rPr>
          <w:rFonts w:eastAsiaTheme="minorEastAsia"/>
          <w:sz w:val="20"/>
          <w:szCs w:val="14"/>
          <w:lang w:val="en-US"/>
        </w:rPr>
        <w:t>provides longer</w:t>
      </w:r>
      <w:r w:rsidRPr="00300320">
        <w:rPr>
          <w:rFonts w:eastAsiaTheme="minorEastAsia"/>
          <w:sz w:val="20"/>
          <w:szCs w:val="14"/>
          <w:lang w:val="en-US"/>
        </w:rPr>
        <w:t xml:space="preserve"> opportunities for cell inactivity</w:t>
      </w:r>
      <w:r>
        <w:rPr>
          <w:rFonts w:eastAsiaTheme="minorEastAsia"/>
          <w:sz w:val="20"/>
          <w:szCs w:val="14"/>
          <w:lang w:val="en-US"/>
        </w:rPr>
        <w:t>.</w:t>
      </w:r>
      <w:r w:rsidR="007C70CD">
        <w:rPr>
          <w:rFonts w:eastAsiaTheme="minorEastAsia"/>
          <w:sz w:val="20"/>
          <w:szCs w:val="14"/>
          <w:lang w:val="en-US"/>
        </w:rPr>
        <w:t xml:space="preserve"> </w:t>
      </w:r>
    </w:p>
    <w:p w14:paraId="783ECDF5" w14:textId="13D2DDCD" w:rsidR="007C70CD" w:rsidRDefault="00A65831" w:rsidP="00300320">
      <w:pPr>
        <w:rPr>
          <w:rFonts w:eastAsiaTheme="minorEastAsia"/>
          <w:sz w:val="20"/>
          <w:szCs w:val="14"/>
          <w:lang w:val="en-US"/>
        </w:rPr>
      </w:pPr>
      <w:r>
        <w:rPr>
          <w:rFonts w:eastAsiaTheme="minorEastAsia"/>
          <w:sz w:val="20"/>
          <w:szCs w:val="14"/>
          <w:lang w:val="en-US"/>
        </w:rPr>
        <w:t>At least t</w:t>
      </w:r>
      <w:r w:rsidR="007C70CD">
        <w:rPr>
          <w:rFonts w:eastAsiaTheme="minorEastAsia"/>
          <w:sz w:val="20"/>
          <w:szCs w:val="14"/>
          <w:lang w:val="en-US"/>
        </w:rPr>
        <w:t xml:space="preserve">he following aspects </w:t>
      </w:r>
      <w:r>
        <w:rPr>
          <w:rFonts w:eastAsiaTheme="minorEastAsia"/>
          <w:sz w:val="20"/>
          <w:szCs w:val="14"/>
          <w:lang w:val="en-US"/>
        </w:rPr>
        <w:t>should be</w:t>
      </w:r>
      <w:r w:rsidR="007C70CD">
        <w:rPr>
          <w:rFonts w:eastAsiaTheme="minorEastAsia"/>
          <w:sz w:val="20"/>
          <w:szCs w:val="14"/>
          <w:lang w:val="en-US"/>
        </w:rPr>
        <w:t xml:space="preserve"> discussed for Cell DTX/DRX mechanism</w:t>
      </w:r>
      <w:r>
        <w:rPr>
          <w:rFonts w:eastAsiaTheme="minorEastAsia"/>
          <w:sz w:val="20"/>
          <w:szCs w:val="14"/>
          <w:lang w:val="en-US"/>
        </w:rPr>
        <w:t xml:space="preserve">; 1) UE behavior </w:t>
      </w:r>
      <w:r w:rsidR="000D08B9">
        <w:rPr>
          <w:rFonts w:eastAsiaTheme="minorEastAsia"/>
          <w:sz w:val="20"/>
          <w:szCs w:val="14"/>
          <w:lang w:val="en-US"/>
        </w:rPr>
        <w:t>for</w:t>
      </w:r>
      <w:r>
        <w:rPr>
          <w:rFonts w:eastAsiaTheme="minorEastAsia"/>
          <w:sz w:val="20"/>
          <w:szCs w:val="14"/>
          <w:lang w:val="en-US"/>
        </w:rPr>
        <w:t xml:space="preserve"> Cell DTX/DRX, 2) configuration and activation/deactivation mechanism, and 3) alignment between Cell DTX and UE DRX.</w:t>
      </w:r>
    </w:p>
    <w:p w14:paraId="423FB56F" w14:textId="72918617" w:rsidR="007C70CD" w:rsidRPr="007C70CD" w:rsidRDefault="007C70CD" w:rsidP="007C70CD">
      <w:pPr>
        <w:rPr>
          <w:rFonts w:eastAsiaTheme="minorEastAsia"/>
          <w:sz w:val="20"/>
          <w:szCs w:val="14"/>
          <w:lang w:val="en-US"/>
        </w:rPr>
      </w:pPr>
      <w:r>
        <w:rPr>
          <w:rFonts w:eastAsiaTheme="minorEastAsia" w:hint="eastAsia"/>
          <w:sz w:val="20"/>
          <w:szCs w:val="14"/>
          <w:lang w:val="en-US"/>
        </w:rPr>
        <w:t>F</w:t>
      </w:r>
      <w:r>
        <w:rPr>
          <w:rFonts w:eastAsiaTheme="minorEastAsia"/>
          <w:sz w:val="20"/>
          <w:szCs w:val="14"/>
          <w:lang w:val="en-US"/>
        </w:rPr>
        <w:t xml:space="preserve">irstly, the UE behavior </w:t>
      </w:r>
      <w:r w:rsidR="000D08B9">
        <w:rPr>
          <w:rFonts w:eastAsiaTheme="minorEastAsia"/>
          <w:sz w:val="20"/>
          <w:szCs w:val="14"/>
          <w:lang w:val="en-US"/>
        </w:rPr>
        <w:t xml:space="preserve">for Cell DTX/DRX </w:t>
      </w:r>
      <w:r>
        <w:rPr>
          <w:rFonts w:eastAsiaTheme="minorEastAsia"/>
          <w:sz w:val="20"/>
          <w:szCs w:val="14"/>
          <w:lang w:val="en-US"/>
        </w:rPr>
        <w:t>needs to be clarified</w:t>
      </w:r>
      <w:r w:rsidR="000D08B9">
        <w:rPr>
          <w:rFonts w:eastAsiaTheme="minorEastAsia"/>
          <w:sz w:val="20"/>
          <w:szCs w:val="14"/>
          <w:lang w:val="en-US"/>
        </w:rPr>
        <w:t xml:space="preserve">, especially </w:t>
      </w:r>
      <w:r w:rsidR="003E385A">
        <w:rPr>
          <w:rFonts w:eastAsiaTheme="minorEastAsia"/>
          <w:sz w:val="20"/>
          <w:szCs w:val="14"/>
          <w:lang w:val="en-US"/>
        </w:rPr>
        <w:t xml:space="preserve">during </w:t>
      </w:r>
      <w:r w:rsidR="000D08B9">
        <w:rPr>
          <w:rFonts w:eastAsiaTheme="minorEastAsia"/>
          <w:sz w:val="20"/>
          <w:szCs w:val="14"/>
          <w:lang w:val="en-US"/>
        </w:rPr>
        <w:t>Cell DTX/DRX inactive periods</w:t>
      </w:r>
      <w:r>
        <w:rPr>
          <w:rFonts w:eastAsiaTheme="minorEastAsia"/>
          <w:sz w:val="20"/>
          <w:szCs w:val="14"/>
          <w:lang w:val="en-US"/>
        </w:rPr>
        <w:t xml:space="preserve">. </w:t>
      </w:r>
      <w:r w:rsidRPr="007C70CD">
        <w:rPr>
          <w:rFonts w:eastAsiaTheme="minorEastAsia"/>
          <w:sz w:val="20"/>
          <w:szCs w:val="14"/>
          <w:lang w:val="en-US"/>
        </w:rPr>
        <w:t>For example, the following alternatives can be considered:</w:t>
      </w:r>
    </w:p>
    <w:p w14:paraId="21203C6B" w14:textId="518B791C" w:rsidR="007C70CD" w:rsidRPr="00A65831" w:rsidRDefault="007C70CD" w:rsidP="00A65831">
      <w:pPr>
        <w:pStyle w:val="afe"/>
        <w:numPr>
          <w:ilvl w:val="0"/>
          <w:numId w:val="30"/>
        </w:numPr>
        <w:ind w:leftChars="0"/>
        <w:rPr>
          <w:rFonts w:eastAsiaTheme="minorEastAsia"/>
          <w:sz w:val="20"/>
          <w:szCs w:val="14"/>
          <w:lang w:val="en-US"/>
        </w:rPr>
      </w:pPr>
      <w:r w:rsidRPr="00A65831">
        <w:rPr>
          <w:rFonts w:eastAsiaTheme="minorEastAsia"/>
          <w:sz w:val="20"/>
          <w:szCs w:val="14"/>
          <w:lang w:val="en-US"/>
        </w:rPr>
        <w:t>Alt.1: Only semi-static channels/signals are not</w:t>
      </w:r>
      <w:r w:rsidR="00A65831">
        <w:rPr>
          <w:rFonts w:eastAsiaTheme="minorEastAsia"/>
          <w:sz w:val="20"/>
          <w:szCs w:val="14"/>
          <w:lang w:val="en-US"/>
        </w:rPr>
        <w:t xml:space="preserve"> expected to be</w:t>
      </w:r>
      <w:r w:rsidRPr="00A65831">
        <w:rPr>
          <w:rFonts w:eastAsiaTheme="minorEastAsia"/>
          <w:sz w:val="20"/>
          <w:szCs w:val="14"/>
          <w:lang w:val="en-US"/>
        </w:rPr>
        <w:t xml:space="preserve"> transmitted/received</w:t>
      </w:r>
      <w:r w:rsidR="00A65831">
        <w:rPr>
          <w:rFonts w:eastAsiaTheme="minorEastAsia"/>
          <w:sz w:val="20"/>
          <w:szCs w:val="14"/>
          <w:lang w:val="en-US"/>
        </w:rPr>
        <w:t xml:space="preserve"> during Cell DTX/DRX inactive periods, while dynamic channels/signals are allowed to be transmitted/received even during the periods.</w:t>
      </w:r>
    </w:p>
    <w:p w14:paraId="599C0922" w14:textId="6EB203EE" w:rsidR="007C70CD" w:rsidRPr="00A65831" w:rsidRDefault="007C70CD" w:rsidP="00A65831">
      <w:pPr>
        <w:pStyle w:val="afe"/>
        <w:numPr>
          <w:ilvl w:val="0"/>
          <w:numId w:val="30"/>
        </w:numPr>
        <w:ind w:leftChars="0"/>
        <w:rPr>
          <w:rFonts w:eastAsiaTheme="minorEastAsia"/>
          <w:sz w:val="20"/>
          <w:szCs w:val="14"/>
          <w:lang w:val="en-US"/>
        </w:rPr>
      </w:pPr>
      <w:r w:rsidRPr="00A65831">
        <w:rPr>
          <w:rFonts w:eastAsiaTheme="minorEastAsia"/>
          <w:sz w:val="20"/>
          <w:szCs w:val="14"/>
          <w:lang w:val="en-US"/>
        </w:rPr>
        <w:t>Alt.2: Dynamic and semi-static channels/signals are not</w:t>
      </w:r>
      <w:r w:rsidR="00A65831">
        <w:rPr>
          <w:rFonts w:eastAsiaTheme="minorEastAsia"/>
          <w:sz w:val="20"/>
          <w:szCs w:val="14"/>
          <w:lang w:val="en-US"/>
        </w:rPr>
        <w:t xml:space="preserve"> expected to be</w:t>
      </w:r>
      <w:r w:rsidRPr="00A65831">
        <w:rPr>
          <w:rFonts w:eastAsiaTheme="minorEastAsia"/>
          <w:sz w:val="20"/>
          <w:szCs w:val="14"/>
          <w:lang w:val="en-US"/>
        </w:rPr>
        <w:t xml:space="preserve"> transmitted/received</w:t>
      </w:r>
      <w:r w:rsidR="00A65831">
        <w:rPr>
          <w:rFonts w:eastAsiaTheme="minorEastAsia"/>
          <w:sz w:val="20"/>
          <w:szCs w:val="14"/>
          <w:lang w:val="en-US"/>
        </w:rPr>
        <w:t xml:space="preserve"> during Cell DTX/DRX inactive periods.</w:t>
      </w:r>
    </w:p>
    <w:p w14:paraId="6023A9CC" w14:textId="0A51C48C" w:rsidR="007C70CD" w:rsidRDefault="00A65831" w:rsidP="007C70CD">
      <w:pPr>
        <w:rPr>
          <w:rFonts w:eastAsiaTheme="minorEastAsia"/>
          <w:sz w:val="20"/>
          <w:szCs w:val="14"/>
          <w:lang w:val="en-US"/>
        </w:rPr>
      </w:pPr>
      <w:r>
        <w:rPr>
          <w:rFonts w:eastAsiaTheme="minorEastAsia"/>
          <w:sz w:val="20"/>
          <w:szCs w:val="14"/>
          <w:lang w:val="en-US"/>
        </w:rPr>
        <w:t>From latency perspective, Alt.1 would be better as dynamic channels/signals can still be transmitted</w:t>
      </w:r>
      <w:r w:rsidR="000D08B9">
        <w:rPr>
          <w:rFonts w:eastAsiaTheme="minorEastAsia"/>
          <w:sz w:val="20"/>
          <w:szCs w:val="14"/>
          <w:lang w:val="en-US"/>
        </w:rPr>
        <w:t xml:space="preserve"> or received</w:t>
      </w:r>
      <w:r>
        <w:rPr>
          <w:rFonts w:eastAsiaTheme="minorEastAsia"/>
          <w:sz w:val="20"/>
          <w:szCs w:val="14"/>
          <w:lang w:val="en-US"/>
        </w:rPr>
        <w:t xml:space="preserve"> during Cell DTX/DRX inactive periods. On the other hand, Alt.2 will bring better energy efficiency as both semi-static and dynamic transmission and reception are not allowed during the inactive periods. Therefore, it needs to be discussed by taking the trade-off into account. </w:t>
      </w:r>
      <w:r w:rsidR="007C70CD">
        <w:rPr>
          <w:rFonts w:eastAsiaTheme="minorEastAsia" w:hint="eastAsia"/>
          <w:sz w:val="20"/>
          <w:szCs w:val="14"/>
          <w:lang w:val="en-US"/>
        </w:rPr>
        <w:t>N</w:t>
      </w:r>
      <w:r w:rsidR="007C70CD">
        <w:rPr>
          <w:rFonts w:eastAsiaTheme="minorEastAsia"/>
          <w:sz w:val="20"/>
          <w:szCs w:val="14"/>
          <w:lang w:val="en-US"/>
        </w:rPr>
        <w:t>ote that cell-specific signals should not be impacted</w:t>
      </w:r>
      <w:r w:rsidR="000D08B9">
        <w:rPr>
          <w:rFonts w:eastAsiaTheme="minorEastAsia"/>
          <w:sz w:val="20"/>
          <w:szCs w:val="14"/>
          <w:lang w:val="en-US"/>
        </w:rPr>
        <w:t xml:space="preserve"> </w:t>
      </w:r>
      <w:r w:rsidR="007C70CD">
        <w:rPr>
          <w:rFonts w:eastAsiaTheme="minorEastAsia"/>
          <w:sz w:val="20"/>
          <w:szCs w:val="14"/>
          <w:lang w:val="en-US"/>
        </w:rPr>
        <w:t>due to Cell DTX/DRX</w:t>
      </w:r>
      <w:r w:rsidR="000D08B9">
        <w:rPr>
          <w:rFonts w:eastAsiaTheme="minorEastAsia"/>
          <w:sz w:val="20"/>
          <w:szCs w:val="14"/>
          <w:lang w:val="en-US"/>
        </w:rPr>
        <w:t xml:space="preserve"> in both alternatives</w:t>
      </w:r>
      <w:r w:rsidR="007C70CD">
        <w:rPr>
          <w:rFonts w:eastAsiaTheme="minorEastAsia"/>
          <w:sz w:val="20"/>
          <w:szCs w:val="14"/>
          <w:lang w:val="en-US"/>
        </w:rPr>
        <w:t xml:space="preserve"> to avoid legacy UE impact as described in the </w:t>
      </w:r>
      <w:r w:rsidR="000D08B9">
        <w:rPr>
          <w:rFonts w:eastAsiaTheme="minorEastAsia"/>
          <w:sz w:val="20"/>
          <w:szCs w:val="14"/>
          <w:lang w:val="en-US"/>
        </w:rPr>
        <w:t>WID</w:t>
      </w:r>
      <w:r w:rsidR="007C70CD">
        <w:rPr>
          <w:rFonts w:eastAsiaTheme="minorEastAsia"/>
          <w:sz w:val="20"/>
          <w:szCs w:val="14"/>
          <w:lang w:val="en-US"/>
        </w:rPr>
        <w:t>.</w:t>
      </w:r>
    </w:p>
    <w:p w14:paraId="5A546AB2" w14:textId="738E275F" w:rsidR="00A65831" w:rsidRDefault="00A65831" w:rsidP="007C70CD">
      <w:pPr>
        <w:rPr>
          <w:rFonts w:eastAsiaTheme="minorEastAsia"/>
          <w:sz w:val="20"/>
          <w:szCs w:val="14"/>
          <w:lang w:val="en-US"/>
        </w:rPr>
      </w:pPr>
    </w:p>
    <w:p w14:paraId="0CBC96D3" w14:textId="77777777" w:rsidR="00A65831" w:rsidRPr="007C29D2" w:rsidRDefault="00A65831" w:rsidP="00A6583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w:t>
      </w:r>
      <w:r w:rsidRPr="007C29D2">
        <w:rPr>
          <w:rFonts w:eastAsiaTheme="minorEastAsia"/>
          <w:b/>
          <w:sz w:val="20"/>
          <w:u w:val="single"/>
        </w:rPr>
        <w:t>:</w:t>
      </w:r>
    </w:p>
    <w:p w14:paraId="2F895941" w14:textId="1C230477" w:rsidR="00A65831" w:rsidRDefault="00A65831" w:rsidP="00A65831">
      <w:pPr>
        <w:rPr>
          <w:rFonts w:eastAsiaTheme="minorEastAsia"/>
          <w:sz w:val="20"/>
          <w:szCs w:val="14"/>
          <w:lang w:val="en-US"/>
        </w:rPr>
      </w:pPr>
      <w:r>
        <w:rPr>
          <w:rFonts w:eastAsia="Malgun Gothic"/>
          <w:sz w:val="20"/>
          <w:lang w:val="en-US" w:eastAsia="ko-KR"/>
        </w:rPr>
        <w:t xml:space="preserve">UE behavior during Cell DTX/DRX inactive periods should be discussed by taking the trade-off between </w:t>
      </w:r>
      <w:r w:rsidR="00595F11">
        <w:rPr>
          <w:rFonts w:eastAsia="Malgun Gothic"/>
          <w:sz w:val="20"/>
          <w:lang w:val="en-US" w:eastAsia="ko-KR"/>
        </w:rPr>
        <w:t>energy</w:t>
      </w:r>
      <w:r>
        <w:rPr>
          <w:rFonts w:eastAsia="Malgun Gothic"/>
          <w:sz w:val="20"/>
          <w:lang w:val="en-US" w:eastAsia="ko-KR"/>
        </w:rPr>
        <w:t xml:space="preserve"> saving gain and system performance such as latency into account</w:t>
      </w:r>
      <w:r w:rsidRPr="00147BEA">
        <w:rPr>
          <w:rFonts w:eastAsiaTheme="minorEastAsia"/>
          <w:sz w:val="20"/>
          <w:lang w:val="en-US"/>
        </w:rPr>
        <w:t>.</w:t>
      </w:r>
    </w:p>
    <w:p w14:paraId="4C9E4B5D" w14:textId="77777777" w:rsidR="006271D1" w:rsidRDefault="006271D1" w:rsidP="007C70CD">
      <w:pPr>
        <w:rPr>
          <w:rFonts w:eastAsiaTheme="minorEastAsia"/>
          <w:sz w:val="20"/>
          <w:szCs w:val="14"/>
          <w:lang w:val="en-US"/>
        </w:rPr>
      </w:pPr>
    </w:p>
    <w:p w14:paraId="065774DD" w14:textId="27BD9915" w:rsidR="00300320" w:rsidRPr="001C0CBE" w:rsidRDefault="007C70CD" w:rsidP="001C0CBE">
      <w:pPr>
        <w:rPr>
          <w:rFonts w:eastAsiaTheme="minorEastAsia"/>
          <w:sz w:val="20"/>
          <w:szCs w:val="14"/>
          <w:lang w:val="en-US"/>
        </w:rPr>
      </w:pPr>
      <w:r>
        <w:rPr>
          <w:rFonts w:eastAsiaTheme="minorEastAsia" w:hint="eastAsia"/>
          <w:sz w:val="20"/>
          <w:szCs w:val="14"/>
          <w:lang w:val="en-US"/>
        </w:rPr>
        <w:t>S</w:t>
      </w:r>
      <w:r>
        <w:rPr>
          <w:rFonts w:eastAsiaTheme="minorEastAsia"/>
          <w:sz w:val="20"/>
          <w:szCs w:val="14"/>
          <w:lang w:val="en-US"/>
        </w:rPr>
        <w:t xml:space="preserve">econdly, </w:t>
      </w:r>
      <w:r w:rsidR="001C0CBE">
        <w:rPr>
          <w:rFonts w:eastAsiaTheme="minorEastAsia"/>
          <w:sz w:val="20"/>
          <w:szCs w:val="14"/>
          <w:lang w:val="en-US"/>
        </w:rPr>
        <w:t>configuration and activation/deactivation mechanism</w:t>
      </w:r>
      <w:r w:rsidR="00500E29">
        <w:rPr>
          <w:rFonts w:eastAsiaTheme="minorEastAsia"/>
          <w:sz w:val="20"/>
          <w:szCs w:val="14"/>
          <w:lang w:val="en-US"/>
        </w:rPr>
        <w:t>s</w:t>
      </w:r>
      <w:r w:rsidR="001C0CBE">
        <w:rPr>
          <w:rFonts w:eastAsiaTheme="minorEastAsia"/>
          <w:sz w:val="20"/>
          <w:szCs w:val="14"/>
          <w:lang w:val="en-US"/>
        </w:rPr>
        <w:t xml:space="preserve"> </w:t>
      </w:r>
      <w:r w:rsidR="00E20C7E">
        <w:rPr>
          <w:rFonts w:eastAsiaTheme="minorEastAsia"/>
          <w:sz w:val="20"/>
          <w:szCs w:val="14"/>
          <w:lang w:val="en-US"/>
        </w:rPr>
        <w:t>need</w:t>
      </w:r>
      <w:r w:rsidR="001C0CBE">
        <w:rPr>
          <w:rFonts w:eastAsiaTheme="minorEastAsia"/>
          <w:sz w:val="20"/>
          <w:szCs w:val="14"/>
          <w:lang w:val="en-US"/>
        </w:rPr>
        <w:t xml:space="preserve"> </w:t>
      </w:r>
      <w:r w:rsidR="00E20C7E">
        <w:rPr>
          <w:rFonts w:eastAsiaTheme="minorEastAsia"/>
          <w:sz w:val="20"/>
          <w:szCs w:val="14"/>
          <w:lang w:val="en-US"/>
        </w:rPr>
        <w:t xml:space="preserve">to </w:t>
      </w:r>
      <w:r w:rsidR="001C0CBE">
        <w:rPr>
          <w:rFonts w:eastAsiaTheme="minorEastAsia"/>
          <w:sz w:val="20"/>
          <w:szCs w:val="14"/>
          <w:lang w:val="en-US"/>
        </w:rPr>
        <w:t xml:space="preserve">be </w:t>
      </w:r>
      <w:r w:rsidR="00E20C7E">
        <w:rPr>
          <w:rFonts w:eastAsiaTheme="minorEastAsia"/>
          <w:sz w:val="20"/>
          <w:szCs w:val="14"/>
          <w:lang w:val="en-US"/>
        </w:rPr>
        <w:t>clarified</w:t>
      </w:r>
      <w:r w:rsidR="001C0CBE">
        <w:rPr>
          <w:rFonts w:eastAsiaTheme="minorEastAsia"/>
          <w:sz w:val="20"/>
          <w:szCs w:val="14"/>
          <w:lang w:val="en-US"/>
        </w:rPr>
        <w:t>. For configuration</w:t>
      </w:r>
      <w:r w:rsidR="00E20C7E">
        <w:rPr>
          <w:rFonts w:eastAsiaTheme="minorEastAsia"/>
          <w:sz w:val="20"/>
          <w:szCs w:val="14"/>
          <w:lang w:val="en-US"/>
        </w:rPr>
        <w:t xml:space="preserve"> of Cell DTX/DRX</w:t>
      </w:r>
      <w:r w:rsidR="001C0CBE">
        <w:rPr>
          <w:rFonts w:eastAsiaTheme="minorEastAsia"/>
          <w:sz w:val="20"/>
          <w:szCs w:val="14"/>
          <w:lang w:val="en-US"/>
        </w:rPr>
        <w:t>, c</w:t>
      </w:r>
      <w:r w:rsidR="001C0CBE" w:rsidRPr="001C0CBE">
        <w:rPr>
          <w:rFonts w:eastAsiaTheme="minorEastAsia"/>
          <w:sz w:val="20"/>
          <w:szCs w:val="14"/>
          <w:lang w:val="en-US"/>
        </w:rPr>
        <w:t>ell-specific or UE-specific</w:t>
      </w:r>
      <w:r w:rsidR="001C0CBE">
        <w:rPr>
          <w:rFonts w:eastAsiaTheme="minorEastAsia"/>
          <w:sz w:val="20"/>
          <w:szCs w:val="14"/>
          <w:lang w:val="en-US"/>
        </w:rPr>
        <w:t xml:space="preserve"> manner</w:t>
      </w:r>
      <w:r w:rsidR="00E20C7E">
        <w:rPr>
          <w:rFonts w:eastAsiaTheme="minorEastAsia"/>
          <w:sz w:val="20"/>
          <w:szCs w:val="14"/>
          <w:lang w:val="en-US"/>
        </w:rPr>
        <w:t xml:space="preserve"> can be considered</w:t>
      </w:r>
      <w:r w:rsidR="001C0CBE">
        <w:rPr>
          <w:rFonts w:eastAsiaTheme="minorEastAsia"/>
          <w:sz w:val="20"/>
          <w:szCs w:val="14"/>
          <w:lang w:val="en-US"/>
        </w:rPr>
        <w:t>. It would be straightforward to apply UE-specific manner t</w:t>
      </w:r>
      <w:r w:rsidR="001C0CBE" w:rsidRPr="001C0CBE">
        <w:rPr>
          <w:rFonts w:eastAsiaTheme="minorEastAsia"/>
          <w:sz w:val="20"/>
          <w:szCs w:val="14"/>
          <w:lang w:val="en-US"/>
        </w:rPr>
        <w:t>o avoid legacy UE impact</w:t>
      </w:r>
      <w:r w:rsidR="001C0CBE">
        <w:rPr>
          <w:rFonts w:eastAsiaTheme="minorEastAsia"/>
          <w:sz w:val="20"/>
          <w:szCs w:val="14"/>
          <w:lang w:val="en-US"/>
        </w:rPr>
        <w:t>. Regarding activation and deactivation mechanism</w:t>
      </w:r>
      <w:r w:rsidR="00060E95">
        <w:rPr>
          <w:rFonts w:eastAsiaTheme="minorEastAsia"/>
          <w:sz w:val="20"/>
          <w:szCs w:val="14"/>
          <w:lang w:val="en-US"/>
        </w:rPr>
        <w:t>s</w:t>
      </w:r>
      <w:r w:rsidR="00E20C7E">
        <w:rPr>
          <w:rFonts w:eastAsiaTheme="minorEastAsia"/>
          <w:sz w:val="20"/>
          <w:szCs w:val="14"/>
          <w:lang w:val="en-US"/>
        </w:rPr>
        <w:t xml:space="preserve"> of Cell DTX/DRX</w:t>
      </w:r>
      <w:r w:rsidR="001C0CBE">
        <w:rPr>
          <w:rFonts w:eastAsiaTheme="minorEastAsia"/>
          <w:sz w:val="20"/>
          <w:szCs w:val="14"/>
          <w:lang w:val="en-US"/>
        </w:rPr>
        <w:t xml:space="preserve">, semi-static or dynamic indication can be considered. To achieve flexible and </w:t>
      </w:r>
      <w:r w:rsidR="00E20C7E">
        <w:rPr>
          <w:rFonts w:eastAsiaTheme="minorEastAsia"/>
          <w:sz w:val="20"/>
          <w:szCs w:val="14"/>
          <w:lang w:val="en-US"/>
        </w:rPr>
        <w:t>fast</w:t>
      </w:r>
      <w:r w:rsidR="001C0CBE">
        <w:rPr>
          <w:rFonts w:eastAsiaTheme="minorEastAsia"/>
          <w:sz w:val="20"/>
          <w:szCs w:val="14"/>
          <w:lang w:val="en-US"/>
        </w:rPr>
        <w:t xml:space="preserve"> activation and deactivation, dynamic indication</w:t>
      </w:r>
      <w:r w:rsidR="00E20C7E">
        <w:rPr>
          <w:rFonts w:eastAsiaTheme="minorEastAsia"/>
          <w:sz w:val="20"/>
          <w:szCs w:val="14"/>
          <w:lang w:val="en-US"/>
        </w:rPr>
        <w:t xml:space="preserve"> would be more appropriate</w:t>
      </w:r>
      <w:r w:rsidR="001C0CBE">
        <w:rPr>
          <w:rFonts w:eastAsiaTheme="minorEastAsia"/>
          <w:sz w:val="20"/>
          <w:szCs w:val="14"/>
          <w:lang w:val="en-US"/>
        </w:rPr>
        <w:t>. If dynamic indication is supported, unit of activation/deactivation needs to be clarified</w:t>
      </w:r>
      <w:r w:rsidR="00060E95">
        <w:rPr>
          <w:rFonts w:eastAsiaTheme="minorEastAsia"/>
          <w:sz w:val="20"/>
          <w:szCs w:val="14"/>
          <w:lang w:val="en-US"/>
        </w:rPr>
        <w:t xml:space="preserve">, for which </w:t>
      </w:r>
      <w:r w:rsidR="00E20C7E">
        <w:rPr>
          <w:rFonts w:eastAsiaTheme="minorEastAsia"/>
          <w:sz w:val="20"/>
          <w:szCs w:val="14"/>
          <w:lang w:val="en-US"/>
        </w:rPr>
        <w:t>Cel</w:t>
      </w:r>
      <w:r w:rsidR="001C0CBE" w:rsidRPr="001C0CBE">
        <w:rPr>
          <w:rFonts w:eastAsiaTheme="minorEastAsia"/>
          <w:sz w:val="20"/>
          <w:szCs w:val="14"/>
          <w:lang w:val="en-US"/>
        </w:rPr>
        <w:t>l</w:t>
      </w:r>
      <w:r w:rsidR="00E20C7E">
        <w:rPr>
          <w:rFonts w:eastAsiaTheme="minorEastAsia"/>
          <w:sz w:val="20"/>
          <w:szCs w:val="14"/>
          <w:lang w:val="en-US"/>
        </w:rPr>
        <w:t>-specific</w:t>
      </w:r>
      <w:r w:rsidR="001C0CBE" w:rsidRPr="001C0CBE">
        <w:rPr>
          <w:rFonts w:eastAsiaTheme="minorEastAsia"/>
          <w:sz w:val="20"/>
          <w:szCs w:val="14"/>
          <w:lang w:val="en-US"/>
        </w:rPr>
        <w:t>, UE</w:t>
      </w:r>
      <w:r w:rsidR="00E20C7E">
        <w:rPr>
          <w:rFonts w:eastAsiaTheme="minorEastAsia"/>
          <w:sz w:val="20"/>
          <w:szCs w:val="14"/>
          <w:lang w:val="en-US"/>
        </w:rPr>
        <w:t>-specific</w:t>
      </w:r>
      <w:r w:rsidR="001C0CBE" w:rsidRPr="001C0CBE">
        <w:rPr>
          <w:rFonts w:eastAsiaTheme="minorEastAsia"/>
          <w:sz w:val="20"/>
          <w:szCs w:val="14"/>
          <w:lang w:val="en-US"/>
        </w:rPr>
        <w:t xml:space="preserve">, </w:t>
      </w:r>
      <w:r w:rsidR="00E20C7E">
        <w:rPr>
          <w:rFonts w:eastAsiaTheme="minorEastAsia"/>
          <w:sz w:val="20"/>
          <w:szCs w:val="14"/>
          <w:lang w:val="en-US"/>
        </w:rPr>
        <w:t>or group-common based indication</w:t>
      </w:r>
      <w:r w:rsidR="001C0CBE">
        <w:rPr>
          <w:rFonts w:eastAsiaTheme="minorEastAsia"/>
          <w:sz w:val="20"/>
          <w:szCs w:val="14"/>
          <w:lang w:val="en-US"/>
        </w:rPr>
        <w:t xml:space="preserve"> can be considered. </w:t>
      </w:r>
      <w:r w:rsidR="001C0CBE" w:rsidRPr="001C0CBE">
        <w:rPr>
          <w:rFonts w:eastAsiaTheme="minorEastAsia"/>
          <w:sz w:val="20"/>
          <w:szCs w:val="14"/>
          <w:lang w:val="en-US"/>
        </w:rPr>
        <w:t xml:space="preserve">To avoid legacy UE impact, </w:t>
      </w:r>
      <w:r w:rsidR="00E20C7E" w:rsidRPr="001C0CBE">
        <w:rPr>
          <w:rFonts w:eastAsiaTheme="minorEastAsia"/>
          <w:sz w:val="20"/>
          <w:szCs w:val="14"/>
          <w:lang w:val="en-US"/>
        </w:rPr>
        <w:t>UE</w:t>
      </w:r>
      <w:r w:rsidR="00E20C7E">
        <w:rPr>
          <w:rFonts w:eastAsiaTheme="minorEastAsia"/>
          <w:sz w:val="20"/>
          <w:szCs w:val="14"/>
          <w:lang w:val="en-US"/>
        </w:rPr>
        <w:t>-specific or group-common based indication</w:t>
      </w:r>
      <w:r w:rsidR="001C0CBE" w:rsidRPr="001C0CBE">
        <w:rPr>
          <w:rFonts w:eastAsiaTheme="minorEastAsia"/>
          <w:sz w:val="20"/>
          <w:szCs w:val="14"/>
          <w:lang w:val="en-US"/>
        </w:rPr>
        <w:t xml:space="preserve"> should be</w:t>
      </w:r>
      <w:r w:rsidR="001C0CBE">
        <w:rPr>
          <w:rFonts w:eastAsiaTheme="minorEastAsia"/>
          <w:sz w:val="20"/>
          <w:szCs w:val="14"/>
          <w:lang w:val="en-US"/>
        </w:rPr>
        <w:t xml:space="preserve"> preferable.</w:t>
      </w:r>
      <w:r w:rsidR="00060E95" w:rsidRPr="001C0CBE">
        <w:rPr>
          <w:rFonts w:eastAsiaTheme="minorEastAsia"/>
          <w:sz w:val="20"/>
          <w:szCs w:val="14"/>
          <w:lang w:val="en-US"/>
        </w:rPr>
        <w:t xml:space="preserve"> </w:t>
      </w:r>
    </w:p>
    <w:p w14:paraId="6A54BD2A" w14:textId="77D44372" w:rsidR="006271D1" w:rsidRDefault="006271D1" w:rsidP="00300320">
      <w:pPr>
        <w:rPr>
          <w:rFonts w:eastAsiaTheme="minorEastAsia"/>
          <w:sz w:val="20"/>
          <w:szCs w:val="14"/>
          <w:lang w:val="en-US"/>
        </w:rPr>
      </w:pPr>
    </w:p>
    <w:p w14:paraId="15C2BB20" w14:textId="2E77B135" w:rsidR="00A65831" w:rsidRPr="007C29D2" w:rsidRDefault="00A65831" w:rsidP="00A6583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6A9186D3" w14:textId="2FA67AEB" w:rsidR="00A65831" w:rsidRDefault="0009029C" w:rsidP="00A65831">
      <w:pPr>
        <w:rPr>
          <w:rFonts w:eastAsiaTheme="minorEastAsia"/>
          <w:sz w:val="20"/>
          <w:szCs w:val="14"/>
          <w:lang w:val="en-US"/>
        </w:rPr>
      </w:pPr>
      <w:r>
        <w:rPr>
          <w:rFonts w:eastAsia="Malgun Gothic"/>
          <w:sz w:val="20"/>
          <w:lang w:val="en-US" w:eastAsia="ko-KR"/>
        </w:rPr>
        <w:t>Configuration and activation/deactivation mechanism</w:t>
      </w:r>
      <w:r w:rsidR="00060E95">
        <w:rPr>
          <w:rFonts w:eastAsia="Malgun Gothic"/>
          <w:sz w:val="20"/>
          <w:lang w:val="en-US" w:eastAsia="ko-KR"/>
        </w:rPr>
        <w:t>s</w:t>
      </w:r>
      <w:r>
        <w:rPr>
          <w:rFonts w:eastAsia="Malgun Gothic"/>
          <w:sz w:val="20"/>
          <w:lang w:val="en-US" w:eastAsia="ko-KR"/>
        </w:rPr>
        <w:t xml:space="preserve"> of Cell DTX/DRX should be discussed.</w:t>
      </w:r>
    </w:p>
    <w:p w14:paraId="252C65A6" w14:textId="33446740" w:rsidR="00A65831" w:rsidRPr="00A65831" w:rsidRDefault="00A65831" w:rsidP="00300320">
      <w:pPr>
        <w:rPr>
          <w:rFonts w:eastAsiaTheme="minorEastAsia"/>
          <w:sz w:val="20"/>
          <w:szCs w:val="14"/>
          <w:lang w:val="en-US"/>
        </w:rPr>
      </w:pPr>
    </w:p>
    <w:p w14:paraId="1D95D9EB" w14:textId="37FF2095" w:rsidR="00300320" w:rsidRPr="00D8457D" w:rsidRDefault="00D8457D" w:rsidP="00D8457D">
      <w:pPr>
        <w:rPr>
          <w:rFonts w:eastAsiaTheme="minorEastAsia"/>
          <w:sz w:val="20"/>
          <w:szCs w:val="14"/>
          <w:lang w:val="en-US"/>
        </w:rPr>
      </w:pPr>
      <w:r>
        <w:rPr>
          <w:rFonts w:eastAsiaTheme="minorEastAsia" w:hint="eastAsia"/>
          <w:sz w:val="20"/>
          <w:szCs w:val="14"/>
          <w:lang w:val="en-US"/>
        </w:rPr>
        <w:t>L</w:t>
      </w:r>
      <w:r>
        <w:rPr>
          <w:rFonts w:eastAsiaTheme="minorEastAsia"/>
          <w:sz w:val="20"/>
          <w:szCs w:val="14"/>
          <w:lang w:val="en-US"/>
        </w:rPr>
        <w:t xml:space="preserve">astly, </w:t>
      </w:r>
      <w:r w:rsidR="006271D1">
        <w:rPr>
          <w:rFonts w:eastAsiaTheme="minorEastAsia" w:hint="eastAsia"/>
          <w:sz w:val="20"/>
          <w:szCs w:val="14"/>
          <w:lang w:val="en-US"/>
        </w:rPr>
        <w:t>a</w:t>
      </w:r>
      <w:r w:rsidRPr="00D8457D">
        <w:rPr>
          <w:rFonts w:eastAsiaTheme="minorEastAsia"/>
          <w:sz w:val="20"/>
          <w:szCs w:val="14"/>
          <w:lang w:val="en-US"/>
        </w:rPr>
        <w:t>lignment between Cell DTX and UE DRX</w:t>
      </w:r>
      <w:r w:rsidR="006271D1">
        <w:rPr>
          <w:rFonts w:eastAsiaTheme="minorEastAsia"/>
          <w:sz w:val="20"/>
          <w:szCs w:val="14"/>
          <w:lang w:val="en-US"/>
        </w:rPr>
        <w:t xml:space="preserve"> should also be </w:t>
      </w:r>
      <w:r w:rsidR="00154372">
        <w:rPr>
          <w:rFonts w:eastAsiaTheme="minorEastAsia"/>
          <w:sz w:val="20"/>
          <w:szCs w:val="14"/>
          <w:lang w:val="en-US"/>
        </w:rPr>
        <w:t>clarified</w:t>
      </w:r>
      <w:r w:rsidR="006271D1">
        <w:rPr>
          <w:rFonts w:eastAsiaTheme="minorEastAsia"/>
          <w:sz w:val="20"/>
          <w:szCs w:val="14"/>
          <w:lang w:val="en-US"/>
        </w:rPr>
        <w:t xml:space="preserve">. </w:t>
      </w:r>
      <w:r w:rsidRPr="00D8457D">
        <w:rPr>
          <w:rFonts w:eastAsiaTheme="minorEastAsia"/>
          <w:sz w:val="20"/>
          <w:szCs w:val="14"/>
          <w:lang w:val="en-US"/>
        </w:rPr>
        <w:t>It would be beneficial to align Cell DTX and UE DRX to</w:t>
      </w:r>
      <w:r w:rsidR="006271D1">
        <w:rPr>
          <w:rFonts w:eastAsiaTheme="minorEastAsia"/>
          <w:sz w:val="20"/>
          <w:szCs w:val="14"/>
          <w:lang w:val="en-US"/>
        </w:rPr>
        <w:t xml:space="preserve"> efficiently</w:t>
      </w:r>
      <w:r w:rsidRPr="00D8457D">
        <w:rPr>
          <w:rFonts w:eastAsiaTheme="minorEastAsia"/>
          <w:sz w:val="20"/>
          <w:szCs w:val="14"/>
          <w:lang w:val="en-US"/>
        </w:rPr>
        <w:t xml:space="preserve"> </w:t>
      </w:r>
      <w:r w:rsidR="006271D1">
        <w:rPr>
          <w:rFonts w:eastAsiaTheme="minorEastAsia"/>
          <w:sz w:val="20"/>
          <w:szCs w:val="14"/>
          <w:lang w:val="en-US"/>
        </w:rPr>
        <w:t>reduce</w:t>
      </w:r>
      <w:r w:rsidRPr="00D8457D">
        <w:rPr>
          <w:rFonts w:eastAsiaTheme="minorEastAsia"/>
          <w:sz w:val="20"/>
          <w:szCs w:val="14"/>
          <w:lang w:val="en-US"/>
        </w:rPr>
        <w:t xml:space="preserve"> UE energy consumption</w:t>
      </w:r>
      <w:r w:rsidR="006271D1">
        <w:rPr>
          <w:rFonts w:eastAsiaTheme="minorEastAsia"/>
          <w:sz w:val="20"/>
          <w:szCs w:val="14"/>
          <w:lang w:val="en-US"/>
        </w:rPr>
        <w:t xml:space="preserve"> in addition to gNB </w:t>
      </w:r>
      <w:r w:rsidR="00060E95">
        <w:rPr>
          <w:rFonts w:eastAsiaTheme="minorEastAsia"/>
          <w:sz w:val="20"/>
          <w:szCs w:val="14"/>
          <w:lang w:val="en-US"/>
        </w:rPr>
        <w:t>energy</w:t>
      </w:r>
      <w:r w:rsidR="006271D1">
        <w:rPr>
          <w:rFonts w:eastAsiaTheme="minorEastAsia"/>
          <w:sz w:val="20"/>
          <w:szCs w:val="14"/>
          <w:lang w:val="en-US"/>
        </w:rPr>
        <w:t xml:space="preserve"> consumption</w:t>
      </w:r>
      <w:r w:rsidRPr="00D8457D">
        <w:rPr>
          <w:rFonts w:eastAsiaTheme="minorEastAsia"/>
          <w:sz w:val="20"/>
          <w:szCs w:val="14"/>
          <w:lang w:val="en-US"/>
        </w:rPr>
        <w:t xml:space="preserve">. However, </w:t>
      </w:r>
      <w:r w:rsidR="00154372">
        <w:rPr>
          <w:rFonts w:eastAsiaTheme="minorEastAsia"/>
          <w:sz w:val="20"/>
          <w:szCs w:val="14"/>
          <w:lang w:val="en-US"/>
        </w:rPr>
        <w:t>its necessity</w:t>
      </w:r>
      <w:r w:rsidRPr="00D8457D">
        <w:rPr>
          <w:rFonts w:eastAsiaTheme="minorEastAsia"/>
          <w:sz w:val="20"/>
          <w:szCs w:val="14"/>
          <w:lang w:val="en-US"/>
        </w:rPr>
        <w:t xml:space="preserve"> may depend on how the UE behavior during Cell DTX inactive periods is defined.</w:t>
      </w:r>
      <w:r w:rsidR="003F65C3">
        <w:rPr>
          <w:rFonts w:eastAsiaTheme="minorEastAsia"/>
          <w:sz w:val="20"/>
          <w:szCs w:val="14"/>
          <w:lang w:val="en-US"/>
        </w:rPr>
        <w:t xml:space="preserve"> For example</w:t>
      </w:r>
      <w:r w:rsidRPr="00D8457D">
        <w:rPr>
          <w:rFonts w:eastAsiaTheme="minorEastAsia"/>
          <w:sz w:val="20"/>
          <w:szCs w:val="14"/>
          <w:lang w:val="en-US"/>
        </w:rPr>
        <w:t>, if Alt.1</w:t>
      </w:r>
      <w:r w:rsidR="003F65C3">
        <w:rPr>
          <w:rFonts w:eastAsiaTheme="minorEastAsia"/>
          <w:sz w:val="20"/>
          <w:szCs w:val="14"/>
          <w:lang w:val="en-US"/>
        </w:rPr>
        <w:t xml:space="preserve"> above</w:t>
      </w:r>
      <w:r w:rsidRPr="00D8457D">
        <w:rPr>
          <w:rFonts w:eastAsiaTheme="minorEastAsia"/>
          <w:sz w:val="20"/>
          <w:szCs w:val="14"/>
          <w:lang w:val="en-US"/>
        </w:rPr>
        <w:t xml:space="preserve"> is supported, the UE should wake-up for receiving dynamic channels/signals even during Cell DTX inactive periods. </w:t>
      </w:r>
      <w:r w:rsidR="003F65C3">
        <w:rPr>
          <w:rFonts w:eastAsiaTheme="minorEastAsia"/>
          <w:sz w:val="20"/>
          <w:szCs w:val="14"/>
          <w:lang w:val="en-US"/>
        </w:rPr>
        <w:t>Thus, t</w:t>
      </w:r>
      <w:r w:rsidRPr="00D8457D">
        <w:rPr>
          <w:rFonts w:eastAsiaTheme="minorEastAsia"/>
          <w:sz w:val="20"/>
          <w:szCs w:val="14"/>
          <w:lang w:val="en-US"/>
        </w:rPr>
        <w:t>here is no need to do such an alignment in this case.</w:t>
      </w:r>
      <w:r w:rsidR="003F65C3">
        <w:rPr>
          <w:rFonts w:eastAsiaTheme="minorEastAsia"/>
          <w:sz w:val="20"/>
          <w:szCs w:val="14"/>
          <w:lang w:val="en-US"/>
        </w:rPr>
        <w:t xml:space="preserve"> On the other hand, if Alt.2 above is supported, alignment between Cell DTX and UE DRX would bring better UE </w:t>
      </w:r>
      <w:r w:rsidR="00060E95">
        <w:rPr>
          <w:rFonts w:eastAsiaTheme="minorEastAsia"/>
          <w:sz w:val="20"/>
          <w:szCs w:val="14"/>
          <w:lang w:val="en-US"/>
        </w:rPr>
        <w:t>energy</w:t>
      </w:r>
      <w:r w:rsidR="003F65C3">
        <w:rPr>
          <w:rFonts w:eastAsiaTheme="minorEastAsia"/>
          <w:sz w:val="20"/>
          <w:szCs w:val="14"/>
          <w:lang w:val="en-US"/>
        </w:rPr>
        <w:t xml:space="preserve"> savings since the UE will wake-up less frequently compared to no alignment case.</w:t>
      </w:r>
    </w:p>
    <w:p w14:paraId="5A8CC0BF" w14:textId="64CB3960" w:rsidR="00300320" w:rsidRDefault="00300320" w:rsidP="00300320">
      <w:pPr>
        <w:rPr>
          <w:rFonts w:eastAsiaTheme="minorEastAsia"/>
          <w:sz w:val="20"/>
          <w:szCs w:val="14"/>
          <w:lang w:val="en-US"/>
        </w:rPr>
      </w:pPr>
    </w:p>
    <w:p w14:paraId="049EA418" w14:textId="33DDD8DC" w:rsidR="00A65831" w:rsidRPr="007C29D2" w:rsidRDefault="00A65831" w:rsidP="00A6583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5509EC08" w14:textId="14C1BD48" w:rsidR="00A65831" w:rsidRDefault="00154372" w:rsidP="00A65831">
      <w:pPr>
        <w:rPr>
          <w:rFonts w:eastAsiaTheme="minorEastAsia"/>
          <w:sz w:val="20"/>
          <w:szCs w:val="14"/>
          <w:lang w:val="en-US"/>
        </w:rPr>
      </w:pPr>
      <w:r>
        <w:rPr>
          <w:rFonts w:eastAsiaTheme="minorEastAsia"/>
          <w:sz w:val="20"/>
          <w:szCs w:val="14"/>
          <w:lang w:val="en-US"/>
        </w:rPr>
        <w:t>A</w:t>
      </w:r>
      <w:r w:rsidRPr="00D8457D">
        <w:rPr>
          <w:rFonts w:eastAsiaTheme="minorEastAsia"/>
          <w:sz w:val="20"/>
          <w:szCs w:val="14"/>
          <w:lang w:val="en-US"/>
        </w:rPr>
        <w:t>lignment between Cell DTX and UE DRX</w:t>
      </w:r>
      <w:r>
        <w:rPr>
          <w:rFonts w:eastAsiaTheme="minorEastAsia"/>
          <w:sz w:val="20"/>
          <w:szCs w:val="14"/>
          <w:lang w:val="en-US"/>
        </w:rPr>
        <w:t xml:space="preserve"> should be discussed in accordance with the UE behavior during Cell DTX inactive periods.</w:t>
      </w:r>
    </w:p>
    <w:p w14:paraId="6364F77B" w14:textId="77777777" w:rsidR="00300320" w:rsidRPr="00A65831" w:rsidRDefault="00300320" w:rsidP="00300320">
      <w:pPr>
        <w:rPr>
          <w:rFonts w:eastAsiaTheme="minorEastAsia"/>
          <w:sz w:val="20"/>
          <w:szCs w:val="14"/>
          <w:lang w:val="en-US"/>
        </w:rPr>
      </w:pPr>
    </w:p>
    <w:p w14:paraId="50094B52" w14:textId="5CD96866" w:rsidR="00CC3557" w:rsidRPr="004C0CA6" w:rsidRDefault="00CC3557" w:rsidP="00CC355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0F9B6C86" w14:textId="2F4FEA90" w:rsidR="00CC3557" w:rsidRPr="007C29D2" w:rsidRDefault="00CC3557" w:rsidP="00CC3557">
      <w:pPr>
        <w:spacing w:after="120"/>
        <w:jc w:val="both"/>
        <w:rPr>
          <w:rFonts w:eastAsiaTheme="minorEastAsia"/>
          <w:sz w:val="22"/>
          <w:szCs w:val="22"/>
        </w:rPr>
      </w:pPr>
      <w:r w:rsidRPr="007C29D2">
        <w:rPr>
          <w:rFonts w:eastAsia="SimSun"/>
          <w:sz w:val="22"/>
          <w:szCs w:val="22"/>
          <w:lang w:eastAsia="zh-CN"/>
        </w:rPr>
        <w:t xml:space="preserve">In this contribution, we </w:t>
      </w:r>
      <w:r w:rsidR="009E6B63">
        <w:rPr>
          <w:rFonts w:eastAsia="SimSun"/>
          <w:sz w:val="22"/>
          <w:szCs w:val="22"/>
          <w:lang w:eastAsia="zh-CN"/>
        </w:rPr>
        <w:t xml:space="preserve">present the following proposals </w:t>
      </w:r>
      <w:r w:rsidRPr="007C29D2">
        <w:rPr>
          <w:rFonts w:eastAsiaTheme="minorEastAsia"/>
          <w:sz w:val="22"/>
          <w:szCs w:val="22"/>
        </w:rPr>
        <w:t xml:space="preserve">for </w:t>
      </w:r>
      <w:r w:rsidR="00154372">
        <w:rPr>
          <w:rFonts w:eastAsiaTheme="minorEastAsia"/>
          <w:sz w:val="20"/>
        </w:rPr>
        <w:t>enhancements on Cell DTX/DRX mechanism</w:t>
      </w:r>
      <w:r w:rsidR="00DC3A14">
        <w:rPr>
          <w:rFonts w:eastAsiaTheme="minorEastAsia"/>
          <w:sz w:val="20"/>
        </w:rPr>
        <w:t>.</w:t>
      </w:r>
    </w:p>
    <w:p w14:paraId="145B1729" w14:textId="77777777" w:rsidR="00154372" w:rsidRPr="007C29D2" w:rsidRDefault="00154372" w:rsidP="00154372">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w:t>
      </w:r>
      <w:r w:rsidRPr="007C29D2">
        <w:rPr>
          <w:rFonts w:eastAsiaTheme="minorEastAsia"/>
          <w:b/>
          <w:sz w:val="20"/>
          <w:u w:val="single"/>
        </w:rPr>
        <w:t>:</w:t>
      </w:r>
    </w:p>
    <w:p w14:paraId="05943360" w14:textId="055F15D6" w:rsidR="00154372" w:rsidRPr="00154372" w:rsidRDefault="00154372" w:rsidP="00154372">
      <w:pPr>
        <w:pStyle w:val="afe"/>
        <w:numPr>
          <w:ilvl w:val="0"/>
          <w:numId w:val="31"/>
        </w:numPr>
        <w:ind w:leftChars="0"/>
        <w:rPr>
          <w:rFonts w:eastAsiaTheme="minorEastAsia"/>
          <w:sz w:val="20"/>
          <w:szCs w:val="14"/>
          <w:lang w:val="en-US"/>
        </w:rPr>
      </w:pPr>
      <w:r w:rsidRPr="00154372">
        <w:rPr>
          <w:rFonts w:eastAsia="Malgun Gothic"/>
          <w:sz w:val="20"/>
          <w:lang w:val="en-US" w:eastAsia="ko-KR"/>
        </w:rPr>
        <w:t xml:space="preserve">UE behavior during Cell DTX/DRX inactive periods should be discussed by taking the trade-off between </w:t>
      </w:r>
      <w:r w:rsidR="00595F11">
        <w:rPr>
          <w:rFonts w:eastAsia="Malgun Gothic"/>
          <w:sz w:val="20"/>
          <w:lang w:val="en-US" w:eastAsia="ko-KR"/>
        </w:rPr>
        <w:t>energy</w:t>
      </w:r>
      <w:r w:rsidRPr="00154372">
        <w:rPr>
          <w:rFonts w:eastAsia="Malgun Gothic"/>
          <w:sz w:val="20"/>
          <w:lang w:val="en-US" w:eastAsia="ko-KR"/>
        </w:rPr>
        <w:t xml:space="preserve"> saving gain and system performance such as latency into account</w:t>
      </w:r>
      <w:r w:rsidRPr="00154372">
        <w:rPr>
          <w:rFonts w:eastAsiaTheme="minorEastAsia"/>
          <w:sz w:val="20"/>
          <w:lang w:val="en-US"/>
        </w:rPr>
        <w:t>.</w:t>
      </w:r>
    </w:p>
    <w:p w14:paraId="19583AE5" w14:textId="77777777" w:rsidR="00154372" w:rsidRPr="00154372" w:rsidRDefault="00154372" w:rsidP="00154372">
      <w:pPr>
        <w:spacing w:afterLines="50" w:after="120"/>
        <w:jc w:val="both"/>
        <w:rPr>
          <w:rFonts w:eastAsiaTheme="minorEastAsia"/>
          <w:b/>
          <w:sz w:val="20"/>
          <w:u w:val="single"/>
        </w:rPr>
      </w:pPr>
      <w:r w:rsidRPr="00154372">
        <w:rPr>
          <w:rFonts w:eastAsiaTheme="minorEastAsia"/>
          <w:b/>
          <w:sz w:val="20"/>
          <w:u w:val="single"/>
        </w:rPr>
        <w:t>Proposal 2:</w:t>
      </w:r>
    </w:p>
    <w:p w14:paraId="68D81132" w14:textId="20C65D5E" w:rsidR="00154372" w:rsidRPr="00154372" w:rsidRDefault="00154372" w:rsidP="00154372">
      <w:pPr>
        <w:pStyle w:val="afe"/>
        <w:numPr>
          <w:ilvl w:val="0"/>
          <w:numId w:val="31"/>
        </w:numPr>
        <w:ind w:leftChars="0"/>
        <w:rPr>
          <w:rFonts w:eastAsiaTheme="minorEastAsia"/>
          <w:sz w:val="20"/>
          <w:szCs w:val="14"/>
          <w:lang w:val="en-US"/>
        </w:rPr>
      </w:pPr>
      <w:r w:rsidRPr="00154372">
        <w:rPr>
          <w:rFonts w:eastAsia="Malgun Gothic"/>
          <w:sz w:val="20"/>
          <w:lang w:val="en-US" w:eastAsia="ko-KR"/>
        </w:rPr>
        <w:t>Configuration and activation/deactivation mechanism</w:t>
      </w:r>
      <w:r w:rsidR="00060E95">
        <w:rPr>
          <w:rFonts w:eastAsia="Malgun Gothic"/>
          <w:sz w:val="20"/>
          <w:lang w:val="en-US" w:eastAsia="ko-KR"/>
        </w:rPr>
        <w:t>s</w:t>
      </w:r>
      <w:r w:rsidRPr="00154372">
        <w:rPr>
          <w:rFonts w:eastAsia="Malgun Gothic"/>
          <w:sz w:val="20"/>
          <w:lang w:val="en-US" w:eastAsia="ko-KR"/>
        </w:rPr>
        <w:t xml:space="preserve"> of Cell DTX/DRX should be discussed.</w:t>
      </w:r>
    </w:p>
    <w:p w14:paraId="3717D843" w14:textId="77777777" w:rsidR="00154372" w:rsidRPr="00154372" w:rsidRDefault="00154372" w:rsidP="00154372">
      <w:pPr>
        <w:spacing w:afterLines="50" w:after="120"/>
        <w:jc w:val="both"/>
        <w:rPr>
          <w:rFonts w:eastAsiaTheme="minorEastAsia"/>
          <w:b/>
          <w:sz w:val="20"/>
          <w:u w:val="single"/>
        </w:rPr>
      </w:pPr>
      <w:r w:rsidRPr="00154372">
        <w:rPr>
          <w:rFonts w:eastAsiaTheme="minorEastAsia"/>
          <w:b/>
          <w:sz w:val="20"/>
          <w:u w:val="single"/>
        </w:rPr>
        <w:t>Proposal 3:</w:t>
      </w:r>
    </w:p>
    <w:p w14:paraId="28D065EC" w14:textId="24ABF06D" w:rsidR="00154372" w:rsidRDefault="00154372" w:rsidP="00154372">
      <w:pPr>
        <w:pStyle w:val="afe"/>
        <w:numPr>
          <w:ilvl w:val="0"/>
          <w:numId w:val="31"/>
        </w:numPr>
        <w:ind w:leftChars="0"/>
        <w:rPr>
          <w:rFonts w:eastAsiaTheme="minorEastAsia"/>
          <w:sz w:val="20"/>
          <w:szCs w:val="14"/>
          <w:lang w:val="en-US"/>
        </w:rPr>
      </w:pPr>
      <w:r w:rsidRPr="00154372">
        <w:rPr>
          <w:rFonts w:eastAsiaTheme="minorEastAsia"/>
          <w:sz w:val="20"/>
          <w:szCs w:val="14"/>
          <w:lang w:val="en-US"/>
        </w:rPr>
        <w:lastRenderedPageBreak/>
        <w:t>Alignment between Cell DTX and UE DRX should be discussed in accordance with the UE behavior during Cell DTX inactive periods.</w:t>
      </w:r>
    </w:p>
    <w:p w14:paraId="733345E2" w14:textId="77777777" w:rsidR="00154372" w:rsidRPr="00154372" w:rsidRDefault="00154372" w:rsidP="00154372">
      <w:pPr>
        <w:rPr>
          <w:rFonts w:eastAsiaTheme="minorEastAsia"/>
          <w:sz w:val="20"/>
          <w:szCs w:val="14"/>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266CA508" w:rsidR="00E30DD3" w:rsidRDefault="00D273DC" w:rsidP="00A74D1B">
      <w:pPr>
        <w:pStyle w:val="afe"/>
        <w:numPr>
          <w:ilvl w:val="0"/>
          <w:numId w:val="4"/>
        </w:numPr>
        <w:spacing w:afterLines="50" w:after="120"/>
        <w:ind w:leftChars="0"/>
        <w:jc w:val="both"/>
        <w:rPr>
          <w:rFonts w:eastAsia="ＭＳ 明朝"/>
          <w:sz w:val="20"/>
        </w:rPr>
      </w:pPr>
      <w:r w:rsidRPr="00D273DC">
        <w:rPr>
          <w:rFonts w:eastAsia="ＭＳ 明朝"/>
          <w:sz w:val="20"/>
        </w:rPr>
        <w:t>RP-223540</w:t>
      </w:r>
      <w:r w:rsidR="00A74D1B" w:rsidRPr="007C29D2">
        <w:rPr>
          <w:rFonts w:eastAsia="ＭＳ 明朝"/>
          <w:sz w:val="20"/>
        </w:rPr>
        <w:t xml:space="preserve">, </w:t>
      </w:r>
      <w:r w:rsidRPr="00D273DC">
        <w:rPr>
          <w:rFonts w:eastAsia="ＭＳ 明朝"/>
          <w:sz w:val="20"/>
        </w:rPr>
        <w:t>New WID: Network energy savings for NR</w:t>
      </w:r>
      <w:r w:rsidR="00A74D1B" w:rsidRPr="007C29D2">
        <w:rPr>
          <w:rFonts w:eastAsia="ＭＳ 明朝"/>
          <w:sz w:val="20"/>
        </w:rPr>
        <w:t xml:space="preserve">, </w:t>
      </w:r>
      <w:r w:rsidR="00A74D1B">
        <w:rPr>
          <w:rFonts w:eastAsia="ＭＳ 明朝"/>
          <w:sz w:val="20"/>
        </w:rPr>
        <w:t>Dec.</w:t>
      </w:r>
      <w:r w:rsidR="00A74D1B" w:rsidRPr="007C29D2">
        <w:rPr>
          <w:rFonts w:eastAsia="ＭＳ 明朝"/>
          <w:sz w:val="20"/>
        </w:rPr>
        <w:t xml:space="preserve"> 202</w:t>
      </w:r>
      <w:r>
        <w:rPr>
          <w:rFonts w:eastAsia="ＭＳ 明朝"/>
          <w:sz w:val="20"/>
        </w:rPr>
        <w:t>2</w:t>
      </w:r>
      <w:r w:rsidR="00A74D1B" w:rsidRPr="007C29D2">
        <w:rPr>
          <w:rFonts w:eastAsia="ＭＳ 明朝"/>
          <w:sz w:val="20"/>
        </w:rPr>
        <w:t xml:space="preserve">, </w:t>
      </w:r>
      <w:r w:rsidR="00A74D1B">
        <w:rPr>
          <w:rFonts w:eastAsia="ＭＳ 明朝"/>
          <w:sz w:val="20"/>
        </w:rPr>
        <w:t>Huawei</w:t>
      </w:r>
      <w:r w:rsidR="00A74D1B" w:rsidRPr="007C29D2">
        <w:rPr>
          <w:rFonts w:eastAsia="ＭＳ 明朝"/>
          <w:sz w:val="20"/>
        </w:rPr>
        <w:t>.</w:t>
      </w:r>
    </w:p>
    <w:p w14:paraId="637ECBB5" w14:textId="1DEAE6B3" w:rsidR="00154372" w:rsidRPr="009C622E" w:rsidRDefault="00154372" w:rsidP="00154372">
      <w:pPr>
        <w:widowControl w:val="0"/>
        <w:numPr>
          <w:ilvl w:val="0"/>
          <w:numId w:val="4"/>
        </w:numPr>
        <w:spacing w:after="120"/>
        <w:jc w:val="both"/>
        <w:rPr>
          <w:sz w:val="22"/>
          <w:szCs w:val="22"/>
          <w:lang w:val="en-US"/>
        </w:rPr>
      </w:pPr>
      <w:r>
        <w:rPr>
          <w:sz w:val="22"/>
          <w:szCs w:val="22"/>
          <w:lang w:val="en-US"/>
        </w:rPr>
        <w:t xml:space="preserve">TR </w:t>
      </w:r>
      <w:r>
        <w:rPr>
          <w:rFonts w:hint="eastAsia"/>
          <w:sz w:val="22"/>
          <w:szCs w:val="22"/>
          <w:lang w:val="en-US"/>
        </w:rPr>
        <w:t>38.</w:t>
      </w:r>
      <w:r>
        <w:rPr>
          <w:sz w:val="22"/>
          <w:szCs w:val="22"/>
          <w:lang w:val="en-US"/>
        </w:rPr>
        <w:t>864, v1.0.0</w:t>
      </w:r>
    </w:p>
    <w:p w14:paraId="3CFDAEBC" w14:textId="23448AE3" w:rsidR="0081301B" w:rsidRPr="00154372" w:rsidRDefault="0081301B" w:rsidP="00154372">
      <w:pPr>
        <w:spacing w:afterLines="50" w:after="120"/>
        <w:jc w:val="both"/>
        <w:rPr>
          <w:rFonts w:eastAsia="ＭＳ 明朝"/>
          <w:sz w:val="20"/>
        </w:rPr>
      </w:pPr>
    </w:p>
    <w:sectPr w:rsidR="0081301B" w:rsidRPr="0015437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A9DE6" w14:textId="77777777" w:rsidR="002A7C71" w:rsidRDefault="002A7C71">
      <w:r>
        <w:separator/>
      </w:r>
    </w:p>
  </w:endnote>
  <w:endnote w:type="continuationSeparator" w:id="0">
    <w:p w14:paraId="7795FA47" w14:textId="77777777" w:rsidR="002A7C71" w:rsidRDefault="002A7C71">
      <w:r>
        <w:continuationSeparator/>
      </w:r>
    </w:p>
  </w:endnote>
  <w:endnote w:type="continuationNotice" w:id="1">
    <w:p w14:paraId="169CA86D" w14:textId="77777777" w:rsidR="002A7C71" w:rsidRDefault="002A7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37F06" w14:textId="77777777" w:rsidR="002A7C71" w:rsidRDefault="002A7C71">
      <w:r>
        <w:separator/>
      </w:r>
    </w:p>
  </w:footnote>
  <w:footnote w:type="continuationSeparator" w:id="0">
    <w:p w14:paraId="49DCFF2D" w14:textId="77777777" w:rsidR="002A7C71" w:rsidRDefault="002A7C71">
      <w:r>
        <w:continuationSeparator/>
      </w:r>
    </w:p>
  </w:footnote>
  <w:footnote w:type="continuationNotice" w:id="1">
    <w:p w14:paraId="42FF214C" w14:textId="77777777" w:rsidR="002A7C71" w:rsidRDefault="002A7C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466B8"/>
    <w:multiLevelType w:val="hybridMultilevel"/>
    <w:tmpl w:val="EF0E85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 w15:restartNumberingAfterBreak="0">
    <w:nsid w:val="1DD700BF"/>
    <w:multiLevelType w:val="hybridMultilevel"/>
    <w:tmpl w:val="9B84A394"/>
    <w:lvl w:ilvl="0" w:tplc="30D4A22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4"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5CC06C5"/>
    <w:multiLevelType w:val="hybridMultilevel"/>
    <w:tmpl w:val="66A400A6"/>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6CE96C06"/>
    <w:multiLevelType w:val="hybridMultilevel"/>
    <w:tmpl w:val="E1120B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4E551F"/>
    <w:multiLevelType w:val="hybridMultilevel"/>
    <w:tmpl w:val="80D03D30"/>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E82A8B"/>
    <w:multiLevelType w:val="hybridMultilevel"/>
    <w:tmpl w:val="DCC404C0"/>
    <w:lvl w:ilvl="0" w:tplc="F4527B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72583389">
    <w:abstractNumId w:val="0"/>
  </w:num>
  <w:num w:numId="2" w16cid:durableId="177236291">
    <w:abstractNumId w:val="17"/>
  </w:num>
  <w:num w:numId="3" w16cid:durableId="303629871">
    <w:abstractNumId w:val="9"/>
  </w:num>
  <w:num w:numId="4" w16cid:durableId="2076781254">
    <w:abstractNumId w:val="6"/>
  </w:num>
  <w:num w:numId="5" w16cid:durableId="1459759811">
    <w:abstractNumId w:val="27"/>
  </w:num>
  <w:num w:numId="6" w16cid:durableId="367681267">
    <w:abstractNumId w:val="15"/>
  </w:num>
  <w:num w:numId="7" w16cid:durableId="242110435">
    <w:abstractNumId w:val="7"/>
  </w:num>
  <w:num w:numId="8" w16cid:durableId="467866493">
    <w:abstractNumId w:val="1"/>
  </w:num>
  <w:num w:numId="9" w16cid:durableId="1205873106">
    <w:abstractNumId w:val="16"/>
  </w:num>
  <w:num w:numId="10" w16cid:durableId="987906236">
    <w:abstractNumId w:val="4"/>
  </w:num>
  <w:num w:numId="11" w16cid:durableId="333185390">
    <w:abstractNumId w:val="13"/>
  </w:num>
  <w:num w:numId="12" w16cid:durableId="1777945137">
    <w:abstractNumId w:val="23"/>
  </w:num>
  <w:num w:numId="13" w16cid:durableId="953250119">
    <w:abstractNumId w:val="10"/>
  </w:num>
  <w:num w:numId="14" w16cid:durableId="1533687537">
    <w:abstractNumId w:val="12"/>
  </w:num>
  <w:num w:numId="15" w16cid:durableId="114640371">
    <w:abstractNumId w:val="11"/>
  </w:num>
  <w:num w:numId="16" w16cid:durableId="809982163">
    <w:abstractNumId w:val="12"/>
  </w:num>
  <w:num w:numId="17" w16cid:durableId="330373031">
    <w:abstractNumId w:val="19"/>
  </w:num>
  <w:num w:numId="18" w16cid:durableId="858812673">
    <w:abstractNumId w:val="22"/>
  </w:num>
  <w:num w:numId="19" w16cid:durableId="2076929930">
    <w:abstractNumId w:val="8"/>
  </w:num>
  <w:num w:numId="20" w16cid:durableId="1019623533">
    <w:abstractNumId w:val="5"/>
  </w:num>
  <w:num w:numId="21" w16cid:durableId="236594783">
    <w:abstractNumId w:val="24"/>
  </w:num>
  <w:num w:numId="22" w16cid:durableId="108667011">
    <w:abstractNumId w:val="14"/>
  </w:num>
  <w:num w:numId="23" w16cid:durableId="1254514490">
    <w:abstractNumId w:val="25"/>
  </w:num>
  <w:num w:numId="24" w16cid:durableId="929972221">
    <w:abstractNumId w:val="20"/>
    <w:lvlOverride w:ilvl="0">
      <w:startOverride w:val="1"/>
    </w:lvlOverride>
  </w:num>
  <w:num w:numId="25" w16cid:durableId="1954703541">
    <w:abstractNumId w:val="26"/>
  </w:num>
  <w:num w:numId="26" w16cid:durableId="1010716988">
    <w:abstractNumId w:val="3"/>
  </w:num>
  <w:num w:numId="27" w16cid:durableId="358434446">
    <w:abstractNumId w:val="19"/>
    <w:lvlOverride w:ilvl="0">
      <w:startOverride w:val="1"/>
    </w:lvlOverride>
    <w:lvlOverride w:ilvl="1"/>
    <w:lvlOverride w:ilvl="2"/>
    <w:lvlOverride w:ilvl="3"/>
    <w:lvlOverride w:ilvl="4"/>
    <w:lvlOverride w:ilvl="5"/>
    <w:lvlOverride w:ilvl="6"/>
    <w:lvlOverride w:ilvl="7"/>
    <w:lvlOverride w:ilvl="8"/>
  </w:num>
  <w:num w:numId="28" w16cid:durableId="2053555">
    <w:abstractNumId w:val="22"/>
  </w:num>
  <w:num w:numId="29" w16cid:durableId="1286735107">
    <w:abstractNumId w:val="2"/>
  </w:num>
  <w:num w:numId="30" w16cid:durableId="1397776107">
    <w:abstractNumId w:val="18"/>
  </w:num>
  <w:num w:numId="31" w16cid:durableId="177990452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42A2"/>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38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A93"/>
    <w:rsid w:val="00034DAA"/>
    <w:rsid w:val="00034E72"/>
    <w:rsid w:val="00035038"/>
    <w:rsid w:val="0003518B"/>
    <w:rsid w:val="00035722"/>
    <w:rsid w:val="00035725"/>
    <w:rsid w:val="0003602B"/>
    <w:rsid w:val="00036917"/>
    <w:rsid w:val="000369AF"/>
    <w:rsid w:val="00036DA7"/>
    <w:rsid w:val="00036F2E"/>
    <w:rsid w:val="000373FB"/>
    <w:rsid w:val="0003786D"/>
    <w:rsid w:val="0003793A"/>
    <w:rsid w:val="00037AAB"/>
    <w:rsid w:val="00037BEB"/>
    <w:rsid w:val="00037CE3"/>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269"/>
    <w:rsid w:val="000456E0"/>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E9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8D"/>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3C"/>
    <w:rsid w:val="000779A9"/>
    <w:rsid w:val="00077FFC"/>
    <w:rsid w:val="000808D4"/>
    <w:rsid w:val="00080976"/>
    <w:rsid w:val="00080DDF"/>
    <w:rsid w:val="00080EC6"/>
    <w:rsid w:val="00080FD5"/>
    <w:rsid w:val="00081532"/>
    <w:rsid w:val="00081697"/>
    <w:rsid w:val="00081C3F"/>
    <w:rsid w:val="00081C52"/>
    <w:rsid w:val="00081C54"/>
    <w:rsid w:val="0008201A"/>
    <w:rsid w:val="00082778"/>
    <w:rsid w:val="00082A22"/>
    <w:rsid w:val="00082C00"/>
    <w:rsid w:val="00082E51"/>
    <w:rsid w:val="00083382"/>
    <w:rsid w:val="000834F3"/>
    <w:rsid w:val="0008390F"/>
    <w:rsid w:val="00083A11"/>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29C"/>
    <w:rsid w:val="000903B7"/>
    <w:rsid w:val="00090984"/>
    <w:rsid w:val="000910C5"/>
    <w:rsid w:val="00091419"/>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311"/>
    <w:rsid w:val="000B540E"/>
    <w:rsid w:val="000B5623"/>
    <w:rsid w:val="000B56EA"/>
    <w:rsid w:val="000B5715"/>
    <w:rsid w:val="000B57BE"/>
    <w:rsid w:val="000B63F5"/>
    <w:rsid w:val="000B6737"/>
    <w:rsid w:val="000B756C"/>
    <w:rsid w:val="000B7BD6"/>
    <w:rsid w:val="000B7DA5"/>
    <w:rsid w:val="000B7F6F"/>
    <w:rsid w:val="000B7F7A"/>
    <w:rsid w:val="000C0010"/>
    <w:rsid w:val="000C01E9"/>
    <w:rsid w:val="000C0A66"/>
    <w:rsid w:val="000C0B19"/>
    <w:rsid w:val="000C0C09"/>
    <w:rsid w:val="000C0E41"/>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2F3"/>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8B9"/>
    <w:rsid w:val="000D0F6A"/>
    <w:rsid w:val="000D11BF"/>
    <w:rsid w:val="000D1543"/>
    <w:rsid w:val="000D15AB"/>
    <w:rsid w:val="000D1DAB"/>
    <w:rsid w:val="000D243E"/>
    <w:rsid w:val="000D26B1"/>
    <w:rsid w:val="000D2BBB"/>
    <w:rsid w:val="000D2EA7"/>
    <w:rsid w:val="000D3567"/>
    <w:rsid w:val="000D3C4A"/>
    <w:rsid w:val="000D3C58"/>
    <w:rsid w:val="000D415F"/>
    <w:rsid w:val="000D4832"/>
    <w:rsid w:val="000D49EE"/>
    <w:rsid w:val="000D4E5A"/>
    <w:rsid w:val="000D4F4F"/>
    <w:rsid w:val="000D54AA"/>
    <w:rsid w:val="000D571C"/>
    <w:rsid w:val="000D5734"/>
    <w:rsid w:val="000D5A23"/>
    <w:rsid w:val="000D5AE4"/>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1E77"/>
    <w:rsid w:val="000E207F"/>
    <w:rsid w:val="000E2243"/>
    <w:rsid w:val="000E2538"/>
    <w:rsid w:val="000E263F"/>
    <w:rsid w:val="000E2F84"/>
    <w:rsid w:val="000E31E6"/>
    <w:rsid w:val="000E3C68"/>
    <w:rsid w:val="000E3D18"/>
    <w:rsid w:val="000E3F97"/>
    <w:rsid w:val="000E416E"/>
    <w:rsid w:val="000E44C6"/>
    <w:rsid w:val="000E4567"/>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AD"/>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795"/>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A02"/>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2CD"/>
    <w:rsid w:val="0014168E"/>
    <w:rsid w:val="0014168F"/>
    <w:rsid w:val="001416B6"/>
    <w:rsid w:val="00141980"/>
    <w:rsid w:val="001419E7"/>
    <w:rsid w:val="00141CC8"/>
    <w:rsid w:val="00141FB9"/>
    <w:rsid w:val="00142540"/>
    <w:rsid w:val="00142757"/>
    <w:rsid w:val="0014288A"/>
    <w:rsid w:val="00142D40"/>
    <w:rsid w:val="00142D5B"/>
    <w:rsid w:val="00142E78"/>
    <w:rsid w:val="00143023"/>
    <w:rsid w:val="001433A1"/>
    <w:rsid w:val="00143669"/>
    <w:rsid w:val="00143DBE"/>
    <w:rsid w:val="00144294"/>
    <w:rsid w:val="0014491B"/>
    <w:rsid w:val="00144C85"/>
    <w:rsid w:val="00144E06"/>
    <w:rsid w:val="00144EE2"/>
    <w:rsid w:val="0014501E"/>
    <w:rsid w:val="00145072"/>
    <w:rsid w:val="001450AD"/>
    <w:rsid w:val="0014520C"/>
    <w:rsid w:val="00145F02"/>
    <w:rsid w:val="0014629B"/>
    <w:rsid w:val="001462F7"/>
    <w:rsid w:val="001463A1"/>
    <w:rsid w:val="00146823"/>
    <w:rsid w:val="00146CA8"/>
    <w:rsid w:val="00146CA9"/>
    <w:rsid w:val="00146F5C"/>
    <w:rsid w:val="00147025"/>
    <w:rsid w:val="00147200"/>
    <w:rsid w:val="001479DF"/>
    <w:rsid w:val="00147BE5"/>
    <w:rsid w:val="0015016B"/>
    <w:rsid w:val="001501F7"/>
    <w:rsid w:val="0015038B"/>
    <w:rsid w:val="0015049C"/>
    <w:rsid w:val="00150709"/>
    <w:rsid w:val="00150C74"/>
    <w:rsid w:val="00150C9B"/>
    <w:rsid w:val="00150CED"/>
    <w:rsid w:val="00151023"/>
    <w:rsid w:val="00151A8D"/>
    <w:rsid w:val="00151B40"/>
    <w:rsid w:val="00151BE5"/>
    <w:rsid w:val="00151FC5"/>
    <w:rsid w:val="0015215C"/>
    <w:rsid w:val="0015268A"/>
    <w:rsid w:val="00152705"/>
    <w:rsid w:val="00152B89"/>
    <w:rsid w:val="001532DD"/>
    <w:rsid w:val="00153490"/>
    <w:rsid w:val="0015365F"/>
    <w:rsid w:val="00154194"/>
    <w:rsid w:val="001542DB"/>
    <w:rsid w:val="00154372"/>
    <w:rsid w:val="0015439F"/>
    <w:rsid w:val="001545B1"/>
    <w:rsid w:val="001549D4"/>
    <w:rsid w:val="00154AD1"/>
    <w:rsid w:val="00154BDC"/>
    <w:rsid w:val="00154C6A"/>
    <w:rsid w:val="00154DBC"/>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75C"/>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03"/>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5A"/>
    <w:rsid w:val="001758F8"/>
    <w:rsid w:val="001759C3"/>
    <w:rsid w:val="00175F7A"/>
    <w:rsid w:val="0017600C"/>
    <w:rsid w:val="0017609E"/>
    <w:rsid w:val="00176222"/>
    <w:rsid w:val="001762A9"/>
    <w:rsid w:val="00176393"/>
    <w:rsid w:val="001769E0"/>
    <w:rsid w:val="00176AF3"/>
    <w:rsid w:val="00176EA5"/>
    <w:rsid w:val="00176EF4"/>
    <w:rsid w:val="001770D7"/>
    <w:rsid w:val="00177556"/>
    <w:rsid w:val="001776AD"/>
    <w:rsid w:val="001776AF"/>
    <w:rsid w:val="001777E1"/>
    <w:rsid w:val="00177A60"/>
    <w:rsid w:val="00180048"/>
    <w:rsid w:val="001800E6"/>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04"/>
    <w:rsid w:val="00195253"/>
    <w:rsid w:val="0019533E"/>
    <w:rsid w:val="00195944"/>
    <w:rsid w:val="00195B75"/>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AFA"/>
    <w:rsid w:val="001C06AE"/>
    <w:rsid w:val="001C0992"/>
    <w:rsid w:val="001C0BA7"/>
    <w:rsid w:val="001C0CBE"/>
    <w:rsid w:val="001C148D"/>
    <w:rsid w:val="001C1607"/>
    <w:rsid w:val="001C16FD"/>
    <w:rsid w:val="001C1937"/>
    <w:rsid w:val="001C1A08"/>
    <w:rsid w:val="001C1B20"/>
    <w:rsid w:val="001C1BC1"/>
    <w:rsid w:val="001C1FE0"/>
    <w:rsid w:val="001C285B"/>
    <w:rsid w:val="001C2AB7"/>
    <w:rsid w:val="001C2ADC"/>
    <w:rsid w:val="001C2D37"/>
    <w:rsid w:val="001C3134"/>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9B"/>
    <w:rsid w:val="001C63C7"/>
    <w:rsid w:val="001C648D"/>
    <w:rsid w:val="001C654B"/>
    <w:rsid w:val="001C68C7"/>
    <w:rsid w:val="001C6C80"/>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3D5A"/>
    <w:rsid w:val="001E421A"/>
    <w:rsid w:val="001E4282"/>
    <w:rsid w:val="001E42AC"/>
    <w:rsid w:val="001E42D7"/>
    <w:rsid w:val="001E4340"/>
    <w:rsid w:val="001E4B78"/>
    <w:rsid w:val="001E4F6D"/>
    <w:rsid w:val="001E598E"/>
    <w:rsid w:val="001E6B63"/>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5D5"/>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D91"/>
    <w:rsid w:val="001F4E4D"/>
    <w:rsid w:val="001F4FF5"/>
    <w:rsid w:val="001F534A"/>
    <w:rsid w:val="001F53FC"/>
    <w:rsid w:val="001F55BE"/>
    <w:rsid w:val="001F56DC"/>
    <w:rsid w:val="001F58AB"/>
    <w:rsid w:val="001F59AC"/>
    <w:rsid w:val="001F5EF6"/>
    <w:rsid w:val="001F605E"/>
    <w:rsid w:val="001F61AC"/>
    <w:rsid w:val="001F6291"/>
    <w:rsid w:val="001F64A5"/>
    <w:rsid w:val="001F655A"/>
    <w:rsid w:val="001F6750"/>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005"/>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619"/>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5FDE"/>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B86"/>
    <w:rsid w:val="00251FEE"/>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6F01"/>
    <w:rsid w:val="0025734C"/>
    <w:rsid w:val="00257482"/>
    <w:rsid w:val="00257558"/>
    <w:rsid w:val="00257645"/>
    <w:rsid w:val="002576FB"/>
    <w:rsid w:val="00257B28"/>
    <w:rsid w:val="00257D86"/>
    <w:rsid w:val="00260195"/>
    <w:rsid w:val="002602CE"/>
    <w:rsid w:val="002603EF"/>
    <w:rsid w:val="002606A0"/>
    <w:rsid w:val="002609EE"/>
    <w:rsid w:val="00260A45"/>
    <w:rsid w:val="00260D10"/>
    <w:rsid w:val="00261633"/>
    <w:rsid w:val="00261AAE"/>
    <w:rsid w:val="00261AED"/>
    <w:rsid w:val="00261EDD"/>
    <w:rsid w:val="00261EF5"/>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D63"/>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3F63"/>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60"/>
    <w:rsid w:val="00295E9E"/>
    <w:rsid w:val="00295F09"/>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B63"/>
    <w:rsid w:val="002A793F"/>
    <w:rsid w:val="002A7C71"/>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AB5"/>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5DF"/>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6B8B"/>
    <w:rsid w:val="002F7955"/>
    <w:rsid w:val="002F7C4A"/>
    <w:rsid w:val="00300320"/>
    <w:rsid w:val="003004D5"/>
    <w:rsid w:val="003006AD"/>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78F"/>
    <w:rsid w:val="003058CC"/>
    <w:rsid w:val="00305AD0"/>
    <w:rsid w:val="00305C70"/>
    <w:rsid w:val="00305DF2"/>
    <w:rsid w:val="00306EFA"/>
    <w:rsid w:val="003072BE"/>
    <w:rsid w:val="003073D5"/>
    <w:rsid w:val="0030751C"/>
    <w:rsid w:val="003075B3"/>
    <w:rsid w:val="003075D0"/>
    <w:rsid w:val="00307BCE"/>
    <w:rsid w:val="00310797"/>
    <w:rsid w:val="00310CB5"/>
    <w:rsid w:val="003111A3"/>
    <w:rsid w:val="00311610"/>
    <w:rsid w:val="0031179F"/>
    <w:rsid w:val="00311FDA"/>
    <w:rsid w:val="003122BF"/>
    <w:rsid w:val="003122E5"/>
    <w:rsid w:val="0031289A"/>
    <w:rsid w:val="00312A35"/>
    <w:rsid w:val="00312AF0"/>
    <w:rsid w:val="00312C11"/>
    <w:rsid w:val="003134A5"/>
    <w:rsid w:val="0031388E"/>
    <w:rsid w:val="00313919"/>
    <w:rsid w:val="00313B61"/>
    <w:rsid w:val="00313E92"/>
    <w:rsid w:val="00313EA9"/>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995"/>
    <w:rsid w:val="00320A48"/>
    <w:rsid w:val="00320C55"/>
    <w:rsid w:val="00321383"/>
    <w:rsid w:val="00321949"/>
    <w:rsid w:val="003220A7"/>
    <w:rsid w:val="003229B4"/>
    <w:rsid w:val="0032358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D46"/>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B6A"/>
    <w:rsid w:val="00331C24"/>
    <w:rsid w:val="00331EFF"/>
    <w:rsid w:val="003321B2"/>
    <w:rsid w:val="00332667"/>
    <w:rsid w:val="0033290C"/>
    <w:rsid w:val="00332BCF"/>
    <w:rsid w:val="00333064"/>
    <w:rsid w:val="003333DA"/>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454"/>
    <w:rsid w:val="00337549"/>
    <w:rsid w:val="003378FA"/>
    <w:rsid w:val="00337E9E"/>
    <w:rsid w:val="003402FD"/>
    <w:rsid w:val="0034084C"/>
    <w:rsid w:val="00340C21"/>
    <w:rsid w:val="00341864"/>
    <w:rsid w:val="003418C6"/>
    <w:rsid w:val="00341A13"/>
    <w:rsid w:val="00341A4F"/>
    <w:rsid w:val="00341FA9"/>
    <w:rsid w:val="003421B1"/>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47CF1"/>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555"/>
    <w:rsid w:val="00362A68"/>
    <w:rsid w:val="003633C9"/>
    <w:rsid w:val="0036350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28AE"/>
    <w:rsid w:val="00373170"/>
    <w:rsid w:val="0037323F"/>
    <w:rsid w:val="0037382E"/>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BA0"/>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55"/>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8F9"/>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79E"/>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CA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AF4"/>
    <w:rsid w:val="003D6C68"/>
    <w:rsid w:val="003D715F"/>
    <w:rsid w:val="003D72C8"/>
    <w:rsid w:val="003D7A7A"/>
    <w:rsid w:val="003D7E76"/>
    <w:rsid w:val="003E038E"/>
    <w:rsid w:val="003E03AC"/>
    <w:rsid w:val="003E07EC"/>
    <w:rsid w:val="003E10AF"/>
    <w:rsid w:val="003E13DF"/>
    <w:rsid w:val="003E1688"/>
    <w:rsid w:val="003E172C"/>
    <w:rsid w:val="003E17F1"/>
    <w:rsid w:val="003E1887"/>
    <w:rsid w:val="003E19A4"/>
    <w:rsid w:val="003E19C9"/>
    <w:rsid w:val="003E1CBF"/>
    <w:rsid w:val="003E2EDA"/>
    <w:rsid w:val="003E33FB"/>
    <w:rsid w:val="003E354D"/>
    <w:rsid w:val="003E35B0"/>
    <w:rsid w:val="003E37F5"/>
    <w:rsid w:val="003E385A"/>
    <w:rsid w:val="003E39FC"/>
    <w:rsid w:val="003E3D8F"/>
    <w:rsid w:val="003E4083"/>
    <w:rsid w:val="003E45E0"/>
    <w:rsid w:val="003E4B4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DB8"/>
    <w:rsid w:val="003F2E99"/>
    <w:rsid w:val="003F3021"/>
    <w:rsid w:val="003F3762"/>
    <w:rsid w:val="003F376E"/>
    <w:rsid w:val="003F3A8E"/>
    <w:rsid w:val="003F42D6"/>
    <w:rsid w:val="003F4CA0"/>
    <w:rsid w:val="003F4D1B"/>
    <w:rsid w:val="003F4D3E"/>
    <w:rsid w:val="003F5482"/>
    <w:rsid w:val="003F56A8"/>
    <w:rsid w:val="003F57D4"/>
    <w:rsid w:val="003F5922"/>
    <w:rsid w:val="003F5D1D"/>
    <w:rsid w:val="003F6184"/>
    <w:rsid w:val="003F6365"/>
    <w:rsid w:val="003F64A2"/>
    <w:rsid w:val="003F65C3"/>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2BB1"/>
    <w:rsid w:val="004030CE"/>
    <w:rsid w:val="004034AA"/>
    <w:rsid w:val="0040362E"/>
    <w:rsid w:val="00403910"/>
    <w:rsid w:val="00403A96"/>
    <w:rsid w:val="00403AFD"/>
    <w:rsid w:val="00403EA7"/>
    <w:rsid w:val="00404722"/>
    <w:rsid w:val="004047FF"/>
    <w:rsid w:val="00404C2C"/>
    <w:rsid w:val="00404E8F"/>
    <w:rsid w:val="00405464"/>
    <w:rsid w:val="0040549D"/>
    <w:rsid w:val="0040565E"/>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5FCB"/>
    <w:rsid w:val="0041630A"/>
    <w:rsid w:val="00416908"/>
    <w:rsid w:val="0041733C"/>
    <w:rsid w:val="004173AB"/>
    <w:rsid w:val="004173DE"/>
    <w:rsid w:val="004177A2"/>
    <w:rsid w:val="00417996"/>
    <w:rsid w:val="004200A4"/>
    <w:rsid w:val="0042022F"/>
    <w:rsid w:val="00420BA7"/>
    <w:rsid w:val="00420C76"/>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281"/>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533"/>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750"/>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549"/>
    <w:rsid w:val="00446632"/>
    <w:rsid w:val="0044684B"/>
    <w:rsid w:val="004468E9"/>
    <w:rsid w:val="00446FA5"/>
    <w:rsid w:val="004474E5"/>
    <w:rsid w:val="004503B3"/>
    <w:rsid w:val="00450542"/>
    <w:rsid w:val="00450C13"/>
    <w:rsid w:val="00450EA8"/>
    <w:rsid w:val="00451147"/>
    <w:rsid w:val="00451638"/>
    <w:rsid w:val="0045168C"/>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642"/>
    <w:rsid w:val="004647FC"/>
    <w:rsid w:val="004649DF"/>
    <w:rsid w:val="00464AA9"/>
    <w:rsid w:val="00464D57"/>
    <w:rsid w:val="00464E80"/>
    <w:rsid w:val="00464FAA"/>
    <w:rsid w:val="00465136"/>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681"/>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588E"/>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778"/>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291"/>
    <w:rsid w:val="004A74F2"/>
    <w:rsid w:val="004A76FF"/>
    <w:rsid w:val="004A7729"/>
    <w:rsid w:val="004A792D"/>
    <w:rsid w:val="004A7C9F"/>
    <w:rsid w:val="004B017C"/>
    <w:rsid w:val="004B0294"/>
    <w:rsid w:val="004B06A7"/>
    <w:rsid w:val="004B06E9"/>
    <w:rsid w:val="004B082D"/>
    <w:rsid w:val="004B09EB"/>
    <w:rsid w:val="004B100A"/>
    <w:rsid w:val="004B1616"/>
    <w:rsid w:val="004B1B12"/>
    <w:rsid w:val="004B1BF3"/>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94A"/>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C04F6"/>
    <w:rsid w:val="004C0E17"/>
    <w:rsid w:val="004C119F"/>
    <w:rsid w:val="004C129A"/>
    <w:rsid w:val="004C168B"/>
    <w:rsid w:val="004C1962"/>
    <w:rsid w:val="004C1984"/>
    <w:rsid w:val="004C1A58"/>
    <w:rsid w:val="004C1B07"/>
    <w:rsid w:val="004C1C7B"/>
    <w:rsid w:val="004C1E30"/>
    <w:rsid w:val="004C1F24"/>
    <w:rsid w:val="004C2592"/>
    <w:rsid w:val="004C28C6"/>
    <w:rsid w:val="004C2BF7"/>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06"/>
    <w:rsid w:val="004E0888"/>
    <w:rsid w:val="004E0A0A"/>
    <w:rsid w:val="004E0C81"/>
    <w:rsid w:val="004E1838"/>
    <w:rsid w:val="004E1A3E"/>
    <w:rsid w:val="004E215B"/>
    <w:rsid w:val="004E2381"/>
    <w:rsid w:val="004E2582"/>
    <w:rsid w:val="004E29B6"/>
    <w:rsid w:val="004E2C9F"/>
    <w:rsid w:val="004E2E84"/>
    <w:rsid w:val="004E33DC"/>
    <w:rsid w:val="004E3645"/>
    <w:rsid w:val="004E3A6E"/>
    <w:rsid w:val="004E3E77"/>
    <w:rsid w:val="004E3EB9"/>
    <w:rsid w:val="004E3EBA"/>
    <w:rsid w:val="004E47EB"/>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EB5"/>
    <w:rsid w:val="004F1FA7"/>
    <w:rsid w:val="004F24D1"/>
    <w:rsid w:val="004F24EA"/>
    <w:rsid w:val="004F2526"/>
    <w:rsid w:val="004F26D5"/>
    <w:rsid w:val="004F2744"/>
    <w:rsid w:val="004F2C45"/>
    <w:rsid w:val="004F2CB5"/>
    <w:rsid w:val="004F3056"/>
    <w:rsid w:val="004F306C"/>
    <w:rsid w:val="004F3087"/>
    <w:rsid w:val="004F30F9"/>
    <w:rsid w:val="004F32A1"/>
    <w:rsid w:val="004F348D"/>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63"/>
    <w:rsid w:val="004F6BCE"/>
    <w:rsid w:val="004F7086"/>
    <w:rsid w:val="004F75C8"/>
    <w:rsid w:val="004F7810"/>
    <w:rsid w:val="004F7F65"/>
    <w:rsid w:val="005001AA"/>
    <w:rsid w:val="00500455"/>
    <w:rsid w:val="0050055A"/>
    <w:rsid w:val="00500961"/>
    <w:rsid w:val="00500B9D"/>
    <w:rsid w:val="00500E29"/>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65"/>
    <w:rsid w:val="00507DDA"/>
    <w:rsid w:val="00510073"/>
    <w:rsid w:val="005100E7"/>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C2"/>
    <w:rsid w:val="005157CC"/>
    <w:rsid w:val="005157F9"/>
    <w:rsid w:val="00516077"/>
    <w:rsid w:val="0051661A"/>
    <w:rsid w:val="00516D44"/>
    <w:rsid w:val="00517278"/>
    <w:rsid w:val="00517900"/>
    <w:rsid w:val="005179E8"/>
    <w:rsid w:val="00517A52"/>
    <w:rsid w:val="005204AD"/>
    <w:rsid w:val="005204E6"/>
    <w:rsid w:val="00520695"/>
    <w:rsid w:val="00520736"/>
    <w:rsid w:val="005207B3"/>
    <w:rsid w:val="00520AB7"/>
    <w:rsid w:val="00520AF9"/>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C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157"/>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9AB"/>
    <w:rsid w:val="00546E2C"/>
    <w:rsid w:val="00546E6B"/>
    <w:rsid w:val="005471B1"/>
    <w:rsid w:val="00547452"/>
    <w:rsid w:val="00547902"/>
    <w:rsid w:val="00547BD0"/>
    <w:rsid w:val="00547E27"/>
    <w:rsid w:val="005500BC"/>
    <w:rsid w:val="0055032A"/>
    <w:rsid w:val="005504D9"/>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2ED9"/>
    <w:rsid w:val="005533FB"/>
    <w:rsid w:val="005536F6"/>
    <w:rsid w:val="00553A29"/>
    <w:rsid w:val="00553D48"/>
    <w:rsid w:val="005541B3"/>
    <w:rsid w:val="00554242"/>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3F85"/>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6F3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5EC7"/>
    <w:rsid w:val="0058620C"/>
    <w:rsid w:val="005869AC"/>
    <w:rsid w:val="00586B37"/>
    <w:rsid w:val="00586ECE"/>
    <w:rsid w:val="00586FF1"/>
    <w:rsid w:val="00587A73"/>
    <w:rsid w:val="00587AE4"/>
    <w:rsid w:val="00587F3E"/>
    <w:rsid w:val="005900AA"/>
    <w:rsid w:val="00590136"/>
    <w:rsid w:val="005904F1"/>
    <w:rsid w:val="00590634"/>
    <w:rsid w:val="00590D8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AEE"/>
    <w:rsid w:val="00594E86"/>
    <w:rsid w:val="005953E2"/>
    <w:rsid w:val="00595AC8"/>
    <w:rsid w:val="00595EA4"/>
    <w:rsid w:val="00595F11"/>
    <w:rsid w:val="00596038"/>
    <w:rsid w:val="00596D90"/>
    <w:rsid w:val="00596EF7"/>
    <w:rsid w:val="00596F6B"/>
    <w:rsid w:val="00596FB3"/>
    <w:rsid w:val="00597256"/>
    <w:rsid w:val="005976ED"/>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A69"/>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0"/>
    <w:rsid w:val="005D4D5A"/>
    <w:rsid w:val="005D4F69"/>
    <w:rsid w:val="005D5892"/>
    <w:rsid w:val="005D5C74"/>
    <w:rsid w:val="005D5FF5"/>
    <w:rsid w:val="005D6A0A"/>
    <w:rsid w:val="005D6A37"/>
    <w:rsid w:val="005D6B61"/>
    <w:rsid w:val="005D79AA"/>
    <w:rsid w:val="005D7DBF"/>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2D4"/>
    <w:rsid w:val="005E749E"/>
    <w:rsid w:val="005E7A52"/>
    <w:rsid w:val="005E7B4E"/>
    <w:rsid w:val="005E7DA6"/>
    <w:rsid w:val="005F041D"/>
    <w:rsid w:val="005F07DA"/>
    <w:rsid w:val="005F0890"/>
    <w:rsid w:val="005F0DDD"/>
    <w:rsid w:val="005F13DA"/>
    <w:rsid w:val="005F1555"/>
    <w:rsid w:val="005F1A0E"/>
    <w:rsid w:val="005F1E27"/>
    <w:rsid w:val="005F2063"/>
    <w:rsid w:val="005F275F"/>
    <w:rsid w:val="005F293D"/>
    <w:rsid w:val="005F2942"/>
    <w:rsid w:val="005F2E08"/>
    <w:rsid w:val="005F3443"/>
    <w:rsid w:val="005F3806"/>
    <w:rsid w:val="005F3BB8"/>
    <w:rsid w:val="005F3D64"/>
    <w:rsid w:val="005F3D68"/>
    <w:rsid w:val="005F4071"/>
    <w:rsid w:val="005F4085"/>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1E7C"/>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766"/>
    <w:rsid w:val="0061088A"/>
    <w:rsid w:val="00610DDD"/>
    <w:rsid w:val="00610E8C"/>
    <w:rsid w:val="00610EAC"/>
    <w:rsid w:val="00610EFC"/>
    <w:rsid w:val="00611434"/>
    <w:rsid w:val="0061151D"/>
    <w:rsid w:val="00611BEF"/>
    <w:rsid w:val="00611FBF"/>
    <w:rsid w:val="00612172"/>
    <w:rsid w:val="00612191"/>
    <w:rsid w:val="0061226D"/>
    <w:rsid w:val="006125C4"/>
    <w:rsid w:val="00612B58"/>
    <w:rsid w:val="00612D40"/>
    <w:rsid w:val="0061359A"/>
    <w:rsid w:val="0061372F"/>
    <w:rsid w:val="006138C4"/>
    <w:rsid w:val="006139A4"/>
    <w:rsid w:val="00613A75"/>
    <w:rsid w:val="00613A94"/>
    <w:rsid w:val="006141A7"/>
    <w:rsid w:val="00614759"/>
    <w:rsid w:val="00614770"/>
    <w:rsid w:val="00614808"/>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475"/>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1D1"/>
    <w:rsid w:val="006272EA"/>
    <w:rsid w:val="006273EC"/>
    <w:rsid w:val="00630591"/>
    <w:rsid w:val="00630AD0"/>
    <w:rsid w:val="00630CFA"/>
    <w:rsid w:val="00630D2B"/>
    <w:rsid w:val="00630EE9"/>
    <w:rsid w:val="006315B1"/>
    <w:rsid w:val="00631604"/>
    <w:rsid w:val="00631657"/>
    <w:rsid w:val="0063168A"/>
    <w:rsid w:val="006316D6"/>
    <w:rsid w:val="00631814"/>
    <w:rsid w:val="006318AF"/>
    <w:rsid w:val="006318D6"/>
    <w:rsid w:val="006319E8"/>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F0A"/>
    <w:rsid w:val="0064733D"/>
    <w:rsid w:val="00647B56"/>
    <w:rsid w:val="00647B80"/>
    <w:rsid w:val="00647D2F"/>
    <w:rsid w:val="00647D5E"/>
    <w:rsid w:val="00647F84"/>
    <w:rsid w:val="00650221"/>
    <w:rsid w:val="006502F0"/>
    <w:rsid w:val="00650B6D"/>
    <w:rsid w:val="00650BCC"/>
    <w:rsid w:val="00650F05"/>
    <w:rsid w:val="006515C8"/>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4"/>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47B"/>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4C0"/>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60A"/>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6D11"/>
    <w:rsid w:val="006C76B3"/>
    <w:rsid w:val="006C79BF"/>
    <w:rsid w:val="006C7B6C"/>
    <w:rsid w:val="006D02B9"/>
    <w:rsid w:val="006D02BC"/>
    <w:rsid w:val="006D0477"/>
    <w:rsid w:val="006D04B6"/>
    <w:rsid w:val="006D06EE"/>
    <w:rsid w:val="006D07DD"/>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09"/>
    <w:rsid w:val="006D461B"/>
    <w:rsid w:val="006D4CA5"/>
    <w:rsid w:val="006D5547"/>
    <w:rsid w:val="006D5D32"/>
    <w:rsid w:val="006D5E62"/>
    <w:rsid w:val="006D605B"/>
    <w:rsid w:val="006D61C5"/>
    <w:rsid w:val="006D62C5"/>
    <w:rsid w:val="006D6863"/>
    <w:rsid w:val="006D6C4C"/>
    <w:rsid w:val="006D70A5"/>
    <w:rsid w:val="006D7655"/>
    <w:rsid w:val="006D7969"/>
    <w:rsid w:val="006D7C0B"/>
    <w:rsid w:val="006E0108"/>
    <w:rsid w:val="006E023F"/>
    <w:rsid w:val="006E1226"/>
    <w:rsid w:val="006E1261"/>
    <w:rsid w:val="006E1450"/>
    <w:rsid w:val="006E1683"/>
    <w:rsid w:val="006E1C24"/>
    <w:rsid w:val="006E1E59"/>
    <w:rsid w:val="006E1E7D"/>
    <w:rsid w:val="006E20C1"/>
    <w:rsid w:val="006E22B4"/>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074"/>
    <w:rsid w:val="006F4519"/>
    <w:rsid w:val="006F465B"/>
    <w:rsid w:val="006F4803"/>
    <w:rsid w:val="006F4B24"/>
    <w:rsid w:val="006F4DD6"/>
    <w:rsid w:val="006F57B4"/>
    <w:rsid w:val="006F5963"/>
    <w:rsid w:val="006F6218"/>
    <w:rsid w:val="006F623A"/>
    <w:rsid w:val="006F62F9"/>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0A"/>
    <w:rsid w:val="00710A7E"/>
    <w:rsid w:val="007111B8"/>
    <w:rsid w:val="0071154A"/>
    <w:rsid w:val="007116E4"/>
    <w:rsid w:val="00711859"/>
    <w:rsid w:val="00711B9F"/>
    <w:rsid w:val="00711CDE"/>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DF5"/>
    <w:rsid w:val="0071672E"/>
    <w:rsid w:val="00716E35"/>
    <w:rsid w:val="007170A9"/>
    <w:rsid w:val="007172A3"/>
    <w:rsid w:val="007173BF"/>
    <w:rsid w:val="0071775A"/>
    <w:rsid w:val="00717E58"/>
    <w:rsid w:val="00717E63"/>
    <w:rsid w:val="0072006D"/>
    <w:rsid w:val="00720CE7"/>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CC4"/>
    <w:rsid w:val="00726FDF"/>
    <w:rsid w:val="00727101"/>
    <w:rsid w:val="007276D5"/>
    <w:rsid w:val="0072791E"/>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1DC4"/>
    <w:rsid w:val="0075239A"/>
    <w:rsid w:val="007529C9"/>
    <w:rsid w:val="00752A22"/>
    <w:rsid w:val="00753312"/>
    <w:rsid w:val="00753562"/>
    <w:rsid w:val="0075437C"/>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29B"/>
    <w:rsid w:val="0076255C"/>
    <w:rsid w:val="0076264C"/>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70E"/>
    <w:rsid w:val="00780B79"/>
    <w:rsid w:val="00781116"/>
    <w:rsid w:val="00781631"/>
    <w:rsid w:val="007816E7"/>
    <w:rsid w:val="00781988"/>
    <w:rsid w:val="00781ADE"/>
    <w:rsid w:val="0078200F"/>
    <w:rsid w:val="00782083"/>
    <w:rsid w:val="0078225A"/>
    <w:rsid w:val="0078255E"/>
    <w:rsid w:val="00782878"/>
    <w:rsid w:val="00782D0D"/>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3B1"/>
    <w:rsid w:val="0078663A"/>
    <w:rsid w:val="00786A4D"/>
    <w:rsid w:val="00786CB3"/>
    <w:rsid w:val="00786D76"/>
    <w:rsid w:val="00787F43"/>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7A5"/>
    <w:rsid w:val="0079580F"/>
    <w:rsid w:val="00795BB4"/>
    <w:rsid w:val="007964BC"/>
    <w:rsid w:val="0079771F"/>
    <w:rsid w:val="0079782C"/>
    <w:rsid w:val="007A04D0"/>
    <w:rsid w:val="007A0661"/>
    <w:rsid w:val="007A0903"/>
    <w:rsid w:val="007A0AA3"/>
    <w:rsid w:val="007A0C37"/>
    <w:rsid w:val="007A11E8"/>
    <w:rsid w:val="007A1610"/>
    <w:rsid w:val="007A1630"/>
    <w:rsid w:val="007A1BA3"/>
    <w:rsid w:val="007A1E35"/>
    <w:rsid w:val="007A26B7"/>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192"/>
    <w:rsid w:val="007B42F9"/>
    <w:rsid w:val="007B4C2C"/>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1C"/>
    <w:rsid w:val="007C4DDB"/>
    <w:rsid w:val="007C51EF"/>
    <w:rsid w:val="007C52CE"/>
    <w:rsid w:val="007C532C"/>
    <w:rsid w:val="007C53D6"/>
    <w:rsid w:val="007C5419"/>
    <w:rsid w:val="007C57C7"/>
    <w:rsid w:val="007C5B79"/>
    <w:rsid w:val="007C5EB6"/>
    <w:rsid w:val="007C5FAF"/>
    <w:rsid w:val="007C63E7"/>
    <w:rsid w:val="007C6A40"/>
    <w:rsid w:val="007C6DA8"/>
    <w:rsid w:val="007C6F56"/>
    <w:rsid w:val="007C7011"/>
    <w:rsid w:val="007C7043"/>
    <w:rsid w:val="007C70CD"/>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9B1"/>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B56"/>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17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0E5D"/>
    <w:rsid w:val="00801229"/>
    <w:rsid w:val="0080127C"/>
    <w:rsid w:val="00801328"/>
    <w:rsid w:val="00801562"/>
    <w:rsid w:val="00801727"/>
    <w:rsid w:val="0080199B"/>
    <w:rsid w:val="00801D1D"/>
    <w:rsid w:val="00801EA0"/>
    <w:rsid w:val="00801EEF"/>
    <w:rsid w:val="00801F61"/>
    <w:rsid w:val="008022C2"/>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9C6"/>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762"/>
    <w:rsid w:val="0081288C"/>
    <w:rsid w:val="0081290B"/>
    <w:rsid w:val="00812E91"/>
    <w:rsid w:val="00812F54"/>
    <w:rsid w:val="00813000"/>
    <w:rsid w:val="0081301B"/>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2AC"/>
    <w:rsid w:val="00860A65"/>
    <w:rsid w:val="00860A68"/>
    <w:rsid w:val="00860B0F"/>
    <w:rsid w:val="00860C24"/>
    <w:rsid w:val="00860ED6"/>
    <w:rsid w:val="00861050"/>
    <w:rsid w:val="00861273"/>
    <w:rsid w:val="0086236F"/>
    <w:rsid w:val="00862B9A"/>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56D2"/>
    <w:rsid w:val="008657AB"/>
    <w:rsid w:val="00865C05"/>
    <w:rsid w:val="00865DA2"/>
    <w:rsid w:val="0086665A"/>
    <w:rsid w:val="0086693C"/>
    <w:rsid w:val="00866D5F"/>
    <w:rsid w:val="00866E26"/>
    <w:rsid w:val="0086780A"/>
    <w:rsid w:val="00867941"/>
    <w:rsid w:val="00867A03"/>
    <w:rsid w:val="00867E56"/>
    <w:rsid w:val="008703CF"/>
    <w:rsid w:val="008704E5"/>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06"/>
    <w:rsid w:val="00873B38"/>
    <w:rsid w:val="00873DFF"/>
    <w:rsid w:val="00873EBC"/>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2A8"/>
    <w:rsid w:val="00876808"/>
    <w:rsid w:val="00876B1F"/>
    <w:rsid w:val="00876B97"/>
    <w:rsid w:val="00876BA5"/>
    <w:rsid w:val="008770F5"/>
    <w:rsid w:val="008771DC"/>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ADC"/>
    <w:rsid w:val="00885F24"/>
    <w:rsid w:val="00886157"/>
    <w:rsid w:val="008870AF"/>
    <w:rsid w:val="00887251"/>
    <w:rsid w:val="008872BD"/>
    <w:rsid w:val="008872C9"/>
    <w:rsid w:val="00887F51"/>
    <w:rsid w:val="0089017F"/>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597"/>
    <w:rsid w:val="008A1692"/>
    <w:rsid w:val="008A1C4F"/>
    <w:rsid w:val="008A1D54"/>
    <w:rsid w:val="008A1E99"/>
    <w:rsid w:val="008A22C4"/>
    <w:rsid w:val="008A24AA"/>
    <w:rsid w:val="008A26EA"/>
    <w:rsid w:val="008A2910"/>
    <w:rsid w:val="008A3125"/>
    <w:rsid w:val="008A31D2"/>
    <w:rsid w:val="008A373B"/>
    <w:rsid w:val="008A3A03"/>
    <w:rsid w:val="008A3B91"/>
    <w:rsid w:val="008A4278"/>
    <w:rsid w:val="008A4689"/>
    <w:rsid w:val="008A4710"/>
    <w:rsid w:val="008A4B78"/>
    <w:rsid w:val="008A4E03"/>
    <w:rsid w:val="008A562C"/>
    <w:rsid w:val="008A571C"/>
    <w:rsid w:val="008A5D10"/>
    <w:rsid w:val="008A61C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104"/>
    <w:rsid w:val="008C1860"/>
    <w:rsid w:val="008C1A01"/>
    <w:rsid w:val="008C1DC6"/>
    <w:rsid w:val="008C1DDE"/>
    <w:rsid w:val="008C1E46"/>
    <w:rsid w:val="008C1E5D"/>
    <w:rsid w:val="008C1E9A"/>
    <w:rsid w:val="008C28EB"/>
    <w:rsid w:val="008C3289"/>
    <w:rsid w:val="008C35FE"/>
    <w:rsid w:val="008C36C1"/>
    <w:rsid w:val="008C3A7D"/>
    <w:rsid w:val="008C3B93"/>
    <w:rsid w:val="008C3E33"/>
    <w:rsid w:val="008C4076"/>
    <w:rsid w:val="008C43D0"/>
    <w:rsid w:val="008C466C"/>
    <w:rsid w:val="008C4928"/>
    <w:rsid w:val="008C4A3D"/>
    <w:rsid w:val="008C4D55"/>
    <w:rsid w:val="008C4F6B"/>
    <w:rsid w:val="008C4FAE"/>
    <w:rsid w:val="008C508A"/>
    <w:rsid w:val="008C581E"/>
    <w:rsid w:val="008C62E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0B2C"/>
    <w:rsid w:val="008D14F8"/>
    <w:rsid w:val="008D1A4E"/>
    <w:rsid w:val="008D1BFB"/>
    <w:rsid w:val="008D1F09"/>
    <w:rsid w:val="008D2080"/>
    <w:rsid w:val="008D24A5"/>
    <w:rsid w:val="008D31AA"/>
    <w:rsid w:val="008D355C"/>
    <w:rsid w:val="008D360C"/>
    <w:rsid w:val="008D486F"/>
    <w:rsid w:val="008D4AAF"/>
    <w:rsid w:val="008D4AD9"/>
    <w:rsid w:val="008D4B36"/>
    <w:rsid w:val="008D4D56"/>
    <w:rsid w:val="008D4F89"/>
    <w:rsid w:val="008D5204"/>
    <w:rsid w:val="008D5259"/>
    <w:rsid w:val="008D5845"/>
    <w:rsid w:val="008D58EC"/>
    <w:rsid w:val="008D5A31"/>
    <w:rsid w:val="008D5DBF"/>
    <w:rsid w:val="008D6050"/>
    <w:rsid w:val="008D6A85"/>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380"/>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5FDA"/>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3D5D"/>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1A6"/>
    <w:rsid w:val="00917658"/>
    <w:rsid w:val="009178C8"/>
    <w:rsid w:val="009202B7"/>
    <w:rsid w:val="00920527"/>
    <w:rsid w:val="009205B2"/>
    <w:rsid w:val="00920E65"/>
    <w:rsid w:val="00920FDC"/>
    <w:rsid w:val="0092126F"/>
    <w:rsid w:val="009214FF"/>
    <w:rsid w:val="00921D3C"/>
    <w:rsid w:val="00921E67"/>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41D"/>
    <w:rsid w:val="0093256F"/>
    <w:rsid w:val="00932B22"/>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D01"/>
    <w:rsid w:val="0093734F"/>
    <w:rsid w:val="00937716"/>
    <w:rsid w:val="00937749"/>
    <w:rsid w:val="00937F23"/>
    <w:rsid w:val="0094015D"/>
    <w:rsid w:val="00940299"/>
    <w:rsid w:val="009403BD"/>
    <w:rsid w:val="00940CA3"/>
    <w:rsid w:val="00940D71"/>
    <w:rsid w:val="00940DC6"/>
    <w:rsid w:val="00940F24"/>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FCF"/>
    <w:rsid w:val="009500A2"/>
    <w:rsid w:val="0095115B"/>
    <w:rsid w:val="0095166F"/>
    <w:rsid w:val="00951EB6"/>
    <w:rsid w:val="00951ECB"/>
    <w:rsid w:val="00951EE4"/>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CC2"/>
    <w:rsid w:val="00954F88"/>
    <w:rsid w:val="009551A8"/>
    <w:rsid w:val="00955DBD"/>
    <w:rsid w:val="009560A8"/>
    <w:rsid w:val="009560DC"/>
    <w:rsid w:val="00956689"/>
    <w:rsid w:val="00956D94"/>
    <w:rsid w:val="00957263"/>
    <w:rsid w:val="00957574"/>
    <w:rsid w:val="00957C4A"/>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886"/>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A6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3BA4"/>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2CB"/>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3BD6"/>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EC0"/>
    <w:rsid w:val="009B21FC"/>
    <w:rsid w:val="009B24ED"/>
    <w:rsid w:val="009B253C"/>
    <w:rsid w:val="009B2A6A"/>
    <w:rsid w:val="009B2C69"/>
    <w:rsid w:val="009B327B"/>
    <w:rsid w:val="009B32EE"/>
    <w:rsid w:val="009B39C1"/>
    <w:rsid w:val="009B47FB"/>
    <w:rsid w:val="009B49BE"/>
    <w:rsid w:val="009B4AF4"/>
    <w:rsid w:val="009B4B10"/>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B7FA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1CC"/>
    <w:rsid w:val="009D3FC1"/>
    <w:rsid w:val="009D40FB"/>
    <w:rsid w:val="009D43C3"/>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A27"/>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8A0"/>
    <w:rsid w:val="009E5A2F"/>
    <w:rsid w:val="009E5A86"/>
    <w:rsid w:val="009E63D5"/>
    <w:rsid w:val="009E68B4"/>
    <w:rsid w:val="009E696F"/>
    <w:rsid w:val="009E6B63"/>
    <w:rsid w:val="009E6E98"/>
    <w:rsid w:val="009E6E9B"/>
    <w:rsid w:val="009E74C1"/>
    <w:rsid w:val="009E773E"/>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577"/>
    <w:rsid w:val="009F77F0"/>
    <w:rsid w:val="009F7D5A"/>
    <w:rsid w:val="00A00361"/>
    <w:rsid w:val="00A00830"/>
    <w:rsid w:val="00A00961"/>
    <w:rsid w:val="00A00D6C"/>
    <w:rsid w:val="00A0105D"/>
    <w:rsid w:val="00A01A07"/>
    <w:rsid w:val="00A01A84"/>
    <w:rsid w:val="00A01AE4"/>
    <w:rsid w:val="00A01C6C"/>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05F"/>
    <w:rsid w:val="00A136D7"/>
    <w:rsid w:val="00A137D0"/>
    <w:rsid w:val="00A13924"/>
    <w:rsid w:val="00A143AB"/>
    <w:rsid w:val="00A1462B"/>
    <w:rsid w:val="00A148C5"/>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8B"/>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6D50"/>
    <w:rsid w:val="00A27447"/>
    <w:rsid w:val="00A276B7"/>
    <w:rsid w:val="00A276E4"/>
    <w:rsid w:val="00A27763"/>
    <w:rsid w:val="00A279ED"/>
    <w:rsid w:val="00A27D1C"/>
    <w:rsid w:val="00A302BB"/>
    <w:rsid w:val="00A30B36"/>
    <w:rsid w:val="00A3122E"/>
    <w:rsid w:val="00A31440"/>
    <w:rsid w:val="00A3163F"/>
    <w:rsid w:val="00A3193D"/>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42C5"/>
    <w:rsid w:val="00A349A1"/>
    <w:rsid w:val="00A350B1"/>
    <w:rsid w:val="00A35281"/>
    <w:rsid w:val="00A3563E"/>
    <w:rsid w:val="00A35647"/>
    <w:rsid w:val="00A35BB8"/>
    <w:rsid w:val="00A35EBF"/>
    <w:rsid w:val="00A3625B"/>
    <w:rsid w:val="00A3627E"/>
    <w:rsid w:val="00A362F4"/>
    <w:rsid w:val="00A36820"/>
    <w:rsid w:val="00A371AA"/>
    <w:rsid w:val="00A37569"/>
    <w:rsid w:val="00A37634"/>
    <w:rsid w:val="00A378CB"/>
    <w:rsid w:val="00A37C27"/>
    <w:rsid w:val="00A40022"/>
    <w:rsid w:val="00A400DB"/>
    <w:rsid w:val="00A40166"/>
    <w:rsid w:val="00A40187"/>
    <w:rsid w:val="00A40371"/>
    <w:rsid w:val="00A409E1"/>
    <w:rsid w:val="00A40DA8"/>
    <w:rsid w:val="00A40F95"/>
    <w:rsid w:val="00A4104C"/>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96"/>
    <w:rsid w:val="00A467D4"/>
    <w:rsid w:val="00A467FD"/>
    <w:rsid w:val="00A4681F"/>
    <w:rsid w:val="00A46A87"/>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1AB"/>
    <w:rsid w:val="00A565A7"/>
    <w:rsid w:val="00A56674"/>
    <w:rsid w:val="00A566B2"/>
    <w:rsid w:val="00A56BE5"/>
    <w:rsid w:val="00A57069"/>
    <w:rsid w:val="00A57F4D"/>
    <w:rsid w:val="00A6003E"/>
    <w:rsid w:val="00A6045E"/>
    <w:rsid w:val="00A607C2"/>
    <w:rsid w:val="00A60C94"/>
    <w:rsid w:val="00A618F7"/>
    <w:rsid w:val="00A62AA0"/>
    <w:rsid w:val="00A62CD7"/>
    <w:rsid w:val="00A62EB4"/>
    <w:rsid w:val="00A6304A"/>
    <w:rsid w:val="00A63149"/>
    <w:rsid w:val="00A63ABF"/>
    <w:rsid w:val="00A63C59"/>
    <w:rsid w:val="00A63CA0"/>
    <w:rsid w:val="00A63EA9"/>
    <w:rsid w:val="00A6443A"/>
    <w:rsid w:val="00A649D9"/>
    <w:rsid w:val="00A64F1A"/>
    <w:rsid w:val="00A6508D"/>
    <w:rsid w:val="00A65831"/>
    <w:rsid w:val="00A65B56"/>
    <w:rsid w:val="00A65F3D"/>
    <w:rsid w:val="00A66198"/>
    <w:rsid w:val="00A661F2"/>
    <w:rsid w:val="00A663AF"/>
    <w:rsid w:val="00A66569"/>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0A7"/>
    <w:rsid w:val="00A73761"/>
    <w:rsid w:val="00A737D1"/>
    <w:rsid w:val="00A73A52"/>
    <w:rsid w:val="00A73AE0"/>
    <w:rsid w:val="00A73C61"/>
    <w:rsid w:val="00A73D05"/>
    <w:rsid w:val="00A73E5E"/>
    <w:rsid w:val="00A7409B"/>
    <w:rsid w:val="00A743C4"/>
    <w:rsid w:val="00A743EF"/>
    <w:rsid w:val="00A7495A"/>
    <w:rsid w:val="00A74960"/>
    <w:rsid w:val="00A74D1B"/>
    <w:rsid w:val="00A74E43"/>
    <w:rsid w:val="00A75655"/>
    <w:rsid w:val="00A75E65"/>
    <w:rsid w:val="00A7622D"/>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1B95"/>
    <w:rsid w:val="00A821EE"/>
    <w:rsid w:val="00A82465"/>
    <w:rsid w:val="00A82B23"/>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7DB"/>
    <w:rsid w:val="00A938CF"/>
    <w:rsid w:val="00A93D50"/>
    <w:rsid w:val="00A9402B"/>
    <w:rsid w:val="00A940F4"/>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A8D"/>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D51"/>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0CE2"/>
    <w:rsid w:val="00AC1406"/>
    <w:rsid w:val="00AC1A55"/>
    <w:rsid w:val="00AC1E62"/>
    <w:rsid w:val="00AC1E78"/>
    <w:rsid w:val="00AC1ED2"/>
    <w:rsid w:val="00AC22CA"/>
    <w:rsid w:val="00AC2423"/>
    <w:rsid w:val="00AC266E"/>
    <w:rsid w:val="00AC2834"/>
    <w:rsid w:val="00AC2DF2"/>
    <w:rsid w:val="00AC2DFE"/>
    <w:rsid w:val="00AC2E69"/>
    <w:rsid w:val="00AC36A8"/>
    <w:rsid w:val="00AC36F1"/>
    <w:rsid w:val="00AC3EFF"/>
    <w:rsid w:val="00AC438F"/>
    <w:rsid w:val="00AC563B"/>
    <w:rsid w:val="00AC58E4"/>
    <w:rsid w:val="00AC60FC"/>
    <w:rsid w:val="00AC6A5A"/>
    <w:rsid w:val="00AC6CE7"/>
    <w:rsid w:val="00AC6EA0"/>
    <w:rsid w:val="00AC7BC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B59"/>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659"/>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14B"/>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B1A"/>
    <w:rsid w:val="00B04C1E"/>
    <w:rsid w:val="00B04E55"/>
    <w:rsid w:val="00B051D9"/>
    <w:rsid w:val="00B054F6"/>
    <w:rsid w:val="00B05A03"/>
    <w:rsid w:val="00B060F4"/>
    <w:rsid w:val="00B068BB"/>
    <w:rsid w:val="00B06AC6"/>
    <w:rsid w:val="00B06C94"/>
    <w:rsid w:val="00B06D6D"/>
    <w:rsid w:val="00B075F6"/>
    <w:rsid w:val="00B07709"/>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3F22"/>
    <w:rsid w:val="00B14064"/>
    <w:rsid w:val="00B1461C"/>
    <w:rsid w:val="00B14797"/>
    <w:rsid w:val="00B14C55"/>
    <w:rsid w:val="00B14E48"/>
    <w:rsid w:val="00B1589B"/>
    <w:rsid w:val="00B15A67"/>
    <w:rsid w:val="00B15D4D"/>
    <w:rsid w:val="00B16046"/>
    <w:rsid w:val="00B16084"/>
    <w:rsid w:val="00B16978"/>
    <w:rsid w:val="00B16A51"/>
    <w:rsid w:val="00B16B2C"/>
    <w:rsid w:val="00B16C06"/>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2BC9"/>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5D9E"/>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01C"/>
    <w:rsid w:val="00B33106"/>
    <w:rsid w:val="00B33122"/>
    <w:rsid w:val="00B3357A"/>
    <w:rsid w:val="00B338BD"/>
    <w:rsid w:val="00B33A01"/>
    <w:rsid w:val="00B33BB6"/>
    <w:rsid w:val="00B33BCB"/>
    <w:rsid w:val="00B33F01"/>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E6A"/>
    <w:rsid w:val="00B40F2C"/>
    <w:rsid w:val="00B41712"/>
    <w:rsid w:val="00B41A0C"/>
    <w:rsid w:val="00B424FF"/>
    <w:rsid w:val="00B425FB"/>
    <w:rsid w:val="00B42E75"/>
    <w:rsid w:val="00B432E1"/>
    <w:rsid w:val="00B43415"/>
    <w:rsid w:val="00B43DFD"/>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C93"/>
    <w:rsid w:val="00B475DF"/>
    <w:rsid w:val="00B47719"/>
    <w:rsid w:val="00B47D2C"/>
    <w:rsid w:val="00B47D5F"/>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5FF"/>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DD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6DBD"/>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00F"/>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5E8"/>
    <w:rsid w:val="00B909E2"/>
    <w:rsid w:val="00B90A24"/>
    <w:rsid w:val="00B90D77"/>
    <w:rsid w:val="00B91102"/>
    <w:rsid w:val="00B91375"/>
    <w:rsid w:val="00B91594"/>
    <w:rsid w:val="00B92207"/>
    <w:rsid w:val="00B927A3"/>
    <w:rsid w:val="00B927E9"/>
    <w:rsid w:val="00B92B97"/>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23E"/>
    <w:rsid w:val="00BA1513"/>
    <w:rsid w:val="00BA1828"/>
    <w:rsid w:val="00BA1ACB"/>
    <w:rsid w:val="00BA23DE"/>
    <w:rsid w:val="00BA24BA"/>
    <w:rsid w:val="00BA294A"/>
    <w:rsid w:val="00BA2F32"/>
    <w:rsid w:val="00BA2FC5"/>
    <w:rsid w:val="00BA316D"/>
    <w:rsid w:val="00BA3E04"/>
    <w:rsid w:val="00BA405E"/>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5C99"/>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0A37"/>
    <w:rsid w:val="00BC15B7"/>
    <w:rsid w:val="00BC1967"/>
    <w:rsid w:val="00BC1B4D"/>
    <w:rsid w:val="00BC292B"/>
    <w:rsid w:val="00BC2968"/>
    <w:rsid w:val="00BC2A77"/>
    <w:rsid w:val="00BC2A82"/>
    <w:rsid w:val="00BC30B7"/>
    <w:rsid w:val="00BC3587"/>
    <w:rsid w:val="00BC36CD"/>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2B9"/>
    <w:rsid w:val="00BD7466"/>
    <w:rsid w:val="00BD7AD6"/>
    <w:rsid w:val="00BD7E12"/>
    <w:rsid w:val="00BE02D1"/>
    <w:rsid w:val="00BE04FF"/>
    <w:rsid w:val="00BE0582"/>
    <w:rsid w:val="00BE06FF"/>
    <w:rsid w:val="00BE0CC9"/>
    <w:rsid w:val="00BE1279"/>
    <w:rsid w:val="00BE12AC"/>
    <w:rsid w:val="00BE12E1"/>
    <w:rsid w:val="00BE1706"/>
    <w:rsid w:val="00BE1848"/>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1B"/>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9D4"/>
    <w:rsid w:val="00BF1C25"/>
    <w:rsid w:val="00BF2B7C"/>
    <w:rsid w:val="00BF2E16"/>
    <w:rsid w:val="00BF31A4"/>
    <w:rsid w:val="00BF3386"/>
    <w:rsid w:val="00BF338E"/>
    <w:rsid w:val="00BF3C58"/>
    <w:rsid w:val="00BF41D0"/>
    <w:rsid w:val="00BF485A"/>
    <w:rsid w:val="00BF4923"/>
    <w:rsid w:val="00BF4AC4"/>
    <w:rsid w:val="00BF4CF0"/>
    <w:rsid w:val="00BF4D05"/>
    <w:rsid w:val="00BF55C9"/>
    <w:rsid w:val="00BF5BEB"/>
    <w:rsid w:val="00BF5C77"/>
    <w:rsid w:val="00BF626B"/>
    <w:rsid w:val="00BF62EF"/>
    <w:rsid w:val="00BF650B"/>
    <w:rsid w:val="00BF65DB"/>
    <w:rsid w:val="00BF67F8"/>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26"/>
    <w:rsid w:val="00C048D7"/>
    <w:rsid w:val="00C058A3"/>
    <w:rsid w:val="00C05B99"/>
    <w:rsid w:val="00C05D6C"/>
    <w:rsid w:val="00C066E3"/>
    <w:rsid w:val="00C069C6"/>
    <w:rsid w:val="00C07258"/>
    <w:rsid w:val="00C075F4"/>
    <w:rsid w:val="00C07760"/>
    <w:rsid w:val="00C07952"/>
    <w:rsid w:val="00C0796B"/>
    <w:rsid w:val="00C07B9E"/>
    <w:rsid w:val="00C07DC8"/>
    <w:rsid w:val="00C07EF5"/>
    <w:rsid w:val="00C1005A"/>
    <w:rsid w:val="00C10240"/>
    <w:rsid w:val="00C10507"/>
    <w:rsid w:val="00C1058D"/>
    <w:rsid w:val="00C108C7"/>
    <w:rsid w:val="00C108F0"/>
    <w:rsid w:val="00C10CFD"/>
    <w:rsid w:val="00C10D42"/>
    <w:rsid w:val="00C1100F"/>
    <w:rsid w:val="00C110A3"/>
    <w:rsid w:val="00C111AE"/>
    <w:rsid w:val="00C11567"/>
    <w:rsid w:val="00C11630"/>
    <w:rsid w:val="00C119B8"/>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273"/>
    <w:rsid w:val="00C21D40"/>
    <w:rsid w:val="00C22392"/>
    <w:rsid w:val="00C22459"/>
    <w:rsid w:val="00C22B29"/>
    <w:rsid w:val="00C22B7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289"/>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5633"/>
    <w:rsid w:val="00C462FB"/>
    <w:rsid w:val="00C4640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ABF"/>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38A"/>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B16"/>
    <w:rsid w:val="00C74BE0"/>
    <w:rsid w:val="00C74C43"/>
    <w:rsid w:val="00C75002"/>
    <w:rsid w:val="00C754CA"/>
    <w:rsid w:val="00C7556A"/>
    <w:rsid w:val="00C755C7"/>
    <w:rsid w:val="00C75641"/>
    <w:rsid w:val="00C7575F"/>
    <w:rsid w:val="00C75970"/>
    <w:rsid w:val="00C760FF"/>
    <w:rsid w:val="00C76384"/>
    <w:rsid w:val="00C76B3F"/>
    <w:rsid w:val="00C76C02"/>
    <w:rsid w:val="00C76C57"/>
    <w:rsid w:val="00C76CF9"/>
    <w:rsid w:val="00C76F98"/>
    <w:rsid w:val="00C76FC8"/>
    <w:rsid w:val="00C777CB"/>
    <w:rsid w:val="00C7797D"/>
    <w:rsid w:val="00C77F95"/>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7BD"/>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12"/>
    <w:rsid w:val="00C948C4"/>
    <w:rsid w:val="00C95254"/>
    <w:rsid w:val="00C95903"/>
    <w:rsid w:val="00C95C61"/>
    <w:rsid w:val="00C95DDB"/>
    <w:rsid w:val="00C95FC5"/>
    <w:rsid w:val="00C973B5"/>
    <w:rsid w:val="00C9761A"/>
    <w:rsid w:val="00C9778C"/>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9F8"/>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14C"/>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557"/>
    <w:rsid w:val="00CC39D5"/>
    <w:rsid w:val="00CC3B4F"/>
    <w:rsid w:val="00CC465D"/>
    <w:rsid w:val="00CC4686"/>
    <w:rsid w:val="00CC4BD5"/>
    <w:rsid w:val="00CC4C49"/>
    <w:rsid w:val="00CC4D47"/>
    <w:rsid w:val="00CC5010"/>
    <w:rsid w:val="00CC5082"/>
    <w:rsid w:val="00CC5199"/>
    <w:rsid w:val="00CC52ED"/>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970"/>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6F81"/>
    <w:rsid w:val="00CD7708"/>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B0"/>
    <w:rsid w:val="00CE7EFD"/>
    <w:rsid w:val="00CF07FC"/>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35"/>
    <w:rsid w:val="00CF3A42"/>
    <w:rsid w:val="00CF3EDA"/>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F15"/>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084"/>
    <w:rsid w:val="00D06506"/>
    <w:rsid w:val="00D06EB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4BF"/>
    <w:rsid w:val="00D20DE5"/>
    <w:rsid w:val="00D20E87"/>
    <w:rsid w:val="00D21028"/>
    <w:rsid w:val="00D2120C"/>
    <w:rsid w:val="00D212E6"/>
    <w:rsid w:val="00D212F5"/>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DC"/>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DF9"/>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5BB"/>
    <w:rsid w:val="00D60CA9"/>
    <w:rsid w:val="00D60FAC"/>
    <w:rsid w:val="00D6120F"/>
    <w:rsid w:val="00D613BE"/>
    <w:rsid w:val="00D615AE"/>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321"/>
    <w:rsid w:val="00D643E5"/>
    <w:rsid w:val="00D644FD"/>
    <w:rsid w:val="00D649EA"/>
    <w:rsid w:val="00D64A7D"/>
    <w:rsid w:val="00D64C22"/>
    <w:rsid w:val="00D64C2A"/>
    <w:rsid w:val="00D64E3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691"/>
    <w:rsid w:val="00D749BB"/>
    <w:rsid w:val="00D749E8"/>
    <w:rsid w:val="00D74A5F"/>
    <w:rsid w:val="00D74B4A"/>
    <w:rsid w:val="00D7500C"/>
    <w:rsid w:val="00D757E5"/>
    <w:rsid w:val="00D76526"/>
    <w:rsid w:val="00D76979"/>
    <w:rsid w:val="00D76A92"/>
    <w:rsid w:val="00D7707D"/>
    <w:rsid w:val="00D772AF"/>
    <w:rsid w:val="00D77AD2"/>
    <w:rsid w:val="00D77E13"/>
    <w:rsid w:val="00D77E4A"/>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E4"/>
    <w:rsid w:val="00D834E7"/>
    <w:rsid w:val="00D83507"/>
    <w:rsid w:val="00D83BF5"/>
    <w:rsid w:val="00D83E87"/>
    <w:rsid w:val="00D83EF4"/>
    <w:rsid w:val="00D83FBD"/>
    <w:rsid w:val="00D84563"/>
    <w:rsid w:val="00D8457D"/>
    <w:rsid w:val="00D84A15"/>
    <w:rsid w:val="00D84B94"/>
    <w:rsid w:val="00D85677"/>
    <w:rsid w:val="00D85727"/>
    <w:rsid w:val="00D85CA1"/>
    <w:rsid w:val="00D860E1"/>
    <w:rsid w:val="00D86220"/>
    <w:rsid w:val="00D86390"/>
    <w:rsid w:val="00D86911"/>
    <w:rsid w:val="00D86924"/>
    <w:rsid w:val="00D86BAC"/>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320"/>
    <w:rsid w:val="00D9366E"/>
    <w:rsid w:val="00D93B67"/>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B038E"/>
    <w:rsid w:val="00DB045D"/>
    <w:rsid w:val="00DB071F"/>
    <w:rsid w:val="00DB1079"/>
    <w:rsid w:val="00DB10AC"/>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5B8"/>
    <w:rsid w:val="00DC3800"/>
    <w:rsid w:val="00DC39FB"/>
    <w:rsid w:val="00DC3A14"/>
    <w:rsid w:val="00DC3AEE"/>
    <w:rsid w:val="00DC3FD1"/>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1F40"/>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D7D86"/>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5FEE"/>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2FD9"/>
    <w:rsid w:val="00DF3246"/>
    <w:rsid w:val="00DF3688"/>
    <w:rsid w:val="00DF3DC6"/>
    <w:rsid w:val="00DF3E78"/>
    <w:rsid w:val="00DF4024"/>
    <w:rsid w:val="00DF41AB"/>
    <w:rsid w:val="00DF4393"/>
    <w:rsid w:val="00DF46C3"/>
    <w:rsid w:val="00DF4B42"/>
    <w:rsid w:val="00DF4EF4"/>
    <w:rsid w:val="00DF52E5"/>
    <w:rsid w:val="00DF53D8"/>
    <w:rsid w:val="00DF5421"/>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989"/>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050"/>
    <w:rsid w:val="00E12295"/>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B1D"/>
    <w:rsid w:val="00E17B2E"/>
    <w:rsid w:val="00E17B6D"/>
    <w:rsid w:val="00E2029F"/>
    <w:rsid w:val="00E209C7"/>
    <w:rsid w:val="00E20C7E"/>
    <w:rsid w:val="00E20CE5"/>
    <w:rsid w:val="00E212F3"/>
    <w:rsid w:val="00E219A3"/>
    <w:rsid w:val="00E21C3C"/>
    <w:rsid w:val="00E21CD7"/>
    <w:rsid w:val="00E21EEB"/>
    <w:rsid w:val="00E22106"/>
    <w:rsid w:val="00E2294F"/>
    <w:rsid w:val="00E22A7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9B4"/>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822"/>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AFF"/>
    <w:rsid w:val="00E37C96"/>
    <w:rsid w:val="00E37E42"/>
    <w:rsid w:val="00E37E96"/>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766"/>
    <w:rsid w:val="00E53A48"/>
    <w:rsid w:val="00E54A05"/>
    <w:rsid w:val="00E54B7A"/>
    <w:rsid w:val="00E54C67"/>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8CF"/>
    <w:rsid w:val="00E7190F"/>
    <w:rsid w:val="00E71A1E"/>
    <w:rsid w:val="00E71CCA"/>
    <w:rsid w:val="00E721BD"/>
    <w:rsid w:val="00E721C7"/>
    <w:rsid w:val="00E7239F"/>
    <w:rsid w:val="00E724CC"/>
    <w:rsid w:val="00E72682"/>
    <w:rsid w:val="00E72810"/>
    <w:rsid w:val="00E72E63"/>
    <w:rsid w:val="00E73642"/>
    <w:rsid w:val="00E7385D"/>
    <w:rsid w:val="00E739E3"/>
    <w:rsid w:val="00E73C6D"/>
    <w:rsid w:val="00E741E3"/>
    <w:rsid w:val="00E74CC3"/>
    <w:rsid w:val="00E74D17"/>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A0E"/>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655"/>
    <w:rsid w:val="00EA7753"/>
    <w:rsid w:val="00EA783C"/>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4E31"/>
    <w:rsid w:val="00EC51F3"/>
    <w:rsid w:val="00EC5423"/>
    <w:rsid w:val="00EC5583"/>
    <w:rsid w:val="00EC55BA"/>
    <w:rsid w:val="00EC5692"/>
    <w:rsid w:val="00EC5892"/>
    <w:rsid w:val="00EC59AE"/>
    <w:rsid w:val="00EC5ABE"/>
    <w:rsid w:val="00EC60BB"/>
    <w:rsid w:val="00EC6233"/>
    <w:rsid w:val="00EC62E2"/>
    <w:rsid w:val="00EC62EC"/>
    <w:rsid w:val="00EC633F"/>
    <w:rsid w:val="00EC7021"/>
    <w:rsid w:val="00EC73E1"/>
    <w:rsid w:val="00EC75D0"/>
    <w:rsid w:val="00EC7D0F"/>
    <w:rsid w:val="00EC7DBE"/>
    <w:rsid w:val="00ED002E"/>
    <w:rsid w:val="00ED04D1"/>
    <w:rsid w:val="00ED06EE"/>
    <w:rsid w:val="00ED0839"/>
    <w:rsid w:val="00ED0A5B"/>
    <w:rsid w:val="00ED0F48"/>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3CC"/>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627"/>
    <w:rsid w:val="00EF1729"/>
    <w:rsid w:val="00EF18B1"/>
    <w:rsid w:val="00EF1BA3"/>
    <w:rsid w:val="00EF1C60"/>
    <w:rsid w:val="00EF1DDE"/>
    <w:rsid w:val="00EF1ED4"/>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14E"/>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249"/>
    <w:rsid w:val="00F04A47"/>
    <w:rsid w:val="00F04FFD"/>
    <w:rsid w:val="00F0519C"/>
    <w:rsid w:val="00F0527D"/>
    <w:rsid w:val="00F05869"/>
    <w:rsid w:val="00F05DA4"/>
    <w:rsid w:val="00F05E66"/>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8CC"/>
    <w:rsid w:val="00F36F05"/>
    <w:rsid w:val="00F3712E"/>
    <w:rsid w:val="00F37210"/>
    <w:rsid w:val="00F372DA"/>
    <w:rsid w:val="00F37343"/>
    <w:rsid w:val="00F3751A"/>
    <w:rsid w:val="00F37D41"/>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328"/>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DB7"/>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6AD"/>
    <w:rsid w:val="00F57798"/>
    <w:rsid w:val="00F5787C"/>
    <w:rsid w:val="00F57A93"/>
    <w:rsid w:val="00F57DD6"/>
    <w:rsid w:val="00F60171"/>
    <w:rsid w:val="00F606C7"/>
    <w:rsid w:val="00F6091E"/>
    <w:rsid w:val="00F60C55"/>
    <w:rsid w:val="00F61026"/>
    <w:rsid w:val="00F61641"/>
    <w:rsid w:val="00F6193D"/>
    <w:rsid w:val="00F61A95"/>
    <w:rsid w:val="00F61EC0"/>
    <w:rsid w:val="00F62500"/>
    <w:rsid w:val="00F62558"/>
    <w:rsid w:val="00F62D55"/>
    <w:rsid w:val="00F631C0"/>
    <w:rsid w:val="00F634C2"/>
    <w:rsid w:val="00F6354C"/>
    <w:rsid w:val="00F635E0"/>
    <w:rsid w:val="00F64209"/>
    <w:rsid w:val="00F64E42"/>
    <w:rsid w:val="00F650D0"/>
    <w:rsid w:val="00F654A8"/>
    <w:rsid w:val="00F65C72"/>
    <w:rsid w:val="00F665F9"/>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3AB"/>
    <w:rsid w:val="00F8210C"/>
    <w:rsid w:val="00F8220F"/>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05B"/>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572"/>
    <w:rsid w:val="00FA0972"/>
    <w:rsid w:val="00FA1766"/>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630"/>
    <w:rsid w:val="00FA67AA"/>
    <w:rsid w:val="00FA693B"/>
    <w:rsid w:val="00FA71D3"/>
    <w:rsid w:val="00FA7654"/>
    <w:rsid w:val="00FA768E"/>
    <w:rsid w:val="00FA7A81"/>
    <w:rsid w:val="00FA7C72"/>
    <w:rsid w:val="00FB00E1"/>
    <w:rsid w:val="00FB0245"/>
    <w:rsid w:val="00FB02C6"/>
    <w:rsid w:val="00FB0818"/>
    <w:rsid w:val="00FB0953"/>
    <w:rsid w:val="00FB0AB0"/>
    <w:rsid w:val="00FB0DC2"/>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3F67"/>
    <w:rsid w:val="00FC418A"/>
    <w:rsid w:val="00FC44DF"/>
    <w:rsid w:val="00FC4AF3"/>
    <w:rsid w:val="00FC50CE"/>
    <w:rsid w:val="00FC5245"/>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C6E"/>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04"/>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418"/>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437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2979311">
      <w:bodyDiv w:val="1"/>
      <w:marLeft w:val="0"/>
      <w:marRight w:val="0"/>
      <w:marTop w:val="0"/>
      <w:marBottom w:val="0"/>
      <w:divBdr>
        <w:top w:val="none" w:sz="0" w:space="0" w:color="auto"/>
        <w:left w:val="none" w:sz="0" w:space="0" w:color="auto"/>
        <w:bottom w:val="none" w:sz="0" w:space="0" w:color="auto"/>
        <w:right w:val="none" w:sz="0" w:space="0" w:color="auto"/>
      </w:divBdr>
      <w:divsChild>
        <w:div w:id="978460687">
          <w:marLeft w:val="418"/>
          <w:marRight w:val="0"/>
          <w:marTop w:val="67"/>
          <w:marBottom w:val="0"/>
          <w:divBdr>
            <w:top w:val="none" w:sz="0" w:space="0" w:color="auto"/>
            <w:left w:val="none" w:sz="0" w:space="0" w:color="auto"/>
            <w:bottom w:val="none" w:sz="0" w:space="0" w:color="auto"/>
            <w:right w:val="none" w:sz="0" w:space="0" w:color="auto"/>
          </w:divBdr>
        </w:div>
        <w:div w:id="156505937">
          <w:marLeft w:val="706"/>
          <w:marRight w:val="0"/>
          <w:marTop w:val="67"/>
          <w:marBottom w:val="0"/>
          <w:divBdr>
            <w:top w:val="none" w:sz="0" w:space="0" w:color="auto"/>
            <w:left w:val="none" w:sz="0" w:space="0" w:color="auto"/>
            <w:bottom w:val="none" w:sz="0" w:space="0" w:color="auto"/>
            <w:right w:val="none" w:sz="0" w:space="0" w:color="auto"/>
          </w:divBdr>
        </w:div>
        <w:div w:id="1340162401">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1149126">
      <w:bodyDiv w:val="1"/>
      <w:marLeft w:val="0"/>
      <w:marRight w:val="0"/>
      <w:marTop w:val="0"/>
      <w:marBottom w:val="0"/>
      <w:divBdr>
        <w:top w:val="none" w:sz="0" w:space="0" w:color="auto"/>
        <w:left w:val="none" w:sz="0" w:space="0" w:color="auto"/>
        <w:bottom w:val="none" w:sz="0" w:space="0" w:color="auto"/>
        <w:right w:val="none" w:sz="0" w:space="0" w:color="auto"/>
      </w:divBdr>
      <w:divsChild>
        <w:div w:id="453408052">
          <w:marLeft w:val="979"/>
          <w:marRight w:val="0"/>
          <w:marTop w:val="58"/>
          <w:marBottom w:val="0"/>
          <w:divBdr>
            <w:top w:val="none" w:sz="0" w:space="0" w:color="auto"/>
            <w:left w:val="none" w:sz="0" w:space="0" w:color="auto"/>
            <w:bottom w:val="none" w:sz="0" w:space="0" w:color="auto"/>
            <w:right w:val="none" w:sz="0" w:space="0" w:color="auto"/>
          </w:divBdr>
        </w:div>
        <w:div w:id="401677126">
          <w:marLeft w:val="979"/>
          <w:marRight w:val="0"/>
          <w:marTop w:val="58"/>
          <w:marBottom w:val="0"/>
          <w:divBdr>
            <w:top w:val="none" w:sz="0" w:space="0" w:color="auto"/>
            <w:left w:val="none" w:sz="0" w:space="0" w:color="auto"/>
            <w:bottom w:val="none" w:sz="0" w:space="0" w:color="auto"/>
            <w:right w:val="none" w:sz="0" w:space="0" w:color="auto"/>
          </w:divBdr>
        </w:div>
        <w:div w:id="891044376">
          <w:marLeft w:val="706"/>
          <w:marRight w:val="0"/>
          <w:marTop w:val="67"/>
          <w:marBottom w:val="0"/>
          <w:divBdr>
            <w:top w:val="none" w:sz="0" w:space="0" w:color="auto"/>
            <w:left w:val="none" w:sz="0" w:space="0" w:color="auto"/>
            <w:bottom w:val="none" w:sz="0" w:space="0" w:color="auto"/>
            <w:right w:val="none" w:sz="0" w:space="0" w:color="auto"/>
          </w:divBdr>
        </w:div>
        <w:div w:id="57748513">
          <w:marLeft w:val="979"/>
          <w:marRight w:val="0"/>
          <w:marTop w:val="58"/>
          <w:marBottom w:val="0"/>
          <w:divBdr>
            <w:top w:val="none" w:sz="0" w:space="0" w:color="auto"/>
            <w:left w:val="none" w:sz="0" w:space="0" w:color="auto"/>
            <w:bottom w:val="none" w:sz="0" w:space="0" w:color="auto"/>
            <w:right w:val="none" w:sz="0" w:space="0" w:color="auto"/>
          </w:divBdr>
        </w:div>
        <w:div w:id="2043628685">
          <w:marLeft w:val="979"/>
          <w:marRight w:val="0"/>
          <w:marTop w:val="58"/>
          <w:marBottom w:val="0"/>
          <w:divBdr>
            <w:top w:val="none" w:sz="0" w:space="0" w:color="auto"/>
            <w:left w:val="none" w:sz="0" w:space="0" w:color="auto"/>
            <w:bottom w:val="none" w:sz="0" w:space="0" w:color="auto"/>
            <w:right w:val="none" w:sz="0" w:space="0" w:color="auto"/>
          </w:divBdr>
        </w:div>
        <w:div w:id="2125033255">
          <w:marLeft w:val="1267"/>
          <w:marRight w:val="0"/>
          <w:marTop w:val="53"/>
          <w:marBottom w:val="0"/>
          <w:divBdr>
            <w:top w:val="none" w:sz="0" w:space="0" w:color="auto"/>
            <w:left w:val="none" w:sz="0" w:space="0" w:color="auto"/>
            <w:bottom w:val="none" w:sz="0" w:space="0" w:color="auto"/>
            <w:right w:val="none" w:sz="0" w:space="0" w:color="auto"/>
          </w:divBdr>
        </w:div>
        <w:div w:id="1902785780">
          <w:marLeft w:val="1267"/>
          <w:marRight w:val="0"/>
          <w:marTop w:val="53"/>
          <w:marBottom w:val="0"/>
          <w:divBdr>
            <w:top w:val="none" w:sz="0" w:space="0" w:color="auto"/>
            <w:left w:val="none" w:sz="0" w:space="0" w:color="auto"/>
            <w:bottom w:val="none" w:sz="0" w:space="0" w:color="auto"/>
            <w:right w:val="none" w:sz="0" w:space="0" w:color="auto"/>
          </w:divBdr>
        </w:div>
        <w:div w:id="1061058711">
          <w:marLeft w:val="1267"/>
          <w:marRight w:val="0"/>
          <w:marTop w:val="5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96105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44</Lines>
  <LinksUpToDate>false</LinksUpToDate>
  <Paragraphs>12</Paragraphs>
  <ScaleCrop>false</ScaleCrop>
  <CharactersWithSpaces>6330</CharactersWithSpaces>
  <SharedDoc>false</SharedDoc>
  <HyperlinksChanged>false</HyperlinksChanged>
  <AppVersion>16.0000</AppVersion>
  <Characters>5396</Characters>
  <Pages>3</Pages>
  <DocSecurity>0</DocSecurity>
  <Words>946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 Qiping</dc:creator>
  <dcterms:modified xsi:type="dcterms:W3CDTF">2023-02-17T07:32:00Z</dcterms:modified>
  <dc:title/>
  <cp:lastModifiedBy>Yuki Takahashi (髙橋 優元)</cp:lastModifiedBy>
  <dcterms:created xsi:type="dcterms:W3CDTF">2023-02-16T02:39:00Z</dcterms:created>
  <cp:revision>3</cp:revision>
</cp:coreProperties>
</file>

<file path=docProps/custom.xml><?xml version="1.0" encoding="utf-8"?>
<Properties xmlns="http://schemas.openxmlformats.org/officeDocument/2006/custom-properties" xmlns:vt="http://schemas.openxmlformats.org/officeDocument/2006/docPropsVTypes"/>
</file>