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1FDEC00" w14:textId="21D9C66E" w:rsidR="000A2042" w:rsidRDefault="00000000">
      <w:pPr>
        <w:tabs>
          <w:tab w:val="right" w:pos="9216"/>
        </w:tabs>
        <w:spacing w:after="0"/>
        <w:jc w:val="left"/>
        <w:rPr>
          <w:b/>
          <w:bCs/>
        </w:rPr>
      </w:pPr>
      <w:r>
        <w:rPr>
          <w:b/>
          <w:bCs/>
          <w:kern w:val="2"/>
        </w:rPr>
        <w:t>3GPP TSG RAN WG1 Meeting #112</w:t>
      </w:r>
      <w:r>
        <w:rPr>
          <w:b/>
          <w:kern w:val="2"/>
        </w:rPr>
        <w:tab/>
      </w:r>
      <w:r>
        <w:rPr>
          <w:b/>
          <w:bCs/>
          <w:kern w:val="2"/>
        </w:rPr>
        <w:t>R1-</w:t>
      </w:r>
      <w:r w:rsidR="000C3620">
        <w:rPr>
          <w:b/>
          <w:bCs/>
          <w:kern w:val="2"/>
        </w:rPr>
        <w:t>2301692</w:t>
      </w:r>
    </w:p>
    <w:p w14:paraId="2553856F" w14:textId="77777777" w:rsidR="000A2042" w:rsidRDefault="00000000">
      <w:pPr>
        <w:tabs>
          <w:tab w:val="center" w:pos="4536"/>
          <w:tab w:val="right" w:pos="9072"/>
        </w:tabs>
        <w:spacing w:after="0"/>
        <w:jc w:val="left"/>
        <w:rPr>
          <w:b/>
          <w:bCs/>
          <w:kern w:val="2"/>
        </w:rPr>
      </w:pPr>
      <w:r>
        <w:rPr>
          <w:b/>
          <w:bCs/>
          <w:kern w:val="2"/>
        </w:rPr>
        <w:t>Athens, Greece, February 27</w:t>
      </w:r>
      <w:r>
        <w:rPr>
          <w:b/>
          <w:bCs/>
          <w:kern w:val="2"/>
          <w:vertAlign w:val="superscript"/>
        </w:rPr>
        <w:t>th</w:t>
      </w:r>
      <w:r>
        <w:rPr>
          <w:b/>
          <w:bCs/>
          <w:kern w:val="2"/>
        </w:rPr>
        <w:t xml:space="preserve"> – March 3</w:t>
      </w:r>
      <w:r>
        <w:rPr>
          <w:b/>
          <w:bCs/>
          <w:kern w:val="2"/>
          <w:vertAlign w:val="superscript"/>
        </w:rPr>
        <w:t>rd</w:t>
      </w:r>
      <w:r>
        <w:rPr>
          <w:b/>
          <w:bCs/>
          <w:kern w:val="2"/>
        </w:rPr>
        <w:t>, 2023</w:t>
      </w:r>
    </w:p>
    <w:p w14:paraId="1032A71A" w14:textId="77777777" w:rsidR="000A2042" w:rsidRDefault="000A2042">
      <w:pPr>
        <w:pBdr>
          <w:top w:val="single" w:sz="4" w:space="1" w:color="000000"/>
        </w:pBdr>
        <w:spacing w:after="0"/>
        <w:jc w:val="left"/>
        <w:rPr>
          <w:b/>
          <w:kern w:val="2"/>
          <w:sz w:val="16"/>
          <w:szCs w:val="16"/>
        </w:rPr>
      </w:pPr>
    </w:p>
    <w:p w14:paraId="024157A2" w14:textId="77777777" w:rsidR="000A2042" w:rsidRDefault="00000000">
      <w:pPr>
        <w:spacing w:after="60"/>
        <w:ind w:left="1555" w:hanging="1555"/>
        <w:jc w:val="left"/>
      </w:pPr>
      <w:r>
        <w:rPr>
          <w:b/>
          <w:kern w:val="2"/>
        </w:rPr>
        <w:t>Agenda Item:</w:t>
      </w:r>
      <w:r>
        <w:rPr>
          <w:b/>
          <w:kern w:val="2"/>
        </w:rPr>
        <w:tab/>
        <w:t>9.3.2</w:t>
      </w:r>
    </w:p>
    <w:p w14:paraId="1FCB8465" w14:textId="5CB0045E" w:rsidR="000A2042" w:rsidRDefault="00000000">
      <w:pPr>
        <w:spacing w:after="60"/>
        <w:ind w:left="1555" w:hanging="1555"/>
        <w:jc w:val="left"/>
      </w:pPr>
      <w:r>
        <w:rPr>
          <w:b/>
          <w:kern w:val="2"/>
        </w:rPr>
        <w:t>Source:</w:t>
      </w:r>
      <w:r>
        <w:rPr>
          <w:b/>
          <w:kern w:val="2"/>
        </w:rPr>
        <w:tab/>
      </w:r>
      <w:proofErr w:type="spellStart"/>
      <w:r>
        <w:rPr>
          <w:b/>
          <w:kern w:val="2"/>
        </w:rPr>
        <w:t>CEWiT</w:t>
      </w:r>
      <w:proofErr w:type="spellEnd"/>
      <w:r w:rsidR="000C3620">
        <w:rPr>
          <w:b/>
          <w:kern w:val="2"/>
        </w:rPr>
        <w:t>, Reliance Jio, IIT Kanpur</w:t>
      </w:r>
    </w:p>
    <w:p w14:paraId="5DA2E66A" w14:textId="77777777" w:rsidR="000A2042" w:rsidRDefault="00000000">
      <w:pPr>
        <w:spacing w:after="60"/>
        <w:ind w:left="1555" w:hanging="1555"/>
        <w:jc w:val="left"/>
      </w:pPr>
      <w:r>
        <w:rPr>
          <w:b/>
          <w:bCs/>
          <w:kern w:val="2"/>
        </w:rPr>
        <w:t>Title:</w:t>
      </w:r>
      <w:r>
        <w:rPr>
          <w:b/>
          <w:kern w:val="2"/>
        </w:rPr>
        <w:tab/>
      </w:r>
      <w:r>
        <w:rPr>
          <w:b/>
          <w:bCs/>
          <w:kern w:val="2"/>
        </w:rPr>
        <w:t xml:space="preserve">Discussion on </w:t>
      </w:r>
      <w:proofErr w:type="spellStart"/>
      <w:r>
        <w:rPr>
          <w:b/>
          <w:bCs/>
          <w:kern w:val="2"/>
        </w:rPr>
        <w:t>s</w:t>
      </w:r>
      <w:r>
        <w:rPr>
          <w:rFonts w:eastAsia="Malgun Gothic"/>
          <w:b/>
          <w:bCs/>
          <w:kern w:val="2"/>
          <w:lang w:eastAsia="ko-KR"/>
        </w:rPr>
        <w:t>ubband</w:t>
      </w:r>
      <w:proofErr w:type="spellEnd"/>
      <w:r>
        <w:rPr>
          <w:rFonts w:eastAsia="Malgun Gothic"/>
          <w:b/>
          <w:bCs/>
          <w:kern w:val="2"/>
          <w:lang w:eastAsia="ko-KR"/>
        </w:rPr>
        <w:t xml:space="preserve"> non-overlapping full duplex</w:t>
      </w:r>
    </w:p>
    <w:p w14:paraId="4D6E6B8A" w14:textId="77777777" w:rsidR="000A2042" w:rsidRDefault="00000000">
      <w:pPr>
        <w:spacing w:after="60"/>
        <w:ind w:left="1555" w:hanging="1555"/>
        <w:jc w:val="left"/>
      </w:pPr>
      <w:r>
        <w:rPr>
          <w:b/>
          <w:kern w:val="2"/>
        </w:rPr>
        <w:t>Document for:</w:t>
      </w:r>
      <w:r>
        <w:rPr>
          <w:b/>
          <w:kern w:val="2"/>
        </w:rPr>
        <w:tab/>
        <w:t xml:space="preserve">Discussion </w:t>
      </w:r>
    </w:p>
    <w:p w14:paraId="202070B7" w14:textId="77777777" w:rsidR="000A2042" w:rsidRDefault="000A2042">
      <w:pPr>
        <w:pBdr>
          <w:bottom w:val="single" w:sz="4" w:space="1" w:color="000000"/>
        </w:pBdr>
        <w:spacing w:after="0"/>
        <w:jc w:val="left"/>
        <w:rPr>
          <w:b/>
          <w:kern w:val="2"/>
          <w:sz w:val="16"/>
          <w:szCs w:val="16"/>
        </w:rPr>
      </w:pPr>
    </w:p>
    <w:p w14:paraId="1790DF52" w14:textId="77777777" w:rsidR="000A2042" w:rsidRDefault="00000000">
      <w:pPr>
        <w:pStyle w:val="Heading1"/>
        <w:numPr>
          <w:ilvl w:val="0"/>
          <w:numId w:val="3"/>
        </w:numPr>
      </w:pPr>
      <w:bookmarkStart w:id="0" w:name="_Ref124589705"/>
      <w:bookmarkStart w:id="1" w:name="_Ref129681862"/>
      <w:r>
        <w:t>Introduction</w:t>
      </w:r>
      <w:bookmarkEnd w:id="0"/>
      <w:bookmarkEnd w:id="1"/>
    </w:p>
    <w:p w14:paraId="2BD4012A" w14:textId="77777777" w:rsidR="000A2042" w:rsidRDefault="00000000">
      <w:r>
        <w:tab/>
        <w:t xml:space="preserve">A new study item on “Study on evolution of NR duplex operation” was approved in RAN#94-e [1]. The discussions started in RAN1#109-e. </w:t>
      </w:r>
      <w:r>
        <w:rPr>
          <w:rFonts w:eastAsia="Times New Roman"/>
          <w:lang w:eastAsia="en-US"/>
        </w:rPr>
        <w:t xml:space="preserve">This contribution discusses the potential areas of study related to </w:t>
      </w:r>
      <w:r>
        <w:rPr>
          <w:rFonts w:eastAsia="Malgun Gothic"/>
          <w:kern w:val="2"/>
          <w:lang w:eastAsia="ko-KR"/>
        </w:rPr>
        <w:t xml:space="preserve">non-overlapping </w:t>
      </w:r>
      <w:proofErr w:type="spellStart"/>
      <w:r>
        <w:rPr>
          <w:rFonts w:eastAsia="Times New Roman"/>
          <w:lang w:eastAsia="en-US"/>
        </w:rPr>
        <w:t>s</w:t>
      </w:r>
      <w:r>
        <w:rPr>
          <w:rFonts w:eastAsia="Malgun Gothic"/>
          <w:kern w:val="2"/>
          <w:lang w:eastAsia="ko-KR"/>
        </w:rPr>
        <w:t>ubband</w:t>
      </w:r>
      <w:proofErr w:type="spellEnd"/>
      <w:r>
        <w:rPr>
          <w:rFonts w:eastAsia="Malgun Gothic"/>
          <w:kern w:val="2"/>
          <w:lang w:eastAsia="ko-KR"/>
        </w:rPr>
        <w:t xml:space="preserve"> full duplex (SBFD). </w:t>
      </w:r>
      <w:bookmarkStart w:id="2" w:name="_Ref129681832"/>
    </w:p>
    <w:p w14:paraId="7F3D80D2" w14:textId="77777777" w:rsidR="000A2042" w:rsidRDefault="00000000">
      <w:pPr>
        <w:pStyle w:val="Heading1"/>
        <w:numPr>
          <w:ilvl w:val="0"/>
          <w:numId w:val="3"/>
        </w:numPr>
      </w:pPr>
      <w:r>
        <w:t>Sub-band related enhancements</w:t>
      </w:r>
    </w:p>
    <w:p w14:paraId="7583ECF3" w14:textId="77777777" w:rsidR="000A2042" w:rsidRDefault="00000000">
      <w:r>
        <w:rPr>
          <w:color w:val="000000" w:themeColor="text1"/>
        </w:rPr>
        <w:tab/>
        <w:t xml:space="preserve">A node capable of non-overlapping SBFD, can transmit and receive simultaneously in different sub-bands (SBs) in frequency domain. Thus, a </w:t>
      </w:r>
      <w:proofErr w:type="spellStart"/>
      <w:r>
        <w:rPr>
          <w:color w:val="000000" w:themeColor="text1"/>
        </w:rPr>
        <w:t>gNB</w:t>
      </w:r>
      <w:proofErr w:type="spellEnd"/>
      <w:r>
        <w:rPr>
          <w:color w:val="000000" w:themeColor="text1"/>
        </w:rPr>
        <w:t xml:space="preserve"> capable of SBFD can perform DL and UL at the same time but using different sub-bands within the same carrier. In this contribution, we focus on only SBFD operation within a TDD carrier according to the following agreement in RAN1#109-e [2].</w:t>
      </w:r>
    </w:p>
    <w:p w14:paraId="61261F6F" w14:textId="77777777" w:rsidR="000A2042" w:rsidRDefault="00000000">
      <w:pPr>
        <w:rPr>
          <w:i/>
          <w:iCs/>
        </w:rPr>
      </w:pPr>
      <w:r>
        <w:rPr>
          <w:b/>
          <w:bCs/>
          <w:i/>
          <w:iCs/>
          <w:sz w:val="20"/>
          <w:szCs w:val="20"/>
          <w:highlight w:val="green"/>
          <w:lang w:eastAsia="ko-KR"/>
        </w:rPr>
        <w:t>Agreement</w:t>
      </w:r>
    </w:p>
    <w:p w14:paraId="0E90DA97" w14:textId="77777777" w:rsidR="000A2042" w:rsidRDefault="00000000">
      <w:pPr>
        <w:rPr>
          <w:i/>
          <w:iCs/>
        </w:rPr>
      </w:pPr>
      <w:r>
        <w:rPr>
          <w:rFonts w:eastAsia="Malgun Gothic"/>
          <w:i/>
          <w:iCs/>
          <w:color w:val="000000" w:themeColor="text1"/>
          <w:sz w:val="20"/>
          <w:szCs w:val="20"/>
        </w:rPr>
        <w:t>At least study SBFD operation within a TDD carrier.</w:t>
      </w:r>
    </w:p>
    <w:p w14:paraId="661E9098" w14:textId="77777777" w:rsidR="000A2042" w:rsidRDefault="00000000">
      <w:r>
        <w:rPr>
          <w:color w:val="000000" w:themeColor="text1"/>
        </w:rPr>
        <w:t xml:space="preserve">The following agreement was made in RAN1#110bis-e [3]. </w:t>
      </w:r>
    </w:p>
    <w:p w14:paraId="3D9E0AD5" w14:textId="77777777" w:rsidR="000A2042" w:rsidRDefault="00000000">
      <w:pPr>
        <w:rPr>
          <w:i/>
          <w:iCs/>
        </w:rPr>
      </w:pPr>
      <w:r>
        <w:rPr>
          <w:rFonts w:eastAsia="Malgun Gothic"/>
          <w:b/>
          <w:i/>
          <w:iCs/>
          <w:sz w:val="20"/>
          <w:szCs w:val="20"/>
          <w:highlight w:val="green"/>
        </w:rPr>
        <w:t>Agreement</w:t>
      </w:r>
    </w:p>
    <w:p w14:paraId="731271A1" w14:textId="77777777" w:rsidR="000A2042" w:rsidRDefault="00000000">
      <w:pPr>
        <w:rPr>
          <w:i/>
          <w:iCs/>
        </w:rPr>
      </w:pPr>
      <w:r>
        <w:rPr>
          <w:rFonts w:eastAsia="Malgun Gothic"/>
          <w:i/>
          <w:iCs/>
          <w:sz w:val="20"/>
          <w:szCs w:val="20"/>
        </w:rPr>
        <w:t xml:space="preserve">The maximum number of UL </w:t>
      </w:r>
      <w:proofErr w:type="spellStart"/>
      <w:r>
        <w:rPr>
          <w:rFonts w:eastAsia="Malgun Gothic"/>
          <w:i/>
          <w:iCs/>
          <w:sz w:val="20"/>
          <w:szCs w:val="20"/>
        </w:rPr>
        <w:t>subbands</w:t>
      </w:r>
      <w:proofErr w:type="spellEnd"/>
      <w:r>
        <w:rPr>
          <w:rFonts w:eastAsia="Malgun Gothic"/>
          <w:i/>
          <w:iCs/>
          <w:sz w:val="20"/>
          <w:szCs w:val="20"/>
        </w:rPr>
        <w:t xml:space="preserve"> for SBFD operation in an SBFD symbol (excluding legacy UL symbol) within a TDD carrier is one for the study in RAN1.</w:t>
      </w:r>
    </w:p>
    <w:p w14:paraId="259E2F0B" w14:textId="77777777" w:rsidR="000A2042" w:rsidRDefault="00000000">
      <w:pPr>
        <w:pStyle w:val="a8"/>
        <w:numPr>
          <w:ilvl w:val="0"/>
          <w:numId w:val="2"/>
        </w:numPr>
        <w:tabs>
          <w:tab w:val="left" w:pos="0"/>
        </w:tabs>
        <w:rPr>
          <w:i/>
          <w:iCs/>
        </w:rPr>
      </w:pPr>
      <w:r>
        <w:rPr>
          <w:rFonts w:eastAsia="Malgun Gothic"/>
          <w:i/>
          <w:iCs/>
          <w:sz w:val="20"/>
          <w:szCs w:val="20"/>
        </w:rPr>
        <w:t xml:space="preserve">The UL </w:t>
      </w:r>
      <w:proofErr w:type="spellStart"/>
      <w:r>
        <w:rPr>
          <w:rFonts w:eastAsia="Malgun Gothic"/>
          <w:i/>
          <w:iCs/>
          <w:sz w:val="20"/>
          <w:szCs w:val="20"/>
        </w:rPr>
        <w:t>subband</w:t>
      </w:r>
      <w:proofErr w:type="spellEnd"/>
      <w:r>
        <w:rPr>
          <w:rFonts w:eastAsia="Malgun Gothic"/>
          <w:i/>
          <w:iCs/>
          <w:sz w:val="20"/>
          <w:szCs w:val="20"/>
        </w:rPr>
        <w:t xml:space="preserve"> can be located at one side of the carrier.</w:t>
      </w:r>
    </w:p>
    <w:p w14:paraId="407F6EB8" w14:textId="77777777" w:rsidR="000A2042" w:rsidRDefault="00000000">
      <w:pPr>
        <w:pStyle w:val="a8"/>
        <w:numPr>
          <w:ilvl w:val="0"/>
          <w:numId w:val="2"/>
        </w:numPr>
        <w:tabs>
          <w:tab w:val="left" w:pos="0"/>
        </w:tabs>
        <w:rPr>
          <w:i/>
          <w:iCs/>
        </w:rPr>
      </w:pPr>
      <w:r>
        <w:rPr>
          <w:rFonts w:eastAsia="Malgun Gothic"/>
          <w:i/>
          <w:iCs/>
          <w:sz w:val="20"/>
          <w:szCs w:val="20"/>
        </w:rPr>
        <w:t xml:space="preserve">The UL </w:t>
      </w:r>
      <w:proofErr w:type="spellStart"/>
      <w:r>
        <w:rPr>
          <w:rFonts w:eastAsia="Malgun Gothic"/>
          <w:i/>
          <w:iCs/>
          <w:sz w:val="20"/>
          <w:szCs w:val="20"/>
        </w:rPr>
        <w:t>subband</w:t>
      </w:r>
      <w:proofErr w:type="spellEnd"/>
      <w:r>
        <w:rPr>
          <w:rFonts w:eastAsia="Malgun Gothic"/>
          <w:i/>
          <w:iCs/>
          <w:sz w:val="20"/>
          <w:szCs w:val="20"/>
        </w:rPr>
        <w:t xml:space="preserve"> can be located at the middle part of the carrier, subject to RAN4’s study and </w:t>
      </w:r>
      <w:proofErr w:type="gramStart"/>
      <w:r>
        <w:rPr>
          <w:rFonts w:eastAsia="Malgun Gothic"/>
          <w:i/>
          <w:iCs/>
          <w:sz w:val="20"/>
          <w:szCs w:val="20"/>
        </w:rPr>
        <w:t>conclusion</w:t>
      </w:r>
      <w:proofErr w:type="gramEnd"/>
    </w:p>
    <w:p w14:paraId="73C76BBF" w14:textId="77777777" w:rsidR="000A2042" w:rsidRDefault="00000000">
      <w:pPr>
        <w:rPr>
          <w:i/>
          <w:iCs/>
        </w:rPr>
      </w:pPr>
      <w:r>
        <w:rPr>
          <w:rFonts w:eastAsia="Malgun Gothic"/>
          <w:i/>
          <w:iCs/>
          <w:sz w:val="20"/>
          <w:szCs w:val="20"/>
        </w:rPr>
        <w:t>Note: RAN1 considers the above two possibilities unless RAN4 concludes that any one is infeasible.</w:t>
      </w:r>
    </w:p>
    <w:p w14:paraId="447D7599" w14:textId="77777777" w:rsidR="000A2042" w:rsidRDefault="00000000">
      <w:pPr>
        <w:rPr>
          <w:i/>
          <w:iCs/>
        </w:rPr>
      </w:pPr>
      <w:r>
        <w:rPr>
          <w:rFonts w:eastAsia="Malgun Gothic"/>
          <w:i/>
          <w:iCs/>
          <w:sz w:val="20"/>
          <w:szCs w:val="20"/>
        </w:rPr>
        <w:t xml:space="preserve">Note: Two UL </w:t>
      </w:r>
      <w:proofErr w:type="spellStart"/>
      <w:r>
        <w:rPr>
          <w:rFonts w:eastAsia="Malgun Gothic"/>
          <w:i/>
          <w:iCs/>
          <w:sz w:val="20"/>
          <w:szCs w:val="20"/>
        </w:rPr>
        <w:t>subbands</w:t>
      </w:r>
      <w:proofErr w:type="spellEnd"/>
      <w:r>
        <w:rPr>
          <w:rFonts w:eastAsia="Malgun Gothic"/>
          <w:i/>
          <w:iCs/>
          <w:sz w:val="20"/>
          <w:szCs w:val="20"/>
        </w:rPr>
        <w:t xml:space="preserve"> for SBFD operation in an SBFD symbol within a TDD carrier due to SBFD operation in legacy UL symbols is subject to further RAN1 discussions which is 2</w:t>
      </w:r>
      <w:r>
        <w:rPr>
          <w:rFonts w:eastAsia="Malgun Gothic"/>
          <w:i/>
          <w:iCs/>
          <w:sz w:val="20"/>
          <w:szCs w:val="20"/>
          <w:vertAlign w:val="superscript"/>
        </w:rPr>
        <w:t>nd</w:t>
      </w:r>
      <w:r>
        <w:rPr>
          <w:rFonts w:eastAsia="Malgun Gothic"/>
          <w:i/>
          <w:iCs/>
          <w:sz w:val="20"/>
          <w:szCs w:val="20"/>
        </w:rPr>
        <w:t xml:space="preserve"> priority as per RAN guidance.</w:t>
      </w:r>
    </w:p>
    <w:p w14:paraId="1C154820" w14:textId="77777777" w:rsidR="000A2042" w:rsidRDefault="00000000">
      <w:pPr>
        <w:rPr>
          <w:i/>
          <w:iCs/>
        </w:rPr>
      </w:pPr>
      <w:r>
        <w:rPr>
          <w:rFonts w:eastAsia="Malgun Gothic"/>
          <w:i/>
          <w:iCs/>
          <w:sz w:val="20"/>
          <w:szCs w:val="20"/>
        </w:rPr>
        <w:t xml:space="preserve">Send an LS to RAN4 to inform the above agreement. If RAN4 has response, it will be </w:t>
      </w:r>
      <w:proofErr w:type="gramStart"/>
      <w:r>
        <w:rPr>
          <w:rFonts w:eastAsia="Malgun Gothic"/>
          <w:i/>
          <w:iCs/>
          <w:sz w:val="20"/>
          <w:szCs w:val="20"/>
        </w:rPr>
        <w:t>taken into account</w:t>
      </w:r>
      <w:proofErr w:type="gramEnd"/>
      <w:r>
        <w:rPr>
          <w:rFonts w:eastAsia="Malgun Gothic"/>
          <w:i/>
          <w:iCs/>
          <w:sz w:val="20"/>
          <w:szCs w:val="20"/>
        </w:rPr>
        <w:t xml:space="preserve"> but in the meanwhile, RAN1 work will continue based on the above.</w:t>
      </w:r>
    </w:p>
    <w:p w14:paraId="777CA96C" w14:textId="77777777" w:rsidR="000A2042" w:rsidRDefault="00000000">
      <w:pPr>
        <w:rPr>
          <w:i/>
          <w:iCs/>
        </w:rPr>
      </w:pPr>
      <w:r>
        <w:rPr>
          <w:i/>
          <w:iCs/>
          <w:color w:val="000000" w:themeColor="text1"/>
          <w:sz w:val="20"/>
          <w:szCs w:val="20"/>
          <w:lang w:eastAsia="ko-KR"/>
        </w:rPr>
        <w:t xml:space="preserve">LS on maximum number of UL </w:t>
      </w:r>
      <w:proofErr w:type="spellStart"/>
      <w:r>
        <w:rPr>
          <w:i/>
          <w:iCs/>
          <w:color w:val="000000" w:themeColor="text1"/>
          <w:sz w:val="20"/>
          <w:szCs w:val="20"/>
          <w:lang w:eastAsia="ko-KR"/>
        </w:rPr>
        <w:t>subbands</w:t>
      </w:r>
      <w:proofErr w:type="spellEnd"/>
      <w:r>
        <w:rPr>
          <w:i/>
          <w:iCs/>
          <w:color w:val="000000" w:themeColor="text1"/>
          <w:sz w:val="20"/>
          <w:szCs w:val="20"/>
          <w:lang w:eastAsia="ko-KR"/>
        </w:rPr>
        <w:t xml:space="preserve"> for duplex evolution to RAN4 is endorsed. Final LS in R1-2210671.</w:t>
      </w:r>
    </w:p>
    <w:p w14:paraId="6B0A7EF3" w14:textId="77777777" w:rsidR="006A741E" w:rsidRDefault="00000000" w:rsidP="006A741E">
      <w:pPr>
        <w:rPr>
          <w:color w:val="000000" w:themeColor="text1"/>
          <w:sz w:val="20"/>
          <w:szCs w:val="20"/>
          <w:lang w:eastAsia="ko-KR"/>
        </w:rPr>
      </w:pPr>
      <w:r>
        <w:rPr>
          <w:color w:val="000000" w:themeColor="text1"/>
          <w:sz w:val="20"/>
          <w:szCs w:val="20"/>
          <w:lang w:eastAsia="ko-KR"/>
        </w:rPr>
        <w:t xml:space="preserve"> </w:t>
      </w:r>
    </w:p>
    <w:p w14:paraId="748572A8" w14:textId="0542B445" w:rsidR="006A741E" w:rsidRDefault="006A741E" w:rsidP="006A741E">
      <w:r>
        <w:rPr>
          <w:color w:val="000000" w:themeColor="text1"/>
        </w:rPr>
        <w:t xml:space="preserve">Further agreements were made in RAN1#111 [4]. </w:t>
      </w:r>
    </w:p>
    <w:p w14:paraId="3E8C87B9" w14:textId="77777777" w:rsidR="006A741E" w:rsidRDefault="006A741E" w:rsidP="006A741E">
      <w:pPr>
        <w:rPr>
          <w:rFonts w:eastAsia="Malgun Gothic;맑은 고딕"/>
          <w:b/>
          <w:i/>
          <w:iCs/>
          <w:sz w:val="20"/>
          <w:szCs w:val="20"/>
          <w:highlight w:val="green"/>
        </w:rPr>
      </w:pPr>
      <w:r>
        <w:rPr>
          <w:rFonts w:eastAsia="Malgun Gothic;맑은 고딕"/>
          <w:b/>
          <w:i/>
          <w:iCs/>
          <w:sz w:val="20"/>
          <w:szCs w:val="20"/>
          <w:highlight w:val="green"/>
        </w:rPr>
        <w:t>Agreement</w:t>
      </w:r>
    </w:p>
    <w:p w14:paraId="303FA53E" w14:textId="77777777" w:rsidR="006A741E" w:rsidRDefault="006A741E" w:rsidP="006A741E">
      <w:pPr>
        <w:rPr>
          <w:i/>
          <w:iCs/>
          <w:sz w:val="20"/>
          <w:szCs w:val="20"/>
        </w:rPr>
      </w:pPr>
      <w:r>
        <w:rPr>
          <w:rFonts w:eastAsia="Malgun Gothic;맑은 고딕"/>
          <w:i/>
          <w:iCs/>
          <w:sz w:val="20"/>
          <w:szCs w:val="20"/>
        </w:rPr>
        <w:t>For a SBFD aware UE</w:t>
      </w:r>
      <w:r>
        <w:rPr>
          <w:i/>
          <w:iCs/>
          <w:sz w:val="20"/>
          <w:szCs w:val="20"/>
        </w:rPr>
        <w:t xml:space="preserve"> semi-statically configured with UL </w:t>
      </w:r>
      <w:proofErr w:type="spellStart"/>
      <w:r>
        <w:rPr>
          <w:i/>
          <w:iCs/>
          <w:sz w:val="20"/>
          <w:szCs w:val="20"/>
        </w:rPr>
        <w:t>subband</w:t>
      </w:r>
      <w:proofErr w:type="spellEnd"/>
      <w:r>
        <w:rPr>
          <w:rFonts w:eastAsia="Malgun Gothic;맑은 고딕"/>
          <w:i/>
          <w:iCs/>
          <w:sz w:val="20"/>
          <w:szCs w:val="20"/>
        </w:rPr>
        <w:t xml:space="preserve"> in a SBFD symbol configured as DL in </w:t>
      </w:r>
      <w:r>
        <w:rPr>
          <w:i/>
          <w:iCs/>
          <w:sz w:val="20"/>
          <w:szCs w:val="20"/>
        </w:rPr>
        <w:t>TDD-UL-DL-</w:t>
      </w:r>
      <w:proofErr w:type="spellStart"/>
      <w:r>
        <w:rPr>
          <w:i/>
          <w:iCs/>
          <w:sz w:val="20"/>
          <w:szCs w:val="20"/>
        </w:rPr>
        <w:t>ConfigCommon</w:t>
      </w:r>
      <w:proofErr w:type="spellEnd"/>
      <w:r>
        <w:rPr>
          <w:rFonts w:eastAsia="Malgun Gothic;맑은 고딕"/>
          <w:i/>
          <w:iCs/>
          <w:sz w:val="20"/>
          <w:szCs w:val="20"/>
        </w:rPr>
        <w:t xml:space="preserve">, </w:t>
      </w:r>
      <w:r>
        <w:rPr>
          <w:i/>
          <w:iCs/>
          <w:sz w:val="20"/>
          <w:szCs w:val="20"/>
        </w:rPr>
        <w:t>the following is agreed as baseline in the RAN1 study:</w:t>
      </w:r>
    </w:p>
    <w:p w14:paraId="14B2F79E" w14:textId="77777777" w:rsidR="006A741E" w:rsidRDefault="006A741E" w:rsidP="006A741E">
      <w:pPr>
        <w:pStyle w:val="ListParagraph"/>
        <w:numPr>
          <w:ilvl w:val="0"/>
          <w:numId w:val="10"/>
        </w:numPr>
        <w:rPr>
          <w:rFonts w:eastAsia="Malgun Gothic;맑은 고딕"/>
          <w:i/>
          <w:iCs/>
          <w:sz w:val="20"/>
          <w:szCs w:val="20"/>
        </w:rPr>
      </w:pPr>
      <w:r>
        <w:rPr>
          <w:rFonts w:eastAsia="Malgun Gothic;맑은 고딕"/>
          <w:i/>
          <w:iCs/>
          <w:sz w:val="20"/>
          <w:szCs w:val="20"/>
        </w:rPr>
        <w:t xml:space="preserve">UL transmissions within UL </w:t>
      </w:r>
      <w:proofErr w:type="spellStart"/>
      <w:r>
        <w:rPr>
          <w:rFonts w:eastAsia="Malgun Gothic;맑은 고딕"/>
          <w:i/>
          <w:iCs/>
          <w:sz w:val="20"/>
          <w:szCs w:val="20"/>
        </w:rPr>
        <w:t>subband</w:t>
      </w:r>
      <w:proofErr w:type="spellEnd"/>
      <w:r>
        <w:rPr>
          <w:rFonts w:eastAsia="Malgun Gothic;맑은 고딕"/>
          <w:i/>
          <w:iCs/>
          <w:sz w:val="20"/>
          <w:szCs w:val="20"/>
        </w:rPr>
        <w:t xml:space="preserve"> are allowed in the </w:t>
      </w:r>
      <w:proofErr w:type="gramStart"/>
      <w:r>
        <w:rPr>
          <w:rFonts w:eastAsia="Malgun Gothic;맑은 고딕"/>
          <w:i/>
          <w:iCs/>
          <w:sz w:val="20"/>
          <w:szCs w:val="20"/>
        </w:rPr>
        <w:t>symbol</w:t>
      </w:r>
      <w:proofErr w:type="gramEnd"/>
    </w:p>
    <w:p w14:paraId="30D235CD" w14:textId="77777777" w:rsidR="006A741E" w:rsidRDefault="006A741E" w:rsidP="006A741E">
      <w:pPr>
        <w:pStyle w:val="ListParagraph"/>
        <w:numPr>
          <w:ilvl w:val="0"/>
          <w:numId w:val="10"/>
        </w:numPr>
        <w:rPr>
          <w:rFonts w:eastAsia="Malgun Gothic;맑은 고딕"/>
          <w:i/>
          <w:iCs/>
          <w:sz w:val="20"/>
          <w:szCs w:val="20"/>
        </w:rPr>
      </w:pPr>
      <w:r>
        <w:rPr>
          <w:rFonts w:eastAsia="Malgun Gothic;맑은 고딕"/>
          <w:i/>
          <w:iCs/>
          <w:sz w:val="20"/>
          <w:szCs w:val="20"/>
        </w:rPr>
        <w:t xml:space="preserve">UL transmissions outside UL </w:t>
      </w:r>
      <w:proofErr w:type="spellStart"/>
      <w:r>
        <w:rPr>
          <w:rFonts w:eastAsia="Malgun Gothic;맑은 고딕"/>
          <w:i/>
          <w:iCs/>
          <w:sz w:val="20"/>
          <w:szCs w:val="20"/>
        </w:rPr>
        <w:t>subband</w:t>
      </w:r>
      <w:proofErr w:type="spellEnd"/>
      <w:r>
        <w:rPr>
          <w:rFonts w:eastAsia="Malgun Gothic;맑은 고딕"/>
          <w:i/>
          <w:iCs/>
          <w:sz w:val="20"/>
          <w:szCs w:val="20"/>
        </w:rPr>
        <w:t xml:space="preserve"> are not allowed in the </w:t>
      </w:r>
      <w:proofErr w:type="gramStart"/>
      <w:r>
        <w:rPr>
          <w:rFonts w:eastAsia="Malgun Gothic;맑은 고딕"/>
          <w:i/>
          <w:iCs/>
          <w:sz w:val="20"/>
          <w:szCs w:val="20"/>
        </w:rPr>
        <w:t>symbol</w:t>
      </w:r>
      <w:proofErr w:type="gramEnd"/>
    </w:p>
    <w:p w14:paraId="0B66C54E" w14:textId="77777777" w:rsidR="006A741E" w:rsidRDefault="006A741E" w:rsidP="006A741E">
      <w:pPr>
        <w:pStyle w:val="ListParagraph"/>
        <w:numPr>
          <w:ilvl w:val="0"/>
          <w:numId w:val="10"/>
        </w:numPr>
        <w:rPr>
          <w:rFonts w:eastAsia="Malgun Gothic;맑은 고딕"/>
          <w:i/>
          <w:iCs/>
          <w:sz w:val="20"/>
          <w:szCs w:val="20"/>
        </w:rPr>
      </w:pPr>
      <w:r>
        <w:rPr>
          <w:rFonts w:eastAsia="Malgun Gothic;맑은 고딕"/>
          <w:i/>
          <w:iCs/>
          <w:sz w:val="20"/>
          <w:szCs w:val="20"/>
        </w:rPr>
        <w:t xml:space="preserve">Frequency locations of DL </w:t>
      </w:r>
      <w:proofErr w:type="spellStart"/>
      <w:r>
        <w:rPr>
          <w:rFonts w:eastAsia="Malgun Gothic;맑은 고딕"/>
          <w:i/>
          <w:iCs/>
          <w:sz w:val="20"/>
          <w:szCs w:val="20"/>
        </w:rPr>
        <w:t>subband</w:t>
      </w:r>
      <w:proofErr w:type="spellEnd"/>
      <w:r>
        <w:rPr>
          <w:rFonts w:eastAsia="Malgun Gothic;맑은 고딕"/>
          <w:i/>
          <w:iCs/>
          <w:sz w:val="20"/>
          <w:szCs w:val="20"/>
        </w:rPr>
        <w:t xml:space="preserve">(s) are known to the SBFD aware </w:t>
      </w:r>
      <w:proofErr w:type="gramStart"/>
      <w:r>
        <w:rPr>
          <w:rFonts w:eastAsia="Malgun Gothic;맑은 고딕"/>
          <w:i/>
          <w:iCs/>
          <w:sz w:val="20"/>
          <w:szCs w:val="20"/>
        </w:rPr>
        <w:t>UE</w:t>
      </w:r>
      <w:proofErr w:type="gramEnd"/>
    </w:p>
    <w:p w14:paraId="00ABEDEC" w14:textId="77777777" w:rsidR="006A741E" w:rsidRDefault="006A741E" w:rsidP="006A741E">
      <w:pPr>
        <w:pStyle w:val="ListParagraph"/>
        <w:numPr>
          <w:ilvl w:val="1"/>
          <w:numId w:val="10"/>
        </w:numPr>
        <w:rPr>
          <w:rFonts w:eastAsia="Malgun Gothic;맑은 고딕"/>
          <w:i/>
          <w:iCs/>
          <w:sz w:val="20"/>
          <w:szCs w:val="20"/>
        </w:rPr>
      </w:pPr>
      <w:r>
        <w:rPr>
          <w:rFonts w:eastAsia="Malgun Gothic;맑은 고딕"/>
          <w:i/>
          <w:iCs/>
          <w:sz w:val="20"/>
          <w:szCs w:val="20"/>
        </w:rPr>
        <w:t xml:space="preserve">The frequency location of DL </w:t>
      </w:r>
      <w:proofErr w:type="spellStart"/>
      <w:r>
        <w:rPr>
          <w:rFonts w:eastAsia="Malgun Gothic;맑은 고딕"/>
          <w:i/>
          <w:iCs/>
          <w:sz w:val="20"/>
          <w:szCs w:val="20"/>
        </w:rPr>
        <w:t>subband</w:t>
      </w:r>
      <w:proofErr w:type="spellEnd"/>
      <w:r>
        <w:rPr>
          <w:rFonts w:eastAsia="Malgun Gothic;맑은 고딕"/>
          <w:i/>
          <w:iCs/>
          <w:sz w:val="20"/>
          <w:szCs w:val="20"/>
        </w:rPr>
        <w:t xml:space="preserve">(s) can be explicitly indicated or implicitly </w:t>
      </w:r>
      <w:proofErr w:type="gramStart"/>
      <w:r>
        <w:rPr>
          <w:rFonts w:eastAsia="Malgun Gothic;맑은 고딕"/>
          <w:i/>
          <w:iCs/>
          <w:sz w:val="20"/>
          <w:szCs w:val="20"/>
        </w:rPr>
        <w:t>derived</w:t>
      </w:r>
      <w:proofErr w:type="gramEnd"/>
    </w:p>
    <w:p w14:paraId="5ED32D21" w14:textId="77777777" w:rsidR="006A741E" w:rsidRDefault="006A741E" w:rsidP="006A741E">
      <w:pPr>
        <w:pStyle w:val="ListParagraph"/>
        <w:numPr>
          <w:ilvl w:val="0"/>
          <w:numId w:val="10"/>
        </w:numPr>
        <w:rPr>
          <w:rFonts w:eastAsia="Malgun Gothic;맑은 고딕"/>
          <w:i/>
          <w:iCs/>
          <w:sz w:val="20"/>
          <w:szCs w:val="20"/>
        </w:rPr>
      </w:pPr>
      <w:r>
        <w:rPr>
          <w:rFonts w:eastAsia="Malgun Gothic;맑은 고딕"/>
          <w:i/>
          <w:iCs/>
          <w:sz w:val="20"/>
          <w:szCs w:val="20"/>
        </w:rPr>
        <w:t xml:space="preserve">DL receptions within DL </w:t>
      </w:r>
      <w:proofErr w:type="spellStart"/>
      <w:r>
        <w:rPr>
          <w:rFonts w:eastAsia="Malgun Gothic;맑은 고딕"/>
          <w:i/>
          <w:iCs/>
          <w:sz w:val="20"/>
          <w:szCs w:val="20"/>
        </w:rPr>
        <w:t>subband</w:t>
      </w:r>
      <w:proofErr w:type="spellEnd"/>
      <w:r>
        <w:rPr>
          <w:rFonts w:eastAsia="Malgun Gothic;맑은 고딕"/>
          <w:i/>
          <w:iCs/>
          <w:sz w:val="20"/>
          <w:szCs w:val="20"/>
        </w:rPr>
        <w:t xml:space="preserve">(s) are allowed in the </w:t>
      </w:r>
      <w:proofErr w:type="gramStart"/>
      <w:r>
        <w:rPr>
          <w:rFonts w:eastAsia="Malgun Gothic;맑은 고딕"/>
          <w:i/>
          <w:iCs/>
          <w:sz w:val="20"/>
          <w:szCs w:val="20"/>
        </w:rPr>
        <w:t>symbol</w:t>
      </w:r>
      <w:proofErr w:type="gramEnd"/>
    </w:p>
    <w:p w14:paraId="6677463F" w14:textId="77777777" w:rsidR="006A741E" w:rsidRDefault="006A741E" w:rsidP="006A741E">
      <w:pPr>
        <w:pStyle w:val="ListParagraph"/>
        <w:numPr>
          <w:ilvl w:val="0"/>
          <w:numId w:val="10"/>
        </w:numPr>
        <w:rPr>
          <w:rFonts w:eastAsia="Malgun Gothic;맑은 고딕"/>
          <w:i/>
          <w:iCs/>
          <w:sz w:val="20"/>
          <w:szCs w:val="20"/>
        </w:rPr>
      </w:pPr>
      <w:r>
        <w:rPr>
          <w:rFonts w:eastAsia="Malgun Gothic;맑은 고딕"/>
          <w:i/>
          <w:iCs/>
          <w:sz w:val="20"/>
          <w:szCs w:val="20"/>
        </w:rPr>
        <w:t>Note: UL transmissions are within active UL BWP and DL receptions are within active DL BWP in the symbol</w:t>
      </w:r>
    </w:p>
    <w:p w14:paraId="08CEBC7A" w14:textId="77777777" w:rsidR="006A741E" w:rsidRDefault="006A741E" w:rsidP="006A741E">
      <w:pPr>
        <w:rPr>
          <w:rFonts w:eastAsia="Malgun Gothic;맑은 고딕"/>
          <w:szCs w:val="20"/>
          <w:lang w:eastAsia="ko-KR"/>
        </w:rPr>
      </w:pPr>
    </w:p>
    <w:p w14:paraId="7E2142C6" w14:textId="77777777" w:rsidR="006A741E" w:rsidRDefault="006A741E" w:rsidP="006A741E">
      <w:pPr>
        <w:rPr>
          <w:rFonts w:eastAsia="Malgun Gothic;맑은 고딕"/>
          <w:b/>
          <w:i/>
          <w:iCs/>
          <w:sz w:val="20"/>
          <w:szCs w:val="20"/>
          <w:highlight w:val="green"/>
        </w:rPr>
      </w:pPr>
      <w:r>
        <w:rPr>
          <w:rFonts w:eastAsia="Malgun Gothic;맑은 고딕"/>
          <w:b/>
          <w:i/>
          <w:iCs/>
          <w:sz w:val="20"/>
          <w:szCs w:val="20"/>
          <w:highlight w:val="green"/>
        </w:rPr>
        <w:t>Agreement</w:t>
      </w:r>
    </w:p>
    <w:p w14:paraId="5D0B9772" w14:textId="77777777" w:rsidR="006A741E" w:rsidRDefault="006A741E" w:rsidP="006A741E">
      <w:pPr>
        <w:rPr>
          <w:i/>
          <w:iCs/>
          <w:color w:val="000000" w:themeColor="text1"/>
          <w:sz w:val="20"/>
          <w:szCs w:val="20"/>
        </w:rPr>
      </w:pPr>
      <w:proofErr w:type="gramStart"/>
      <w:r>
        <w:rPr>
          <w:rFonts w:eastAsia="Malgun Gothic;맑은 고딕"/>
          <w:i/>
          <w:iCs/>
          <w:color w:val="000000" w:themeColor="text1"/>
          <w:sz w:val="20"/>
          <w:szCs w:val="20"/>
        </w:rPr>
        <w:lastRenderedPageBreak/>
        <w:t>For the purpose of</w:t>
      </w:r>
      <w:proofErr w:type="gramEnd"/>
      <w:r>
        <w:rPr>
          <w:rFonts w:eastAsia="Malgun Gothic;맑은 고딕"/>
          <w:i/>
          <w:iCs/>
          <w:color w:val="000000" w:themeColor="text1"/>
          <w:sz w:val="20"/>
          <w:szCs w:val="20"/>
        </w:rPr>
        <w:t xml:space="preserve"> RAN1 study, the understanding is that for semi-static configuration of </w:t>
      </w:r>
      <w:proofErr w:type="spellStart"/>
      <w:r>
        <w:rPr>
          <w:rFonts w:eastAsia="Malgun Gothic;맑은 고딕"/>
          <w:i/>
          <w:iCs/>
          <w:color w:val="000000" w:themeColor="text1"/>
          <w:sz w:val="20"/>
          <w:szCs w:val="20"/>
        </w:rPr>
        <w:t>subband</w:t>
      </w:r>
      <w:proofErr w:type="spellEnd"/>
      <w:r>
        <w:rPr>
          <w:rFonts w:eastAsia="Malgun Gothic;맑은 고딕"/>
          <w:i/>
          <w:iCs/>
          <w:color w:val="000000" w:themeColor="text1"/>
          <w:sz w:val="20"/>
          <w:szCs w:val="20"/>
        </w:rPr>
        <w:t xml:space="preserve"> frequency locations for SBFD operation, frequency location of UL/DL </w:t>
      </w:r>
      <w:proofErr w:type="spellStart"/>
      <w:r>
        <w:rPr>
          <w:rFonts w:eastAsia="Malgun Gothic;맑은 고딕"/>
          <w:i/>
          <w:iCs/>
          <w:color w:val="000000" w:themeColor="text1"/>
          <w:sz w:val="20"/>
          <w:szCs w:val="20"/>
        </w:rPr>
        <w:t>subband</w:t>
      </w:r>
      <w:proofErr w:type="spellEnd"/>
      <w:r>
        <w:rPr>
          <w:rFonts w:eastAsia="Malgun Gothic;맑은 고딕"/>
          <w:i/>
          <w:iCs/>
          <w:color w:val="000000" w:themeColor="text1"/>
          <w:sz w:val="20"/>
          <w:szCs w:val="20"/>
        </w:rPr>
        <w:t xml:space="preserve"> is with reference to CRB grid.</w:t>
      </w:r>
    </w:p>
    <w:p w14:paraId="66D76543" w14:textId="77777777" w:rsidR="000A2042" w:rsidRDefault="000A2042">
      <w:pPr>
        <w:rPr>
          <w:color w:val="000000" w:themeColor="text1"/>
        </w:rPr>
      </w:pPr>
    </w:p>
    <w:p w14:paraId="7054AF40" w14:textId="77777777" w:rsidR="000A2042" w:rsidRDefault="00000000">
      <w:pPr>
        <w:ind w:firstLine="720"/>
        <w:jc w:val="center"/>
      </w:pPr>
      <w:r>
        <w:rPr>
          <w:noProof/>
        </w:rPr>
        <w:drawing>
          <wp:anchor distT="0" distB="0" distL="0" distR="0" simplePos="0" relativeHeight="2" behindDoc="0" locked="0" layoutInCell="1" allowOverlap="1" wp14:anchorId="69CC3323" wp14:editId="59D2BE0C">
            <wp:simplePos x="0" y="0"/>
            <wp:positionH relativeFrom="column">
              <wp:align>center</wp:align>
            </wp:positionH>
            <wp:positionV relativeFrom="paragraph">
              <wp:posOffset>635</wp:posOffset>
            </wp:positionV>
            <wp:extent cx="3061970" cy="1887855"/>
            <wp:effectExtent l="0" t="0" r="0" b="0"/>
            <wp:wrapTopAndBottom/>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5"/>
                    <a:stretch>
                      <a:fillRect/>
                    </a:stretch>
                  </pic:blipFill>
                  <pic:spPr bwMode="auto">
                    <a:xfrm>
                      <a:off x="0" y="0"/>
                      <a:ext cx="3061970" cy="1887855"/>
                    </a:xfrm>
                    <a:prstGeom prst="rect">
                      <a:avLst/>
                    </a:prstGeom>
                  </pic:spPr>
                </pic:pic>
              </a:graphicData>
            </a:graphic>
          </wp:anchor>
        </w:drawing>
      </w:r>
      <w:r>
        <w:rPr>
          <w:color w:val="000000" w:themeColor="text1"/>
          <w:sz w:val="20"/>
          <w:szCs w:val="20"/>
          <w:lang w:eastAsia="ko-KR"/>
        </w:rPr>
        <w:t xml:space="preserve">Fig. </w:t>
      </w:r>
      <w:proofErr w:type="gramStart"/>
      <w:r>
        <w:rPr>
          <w:color w:val="000000" w:themeColor="text1"/>
          <w:sz w:val="20"/>
          <w:szCs w:val="20"/>
          <w:lang w:eastAsia="ko-KR"/>
        </w:rPr>
        <w:t>1  UL</w:t>
      </w:r>
      <w:proofErr w:type="gramEnd"/>
      <w:r>
        <w:rPr>
          <w:color w:val="000000" w:themeColor="text1"/>
          <w:sz w:val="20"/>
          <w:szCs w:val="20"/>
          <w:lang w:eastAsia="ko-KR"/>
        </w:rPr>
        <w:t xml:space="preserve"> SB in middle part of carrier</w:t>
      </w:r>
    </w:p>
    <w:p w14:paraId="7BD42A60" w14:textId="77777777" w:rsidR="000A2042" w:rsidRDefault="00000000">
      <w:pPr>
        <w:ind w:firstLine="720"/>
        <w:jc w:val="center"/>
      </w:pPr>
      <w:r>
        <w:rPr>
          <w:noProof/>
        </w:rPr>
        <w:drawing>
          <wp:anchor distT="0" distB="0" distL="0" distR="0" simplePos="0" relativeHeight="3" behindDoc="0" locked="0" layoutInCell="1" allowOverlap="1" wp14:anchorId="04D1C7A0" wp14:editId="7EE402DD">
            <wp:simplePos x="0" y="0"/>
            <wp:positionH relativeFrom="column">
              <wp:align>center</wp:align>
            </wp:positionH>
            <wp:positionV relativeFrom="paragraph">
              <wp:posOffset>635</wp:posOffset>
            </wp:positionV>
            <wp:extent cx="2957195" cy="1977390"/>
            <wp:effectExtent l="0" t="0" r="0" b="0"/>
            <wp:wrapTopAndBottom/>
            <wp:docPr id="2"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pic:cNvPicPr>
                      <a:picLocks noChangeAspect="1" noChangeArrowheads="1"/>
                    </pic:cNvPicPr>
                  </pic:nvPicPr>
                  <pic:blipFill>
                    <a:blip r:embed="rId6"/>
                    <a:stretch>
                      <a:fillRect/>
                    </a:stretch>
                  </pic:blipFill>
                  <pic:spPr bwMode="auto">
                    <a:xfrm>
                      <a:off x="0" y="0"/>
                      <a:ext cx="2957195" cy="1977390"/>
                    </a:xfrm>
                    <a:prstGeom prst="rect">
                      <a:avLst/>
                    </a:prstGeom>
                  </pic:spPr>
                </pic:pic>
              </a:graphicData>
            </a:graphic>
          </wp:anchor>
        </w:drawing>
      </w:r>
      <w:r>
        <w:rPr>
          <w:color w:val="000000" w:themeColor="text1"/>
          <w:sz w:val="20"/>
          <w:szCs w:val="20"/>
          <w:lang w:eastAsia="ko-KR"/>
        </w:rPr>
        <w:t xml:space="preserve">Fig. </w:t>
      </w:r>
      <w:proofErr w:type="gramStart"/>
      <w:r>
        <w:rPr>
          <w:color w:val="000000" w:themeColor="text1"/>
          <w:sz w:val="20"/>
          <w:szCs w:val="20"/>
          <w:lang w:eastAsia="ko-KR"/>
        </w:rPr>
        <w:t>2  UL</w:t>
      </w:r>
      <w:proofErr w:type="gramEnd"/>
      <w:r>
        <w:rPr>
          <w:color w:val="000000" w:themeColor="text1"/>
          <w:sz w:val="20"/>
          <w:szCs w:val="20"/>
          <w:lang w:eastAsia="ko-KR"/>
        </w:rPr>
        <w:t xml:space="preserve"> SB  at one end of carrier</w:t>
      </w:r>
    </w:p>
    <w:p w14:paraId="1B301BCA" w14:textId="1D4C9B53" w:rsidR="000A2042" w:rsidRDefault="00000000">
      <w:r>
        <w:rPr>
          <w:color w:val="000000" w:themeColor="text1"/>
        </w:rPr>
        <w:t>Fig. 1 shows an UL SB in the middle part of the carrier whereas Fig. 2 shows an UL SB at one side of the carrier.</w:t>
      </w:r>
      <w:r w:rsidR="006A741E">
        <w:rPr>
          <w:color w:val="000000" w:themeColor="text1"/>
        </w:rPr>
        <w:t xml:space="preserve"> </w:t>
      </w:r>
      <w:r>
        <w:rPr>
          <w:color w:val="000000" w:themeColor="text1"/>
        </w:rPr>
        <w:t xml:space="preserve">Consider a scenario where BWP 1 in Fig. 1 is provided as a DL BWP to a UE. In the SBFD symbols, the UE needs to be aware of the UL SB and guard to avoid DL reception in those time and frequency resources. Similarly, BWP 2 can be another DL BWP to a UE. In case of BWP 1, the full UL SB and 2 guard bands are contained within it. In case of BWP 2, a part of the UL SB and only one guard band is contained within it. Again, BWP 3 in Fig. 2, </w:t>
      </w:r>
      <w:proofErr w:type="gramStart"/>
      <w:r>
        <w:rPr>
          <w:color w:val="000000" w:themeColor="text1"/>
        </w:rPr>
        <w:t>contains  a</w:t>
      </w:r>
      <w:proofErr w:type="gramEnd"/>
      <w:r>
        <w:rPr>
          <w:color w:val="000000" w:themeColor="text1"/>
        </w:rPr>
        <w:t xml:space="preserve"> part of the UL SB and only one guard band.</w:t>
      </w:r>
    </w:p>
    <w:p w14:paraId="1FA6DF8A" w14:textId="067D8675" w:rsidR="000A2042" w:rsidRDefault="00000000">
      <w:r>
        <w:rPr>
          <w:b/>
          <w:bCs/>
          <w:color w:val="000000" w:themeColor="text1"/>
        </w:rPr>
        <w:t xml:space="preserve">Observation 1:  UL </w:t>
      </w:r>
      <w:proofErr w:type="spellStart"/>
      <w:r>
        <w:rPr>
          <w:b/>
          <w:bCs/>
          <w:color w:val="000000" w:themeColor="text1"/>
        </w:rPr>
        <w:t>subband</w:t>
      </w:r>
      <w:proofErr w:type="spellEnd"/>
      <w:r>
        <w:rPr>
          <w:b/>
          <w:bCs/>
          <w:color w:val="000000" w:themeColor="text1"/>
        </w:rPr>
        <w:t xml:space="preserve"> can fully/partially overlap </w:t>
      </w:r>
      <w:proofErr w:type="gramStart"/>
      <w:r>
        <w:rPr>
          <w:b/>
          <w:bCs/>
          <w:color w:val="000000" w:themeColor="text1"/>
        </w:rPr>
        <w:t>with  BWP</w:t>
      </w:r>
      <w:proofErr w:type="gramEnd"/>
      <w:r>
        <w:rPr>
          <w:b/>
          <w:bCs/>
          <w:color w:val="000000" w:themeColor="text1"/>
        </w:rPr>
        <w:t xml:space="preserve"> of UEs.</w:t>
      </w:r>
    </w:p>
    <w:p w14:paraId="5FDA6BBA" w14:textId="77777777" w:rsidR="000A2042" w:rsidRDefault="00000000">
      <w:r>
        <w:rPr>
          <w:color w:val="000000" w:themeColor="text1"/>
        </w:rPr>
        <w:t xml:space="preserve">In all these cases, it is enough to provide the time and frequency domain location of the full UL SB to the UE. The frequency domain location can be provided as a combination of the starting subcarrier of the UL SB and the bandwidth in terms of subcarriers/RBs/RBGs. The information can be provided as cell specific signal as well. </w:t>
      </w:r>
    </w:p>
    <w:p w14:paraId="59639A0E" w14:textId="77777777" w:rsidR="000A2042" w:rsidRDefault="00000000">
      <w:r>
        <w:rPr>
          <w:b/>
          <w:bCs/>
          <w:color w:val="000000" w:themeColor="text1"/>
        </w:rPr>
        <w:t>Proposal 1: The frequency domain location of the full UL SB is provided to the SBFD aware UE where the frequency domain location is a combination of the starting subcarrier of the UL SB and the bandwidth in terms of subcarriers/RBs/RBGs.</w:t>
      </w:r>
    </w:p>
    <w:p w14:paraId="5D1A02F8" w14:textId="77777777" w:rsidR="000A2042" w:rsidRDefault="00000000">
      <w:r>
        <w:rPr>
          <w:color w:val="000000" w:themeColor="text1"/>
        </w:rPr>
        <w:t xml:space="preserve">Apart from that, it is seen from the above figures that the guard band is always in </w:t>
      </w:r>
      <w:proofErr w:type="spellStart"/>
      <w:r>
        <w:rPr>
          <w:color w:val="000000" w:themeColor="text1"/>
        </w:rPr>
        <w:t>conjuction</w:t>
      </w:r>
      <w:proofErr w:type="spellEnd"/>
      <w:r>
        <w:rPr>
          <w:color w:val="000000" w:themeColor="text1"/>
        </w:rPr>
        <w:t xml:space="preserve"> with the UL SB in time domain. Thus, providing explicit time domain information for the guard band when explicit time domain information is already provided for the UL SB is redundant. </w:t>
      </w:r>
    </w:p>
    <w:p w14:paraId="49F0D5E9" w14:textId="77777777" w:rsidR="000A2042" w:rsidRDefault="00000000">
      <w:pPr>
        <w:rPr>
          <w:b/>
          <w:bCs/>
        </w:rPr>
      </w:pPr>
      <w:r>
        <w:rPr>
          <w:b/>
          <w:bCs/>
          <w:color w:val="000000" w:themeColor="text1"/>
        </w:rPr>
        <w:t xml:space="preserve">Observation 2: Always guard band is in </w:t>
      </w:r>
      <w:proofErr w:type="spellStart"/>
      <w:r>
        <w:rPr>
          <w:b/>
          <w:bCs/>
          <w:color w:val="000000" w:themeColor="text1"/>
        </w:rPr>
        <w:t>conjuction</w:t>
      </w:r>
      <w:proofErr w:type="spellEnd"/>
      <w:r>
        <w:rPr>
          <w:b/>
          <w:bCs/>
          <w:color w:val="000000" w:themeColor="text1"/>
        </w:rPr>
        <w:t xml:space="preserve"> with the UL SB in time </w:t>
      </w:r>
      <w:proofErr w:type="gramStart"/>
      <w:r>
        <w:rPr>
          <w:b/>
          <w:bCs/>
          <w:color w:val="000000" w:themeColor="text1"/>
        </w:rPr>
        <w:t>domain</w:t>
      </w:r>
      <w:proofErr w:type="gramEnd"/>
    </w:p>
    <w:p w14:paraId="374B221D" w14:textId="77777777" w:rsidR="000A2042" w:rsidRDefault="00000000">
      <w:pPr>
        <w:rPr>
          <w:b/>
          <w:bCs/>
        </w:rPr>
      </w:pPr>
      <w:r>
        <w:rPr>
          <w:b/>
          <w:bCs/>
          <w:color w:val="000000" w:themeColor="text1"/>
        </w:rPr>
        <w:t>Proposal 2: The time location is not explicitly provided for guard bands.</w:t>
      </w:r>
    </w:p>
    <w:p w14:paraId="58687D8A" w14:textId="77777777" w:rsidR="000A2042" w:rsidRDefault="00000000">
      <w:r>
        <w:rPr>
          <w:color w:val="000000" w:themeColor="text1"/>
        </w:rPr>
        <w:lastRenderedPageBreak/>
        <w:t xml:space="preserve">Similarly, in frequency domain, the guard bands are supposed to start where the UL SBs end. Further, in practical scenarios, the bandwidth of the guard band will be less as compared to the bandwidth of the DL SBs. Therefore, signaling the BW of guard band to the UE is efficient compared to signaling the bandwidth of the DL SB. Using the information about UL SB and guard band, the UE implicitly derive the bandwidth of the DL SB. Thus, the </w:t>
      </w:r>
      <w:proofErr w:type="spellStart"/>
      <w:r>
        <w:rPr>
          <w:color w:val="000000" w:themeColor="text1"/>
        </w:rPr>
        <w:t>signalling</w:t>
      </w:r>
      <w:proofErr w:type="spellEnd"/>
      <w:r>
        <w:rPr>
          <w:color w:val="000000" w:themeColor="text1"/>
        </w:rPr>
        <w:t xml:space="preserve"> overhead required to signal the guard bands will be less as compared to </w:t>
      </w:r>
      <w:proofErr w:type="spellStart"/>
      <w:r>
        <w:rPr>
          <w:color w:val="000000" w:themeColor="text1"/>
        </w:rPr>
        <w:t>signalling</w:t>
      </w:r>
      <w:proofErr w:type="spellEnd"/>
      <w:r>
        <w:rPr>
          <w:color w:val="000000" w:themeColor="text1"/>
        </w:rPr>
        <w:t xml:space="preserve"> of DL SBs. Based on this, the following observation and proposal is made. </w:t>
      </w:r>
    </w:p>
    <w:p w14:paraId="3BA4EA27" w14:textId="77777777" w:rsidR="000A2042" w:rsidRDefault="00000000">
      <w:pPr>
        <w:rPr>
          <w:b/>
          <w:bCs/>
        </w:rPr>
      </w:pPr>
      <w:r>
        <w:rPr>
          <w:b/>
          <w:bCs/>
          <w:color w:val="000000" w:themeColor="text1"/>
        </w:rPr>
        <w:t xml:space="preserve">Observation 3: Frequency location of the guard band(s) is aligned with the end(s) of the UL SB and is not explicitly </w:t>
      </w:r>
      <w:proofErr w:type="spellStart"/>
      <w:r>
        <w:rPr>
          <w:b/>
          <w:bCs/>
          <w:color w:val="000000" w:themeColor="text1"/>
        </w:rPr>
        <w:t>signalled</w:t>
      </w:r>
      <w:proofErr w:type="spellEnd"/>
      <w:r>
        <w:rPr>
          <w:b/>
          <w:bCs/>
          <w:color w:val="000000" w:themeColor="text1"/>
        </w:rPr>
        <w:t xml:space="preserve"> to the UE.</w:t>
      </w:r>
    </w:p>
    <w:p w14:paraId="40B7BDE6" w14:textId="77777777" w:rsidR="000A2042" w:rsidRDefault="00000000">
      <w:pPr>
        <w:rPr>
          <w:b/>
          <w:bCs/>
        </w:rPr>
      </w:pPr>
      <w:r>
        <w:rPr>
          <w:b/>
          <w:bCs/>
          <w:color w:val="000000" w:themeColor="text1"/>
        </w:rPr>
        <w:t xml:space="preserve">Proposal 3: </w:t>
      </w:r>
      <w:proofErr w:type="spellStart"/>
      <w:r>
        <w:rPr>
          <w:b/>
          <w:bCs/>
          <w:color w:val="000000" w:themeColor="text1"/>
        </w:rPr>
        <w:t>Signalling</w:t>
      </w:r>
      <w:proofErr w:type="spellEnd"/>
      <w:r>
        <w:rPr>
          <w:b/>
          <w:bCs/>
          <w:color w:val="000000" w:themeColor="text1"/>
        </w:rPr>
        <w:t xml:space="preserve"> the bandwidth of the guard band(s) is supported.</w:t>
      </w:r>
    </w:p>
    <w:p w14:paraId="63FCF153" w14:textId="77777777" w:rsidR="000A2042" w:rsidRDefault="00000000">
      <w:pPr>
        <w:rPr>
          <w:b/>
          <w:bCs/>
          <w:color w:val="000000" w:themeColor="text1"/>
        </w:rPr>
      </w:pPr>
      <w:r>
        <w:rPr>
          <w:b/>
          <w:bCs/>
          <w:color w:val="000000" w:themeColor="text1"/>
        </w:rPr>
        <w:t>Proposal 4:  UE implicitly deriving the location and bandwidth of DL SBs, using information of UL SB and guard band, is supported.</w:t>
      </w:r>
    </w:p>
    <w:p w14:paraId="79C2F602" w14:textId="77777777" w:rsidR="000A2042" w:rsidRDefault="00000000" w:rsidP="00F30702">
      <w:pPr>
        <w:pStyle w:val="Heading1"/>
        <w:numPr>
          <w:ilvl w:val="0"/>
          <w:numId w:val="3"/>
        </w:numPr>
        <w:rPr>
          <w:b w:val="0"/>
          <w:bCs w:val="0"/>
        </w:rPr>
      </w:pPr>
      <w:r>
        <w:t>BWP and TDD Config related enhancements</w:t>
      </w:r>
    </w:p>
    <w:p w14:paraId="4764AA67" w14:textId="77777777" w:rsidR="000A2042" w:rsidRDefault="00000000">
      <w:pPr>
        <w:pStyle w:val="ListParagraph"/>
        <w:spacing w:after="160" w:line="259" w:lineRule="auto"/>
        <w:ind w:left="0"/>
      </w:pPr>
      <w:r>
        <w:rPr>
          <w:color w:val="000000" w:themeColor="text1"/>
        </w:rPr>
        <w:tab/>
        <w:t xml:space="preserve">Currently in NR, the </w:t>
      </w:r>
      <w:proofErr w:type="spellStart"/>
      <w:r>
        <w:rPr>
          <w:color w:val="000000" w:themeColor="text1"/>
        </w:rPr>
        <w:t>gNB</w:t>
      </w:r>
      <w:proofErr w:type="spellEnd"/>
      <w:r>
        <w:rPr>
          <w:color w:val="000000" w:themeColor="text1"/>
        </w:rPr>
        <w:t xml:space="preserve"> assigns BWPs to UEs in a UE specific way. Multiple BWPs are assigned to a UE in RRC out of which one BWP remains active for a UE at a given instant of time. The </w:t>
      </w:r>
      <w:proofErr w:type="spellStart"/>
      <w:r>
        <w:rPr>
          <w:color w:val="000000" w:themeColor="text1"/>
        </w:rPr>
        <w:t>gNB</w:t>
      </w:r>
      <w:proofErr w:type="spellEnd"/>
      <w:r>
        <w:rPr>
          <w:color w:val="000000" w:themeColor="text1"/>
        </w:rPr>
        <w:t xml:space="preserve"> can signal the UE to dynamically switch from one BWP to another BWP from the multiple BWPs assigned to the UE in RRC. If the BWP is switched, the UE follows the same TDD configuration that has been provided to it in RRC. However, for efficient SBFD operation, the </w:t>
      </w:r>
      <w:proofErr w:type="spellStart"/>
      <w:r>
        <w:rPr>
          <w:color w:val="000000" w:themeColor="text1"/>
        </w:rPr>
        <w:t>gNB</w:t>
      </w:r>
      <w:proofErr w:type="spellEnd"/>
      <w:r>
        <w:rPr>
          <w:color w:val="000000" w:themeColor="text1"/>
        </w:rPr>
        <w:t xml:space="preserve"> might need to dynamically change the TDD configuration at the UE along with the BWP switching. E.g., UE1 has active BWP1 when the </w:t>
      </w:r>
      <w:proofErr w:type="spellStart"/>
      <w:r>
        <w:rPr>
          <w:color w:val="000000" w:themeColor="text1"/>
        </w:rPr>
        <w:t>gNB</w:t>
      </w:r>
      <w:proofErr w:type="spellEnd"/>
      <w:r>
        <w:rPr>
          <w:color w:val="000000" w:themeColor="text1"/>
        </w:rPr>
        <w:t xml:space="preserve"> is operating in non-SBFD mode. Now, the </w:t>
      </w:r>
      <w:proofErr w:type="spellStart"/>
      <w:r>
        <w:rPr>
          <w:color w:val="000000" w:themeColor="text1"/>
        </w:rPr>
        <w:t>gNB</w:t>
      </w:r>
      <w:proofErr w:type="spellEnd"/>
      <w:r>
        <w:rPr>
          <w:color w:val="000000" w:themeColor="text1"/>
        </w:rPr>
        <w:t xml:space="preserve"> wants to operate in SBFD mode and for that purpose, it needs to switch the active BWP of UE1 to BWP2 with a new TDD configuration to accommodate other UEs with different TDD configurations within the same band. This new TDD configuration allows the </w:t>
      </w:r>
      <w:proofErr w:type="spellStart"/>
      <w:r>
        <w:rPr>
          <w:color w:val="000000" w:themeColor="text1"/>
        </w:rPr>
        <w:t>gNB</w:t>
      </w:r>
      <w:proofErr w:type="spellEnd"/>
      <w:r>
        <w:rPr>
          <w:color w:val="000000" w:themeColor="text1"/>
        </w:rPr>
        <w:t xml:space="preserve"> to efficiently operate SBFD in the network. Currently in NR, to do this, the </w:t>
      </w:r>
      <w:proofErr w:type="spellStart"/>
      <w:r>
        <w:rPr>
          <w:color w:val="000000" w:themeColor="text1"/>
        </w:rPr>
        <w:t>gNB</w:t>
      </w:r>
      <w:proofErr w:type="spellEnd"/>
      <w:r>
        <w:rPr>
          <w:color w:val="000000" w:themeColor="text1"/>
        </w:rPr>
        <w:t xml:space="preserve"> </w:t>
      </w:r>
      <w:proofErr w:type="gramStart"/>
      <w:r>
        <w:rPr>
          <w:color w:val="000000" w:themeColor="text1"/>
        </w:rPr>
        <w:t>has to</w:t>
      </w:r>
      <w:proofErr w:type="gramEnd"/>
      <w:r>
        <w:rPr>
          <w:color w:val="000000" w:themeColor="text1"/>
        </w:rPr>
        <w:t xml:space="preserve"> provide a new TDD configuration using RRC which is semi-static in nature. Instead, the </w:t>
      </w:r>
      <w:proofErr w:type="spellStart"/>
      <w:r>
        <w:rPr>
          <w:color w:val="000000" w:themeColor="text1"/>
        </w:rPr>
        <w:t>gNB</w:t>
      </w:r>
      <w:proofErr w:type="spellEnd"/>
      <w:r>
        <w:rPr>
          <w:color w:val="000000" w:themeColor="text1"/>
        </w:rPr>
        <w:t xml:space="preserve"> </w:t>
      </w:r>
      <w:proofErr w:type="gramStart"/>
      <w:r>
        <w:rPr>
          <w:color w:val="000000" w:themeColor="text1"/>
        </w:rPr>
        <w:t>can  provide</w:t>
      </w:r>
      <w:proofErr w:type="gramEnd"/>
      <w:r>
        <w:rPr>
          <w:color w:val="000000" w:themeColor="text1"/>
        </w:rPr>
        <w:t xml:space="preserve"> multiple BWPs to the UE each associated with a different TDD configuration. Whenever, the UE switches the active BWP, the UE uses the TDD configuration associated with the new active BWP. An example is shown in Fig. 3. In Fig. 3a, the DL/UL BWP pair is associated with the configuration DUUUUU while in Fig. 3</w:t>
      </w:r>
      <w:proofErr w:type="gramStart"/>
      <w:r>
        <w:rPr>
          <w:color w:val="000000" w:themeColor="text1"/>
        </w:rPr>
        <w:t>b,  the</w:t>
      </w:r>
      <w:proofErr w:type="gramEnd"/>
      <w:r>
        <w:rPr>
          <w:color w:val="000000" w:themeColor="text1"/>
        </w:rPr>
        <w:t xml:space="preserve"> DL/UL BWP pair is associated with the configuration DDDDDU. The </w:t>
      </w:r>
      <w:proofErr w:type="spellStart"/>
      <w:r>
        <w:rPr>
          <w:color w:val="000000" w:themeColor="text1"/>
        </w:rPr>
        <w:t>gNB</w:t>
      </w:r>
      <w:proofErr w:type="spellEnd"/>
      <w:r>
        <w:rPr>
          <w:color w:val="000000" w:themeColor="text1"/>
        </w:rPr>
        <w:t xml:space="preserve"> has the flexibility to choose between the 2 configurations based on traffic requirements. Based on the above justification, the following is proposed.</w:t>
      </w:r>
    </w:p>
    <w:p w14:paraId="7BEA1F09" w14:textId="77777777" w:rsidR="000A2042" w:rsidRDefault="00000000">
      <w:pPr>
        <w:spacing w:after="160" w:line="259" w:lineRule="auto"/>
        <w:ind w:firstLine="720"/>
        <w:contextualSpacing/>
        <w:jc w:val="center"/>
      </w:pPr>
      <w:r>
        <w:rPr>
          <w:noProof/>
        </w:rPr>
        <w:drawing>
          <wp:anchor distT="0" distB="0" distL="0" distR="0" simplePos="0" relativeHeight="6" behindDoc="0" locked="0" layoutInCell="1" allowOverlap="1" wp14:anchorId="0C4ECBE7" wp14:editId="45F11AE2">
            <wp:simplePos x="0" y="0"/>
            <wp:positionH relativeFrom="column">
              <wp:align>center</wp:align>
            </wp:positionH>
            <wp:positionV relativeFrom="paragraph">
              <wp:posOffset>635</wp:posOffset>
            </wp:positionV>
            <wp:extent cx="4380865" cy="1694180"/>
            <wp:effectExtent l="0" t="0" r="0" b="0"/>
            <wp:wrapTopAndBottom/>
            <wp:docPr id="3"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6"/>
                    <pic:cNvPicPr>
                      <a:picLocks noChangeAspect="1" noChangeArrowheads="1"/>
                    </pic:cNvPicPr>
                  </pic:nvPicPr>
                  <pic:blipFill>
                    <a:blip r:embed="rId7"/>
                    <a:stretch>
                      <a:fillRect/>
                    </a:stretch>
                  </pic:blipFill>
                  <pic:spPr bwMode="auto">
                    <a:xfrm>
                      <a:off x="0" y="0"/>
                      <a:ext cx="4380865" cy="1694180"/>
                    </a:xfrm>
                    <a:prstGeom prst="rect">
                      <a:avLst/>
                    </a:prstGeom>
                  </pic:spPr>
                </pic:pic>
              </a:graphicData>
            </a:graphic>
          </wp:anchor>
        </w:drawing>
      </w:r>
      <w:r>
        <w:rPr>
          <w:color w:val="000000" w:themeColor="text1"/>
          <w:sz w:val="20"/>
          <w:szCs w:val="20"/>
          <w:lang w:eastAsia="ko-KR"/>
        </w:rPr>
        <w:t>Fig. 3  Different BWP pairs associated with different TDD configurations for the same UE</w:t>
      </w:r>
    </w:p>
    <w:p w14:paraId="5FB59281" w14:textId="77777777" w:rsidR="000A2042" w:rsidRDefault="000A2042">
      <w:pPr>
        <w:pStyle w:val="ListParagraph"/>
        <w:spacing w:after="160" w:line="259" w:lineRule="auto"/>
        <w:ind w:left="0"/>
        <w:rPr>
          <w:color w:val="000000" w:themeColor="text1"/>
        </w:rPr>
      </w:pPr>
    </w:p>
    <w:p w14:paraId="53C250FA" w14:textId="77777777" w:rsidR="000A2042" w:rsidRDefault="00000000">
      <w:pPr>
        <w:pStyle w:val="ListParagraph"/>
        <w:spacing w:after="160" w:line="259" w:lineRule="auto"/>
        <w:ind w:left="0"/>
        <w:rPr>
          <w:b/>
          <w:bCs/>
        </w:rPr>
      </w:pPr>
      <w:r>
        <w:rPr>
          <w:b/>
          <w:bCs/>
          <w:color w:val="000000" w:themeColor="text1"/>
        </w:rPr>
        <w:t xml:space="preserve">Proposal 5:  </w:t>
      </w:r>
      <w:proofErr w:type="spellStart"/>
      <w:r>
        <w:rPr>
          <w:b/>
          <w:bCs/>
          <w:color w:val="000000" w:themeColor="text1"/>
        </w:rPr>
        <w:t>gNB</w:t>
      </w:r>
      <w:proofErr w:type="spellEnd"/>
      <w:r>
        <w:rPr>
          <w:b/>
          <w:bCs/>
          <w:color w:val="000000" w:themeColor="text1"/>
        </w:rPr>
        <w:t xml:space="preserve"> configuring separate TDD configuration for each BWP pair of the UE is supported.</w:t>
      </w:r>
    </w:p>
    <w:p w14:paraId="60A97929" w14:textId="77777777" w:rsidR="000A2042" w:rsidRDefault="00000000">
      <w:pPr>
        <w:spacing w:after="160" w:line="259" w:lineRule="auto"/>
        <w:ind w:firstLine="720"/>
        <w:contextualSpacing/>
      </w:pPr>
      <w:r>
        <w:rPr>
          <w:color w:val="000000" w:themeColor="text1"/>
        </w:rPr>
        <w:t xml:space="preserve">Further, UE supports TDD configurations and slot formats starting with DL slots/symbols, which again restricts the SBFD operation to certain symbols or certain slot formats. E.g., as shown in Fig. </w:t>
      </w:r>
      <w:proofErr w:type="gramStart"/>
      <w:r>
        <w:rPr>
          <w:color w:val="000000" w:themeColor="text1"/>
        </w:rPr>
        <w:t>4,  UE</w:t>
      </w:r>
      <w:proofErr w:type="gramEnd"/>
      <w:r>
        <w:rPr>
          <w:color w:val="000000" w:themeColor="text1"/>
        </w:rPr>
        <w:t xml:space="preserve"> 1 has UL BWP in slot 1 while UE 2 has DL BWP in the same slot. In such a case, it will be beneficial to provide UE 1 with a TDD configuration starting with UL. Instead of slots, the granularity in time can be symbols/groups of slots/frames as well. To allow such flexibility of scheduling and efficient </w:t>
      </w:r>
      <w:r>
        <w:rPr>
          <w:color w:val="000000" w:themeColor="text1"/>
        </w:rPr>
        <w:lastRenderedPageBreak/>
        <w:t>utilization of available bandwidth for SBFD, TDD configurations and SFI formats starting with UL slots/symbols can be introduced.</w:t>
      </w:r>
    </w:p>
    <w:p w14:paraId="6099FAC6" w14:textId="77777777" w:rsidR="000A2042" w:rsidRDefault="00000000">
      <w:pPr>
        <w:spacing w:after="160" w:line="259" w:lineRule="auto"/>
        <w:ind w:firstLine="720"/>
        <w:contextualSpacing/>
        <w:jc w:val="center"/>
      </w:pPr>
      <w:r>
        <w:rPr>
          <w:noProof/>
        </w:rPr>
        <w:drawing>
          <wp:anchor distT="0" distB="0" distL="0" distR="0" simplePos="0" relativeHeight="5" behindDoc="0" locked="0" layoutInCell="1" allowOverlap="1" wp14:anchorId="4DA13242" wp14:editId="3C11E5DE">
            <wp:simplePos x="0" y="0"/>
            <wp:positionH relativeFrom="column">
              <wp:align>center</wp:align>
            </wp:positionH>
            <wp:positionV relativeFrom="paragraph">
              <wp:posOffset>635</wp:posOffset>
            </wp:positionV>
            <wp:extent cx="2887980" cy="2192655"/>
            <wp:effectExtent l="0" t="0" r="0" b="0"/>
            <wp:wrapTopAndBottom/>
            <wp:docPr id="4"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5"/>
                    <pic:cNvPicPr>
                      <a:picLocks noChangeAspect="1" noChangeArrowheads="1"/>
                    </pic:cNvPicPr>
                  </pic:nvPicPr>
                  <pic:blipFill>
                    <a:blip r:embed="rId8"/>
                    <a:stretch>
                      <a:fillRect/>
                    </a:stretch>
                  </pic:blipFill>
                  <pic:spPr bwMode="auto">
                    <a:xfrm>
                      <a:off x="0" y="0"/>
                      <a:ext cx="2887980" cy="2192655"/>
                    </a:xfrm>
                    <a:prstGeom prst="rect">
                      <a:avLst/>
                    </a:prstGeom>
                  </pic:spPr>
                </pic:pic>
              </a:graphicData>
            </a:graphic>
          </wp:anchor>
        </w:drawing>
      </w:r>
      <w:r>
        <w:rPr>
          <w:color w:val="000000" w:themeColor="text1"/>
          <w:sz w:val="20"/>
          <w:szCs w:val="20"/>
          <w:lang w:eastAsia="ko-KR"/>
        </w:rPr>
        <w:t xml:space="preserve">Fig. </w:t>
      </w:r>
      <w:proofErr w:type="gramStart"/>
      <w:r>
        <w:rPr>
          <w:color w:val="000000" w:themeColor="text1"/>
          <w:sz w:val="20"/>
          <w:szCs w:val="20"/>
          <w:lang w:eastAsia="ko-KR"/>
        </w:rPr>
        <w:t>4  Illustration</w:t>
      </w:r>
      <w:proofErr w:type="gramEnd"/>
      <w:r>
        <w:rPr>
          <w:color w:val="000000" w:themeColor="text1"/>
          <w:sz w:val="20"/>
          <w:szCs w:val="20"/>
          <w:lang w:eastAsia="ko-KR"/>
        </w:rPr>
        <w:t xml:space="preserve"> to show need for TDD configuration starting with UL</w:t>
      </w:r>
    </w:p>
    <w:p w14:paraId="0E3678D1" w14:textId="77777777" w:rsidR="000A2042" w:rsidRDefault="000A2042">
      <w:pPr>
        <w:spacing w:after="160" w:line="259" w:lineRule="auto"/>
        <w:ind w:firstLine="720"/>
        <w:contextualSpacing/>
        <w:rPr>
          <w:color w:val="000000" w:themeColor="text1"/>
        </w:rPr>
      </w:pPr>
    </w:p>
    <w:p w14:paraId="5AC59934" w14:textId="77777777" w:rsidR="000A2042" w:rsidRDefault="00000000">
      <w:pPr>
        <w:spacing w:after="160" w:line="259" w:lineRule="auto"/>
        <w:contextualSpacing/>
      </w:pPr>
      <w:r>
        <w:rPr>
          <w:b/>
          <w:bCs/>
          <w:color w:val="000000" w:themeColor="text1"/>
        </w:rPr>
        <w:t>Observation 4: To allow such flexibility of scheduling and efficient utilization of available bandwidth for SBFD, TDD configurations and SFI formats starting with UL slots/symbols can be introduced.</w:t>
      </w:r>
    </w:p>
    <w:p w14:paraId="69935154" w14:textId="77777777" w:rsidR="000A2042" w:rsidRDefault="000A2042">
      <w:pPr>
        <w:spacing w:after="160" w:line="259" w:lineRule="auto"/>
        <w:contextualSpacing/>
        <w:rPr>
          <w:b/>
          <w:bCs/>
          <w:color w:val="000000" w:themeColor="text1"/>
        </w:rPr>
      </w:pPr>
    </w:p>
    <w:p w14:paraId="53A403DE" w14:textId="77777777" w:rsidR="000A2042" w:rsidRDefault="00000000">
      <w:pPr>
        <w:spacing w:after="160" w:line="259" w:lineRule="auto"/>
        <w:contextualSpacing/>
      </w:pPr>
      <w:r>
        <w:rPr>
          <w:b/>
          <w:bCs/>
          <w:color w:val="000000" w:themeColor="text1"/>
        </w:rPr>
        <w:t>Proposal 6: TDD configurations starting with UL slots/symbols are supported.</w:t>
      </w:r>
    </w:p>
    <w:p w14:paraId="56353B42" w14:textId="77777777" w:rsidR="000A2042" w:rsidRDefault="000A2042">
      <w:pPr>
        <w:spacing w:after="160" w:line="259" w:lineRule="auto"/>
        <w:contextualSpacing/>
        <w:rPr>
          <w:b/>
          <w:bCs/>
          <w:color w:val="000000" w:themeColor="text1"/>
        </w:rPr>
      </w:pPr>
    </w:p>
    <w:p w14:paraId="532F2420" w14:textId="77777777" w:rsidR="000A2042" w:rsidRDefault="00000000" w:rsidP="00F30702">
      <w:pPr>
        <w:pStyle w:val="Heading1"/>
        <w:numPr>
          <w:ilvl w:val="0"/>
          <w:numId w:val="3"/>
        </w:numPr>
        <w:rPr>
          <w:b w:val="0"/>
          <w:bCs w:val="0"/>
        </w:rPr>
      </w:pPr>
      <w:r>
        <w:t>Resource allocation</w:t>
      </w:r>
    </w:p>
    <w:p w14:paraId="5289AE99" w14:textId="77777777" w:rsidR="000A2042" w:rsidRDefault="00000000">
      <w:r>
        <w:rPr>
          <w:rFonts w:eastAsia="Malgun Gothic"/>
          <w:color w:val="000000" w:themeColor="text1"/>
          <w:sz w:val="20"/>
          <w:szCs w:val="20"/>
        </w:rPr>
        <w:t xml:space="preserve">The following agreement </w:t>
      </w:r>
      <w:r>
        <w:rPr>
          <w:color w:val="000000" w:themeColor="text1"/>
        </w:rPr>
        <w:t>was</w:t>
      </w:r>
      <w:r>
        <w:rPr>
          <w:rFonts w:eastAsia="Malgun Gothic"/>
          <w:color w:val="000000" w:themeColor="text1"/>
          <w:sz w:val="20"/>
          <w:szCs w:val="20"/>
        </w:rPr>
        <w:t xml:space="preserve"> made in RAN1#110bis-e [3]. </w:t>
      </w:r>
    </w:p>
    <w:p w14:paraId="06FC0EA9" w14:textId="77777777" w:rsidR="000A2042" w:rsidRDefault="00000000">
      <w:pPr>
        <w:rPr>
          <w:i/>
          <w:iCs/>
        </w:rPr>
      </w:pPr>
      <w:r>
        <w:rPr>
          <w:rFonts w:eastAsia="Malgun Gothic"/>
          <w:b/>
          <w:i/>
          <w:iCs/>
          <w:sz w:val="20"/>
          <w:szCs w:val="20"/>
          <w:highlight w:val="green"/>
        </w:rPr>
        <w:t>Agreement</w:t>
      </w:r>
    </w:p>
    <w:p w14:paraId="0ECB0C2A" w14:textId="77777777" w:rsidR="000A2042" w:rsidRDefault="00000000">
      <w:pPr>
        <w:rPr>
          <w:i/>
          <w:iCs/>
        </w:rPr>
      </w:pPr>
      <w:r>
        <w:rPr>
          <w:rFonts w:eastAsia="Malgun Gothic"/>
          <w:i/>
          <w:iCs/>
          <w:sz w:val="20"/>
          <w:szCs w:val="20"/>
        </w:rPr>
        <w:t>For SBFD operation at least for RRC_CONNECTED state, it is agreed that SBFD operation Alt 4 is the baseline.</w:t>
      </w:r>
    </w:p>
    <w:p w14:paraId="1E9E6587" w14:textId="77777777" w:rsidR="000A2042" w:rsidRDefault="00000000">
      <w:pPr>
        <w:pStyle w:val="a8"/>
        <w:numPr>
          <w:ilvl w:val="0"/>
          <w:numId w:val="2"/>
        </w:numPr>
        <w:tabs>
          <w:tab w:val="left" w:pos="720"/>
        </w:tabs>
        <w:rPr>
          <w:i/>
          <w:iCs/>
        </w:rPr>
      </w:pPr>
      <w:r>
        <w:rPr>
          <w:rFonts w:eastAsia="Malgun Gothic"/>
          <w:i/>
          <w:iCs/>
          <w:sz w:val="20"/>
          <w:szCs w:val="20"/>
        </w:rPr>
        <w:t>SBFD operation Alt 4:</w:t>
      </w:r>
    </w:p>
    <w:p w14:paraId="3DA99D59" w14:textId="77777777" w:rsidR="000A2042" w:rsidRDefault="00000000">
      <w:pPr>
        <w:pStyle w:val="a8"/>
        <w:numPr>
          <w:ilvl w:val="1"/>
          <w:numId w:val="2"/>
        </w:numPr>
        <w:tabs>
          <w:tab w:val="left" w:pos="720"/>
          <w:tab w:val="left" w:pos="1440"/>
        </w:tabs>
        <w:rPr>
          <w:i/>
          <w:iCs/>
        </w:rPr>
      </w:pPr>
      <w:r>
        <w:rPr>
          <w:rFonts w:eastAsia="Malgun Gothic"/>
          <w:i/>
          <w:iCs/>
          <w:sz w:val="20"/>
          <w:szCs w:val="20"/>
        </w:rPr>
        <w:t xml:space="preserve">Both time and frequency locations of </w:t>
      </w:r>
      <w:proofErr w:type="spellStart"/>
      <w:r>
        <w:rPr>
          <w:rFonts w:eastAsia="Malgun Gothic"/>
          <w:i/>
          <w:iCs/>
          <w:sz w:val="20"/>
          <w:szCs w:val="20"/>
        </w:rPr>
        <w:t>subbands</w:t>
      </w:r>
      <w:proofErr w:type="spellEnd"/>
      <w:r>
        <w:rPr>
          <w:rFonts w:eastAsia="Malgun Gothic"/>
          <w:i/>
          <w:iCs/>
          <w:sz w:val="20"/>
          <w:szCs w:val="20"/>
        </w:rPr>
        <w:t xml:space="preserve"> for SBFD operation are known to SBFD aware UEs. </w:t>
      </w:r>
    </w:p>
    <w:p w14:paraId="2F0626BD" w14:textId="77777777" w:rsidR="000A2042" w:rsidRDefault="00000000">
      <w:pPr>
        <w:pStyle w:val="a8"/>
        <w:numPr>
          <w:ilvl w:val="1"/>
          <w:numId w:val="2"/>
        </w:numPr>
        <w:tabs>
          <w:tab w:val="left" w:pos="720"/>
          <w:tab w:val="left" w:pos="1440"/>
        </w:tabs>
        <w:rPr>
          <w:i/>
          <w:iCs/>
        </w:rPr>
      </w:pPr>
      <w:r>
        <w:rPr>
          <w:rFonts w:eastAsia="Malgun Gothic"/>
          <w:i/>
          <w:iCs/>
          <w:sz w:val="20"/>
          <w:szCs w:val="20"/>
        </w:rPr>
        <w:t>UE behaviors for non-SBFD aware UEs follow existing specifications.</w:t>
      </w:r>
    </w:p>
    <w:p w14:paraId="1A08FE79" w14:textId="77777777" w:rsidR="000A2042" w:rsidRDefault="00000000">
      <w:pPr>
        <w:pStyle w:val="a8"/>
        <w:numPr>
          <w:ilvl w:val="1"/>
          <w:numId w:val="2"/>
        </w:numPr>
        <w:tabs>
          <w:tab w:val="left" w:pos="720"/>
          <w:tab w:val="left" w:pos="1440"/>
        </w:tabs>
        <w:rPr>
          <w:i/>
          <w:iCs/>
        </w:rPr>
      </w:pPr>
      <w:r>
        <w:rPr>
          <w:rFonts w:eastAsia="Malgun Gothic"/>
          <w:i/>
          <w:iCs/>
          <w:color w:val="000000" w:themeColor="text1"/>
          <w:sz w:val="20"/>
          <w:szCs w:val="20"/>
          <w:lang w:eastAsia="ko-KR"/>
        </w:rPr>
        <w:t xml:space="preserve">From RAN1 perspective, new UE behaviors can be introduced for SBFD aware UEs based on the time and frequency locations of </w:t>
      </w:r>
      <w:proofErr w:type="spellStart"/>
      <w:r>
        <w:rPr>
          <w:rFonts w:eastAsia="Malgun Gothic"/>
          <w:i/>
          <w:iCs/>
          <w:color w:val="000000" w:themeColor="text1"/>
          <w:sz w:val="20"/>
          <w:szCs w:val="20"/>
          <w:lang w:eastAsia="ko-KR"/>
        </w:rPr>
        <w:t>subbands</w:t>
      </w:r>
      <w:proofErr w:type="spellEnd"/>
      <w:r>
        <w:rPr>
          <w:rFonts w:eastAsia="Malgun Gothic"/>
          <w:i/>
          <w:iCs/>
          <w:color w:val="000000" w:themeColor="text1"/>
          <w:sz w:val="20"/>
          <w:szCs w:val="20"/>
          <w:lang w:eastAsia="ko-KR"/>
        </w:rPr>
        <w:t xml:space="preserve"> for SBFD operation.</w:t>
      </w:r>
    </w:p>
    <w:p w14:paraId="66172B51" w14:textId="77777777" w:rsidR="000A2042" w:rsidRDefault="00000000">
      <w:pPr>
        <w:rPr>
          <w:i/>
          <w:iCs/>
        </w:rPr>
      </w:pPr>
      <w:r>
        <w:rPr>
          <w:b/>
          <w:bCs/>
          <w:i/>
          <w:iCs/>
          <w:color w:val="000000" w:themeColor="text1"/>
          <w:u w:val="single"/>
        </w:rPr>
        <w:tab/>
      </w:r>
    </w:p>
    <w:p w14:paraId="21E5A795" w14:textId="77777777" w:rsidR="000A2042" w:rsidRDefault="000A2042">
      <w:pPr>
        <w:spacing w:after="160" w:line="259" w:lineRule="auto"/>
        <w:ind w:left="90"/>
        <w:contextualSpacing/>
        <w:rPr>
          <w:color w:val="000000" w:themeColor="text1"/>
          <w:lang w:eastAsia="ko-KR"/>
        </w:rPr>
      </w:pPr>
    </w:p>
    <w:p w14:paraId="025ABADA" w14:textId="77777777" w:rsidR="000A2042" w:rsidRDefault="00000000">
      <w:pPr>
        <w:spacing w:after="160" w:line="259" w:lineRule="auto"/>
        <w:ind w:left="90"/>
        <w:contextualSpacing/>
      </w:pPr>
      <w:r>
        <w:rPr>
          <w:rFonts w:eastAsia="Malgun Gothic"/>
          <w:color w:val="000000" w:themeColor="text1"/>
          <w:lang w:eastAsia="ko-KR"/>
        </w:rPr>
        <w:t>The following agreement was made in RAN1#111 [4].</w:t>
      </w:r>
    </w:p>
    <w:p w14:paraId="6DBEE7C1" w14:textId="77777777" w:rsidR="000A2042" w:rsidRDefault="00000000">
      <w:pPr>
        <w:rPr>
          <w:rFonts w:eastAsia="Malgun Gothic"/>
          <w:i/>
          <w:iCs/>
          <w:color w:val="000000" w:themeColor="text1"/>
          <w:sz w:val="20"/>
          <w:szCs w:val="20"/>
          <w:highlight w:val="green"/>
        </w:rPr>
      </w:pPr>
      <w:r>
        <w:rPr>
          <w:rFonts w:eastAsia="Malgun Gothic"/>
          <w:i/>
          <w:iCs/>
          <w:color w:val="000000" w:themeColor="text1"/>
          <w:sz w:val="20"/>
          <w:szCs w:val="20"/>
          <w:highlight w:val="green"/>
        </w:rPr>
        <w:t>Agreement</w:t>
      </w:r>
    </w:p>
    <w:p w14:paraId="4FCDB78C" w14:textId="77777777" w:rsidR="000A2042" w:rsidRDefault="00000000">
      <w:pPr>
        <w:rPr>
          <w:rFonts w:eastAsia="Malgun Gothic"/>
          <w:i/>
          <w:iCs/>
          <w:color w:val="000000" w:themeColor="text1"/>
          <w:sz w:val="20"/>
          <w:szCs w:val="20"/>
        </w:rPr>
      </w:pPr>
      <w:r>
        <w:rPr>
          <w:rFonts w:eastAsia="Malgun Gothic"/>
          <w:i/>
          <w:iCs/>
          <w:color w:val="000000" w:themeColor="text1"/>
          <w:sz w:val="20"/>
          <w:szCs w:val="20"/>
        </w:rPr>
        <w:t>Study impact and potential enhancements for UL transmissions and DL receptions across SBFD symbols and non-SBFD symbols, including at least the following:</w:t>
      </w:r>
    </w:p>
    <w:p w14:paraId="22075DF0" w14:textId="77777777" w:rsidR="000A2042" w:rsidRDefault="00000000">
      <w:pPr>
        <w:pStyle w:val="ListParagraph"/>
        <w:numPr>
          <w:ilvl w:val="0"/>
          <w:numId w:val="8"/>
        </w:numPr>
        <w:rPr>
          <w:rFonts w:eastAsia="Malgun Gothic"/>
          <w:i/>
          <w:iCs/>
          <w:color w:val="000000" w:themeColor="text1"/>
          <w:sz w:val="20"/>
          <w:szCs w:val="20"/>
        </w:rPr>
      </w:pPr>
      <w:r>
        <w:rPr>
          <w:rFonts w:eastAsia="Malgun Gothic"/>
          <w:i/>
          <w:iCs/>
          <w:color w:val="000000" w:themeColor="text1"/>
          <w:sz w:val="20"/>
          <w:szCs w:val="20"/>
        </w:rPr>
        <w:t xml:space="preserve">PDCCH, scheduled/configured PUCCH/PUSCH/PDSCH, without repetition in SBFD symbols and non-SBFD </w:t>
      </w:r>
      <w:proofErr w:type="gramStart"/>
      <w:r>
        <w:rPr>
          <w:rFonts w:eastAsia="Malgun Gothic"/>
          <w:i/>
          <w:iCs/>
          <w:color w:val="000000" w:themeColor="text1"/>
          <w:sz w:val="20"/>
          <w:szCs w:val="20"/>
        </w:rPr>
        <w:t>symbols</w:t>
      </w:r>
      <w:proofErr w:type="gramEnd"/>
    </w:p>
    <w:p w14:paraId="0FAB7F21" w14:textId="77777777" w:rsidR="000A2042" w:rsidRDefault="00000000">
      <w:pPr>
        <w:pStyle w:val="ListParagraph"/>
        <w:numPr>
          <w:ilvl w:val="0"/>
          <w:numId w:val="8"/>
        </w:numPr>
        <w:rPr>
          <w:rFonts w:eastAsia="Malgun Gothic"/>
          <w:i/>
          <w:iCs/>
          <w:color w:val="000000" w:themeColor="text1"/>
          <w:sz w:val="20"/>
          <w:szCs w:val="20"/>
        </w:rPr>
      </w:pPr>
      <w:r>
        <w:rPr>
          <w:rFonts w:eastAsia="Malgun Gothic"/>
          <w:i/>
          <w:iCs/>
          <w:color w:val="000000" w:themeColor="text1"/>
          <w:sz w:val="20"/>
          <w:szCs w:val="20"/>
        </w:rPr>
        <w:t xml:space="preserve">Scheduled/configured SRS/CSI-RS in SBFD symbols and non-SBFD </w:t>
      </w:r>
      <w:proofErr w:type="gramStart"/>
      <w:r>
        <w:rPr>
          <w:rFonts w:eastAsia="Malgun Gothic"/>
          <w:i/>
          <w:iCs/>
          <w:color w:val="000000" w:themeColor="text1"/>
          <w:sz w:val="20"/>
          <w:szCs w:val="20"/>
        </w:rPr>
        <w:t>symbols</w:t>
      </w:r>
      <w:proofErr w:type="gramEnd"/>
    </w:p>
    <w:p w14:paraId="4138DEA5" w14:textId="77777777" w:rsidR="000A2042" w:rsidRDefault="00000000">
      <w:pPr>
        <w:pStyle w:val="ListParagraph"/>
        <w:numPr>
          <w:ilvl w:val="0"/>
          <w:numId w:val="8"/>
        </w:numPr>
        <w:rPr>
          <w:rFonts w:eastAsia="Malgun Gothic"/>
          <w:i/>
          <w:iCs/>
          <w:color w:val="000000" w:themeColor="text1"/>
          <w:sz w:val="20"/>
          <w:szCs w:val="20"/>
        </w:rPr>
      </w:pPr>
      <w:r>
        <w:rPr>
          <w:rFonts w:eastAsia="Malgun Gothic"/>
          <w:i/>
          <w:iCs/>
          <w:color w:val="000000" w:themeColor="text1"/>
          <w:sz w:val="20"/>
          <w:szCs w:val="20"/>
        </w:rPr>
        <w:t xml:space="preserve">Scheduled/configured </w:t>
      </w:r>
      <w:proofErr w:type="spellStart"/>
      <w:r>
        <w:rPr>
          <w:rFonts w:eastAsia="Malgun Gothic"/>
          <w:i/>
          <w:iCs/>
          <w:color w:val="000000" w:themeColor="text1"/>
          <w:sz w:val="20"/>
          <w:szCs w:val="20"/>
        </w:rPr>
        <w:t>TBoMS</w:t>
      </w:r>
      <w:proofErr w:type="spellEnd"/>
      <w:r>
        <w:rPr>
          <w:rFonts w:eastAsia="Malgun Gothic"/>
          <w:i/>
          <w:iCs/>
          <w:color w:val="000000" w:themeColor="text1"/>
          <w:sz w:val="20"/>
          <w:szCs w:val="20"/>
        </w:rPr>
        <w:t xml:space="preserve"> across SBFD symbols and non-SBFD symbols with or without </w:t>
      </w:r>
      <w:proofErr w:type="gramStart"/>
      <w:r>
        <w:rPr>
          <w:rFonts w:eastAsia="Malgun Gothic"/>
          <w:i/>
          <w:iCs/>
          <w:color w:val="000000" w:themeColor="text1"/>
          <w:sz w:val="20"/>
          <w:szCs w:val="20"/>
        </w:rPr>
        <w:t>repetition</w:t>
      </w:r>
      <w:proofErr w:type="gramEnd"/>
    </w:p>
    <w:p w14:paraId="3DC2289F" w14:textId="77777777" w:rsidR="000A2042" w:rsidRDefault="00000000">
      <w:pPr>
        <w:pStyle w:val="ListParagraph"/>
        <w:numPr>
          <w:ilvl w:val="0"/>
          <w:numId w:val="8"/>
        </w:numPr>
        <w:rPr>
          <w:rFonts w:eastAsia="Malgun Gothic"/>
          <w:i/>
          <w:iCs/>
          <w:color w:val="000000" w:themeColor="text1"/>
          <w:sz w:val="20"/>
          <w:szCs w:val="20"/>
        </w:rPr>
      </w:pPr>
      <w:r>
        <w:rPr>
          <w:rFonts w:eastAsia="Malgun Gothic"/>
          <w:i/>
          <w:iCs/>
          <w:color w:val="000000" w:themeColor="text1"/>
          <w:sz w:val="20"/>
          <w:szCs w:val="20"/>
        </w:rPr>
        <w:t xml:space="preserve">Multi-PUSCH/PDSCH scheduled by a single DCI in SBFD symbols and non-SBFD </w:t>
      </w:r>
      <w:proofErr w:type="gramStart"/>
      <w:r>
        <w:rPr>
          <w:rFonts w:eastAsia="Malgun Gothic"/>
          <w:i/>
          <w:iCs/>
          <w:color w:val="000000" w:themeColor="text1"/>
          <w:sz w:val="20"/>
          <w:szCs w:val="20"/>
        </w:rPr>
        <w:t>symbols</w:t>
      </w:r>
      <w:proofErr w:type="gramEnd"/>
    </w:p>
    <w:p w14:paraId="5C9D3CF1" w14:textId="77777777" w:rsidR="000A2042" w:rsidRDefault="00000000">
      <w:pPr>
        <w:pStyle w:val="ListParagraph"/>
        <w:numPr>
          <w:ilvl w:val="0"/>
          <w:numId w:val="8"/>
        </w:numPr>
        <w:rPr>
          <w:rFonts w:eastAsia="Malgun Gothic"/>
          <w:i/>
          <w:iCs/>
          <w:color w:val="000000" w:themeColor="text1"/>
          <w:sz w:val="20"/>
          <w:szCs w:val="20"/>
        </w:rPr>
      </w:pPr>
      <w:r>
        <w:rPr>
          <w:rFonts w:eastAsia="Malgun Gothic"/>
          <w:i/>
          <w:iCs/>
          <w:color w:val="000000" w:themeColor="text1"/>
          <w:sz w:val="20"/>
          <w:szCs w:val="20"/>
        </w:rPr>
        <w:t xml:space="preserve">Scheduled/configured PDSCH/PUSCH/PUCCH with repetitions across SBFD symbols and non-SBFD </w:t>
      </w:r>
      <w:proofErr w:type="gramStart"/>
      <w:r>
        <w:rPr>
          <w:rFonts w:eastAsia="Malgun Gothic"/>
          <w:i/>
          <w:iCs/>
          <w:color w:val="000000" w:themeColor="text1"/>
          <w:sz w:val="20"/>
          <w:szCs w:val="20"/>
        </w:rPr>
        <w:t>symbols</w:t>
      </w:r>
      <w:proofErr w:type="gramEnd"/>
    </w:p>
    <w:p w14:paraId="1737D9F2" w14:textId="77777777" w:rsidR="000A2042" w:rsidRDefault="00000000">
      <w:pPr>
        <w:rPr>
          <w:rFonts w:eastAsia="Malgun Gothic"/>
          <w:i/>
          <w:iCs/>
          <w:color w:val="000000" w:themeColor="text1"/>
          <w:sz w:val="20"/>
          <w:szCs w:val="20"/>
        </w:rPr>
      </w:pPr>
      <w:r>
        <w:rPr>
          <w:rFonts w:eastAsia="Malgun Gothic"/>
          <w:i/>
          <w:iCs/>
          <w:color w:val="000000" w:themeColor="text1"/>
          <w:sz w:val="20"/>
          <w:szCs w:val="20"/>
        </w:rPr>
        <w:t>Note: Inter-slot/intra-slot/inter-repetition/inter-group frequency hopping with DMRS bundling of PUSCH/PUCCH, if applicable, is considered.</w:t>
      </w:r>
    </w:p>
    <w:p w14:paraId="54B0DE12" w14:textId="77777777" w:rsidR="000A2042" w:rsidRDefault="00000000">
      <w:pPr>
        <w:rPr>
          <w:rFonts w:eastAsia="Malgun Gothic"/>
          <w:i/>
          <w:iCs/>
          <w:color w:val="000000" w:themeColor="text1"/>
          <w:sz w:val="20"/>
          <w:szCs w:val="20"/>
        </w:rPr>
      </w:pPr>
      <w:r>
        <w:rPr>
          <w:rFonts w:eastAsia="Malgun Gothic"/>
          <w:i/>
          <w:iCs/>
          <w:color w:val="000000" w:themeColor="text1"/>
          <w:sz w:val="20"/>
          <w:szCs w:val="20"/>
        </w:rPr>
        <w:lastRenderedPageBreak/>
        <w:t>Examples of potential enhancements include:</w:t>
      </w:r>
    </w:p>
    <w:p w14:paraId="20444B7B" w14:textId="77777777" w:rsidR="000A2042" w:rsidRDefault="00000000">
      <w:pPr>
        <w:pStyle w:val="ListParagraph"/>
        <w:numPr>
          <w:ilvl w:val="0"/>
          <w:numId w:val="9"/>
        </w:numPr>
        <w:rPr>
          <w:rFonts w:eastAsia="Malgun Gothic"/>
          <w:i/>
          <w:iCs/>
          <w:color w:val="000000" w:themeColor="text1"/>
          <w:sz w:val="20"/>
          <w:szCs w:val="20"/>
        </w:rPr>
      </w:pPr>
      <w:r>
        <w:rPr>
          <w:rFonts w:eastAsia="Malgun Gothic"/>
          <w:i/>
          <w:iCs/>
          <w:color w:val="000000" w:themeColor="text1"/>
          <w:sz w:val="20"/>
          <w:szCs w:val="20"/>
        </w:rPr>
        <w:t xml:space="preserve">Resource allocation in frequency domain including frequency </w:t>
      </w:r>
      <w:proofErr w:type="gramStart"/>
      <w:r>
        <w:rPr>
          <w:rFonts w:eastAsia="Malgun Gothic"/>
          <w:i/>
          <w:iCs/>
          <w:color w:val="000000" w:themeColor="text1"/>
          <w:sz w:val="20"/>
          <w:szCs w:val="20"/>
        </w:rPr>
        <w:t>hopping</w:t>
      </w:r>
      <w:proofErr w:type="gramEnd"/>
    </w:p>
    <w:p w14:paraId="77107995" w14:textId="77777777" w:rsidR="000A2042" w:rsidRDefault="00000000">
      <w:pPr>
        <w:pStyle w:val="ListParagraph"/>
        <w:numPr>
          <w:ilvl w:val="0"/>
          <w:numId w:val="9"/>
        </w:numPr>
        <w:rPr>
          <w:rFonts w:eastAsia="Malgun Gothic"/>
          <w:i/>
          <w:iCs/>
          <w:color w:val="000000" w:themeColor="text1"/>
          <w:sz w:val="20"/>
          <w:szCs w:val="20"/>
        </w:rPr>
      </w:pPr>
      <w:r>
        <w:rPr>
          <w:rFonts w:eastAsia="Malgun Gothic"/>
          <w:i/>
          <w:iCs/>
          <w:color w:val="000000" w:themeColor="text1"/>
          <w:sz w:val="20"/>
          <w:szCs w:val="20"/>
        </w:rPr>
        <w:t>Resource allocation in time domain</w:t>
      </w:r>
    </w:p>
    <w:p w14:paraId="4E154968" w14:textId="77777777" w:rsidR="000A2042" w:rsidRDefault="00000000">
      <w:pPr>
        <w:pStyle w:val="ListParagraph"/>
        <w:numPr>
          <w:ilvl w:val="0"/>
          <w:numId w:val="9"/>
        </w:numPr>
        <w:rPr>
          <w:rFonts w:eastAsia="Malgun Gothic"/>
          <w:i/>
          <w:iCs/>
          <w:color w:val="000000" w:themeColor="text1"/>
          <w:sz w:val="20"/>
          <w:szCs w:val="20"/>
        </w:rPr>
      </w:pPr>
      <w:r>
        <w:rPr>
          <w:rFonts w:eastAsia="Malgun Gothic"/>
          <w:i/>
          <w:iCs/>
          <w:color w:val="000000" w:themeColor="text1"/>
          <w:sz w:val="20"/>
          <w:szCs w:val="20"/>
        </w:rPr>
        <w:t>Power domain</w:t>
      </w:r>
    </w:p>
    <w:p w14:paraId="21ADF36C" w14:textId="77777777" w:rsidR="000A2042" w:rsidRDefault="00000000">
      <w:pPr>
        <w:pStyle w:val="ListParagraph"/>
        <w:numPr>
          <w:ilvl w:val="0"/>
          <w:numId w:val="9"/>
        </w:numPr>
      </w:pPr>
      <w:r>
        <w:rPr>
          <w:rFonts w:eastAsia="Malgun Gothic"/>
          <w:i/>
          <w:iCs/>
          <w:color w:val="000000" w:themeColor="text1"/>
          <w:sz w:val="20"/>
          <w:szCs w:val="20"/>
        </w:rPr>
        <w:t xml:space="preserve">Spatial domain </w:t>
      </w:r>
    </w:p>
    <w:p w14:paraId="29604B81" w14:textId="77777777" w:rsidR="000A2042" w:rsidRDefault="00000000">
      <w:pPr>
        <w:tabs>
          <w:tab w:val="left" w:pos="0"/>
        </w:tabs>
        <w:spacing w:after="160" w:line="259" w:lineRule="auto"/>
        <w:ind w:left="90"/>
        <w:contextualSpacing/>
      </w:pPr>
      <w:r>
        <w:rPr>
          <w:rFonts w:eastAsia="Malgun Gothic"/>
          <w:i/>
          <w:iCs/>
          <w:color w:val="000000" w:themeColor="text1"/>
          <w:sz w:val="20"/>
          <w:szCs w:val="20"/>
        </w:rPr>
        <w:t>FFS: If the PUCCH/PUSCH/PDSCH/PDCCH can be mapped to SBFD and non-SBFD in the same slot if configured.</w:t>
      </w:r>
    </w:p>
    <w:p w14:paraId="6E3D6276" w14:textId="77777777" w:rsidR="000A2042" w:rsidRDefault="00000000">
      <w:pPr>
        <w:pStyle w:val="ListParagraph"/>
        <w:spacing w:after="160" w:line="259" w:lineRule="auto"/>
        <w:ind w:left="0"/>
        <w:rPr>
          <w:b/>
          <w:bCs/>
          <w:color w:val="000000" w:themeColor="text1"/>
        </w:rPr>
      </w:pPr>
      <w:r>
        <w:rPr>
          <w:color w:val="000000" w:themeColor="text1"/>
        </w:rPr>
        <w:t xml:space="preserve">Based on the above agreements, the following paragraphs discuss the new UE </w:t>
      </w:r>
      <w:proofErr w:type="spellStart"/>
      <w:r>
        <w:rPr>
          <w:color w:val="000000" w:themeColor="text1"/>
        </w:rPr>
        <w:t>behaviours</w:t>
      </w:r>
      <w:proofErr w:type="spellEnd"/>
      <w:r>
        <w:rPr>
          <w:color w:val="000000" w:themeColor="text1"/>
        </w:rPr>
        <w:t xml:space="preserve"> that needs to be introduced for SBFD aware UEs for different signals/channels.</w:t>
      </w:r>
    </w:p>
    <w:p w14:paraId="43F73776" w14:textId="77777777" w:rsidR="000A2042" w:rsidRDefault="000A2042">
      <w:pPr>
        <w:pStyle w:val="ListParagraph"/>
        <w:spacing w:after="160" w:line="259" w:lineRule="auto"/>
        <w:ind w:left="0"/>
        <w:rPr>
          <w:b/>
          <w:bCs/>
          <w:color w:val="000000" w:themeColor="text1"/>
        </w:rPr>
      </w:pPr>
    </w:p>
    <w:p w14:paraId="7E178799" w14:textId="0A7AB25E" w:rsidR="000A2042" w:rsidRDefault="00000000" w:rsidP="00F30702">
      <w:pPr>
        <w:pStyle w:val="Heading2"/>
        <w:numPr>
          <w:ilvl w:val="1"/>
          <w:numId w:val="13"/>
        </w:numPr>
      </w:pPr>
      <w:r>
        <w:t>CSI-RS related enhancement</w:t>
      </w:r>
    </w:p>
    <w:p w14:paraId="67BA01B3" w14:textId="73B5172B" w:rsidR="000A2042" w:rsidRDefault="00000000">
      <w:r>
        <w:rPr>
          <w:color w:val="000000" w:themeColor="text1"/>
        </w:rPr>
        <w:t xml:space="preserve">CSI-RS is a wide band </w:t>
      </w:r>
      <w:proofErr w:type="gramStart"/>
      <w:r>
        <w:rPr>
          <w:color w:val="000000" w:themeColor="text1"/>
        </w:rPr>
        <w:t>signal</w:t>
      </w:r>
      <w:proofErr w:type="gramEnd"/>
      <w:r>
        <w:rPr>
          <w:color w:val="000000" w:themeColor="text1"/>
        </w:rPr>
        <w:t xml:space="preserve"> and the UE is expected to receive CSI-RS over the entire BWP. Therefore, SBFD operation and UL SB will have an impact on CSI-RS. The following agreement was made in RAN1#110bis-e [3] </w:t>
      </w:r>
      <w:proofErr w:type="spellStart"/>
      <w:r>
        <w:rPr>
          <w:color w:val="000000" w:themeColor="text1"/>
        </w:rPr>
        <w:t>wrt</w:t>
      </w:r>
      <w:proofErr w:type="spellEnd"/>
      <w:r>
        <w:rPr>
          <w:color w:val="000000" w:themeColor="text1"/>
        </w:rPr>
        <w:t xml:space="preserve"> CSI-RS.</w:t>
      </w:r>
    </w:p>
    <w:p w14:paraId="65E01973" w14:textId="77777777" w:rsidR="000A2042" w:rsidRDefault="00000000">
      <w:pPr>
        <w:rPr>
          <w:i/>
          <w:iCs/>
        </w:rPr>
      </w:pPr>
      <w:r>
        <w:rPr>
          <w:rFonts w:eastAsia="Malgun Gothic"/>
          <w:i/>
          <w:iCs/>
          <w:sz w:val="20"/>
          <w:szCs w:val="20"/>
          <w:highlight w:val="green"/>
        </w:rPr>
        <w:t>Agreement</w:t>
      </w:r>
    </w:p>
    <w:p w14:paraId="613D406B" w14:textId="77777777" w:rsidR="000A2042" w:rsidRDefault="00000000">
      <w:pPr>
        <w:ind w:left="90"/>
        <w:rPr>
          <w:i/>
          <w:iCs/>
        </w:rPr>
      </w:pPr>
      <w:r>
        <w:rPr>
          <w:rFonts w:eastAsia="Malgun Gothic"/>
          <w:i/>
          <w:iCs/>
          <w:color w:val="000000" w:themeColor="text1"/>
          <w:sz w:val="20"/>
          <w:szCs w:val="20"/>
        </w:rPr>
        <w:t xml:space="preserve">Study impact and potential enhancements of </w:t>
      </w:r>
      <w:r>
        <w:rPr>
          <w:rFonts w:eastAsia="Malgun Gothic"/>
          <w:i/>
          <w:iCs/>
          <w:color w:val="000000" w:themeColor="text1"/>
          <w:sz w:val="20"/>
          <w:szCs w:val="20"/>
          <w:lang w:eastAsia="ko-KR"/>
        </w:rPr>
        <w:t>CSI-RS resource</w:t>
      </w:r>
      <w:r>
        <w:rPr>
          <w:rFonts w:eastAsia="Malgun Gothic"/>
          <w:i/>
          <w:iCs/>
          <w:color w:val="000000" w:themeColor="text1"/>
          <w:sz w:val="20"/>
          <w:szCs w:val="20"/>
        </w:rPr>
        <w:t xml:space="preserve"> set frequency domain resource allocation and </w:t>
      </w:r>
      <w:r>
        <w:rPr>
          <w:rFonts w:eastAsia="Malgun Gothic"/>
          <w:i/>
          <w:iCs/>
          <w:color w:val="000000" w:themeColor="text1"/>
          <w:sz w:val="20"/>
          <w:szCs w:val="20"/>
          <w:lang w:eastAsia="ko-KR"/>
        </w:rPr>
        <w:t>CSI report</w:t>
      </w:r>
      <w:r>
        <w:rPr>
          <w:rFonts w:eastAsia="Malgun Gothic"/>
          <w:i/>
          <w:iCs/>
          <w:color w:val="000000" w:themeColor="text1"/>
          <w:sz w:val="20"/>
          <w:szCs w:val="20"/>
        </w:rPr>
        <w:t>ing</w:t>
      </w:r>
      <w:r>
        <w:rPr>
          <w:rFonts w:eastAsia="Malgun Gothic"/>
          <w:i/>
          <w:iCs/>
          <w:color w:val="000000" w:themeColor="text1"/>
          <w:sz w:val="20"/>
          <w:szCs w:val="20"/>
          <w:lang w:eastAsia="ko-KR"/>
        </w:rPr>
        <w:t xml:space="preserve"> configuration across</w:t>
      </w:r>
      <w:r>
        <w:rPr>
          <w:i/>
          <w:iCs/>
          <w:color w:val="000000" w:themeColor="text1"/>
          <w:sz w:val="20"/>
          <w:szCs w:val="20"/>
          <w:lang w:eastAsia="ko-KR"/>
        </w:rPr>
        <w:t xml:space="preserve"> </w:t>
      </w:r>
      <w:r>
        <w:rPr>
          <w:rFonts w:eastAsia="Malgun Gothic"/>
          <w:i/>
          <w:iCs/>
          <w:color w:val="000000" w:themeColor="text1"/>
          <w:sz w:val="20"/>
          <w:szCs w:val="20"/>
          <w:lang w:eastAsia="ko-KR"/>
        </w:rPr>
        <w:t xml:space="preserve">non-contiguous DL </w:t>
      </w:r>
      <w:proofErr w:type="spellStart"/>
      <w:r>
        <w:rPr>
          <w:rFonts w:eastAsia="Malgun Gothic"/>
          <w:i/>
          <w:iCs/>
          <w:color w:val="000000" w:themeColor="text1"/>
          <w:sz w:val="20"/>
          <w:szCs w:val="20"/>
          <w:lang w:eastAsia="ko-KR"/>
        </w:rPr>
        <w:t>subbands</w:t>
      </w:r>
      <w:proofErr w:type="spellEnd"/>
      <w:r>
        <w:rPr>
          <w:rFonts w:eastAsia="Malgun Gothic"/>
          <w:i/>
          <w:iCs/>
          <w:color w:val="000000" w:themeColor="text1"/>
          <w:sz w:val="20"/>
          <w:szCs w:val="20"/>
        </w:rPr>
        <w:t>.</w:t>
      </w:r>
    </w:p>
    <w:p w14:paraId="05DD3B71" w14:textId="77777777" w:rsidR="000A2042" w:rsidRDefault="00000000">
      <w:r>
        <w:rPr>
          <w:color w:val="000000" w:themeColor="text1"/>
        </w:rPr>
        <w:t xml:space="preserve">With reference to Fig. 1, the UE in DL may be configured with periodic CSI-RS reception in BWP1. However, as shown in Fig. 1, the UL SB and guard in between makes the DL </w:t>
      </w:r>
      <w:proofErr w:type="spellStart"/>
      <w:r>
        <w:rPr>
          <w:color w:val="000000" w:themeColor="text1"/>
        </w:rPr>
        <w:t>subbands</w:t>
      </w:r>
      <w:proofErr w:type="spellEnd"/>
      <w:r>
        <w:rPr>
          <w:color w:val="000000" w:themeColor="text1"/>
        </w:rPr>
        <w:t xml:space="preserve"> non-contiguous. In such a case, the UE in DL which has been configured to receive CSI-RS can receive it in the </w:t>
      </w:r>
      <w:proofErr w:type="gramStart"/>
      <w:r>
        <w:rPr>
          <w:color w:val="000000" w:themeColor="text1"/>
        </w:rPr>
        <w:t>following  ways</w:t>
      </w:r>
      <w:proofErr w:type="gramEnd"/>
      <w:r>
        <w:rPr>
          <w:color w:val="000000" w:themeColor="text1"/>
        </w:rPr>
        <w:t xml:space="preserve">; </w:t>
      </w:r>
    </w:p>
    <w:p w14:paraId="133E071D" w14:textId="77777777" w:rsidR="000A2042" w:rsidRDefault="00000000">
      <w:r>
        <w:rPr>
          <w:color w:val="000000" w:themeColor="text1"/>
        </w:rPr>
        <w:t xml:space="preserve">a. The CSI-RS is only restricted to the DL </w:t>
      </w:r>
      <w:proofErr w:type="spellStart"/>
      <w:r>
        <w:rPr>
          <w:color w:val="000000" w:themeColor="text1"/>
        </w:rPr>
        <w:t>subbands</w:t>
      </w:r>
      <w:proofErr w:type="spellEnd"/>
      <w:r>
        <w:rPr>
          <w:color w:val="000000" w:themeColor="text1"/>
        </w:rPr>
        <w:t>. E.g.</w:t>
      </w:r>
      <w:proofErr w:type="gramStart"/>
      <w:r>
        <w:rPr>
          <w:color w:val="000000" w:themeColor="text1"/>
        </w:rPr>
        <w:t>,  separate</w:t>
      </w:r>
      <w:proofErr w:type="gramEnd"/>
      <w:r>
        <w:rPr>
          <w:color w:val="000000" w:themeColor="text1"/>
        </w:rPr>
        <w:t xml:space="preserve"> CSI-RS resources are allocated to the 2 DL </w:t>
      </w:r>
      <w:proofErr w:type="spellStart"/>
      <w:r>
        <w:rPr>
          <w:color w:val="000000" w:themeColor="text1"/>
        </w:rPr>
        <w:t>subbands</w:t>
      </w:r>
      <w:proofErr w:type="spellEnd"/>
      <w:r>
        <w:rPr>
          <w:color w:val="000000" w:themeColor="text1"/>
        </w:rPr>
        <w:t>. This is shown in Fig. 5.</w:t>
      </w:r>
    </w:p>
    <w:p w14:paraId="4DA3ABB1" w14:textId="77777777" w:rsidR="000A2042" w:rsidRDefault="00000000">
      <w:r>
        <w:rPr>
          <w:color w:val="000000" w:themeColor="text1"/>
        </w:rPr>
        <w:t>b. Contiguous CSI-RS resource where the whole symbol is converted into a DL symbol in which CSI-RS is transmitted.</w:t>
      </w:r>
    </w:p>
    <w:p w14:paraId="1AFE7C12" w14:textId="77777777" w:rsidR="000A2042" w:rsidRDefault="00000000">
      <w:r>
        <w:rPr>
          <w:color w:val="000000" w:themeColor="text1"/>
        </w:rPr>
        <w:t xml:space="preserve">c. </w:t>
      </w:r>
      <w:r>
        <w:rPr>
          <w:rFonts w:eastAsiaTheme="minorEastAsia"/>
          <w:color w:val="000000"/>
          <w:lang w:val="fr-FR"/>
        </w:rPr>
        <w:t>Non-</w:t>
      </w:r>
      <w:proofErr w:type="spellStart"/>
      <w:r>
        <w:rPr>
          <w:rFonts w:eastAsiaTheme="minorEastAsia"/>
          <w:color w:val="000000"/>
          <w:lang w:val="fr-FR"/>
        </w:rPr>
        <w:t>contiguous</w:t>
      </w:r>
      <w:proofErr w:type="spellEnd"/>
      <w:r>
        <w:rPr>
          <w:rFonts w:eastAsiaTheme="minorEastAsia"/>
          <w:color w:val="000000"/>
          <w:lang w:val="fr-FR"/>
        </w:rPr>
        <w:t xml:space="preserve"> CSI-RS </w:t>
      </w:r>
      <w:proofErr w:type="spellStart"/>
      <w:r>
        <w:rPr>
          <w:rFonts w:eastAsiaTheme="minorEastAsia"/>
          <w:color w:val="000000"/>
          <w:lang w:val="fr-FR"/>
        </w:rPr>
        <w:t>resource</w:t>
      </w:r>
      <w:proofErr w:type="spellEnd"/>
      <w:r>
        <w:rPr>
          <w:rFonts w:eastAsiaTheme="minorEastAsia"/>
          <w:color w:val="000000"/>
          <w:lang w:val="fr-FR"/>
        </w:rPr>
        <w:t xml:space="preserve">- In </w:t>
      </w:r>
      <w:proofErr w:type="spellStart"/>
      <w:r>
        <w:rPr>
          <w:rFonts w:eastAsiaTheme="minorEastAsia"/>
          <w:color w:val="000000"/>
          <w:lang w:val="fr-FR"/>
        </w:rPr>
        <w:t>this</w:t>
      </w:r>
      <w:proofErr w:type="spellEnd"/>
      <w:r>
        <w:rPr>
          <w:rFonts w:eastAsiaTheme="minorEastAsia"/>
          <w:color w:val="000000"/>
          <w:lang w:val="fr-FR"/>
        </w:rPr>
        <w:t xml:space="preserve"> case, the CSI-RS </w:t>
      </w:r>
      <w:proofErr w:type="spellStart"/>
      <w:r>
        <w:rPr>
          <w:rFonts w:eastAsiaTheme="minorEastAsia"/>
          <w:color w:val="000000"/>
          <w:lang w:val="fr-FR"/>
        </w:rPr>
        <w:t>resource</w:t>
      </w:r>
      <w:proofErr w:type="spellEnd"/>
      <w:r>
        <w:rPr>
          <w:rFonts w:eastAsiaTheme="minorEastAsia"/>
          <w:color w:val="000000"/>
          <w:lang w:val="fr-FR"/>
        </w:rPr>
        <w:t xml:space="preserve"> </w:t>
      </w:r>
      <w:proofErr w:type="spellStart"/>
      <w:r>
        <w:rPr>
          <w:rFonts w:eastAsiaTheme="minorEastAsia"/>
          <w:color w:val="000000"/>
          <w:lang w:val="fr-FR"/>
        </w:rPr>
        <w:t>is</w:t>
      </w:r>
      <w:proofErr w:type="spellEnd"/>
      <w:r>
        <w:rPr>
          <w:rFonts w:eastAsiaTheme="minorEastAsia"/>
          <w:color w:val="000000"/>
          <w:lang w:val="fr-FR"/>
        </w:rPr>
        <w:t xml:space="preserve"> </w:t>
      </w:r>
      <w:proofErr w:type="spellStart"/>
      <w:proofErr w:type="gramStart"/>
      <w:r>
        <w:rPr>
          <w:rFonts w:eastAsiaTheme="minorEastAsia"/>
          <w:color w:val="000000"/>
          <w:lang w:val="fr-FR"/>
        </w:rPr>
        <w:t>contiguous</w:t>
      </w:r>
      <w:proofErr w:type="spellEnd"/>
      <w:proofErr w:type="gramEnd"/>
      <w:r>
        <w:rPr>
          <w:rFonts w:eastAsiaTheme="minorEastAsia"/>
          <w:color w:val="000000"/>
          <w:lang w:val="fr-FR"/>
        </w:rPr>
        <w:t xml:space="preserve"> but the </w:t>
      </w:r>
      <w:proofErr w:type="spellStart"/>
      <w:r>
        <w:rPr>
          <w:rFonts w:eastAsiaTheme="minorEastAsia"/>
          <w:color w:val="000000"/>
          <w:lang w:val="fr-FR"/>
        </w:rPr>
        <w:t>sequence</w:t>
      </w:r>
      <w:proofErr w:type="spellEnd"/>
      <w:r>
        <w:rPr>
          <w:rFonts w:eastAsiaTheme="minorEastAsia"/>
          <w:color w:val="000000"/>
          <w:lang w:val="fr-FR"/>
        </w:rPr>
        <w:t xml:space="preserve"> </w:t>
      </w:r>
      <w:proofErr w:type="spellStart"/>
      <w:r>
        <w:rPr>
          <w:rFonts w:eastAsiaTheme="minorEastAsia"/>
          <w:color w:val="000000"/>
          <w:lang w:val="fr-FR"/>
        </w:rPr>
        <w:t>filling</w:t>
      </w:r>
      <w:proofErr w:type="spellEnd"/>
      <w:r>
        <w:rPr>
          <w:rFonts w:eastAsiaTheme="minorEastAsia"/>
          <w:color w:val="000000"/>
          <w:lang w:val="fr-FR"/>
        </w:rPr>
        <w:t xml:space="preserve"> </w:t>
      </w:r>
      <w:proofErr w:type="spellStart"/>
      <w:r>
        <w:rPr>
          <w:rFonts w:eastAsiaTheme="minorEastAsia"/>
          <w:color w:val="000000"/>
          <w:lang w:val="fr-FR"/>
        </w:rPr>
        <w:t>is</w:t>
      </w:r>
      <w:proofErr w:type="spellEnd"/>
      <w:r>
        <w:rPr>
          <w:rFonts w:eastAsiaTheme="minorEastAsia"/>
          <w:color w:val="000000"/>
          <w:lang w:val="fr-FR"/>
        </w:rPr>
        <w:t xml:space="preserve"> </w:t>
      </w:r>
      <w:proofErr w:type="spellStart"/>
      <w:r>
        <w:rPr>
          <w:rFonts w:eastAsiaTheme="minorEastAsia"/>
          <w:color w:val="000000"/>
          <w:lang w:val="fr-FR"/>
        </w:rPr>
        <w:t>skipped</w:t>
      </w:r>
      <w:proofErr w:type="spellEnd"/>
      <w:r>
        <w:rPr>
          <w:rFonts w:eastAsiaTheme="minorEastAsia"/>
          <w:color w:val="000000"/>
          <w:lang w:val="fr-FR"/>
        </w:rPr>
        <w:t xml:space="preserve"> in the </w:t>
      </w:r>
      <w:proofErr w:type="spellStart"/>
      <w:r>
        <w:rPr>
          <w:rFonts w:eastAsiaTheme="minorEastAsia"/>
          <w:color w:val="000000"/>
          <w:lang w:val="fr-FR"/>
        </w:rPr>
        <w:t>guard</w:t>
      </w:r>
      <w:proofErr w:type="spellEnd"/>
      <w:r>
        <w:rPr>
          <w:rFonts w:eastAsiaTheme="minorEastAsia"/>
          <w:color w:val="000000"/>
          <w:lang w:val="fr-FR"/>
        </w:rPr>
        <w:t xml:space="preserve"> band and UL SB. </w:t>
      </w:r>
    </w:p>
    <w:p w14:paraId="2FEA7F0E" w14:textId="77777777" w:rsidR="000A2042" w:rsidRDefault="00000000">
      <w:r>
        <w:rPr>
          <w:color w:val="000000" w:themeColor="text1"/>
        </w:rPr>
        <w:t xml:space="preserve">There advantages of the case (b) </w:t>
      </w:r>
      <w:proofErr w:type="gramStart"/>
      <w:r>
        <w:rPr>
          <w:color w:val="000000" w:themeColor="text1"/>
        </w:rPr>
        <w:t>is</w:t>
      </w:r>
      <w:proofErr w:type="gramEnd"/>
      <w:r>
        <w:rPr>
          <w:color w:val="000000" w:themeColor="text1"/>
        </w:rPr>
        <w:t xml:space="preserve"> that:</w:t>
      </w:r>
    </w:p>
    <w:p w14:paraId="5218FE9F" w14:textId="77777777" w:rsidR="000A2042" w:rsidRDefault="00000000">
      <w:proofErr w:type="spellStart"/>
      <w:r>
        <w:rPr>
          <w:color w:val="000000" w:themeColor="text1"/>
        </w:rPr>
        <w:t>i</w:t>
      </w:r>
      <w:proofErr w:type="spellEnd"/>
      <w:r>
        <w:rPr>
          <w:color w:val="000000" w:themeColor="text1"/>
        </w:rPr>
        <w:t xml:space="preserve">. No changes are required to the specification </w:t>
      </w:r>
      <w:proofErr w:type="spellStart"/>
      <w:r>
        <w:rPr>
          <w:color w:val="000000" w:themeColor="text1"/>
        </w:rPr>
        <w:t>wrt</w:t>
      </w:r>
      <w:proofErr w:type="spellEnd"/>
      <w:r>
        <w:rPr>
          <w:color w:val="000000" w:themeColor="text1"/>
        </w:rPr>
        <w:t xml:space="preserve"> CSI-RS.</w:t>
      </w:r>
    </w:p>
    <w:p w14:paraId="23ECFEFE" w14:textId="77777777" w:rsidR="000A2042" w:rsidRDefault="00000000">
      <w:r>
        <w:rPr>
          <w:color w:val="000000" w:themeColor="text1"/>
        </w:rPr>
        <w:t xml:space="preserve">ii. The CSI-RS remains wideband. The quality of channel estimated might be affected if 2 separate CSI-RS resources are allocated to the 2 DL </w:t>
      </w:r>
      <w:proofErr w:type="spellStart"/>
      <w:r>
        <w:rPr>
          <w:color w:val="000000" w:themeColor="text1"/>
        </w:rPr>
        <w:t>subbands</w:t>
      </w:r>
      <w:proofErr w:type="spellEnd"/>
      <w:r>
        <w:rPr>
          <w:color w:val="000000" w:themeColor="text1"/>
        </w:rPr>
        <w:t xml:space="preserve"> depending on the size of </w:t>
      </w:r>
      <w:proofErr w:type="gramStart"/>
      <w:r>
        <w:rPr>
          <w:color w:val="000000" w:themeColor="text1"/>
        </w:rPr>
        <w:t>the  DL</w:t>
      </w:r>
      <w:proofErr w:type="gramEnd"/>
      <w:r>
        <w:rPr>
          <w:color w:val="000000" w:themeColor="text1"/>
        </w:rPr>
        <w:t xml:space="preserve"> </w:t>
      </w:r>
      <w:proofErr w:type="spellStart"/>
      <w:r>
        <w:rPr>
          <w:color w:val="000000" w:themeColor="text1"/>
        </w:rPr>
        <w:t>subbands</w:t>
      </w:r>
      <w:proofErr w:type="spellEnd"/>
      <w:r>
        <w:rPr>
          <w:color w:val="000000" w:themeColor="text1"/>
        </w:rPr>
        <w:t xml:space="preserve"> in frequency domain. </w:t>
      </w:r>
    </w:p>
    <w:p w14:paraId="55FF18F5" w14:textId="77777777" w:rsidR="000A2042" w:rsidRDefault="00000000">
      <w:r>
        <w:rPr>
          <w:color w:val="000000" w:themeColor="text1"/>
        </w:rPr>
        <w:t xml:space="preserve">iii. The CSI can be estimated over the whole BWP (BWP 1 in this case) which can be later used fully as DL. </w:t>
      </w:r>
    </w:p>
    <w:p w14:paraId="366D622B" w14:textId="77777777" w:rsidR="000A2042" w:rsidRDefault="00000000">
      <w:pPr>
        <w:ind w:firstLine="720"/>
        <w:jc w:val="center"/>
      </w:pPr>
      <w:r>
        <w:rPr>
          <w:noProof/>
        </w:rPr>
        <w:lastRenderedPageBreak/>
        <w:drawing>
          <wp:anchor distT="0" distB="0" distL="0" distR="0" simplePos="0" relativeHeight="4" behindDoc="0" locked="0" layoutInCell="1" allowOverlap="1" wp14:anchorId="15AC51F7" wp14:editId="0ED11BD1">
            <wp:simplePos x="0" y="0"/>
            <wp:positionH relativeFrom="column">
              <wp:align>center</wp:align>
            </wp:positionH>
            <wp:positionV relativeFrom="paragraph">
              <wp:posOffset>635</wp:posOffset>
            </wp:positionV>
            <wp:extent cx="2947670" cy="2101215"/>
            <wp:effectExtent l="0" t="0" r="0" b="0"/>
            <wp:wrapTopAndBottom/>
            <wp:docPr id="5"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
                    <pic:cNvPicPr>
                      <a:picLocks noChangeAspect="1" noChangeArrowheads="1"/>
                    </pic:cNvPicPr>
                  </pic:nvPicPr>
                  <pic:blipFill>
                    <a:blip r:embed="rId9"/>
                    <a:stretch>
                      <a:fillRect/>
                    </a:stretch>
                  </pic:blipFill>
                  <pic:spPr bwMode="auto">
                    <a:xfrm>
                      <a:off x="0" y="0"/>
                      <a:ext cx="2947670" cy="2101215"/>
                    </a:xfrm>
                    <a:prstGeom prst="rect">
                      <a:avLst/>
                    </a:prstGeom>
                  </pic:spPr>
                </pic:pic>
              </a:graphicData>
            </a:graphic>
          </wp:anchor>
        </w:drawing>
      </w:r>
    </w:p>
    <w:p w14:paraId="1D5BEC6E" w14:textId="77777777" w:rsidR="000A2042" w:rsidRDefault="00000000">
      <w:pPr>
        <w:jc w:val="center"/>
      </w:pPr>
      <w:r>
        <w:rPr>
          <w:color w:val="000000" w:themeColor="text1"/>
        </w:rPr>
        <w:t xml:space="preserve">Fig. 5 Separate </w:t>
      </w:r>
      <w:r>
        <w:rPr>
          <w:rFonts w:eastAsia="Malgun Gothic"/>
          <w:color w:val="000000" w:themeColor="text1"/>
        </w:rPr>
        <w:t>C</w:t>
      </w:r>
      <w:r>
        <w:rPr>
          <w:color w:val="000000" w:themeColor="text1"/>
        </w:rPr>
        <w:t xml:space="preserve">SI-RS resources in non-contiguous DL </w:t>
      </w:r>
      <w:proofErr w:type="spellStart"/>
      <w:r>
        <w:rPr>
          <w:color w:val="000000" w:themeColor="text1"/>
        </w:rPr>
        <w:t>subbands</w:t>
      </w:r>
      <w:proofErr w:type="spellEnd"/>
    </w:p>
    <w:p w14:paraId="6A8A0582" w14:textId="77777777" w:rsidR="000A2042" w:rsidRDefault="00000000">
      <w:r>
        <w:t xml:space="preserve">Similarly, option c., has the advantage of UL SB remaining unaffected by the CSI-RS. However, the CSI-RS sequence filling needs to be modified. </w:t>
      </w:r>
    </w:p>
    <w:p w14:paraId="4C024C5B" w14:textId="77777777" w:rsidR="000A2042" w:rsidRDefault="00000000">
      <w:pPr>
        <w:ind w:left="90"/>
        <w:rPr>
          <w:sz w:val="20"/>
          <w:szCs w:val="20"/>
        </w:rPr>
      </w:pPr>
      <w:r>
        <w:rPr>
          <w:rFonts w:eastAsia="Malgun Gothic"/>
          <w:color w:val="000000" w:themeColor="text1"/>
        </w:rPr>
        <w:t xml:space="preserve">Based on the above discussion, the following proposal is made. </w:t>
      </w:r>
    </w:p>
    <w:p w14:paraId="0F3809C4" w14:textId="77777777" w:rsidR="000A2042" w:rsidRDefault="00000000">
      <w:pPr>
        <w:spacing w:after="160" w:line="259" w:lineRule="auto"/>
        <w:ind w:left="90"/>
        <w:contextualSpacing/>
        <w:rPr>
          <w:b/>
          <w:bCs/>
          <w:color w:val="000000" w:themeColor="text1"/>
        </w:rPr>
      </w:pPr>
      <w:r>
        <w:rPr>
          <w:b/>
          <w:bCs/>
          <w:color w:val="000000" w:themeColor="text1"/>
        </w:rPr>
        <w:t xml:space="preserve">Proposal 7: </w:t>
      </w:r>
      <w:r>
        <w:rPr>
          <w:b/>
          <w:bCs/>
          <w:color w:val="000000" w:themeColor="text1"/>
          <w:lang w:val="fr-FR"/>
        </w:rPr>
        <w:t xml:space="preserve"> </w:t>
      </w:r>
      <w:r>
        <w:rPr>
          <w:b/>
          <w:bCs/>
          <w:color w:val="000000" w:themeColor="text1"/>
        </w:rPr>
        <w:t xml:space="preserve">Following options are supported for </w:t>
      </w:r>
      <w:proofErr w:type="gramStart"/>
      <w:r>
        <w:rPr>
          <w:b/>
          <w:bCs/>
          <w:color w:val="000000" w:themeColor="text1"/>
        </w:rPr>
        <w:t>performing  CSI</w:t>
      </w:r>
      <w:proofErr w:type="gramEnd"/>
      <w:r>
        <w:rPr>
          <w:b/>
          <w:bCs/>
          <w:color w:val="000000" w:themeColor="text1"/>
        </w:rPr>
        <w:t>-RS reception in SBFD  symbols</w:t>
      </w:r>
    </w:p>
    <w:p w14:paraId="73DB5B59" w14:textId="77777777" w:rsidR="000A2042" w:rsidRDefault="00000000">
      <w:pPr>
        <w:rPr>
          <w:b/>
          <w:bCs/>
          <w:color w:val="000000" w:themeColor="text1"/>
        </w:rPr>
      </w:pPr>
      <w:r>
        <w:rPr>
          <w:b/>
          <w:bCs/>
          <w:color w:val="000000" w:themeColor="text1"/>
        </w:rPr>
        <w:t xml:space="preserve"> Alt 1: Whole symbol </w:t>
      </w:r>
      <w:proofErr w:type="gramStart"/>
      <w:r>
        <w:rPr>
          <w:b/>
          <w:bCs/>
          <w:color w:val="000000" w:themeColor="text1"/>
        </w:rPr>
        <w:t>is  converted</w:t>
      </w:r>
      <w:proofErr w:type="gramEnd"/>
      <w:r>
        <w:rPr>
          <w:b/>
          <w:bCs/>
          <w:color w:val="000000" w:themeColor="text1"/>
        </w:rPr>
        <w:t xml:space="preserve"> to DL symbol and  CSI-RS reception is  performed</w:t>
      </w:r>
    </w:p>
    <w:p w14:paraId="414C598C" w14:textId="77777777" w:rsidR="000A2042" w:rsidRDefault="00000000">
      <w:pPr>
        <w:rPr>
          <w:color w:val="000000" w:themeColor="text1"/>
        </w:rPr>
      </w:pPr>
      <w:r>
        <w:rPr>
          <w:b/>
          <w:bCs/>
          <w:color w:val="000000" w:themeColor="text1"/>
        </w:rPr>
        <w:t xml:space="preserve"> Alt 2: CSI-RS reception </w:t>
      </w:r>
      <w:proofErr w:type="gramStart"/>
      <w:r>
        <w:rPr>
          <w:b/>
          <w:bCs/>
          <w:color w:val="000000" w:themeColor="text1"/>
        </w:rPr>
        <w:t>is  skipped</w:t>
      </w:r>
      <w:proofErr w:type="gramEnd"/>
      <w:r>
        <w:rPr>
          <w:b/>
          <w:bCs/>
          <w:color w:val="000000" w:themeColor="text1"/>
        </w:rPr>
        <w:t xml:space="preserve"> in UL SB and guard  band</w:t>
      </w:r>
    </w:p>
    <w:p w14:paraId="03FE1BCF" w14:textId="77777777" w:rsidR="000A2042" w:rsidRDefault="000A2042">
      <w:pPr>
        <w:spacing w:after="160" w:line="259" w:lineRule="auto"/>
        <w:ind w:left="90"/>
        <w:contextualSpacing/>
        <w:rPr>
          <w:color w:val="000000" w:themeColor="text1"/>
          <w:lang w:eastAsia="ko-KR"/>
        </w:rPr>
      </w:pPr>
    </w:p>
    <w:p w14:paraId="467D88B9" w14:textId="77777777" w:rsidR="000A2042" w:rsidRDefault="00000000" w:rsidP="00F30702">
      <w:pPr>
        <w:pStyle w:val="Heading2"/>
        <w:numPr>
          <w:ilvl w:val="1"/>
          <w:numId w:val="13"/>
        </w:numPr>
        <w:rPr>
          <w:b w:val="0"/>
          <w:bCs w:val="0"/>
          <w:color w:val="000000" w:themeColor="text1"/>
        </w:rPr>
      </w:pPr>
      <w:r>
        <w:rPr>
          <w:color w:val="000000" w:themeColor="text1"/>
        </w:rPr>
        <w:t>SPS and CG related enhancements</w:t>
      </w:r>
    </w:p>
    <w:p w14:paraId="58F307B5" w14:textId="77777777" w:rsidR="000A2042" w:rsidRDefault="00000000">
      <w:pPr>
        <w:spacing w:after="160" w:line="259" w:lineRule="auto"/>
        <w:contextualSpacing/>
      </w:pPr>
      <w:r>
        <w:rPr>
          <w:color w:val="000000" w:themeColor="text1"/>
        </w:rPr>
        <w:t>Currently in NR, only one frequency domain resource assignment (FDRA) is provided for a particular grant free transmission ID. Once activated, the UE transmits PUSCH with the given resource assignment. However, in SBFD, the UL frequency resources might change dynamically due to changes in SB sizes/location. This can be managed in 2 ways:</w:t>
      </w:r>
    </w:p>
    <w:p w14:paraId="7E7B972C" w14:textId="77777777" w:rsidR="000A2042" w:rsidRDefault="00000000">
      <w:pPr>
        <w:spacing w:after="160" w:line="259" w:lineRule="auto"/>
        <w:contextualSpacing/>
        <w:rPr>
          <w:color w:val="000000" w:themeColor="text1"/>
        </w:rPr>
      </w:pPr>
      <w:r>
        <w:rPr>
          <w:color w:val="000000" w:themeColor="text1"/>
        </w:rPr>
        <w:t>a. Different FDRAs for different slot types (SBFD and non-SBFD slots).</w:t>
      </w:r>
    </w:p>
    <w:p w14:paraId="66636CD1" w14:textId="77777777" w:rsidR="000A2042" w:rsidRDefault="00000000">
      <w:pPr>
        <w:spacing w:after="160" w:line="259" w:lineRule="auto"/>
        <w:contextualSpacing/>
        <w:rPr>
          <w:color w:val="000000" w:themeColor="text1"/>
        </w:rPr>
      </w:pPr>
      <w:r>
        <w:rPr>
          <w:color w:val="000000" w:themeColor="text1"/>
        </w:rPr>
        <w:t xml:space="preserve">b. Provision to change the FDRA of the PUSCH transmission already configured. </w:t>
      </w:r>
    </w:p>
    <w:p w14:paraId="0F527541" w14:textId="77777777" w:rsidR="000A2042" w:rsidRDefault="00000000">
      <w:pPr>
        <w:spacing w:after="160" w:line="259" w:lineRule="auto"/>
        <w:contextualSpacing/>
        <w:rPr>
          <w:color w:val="000000" w:themeColor="text1"/>
        </w:rPr>
      </w:pPr>
      <w:r>
        <w:rPr>
          <w:color w:val="000000" w:themeColor="text1"/>
        </w:rPr>
        <w:t>Similar changes will be applicable for SPS PDSCH.</w:t>
      </w:r>
    </w:p>
    <w:p w14:paraId="69690498" w14:textId="77777777" w:rsidR="000A2042" w:rsidRDefault="000A2042">
      <w:pPr>
        <w:spacing w:after="160" w:line="259" w:lineRule="auto"/>
        <w:contextualSpacing/>
        <w:rPr>
          <w:color w:val="000000" w:themeColor="text1"/>
        </w:rPr>
      </w:pPr>
    </w:p>
    <w:p w14:paraId="7CE22E15" w14:textId="77777777" w:rsidR="000A2042" w:rsidRDefault="00000000">
      <w:pPr>
        <w:spacing w:after="160" w:line="259" w:lineRule="auto"/>
        <w:contextualSpacing/>
        <w:rPr>
          <w:b/>
          <w:bCs/>
        </w:rPr>
      </w:pPr>
      <w:r>
        <w:rPr>
          <w:b/>
          <w:bCs/>
          <w:color w:val="000000" w:themeColor="text1"/>
        </w:rPr>
        <w:t>Observation 5: In SBFD, the availability of frequency resources changes dynamically due to changes in SB size/location.</w:t>
      </w:r>
    </w:p>
    <w:p w14:paraId="0C0EC6EE" w14:textId="77777777" w:rsidR="000A2042" w:rsidRDefault="000A2042">
      <w:pPr>
        <w:spacing w:after="160" w:line="259" w:lineRule="auto"/>
        <w:contextualSpacing/>
        <w:rPr>
          <w:color w:val="000000" w:themeColor="text1"/>
        </w:rPr>
      </w:pPr>
    </w:p>
    <w:p w14:paraId="2DF25022" w14:textId="77777777" w:rsidR="000A2042" w:rsidRDefault="00000000">
      <w:pPr>
        <w:spacing w:after="160" w:line="259" w:lineRule="auto"/>
        <w:contextualSpacing/>
      </w:pPr>
      <w:r>
        <w:rPr>
          <w:b/>
          <w:bCs/>
          <w:color w:val="000000" w:themeColor="text1"/>
        </w:rPr>
        <w:t>Proposal 8: Study FDRA related enhancement for SPS PDSCH and CG PUSCH.</w:t>
      </w:r>
    </w:p>
    <w:p w14:paraId="43F9009E" w14:textId="77777777" w:rsidR="000A2042" w:rsidRDefault="000A2042">
      <w:pPr>
        <w:spacing w:after="160" w:line="259" w:lineRule="auto"/>
        <w:contextualSpacing/>
        <w:rPr>
          <w:b/>
          <w:bCs/>
          <w:color w:val="000000" w:themeColor="text1"/>
        </w:rPr>
      </w:pPr>
    </w:p>
    <w:p w14:paraId="42998630" w14:textId="77777777" w:rsidR="000A2042" w:rsidRDefault="00000000" w:rsidP="00F30702">
      <w:pPr>
        <w:pStyle w:val="Heading2"/>
        <w:numPr>
          <w:ilvl w:val="1"/>
          <w:numId w:val="13"/>
        </w:numPr>
        <w:rPr>
          <w:b w:val="0"/>
          <w:bCs w:val="0"/>
          <w:color w:val="000000" w:themeColor="text1"/>
        </w:rPr>
      </w:pPr>
      <w:r>
        <w:rPr>
          <w:color w:val="000000" w:themeColor="text1"/>
        </w:rPr>
        <w:t>Repetition of signals/channels</w:t>
      </w:r>
    </w:p>
    <w:p w14:paraId="16BDC2A5" w14:textId="77777777" w:rsidR="000A2042" w:rsidRDefault="00000000">
      <w:pPr>
        <w:spacing w:after="160" w:line="259" w:lineRule="auto"/>
        <w:contextualSpacing/>
        <w:rPr>
          <w:color w:val="000000" w:themeColor="text1"/>
          <w:lang w:eastAsia="ko-KR"/>
        </w:rPr>
      </w:pPr>
      <w:r>
        <w:rPr>
          <w:color w:val="000000" w:themeColor="text1"/>
          <w:lang w:eastAsia="ko-KR"/>
        </w:rPr>
        <w:t xml:space="preserve">One of the major use cases of SBFD is to enhance UL coverage by boosting UL SNR. The boosting in SNR is done by repetition of UL signals/channels like PUCCH, SRS etc. </w:t>
      </w:r>
    </w:p>
    <w:p w14:paraId="08E0FA4E" w14:textId="77777777" w:rsidR="000A2042" w:rsidRDefault="000A2042">
      <w:pPr>
        <w:spacing w:after="160" w:line="259" w:lineRule="auto"/>
        <w:contextualSpacing/>
        <w:rPr>
          <w:color w:val="000000" w:themeColor="text1"/>
          <w:lang w:eastAsia="ko-KR"/>
        </w:rPr>
      </w:pPr>
    </w:p>
    <w:p w14:paraId="39EF24F4" w14:textId="77777777" w:rsidR="000A2042" w:rsidRDefault="00000000">
      <w:pPr>
        <w:spacing w:after="160" w:line="259" w:lineRule="auto"/>
        <w:contextualSpacing/>
        <w:rPr>
          <w:b/>
          <w:bCs/>
        </w:rPr>
      </w:pPr>
      <w:r>
        <w:rPr>
          <w:b/>
          <w:bCs/>
          <w:color w:val="000000" w:themeColor="text1"/>
          <w:lang w:eastAsia="ko-KR"/>
        </w:rPr>
        <w:t>Proposal 9: Study enhancements related to repetition of UL signals/</w:t>
      </w:r>
      <w:proofErr w:type="gramStart"/>
      <w:r>
        <w:rPr>
          <w:b/>
          <w:bCs/>
          <w:color w:val="000000" w:themeColor="text1"/>
          <w:lang w:eastAsia="ko-KR"/>
        </w:rPr>
        <w:t>channels  for</w:t>
      </w:r>
      <w:proofErr w:type="gramEnd"/>
      <w:r>
        <w:rPr>
          <w:b/>
          <w:bCs/>
          <w:color w:val="000000" w:themeColor="text1"/>
          <w:lang w:eastAsia="ko-KR"/>
        </w:rPr>
        <w:t xml:space="preserve"> coverage enhancement. </w:t>
      </w:r>
    </w:p>
    <w:p w14:paraId="26697B56" w14:textId="77777777" w:rsidR="000A2042" w:rsidRDefault="00000000" w:rsidP="00F30702">
      <w:pPr>
        <w:pStyle w:val="Heading1"/>
        <w:numPr>
          <w:ilvl w:val="0"/>
          <w:numId w:val="3"/>
        </w:numPr>
      </w:pPr>
      <w:r>
        <w:t>SBFD operation in SSB symbols</w:t>
      </w:r>
    </w:p>
    <w:p w14:paraId="37AD4BCA" w14:textId="77777777" w:rsidR="000A2042" w:rsidRDefault="00000000">
      <w:r>
        <w:rPr>
          <w:color w:val="000000" w:themeColor="text1"/>
        </w:rPr>
        <w:t>The following agreement was made in the previous meeting.</w:t>
      </w:r>
    </w:p>
    <w:p w14:paraId="0E414B0B" w14:textId="77777777" w:rsidR="000A2042" w:rsidRDefault="00000000">
      <w:pPr>
        <w:rPr>
          <w:i/>
          <w:iCs/>
          <w:sz w:val="20"/>
          <w:szCs w:val="20"/>
        </w:rPr>
      </w:pPr>
      <w:r>
        <w:rPr>
          <w:rFonts w:eastAsia="Malgun Gothic"/>
          <w:b/>
          <w:i/>
          <w:iCs/>
          <w:sz w:val="20"/>
          <w:szCs w:val="20"/>
          <w:highlight w:val="green"/>
        </w:rPr>
        <w:t>Agreement</w:t>
      </w:r>
    </w:p>
    <w:p w14:paraId="79E8A37C" w14:textId="77777777" w:rsidR="000A2042" w:rsidRDefault="00000000">
      <w:pPr>
        <w:rPr>
          <w:i/>
          <w:iCs/>
          <w:sz w:val="20"/>
          <w:szCs w:val="20"/>
        </w:rPr>
      </w:pPr>
      <w:r>
        <w:rPr>
          <w:rFonts w:eastAsia="Malgun Gothic"/>
          <w:i/>
          <w:iCs/>
          <w:sz w:val="20"/>
          <w:szCs w:val="20"/>
        </w:rPr>
        <w:t>Study whether SBFD operation in SSB symbols is supported or not.</w:t>
      </w:r>
    </w:p>
    <w:p w14:paraId="6CD4B89E" w14:textId="77777777" w:rsidR="000A2042" w:rsidRDefault="00000000">
      <w:r>
        <w:lastRenderedPageBreak/>
        <w:t xml:space="preserve">SBFD operation in SSB symbols will have an impact on initial access, especially for legacy UEs. An idle UE performing SSB measurements will experience UE-to-UE inter </w:t>
      </w:r>
      <w:proofErr w:type="spellStart"/>
      <w:r>
        <w:t>subband</w:t>
      </w:r>
      <w:proofErr w:type="spellEnd"/>
      <w:r>
        <w:t xml:space="preserve"> CLI. Further any impact on SSB due to SBFD operation cannot be informed to the legacy UEs, leading to unnecessary monitoring. E.g., UL transmission in the UL SB happens in an SSB symbol with a certain SSB ID. A legacy UE will still try to perform SSB measurements in that symbol which is unnecessary. Thus, the following proposal is made. </w:t>
      </w:r>
    </w:p>
    <w:p w14:paraId="37BB66E2" w14:textId="77777777" w:rsidR="000A2042" w:rsidRDefault="00000000">
      <w:pPr>
        <w:rPr>
          <w:b/>
          <w:bCs/>
        </w:rPr>
      </w:pPr>
      <w:r>
        <w:rPr>
          <w:b/>
          <w:bCs/>
        </w:rPr>
        <w:t xml:space="preserve">Proposal 10: SBFD operation is not allowed in SSB symbols. </w:t>
      </w:r>
    </w:p>
    <w:p w14:paraId="2B66ABB8" w14:textId="77777777" w:rsidR="000A2042" w:rsidRDefault="000A2042">
      <w:pPr>
        <w:rPr>
          <w:b/>
          <w:bCs/>
        </w:rPr>
      </w:pPr>
    </w:p>
    <w:p w14:paraId="1CD66D7D" w14:textId="77777777" w:rsidR="000A2042" w:rsidRDefault="00000000" w:rsidP="00F30702">
      <w:pPr>
        <w:pStyle w:val="Heading1"/>
        <w:numPr>
          <w:ilvl w:val="0"/>
          <w:numId w:val="3"/>
        </w:numPr>
      </w:pPr>
      <w:r>
        <w:t>Conclusion</w:t>
      </w:r>
    </w:p>
    <w:p w14:paraId="69331E5D" w14:textId="77777777" w:rsidR="000A2042" w:rsidRDefault="00000000">
      <w:r>
        <w:t>The following observations and proposals are made in this contribution,</w:t>
      </w:r>
    </w:p>
    <w:p w14:paraId="6920BA56" w14:textId="77777777" w:rsidR="000A2042" w:rsidRDefault="00000000">
      <w:r>
        <w:rPr>
          <w:b/>
          <w:bCs/>
          <w:color w:val="000000" w:themeColor="text1"/>
        </w:rPr>
        <w:t xml:space="preserve">Observation 1:  UL </w:t>
      </w:r>
      <w:proofErr w:type="spellStart"/>
      <w:r>
        <w:rPr>
          <w:b/>
          <w:bCs/>
          <w:color w:val="000000" w:themeColor="text1"/>
        </w:rPr>
        <w:t>subband</w:t>
      </w:r>
      <w:proofErr w:type="spellEnd"/>
      <w:r>
        <w:rPr>
          <w:b/>
          <w:bCs/>
          <w:color w:val="000000" w:themeColor="text1"/>
        </w:rPr>
        <w:t xml:space="preserve"> </w:t>
      </w:r>
      <w:proofErr w:type="gramStart"/>
      <w:r>
        <w:rPr>
          <w:b/>
          <w:bCs/>
          <w:color w:val="000000" w:themeColor="text1"/>
        </w:rPr>
        <w:t>can  fully</w:t>
      </w:r>
      <w:proofErr w:type="gramEnd"/>
      <w:r>
        <w:rPr>
          <w:b/>
          <w:bCs/>
          <w:color w:val="000000" w:themeColor="text1"/>
        </w:rPr>
        <w:t>/partially overlap with  BWP of UEs.</w:t>
      </w:r>
    </w:p>
    <w:p w14:paraId="27996C4E" w14:textId="77777777" w:rsidR="000A2042" w:rsidRDefault="00000000">
      <w:r>
        <w:rPr>
          <w:b/>
          <w:bCs/>
          <w:color w:val="000000" w:themeColor="text1"/>
        </w:rPr>
        <w:t>Proposal 1: The frequency domain location of the full UL SB is provided to the SBFD aware UE where the frequency domain location is a combination of the starting subcarrier of the UL SB and the bandwidth in terms of subcarriers/RBs/RBGs.</w:t>
      </w:r>
    </w:p>
    <w:p w14:paraId="43DCB7DD" w14:textId="77777777" w:rsidR="000A2042" w:rsidRDefault="00000000">
      <w:pPr>
        <w:rPr>
          <w:b/>
          <w:bCs/>
        </w:rPr>
      </w:pPr>
      <w:r>
        <w:rPr>
          <w:b/>
          <w:bCs/>
          <w:color w:val="000000" w:themeColor="text1"/>
        </w:rPr>
        <w:t xml:space="preserve">Observation 2: Always guard band is in </w:t>
      </w:r>
      <w:proofErr w:type="spellStart"/>
      <w:r>
        <w:rPr>
          <w:b/>
          <w:bCs/>
          <w:color w:val="000000" w:themeColor="text1"/>
        </w:rPr>
        <w:t>conjuction</w:t>
      </w:r>
      <w:proofErr w:type="spellEnd"/>
      <w:r>
        <w:rPr>
          <w:b/>
          <w:bCs/>
          <w:color w:val="000000" w:themeColor="text1"/>
        </w:rPr>
        <w:t xml:space="preserve"> with the UL SB in time </w:t>
      </w:r>
      <w:proofErr w:type="gramStart"/>
      <w:r>
        <w:rPr>
          <w:b/>
          <w:bCs/>
          <w:color w:val="000000" w:themeColor="text1"/>
        </w:rPr>
        <w:t>domain</w:t>
      </w:r>
      <w:proofErr w:type="gramEnd"/>
    </w:p>
    <w:p w14:paraId="058676BA" w14:textId="77777777" w:rsidR="000A2042" w:rsidRDefault="00000000">
      <w:pPr>
        <w:rPr>
          <w:b/>
          <w:bCs/>
        </w:rPr>
      </w:pPr>
      <w:r>
        <w:rPr>
          <w:b/>
          <w:bCs/>
          <w:color w:val="000000" w:themeColor="text1"/>
        </w:rPr>
        <w:t>Proposal 2: The time location is not explicitly provided for guard bands.</w:t>
      </w:r>
    </w:p>
    <w:p w14:paraId="12855E18" w14:textId="77777777" w:rsidR="000A2042" w:rsidRDefault="00000000">
      <w:pPr>
        <w:rPr>
          <w:b/>
          <w:bCs/>
        </w:rPr>
      </w:pPr>
      <w:r>
        <w:rPr>
          <w:b/>
          <w:bCs/>
          <w:color w:val="000000" w:themeColor="text1"/>
        </w:rPr>
        <w:t xml:space="preserve">Observation 3: Frequency location of the guard band(s) is aligned with the end(s) of the UL SB and is not explicitly </w:t>
      </w:r>
      <w:proofErr w:type="spellStart"/>
      <w:r>
        <w:rPr>
          <w:b/>
          <w:bCs/>
          <w:color w:val="000000" w:themeColor="text1"/>
        </w:rPr>
        <w:t>signalled</w:t>
      </w:r>
      <w:proofErr w:type="spellEnd"/>
      <w:r>
        <w:rPr>
          <w:b/>
          <w:bCs/>
          <w:color w:val="000000" w:themeColor="text1"/>
        </w:rPr>
        <w:t xml:space="preserve"> to the UE.</w:t>
      </w:r>
    </w:p>
    <w:p w14:paraId="21776BC1" w14:textId="77777777" w:rsidR="000A2042" w:rsidRDefault="00000000">
      <w:pPr>
        <w:rPr>
          <w:b/>
          <w:bCs/>
        </w:rPr>
      </w:pPr>
      <w:r>
        <w:rPr>
          <w:b/>
          <w:bCs/>
          <w:color w:val="000000" w:themeColor="text1"/>
        </w:rPr>
        <w:t xml:space="preserve">Proposal 3: </w:t>
      </w:r>
      <w:proofErr w:type="spellStart"/>
      <w:r>
        <w:rPr>
          <w:b/>
          <w:bCs/>
          <w:color w:val="000000" w:themeColor="text1"/>
        </w:rPr>
        <w:t>Signalling</w:t>
      </w:r>
      <w:proofErr w:type="spellEnd"/>
      <w:r>
        <w:rPr>
          <w:b/>
          <w:bCs/>
          <w:color w:val="000000" w:themeColor="text1"/>
        </w:rPr>
        <w:t xml:space="preserve"> the bandwidth of the guard band(s) is supported.</w:t>
      </w:r>
    </w:p>
    <w:p w14:paraId="7D6D84F4" w14:textId="77777777" w:rsidR="000A2042" w:rsidRDefault="00000000">
      <w:pPr>
        <w:rPr>
          <w:b/>
          <w:bCs/>
        </w:rPr>
      </w:pPr>
      <w:r>
        <w:rPr>
          <w:b/>
          <w:bCs/>
          <w:color w:val="000000" w:themeColor="text1"/>
        </w:rPr>
        <w:t>Proposal 4:  UE implicitly deriving the location and bandwidth of DL SBs, using information of UL SB and guard band, is supported.</w:t>
      </w:r>
    </w:p>
    <w:p w14:paraId="6D928D88" w14:textId="77777777" w:rsidR="000A2042" w:rsidRDefault="00000000">
      <w:pPr>
        <w:pStyle w:val="ListParagraph"/>
        <w:spacing w:after="160" w:line="259" w:lineRule="auto"/>
        <w:ind w:left="0"/>
        <w:rPr>
          <w:b/>
          <w:bCs/>
        </w:rPr>
      </w:pPr>
      <w:r>
        <w:rPr>
          <w:b/>
          <w:bCs/>
          <w:color w:val="000000" w:themeColor="text1"/>
        </w:rPr>
        <w:t xml:space="preserve">Proposal 5:  </w:t>
      </w:r>
      <w:proofErr w:type="spellStart"/>
      <w:r>
        <w:rPr>
          <w:b/>
          <w:bCs/>
          <w:color w:val="000000" w:themeColor="text1"/>
        </w:rPr>
        <w:t>gNB</w:t>
      </w:r>
      <w:proofErr w:type="spellEnd"/>
      <w:r>
        <w:rPr>
          <w:b/>
          <w:bCs/>
          <w:color w:val="000000" w:themeColor="text1"/>
        </w:rPr>
        <w:t xml:space="preserve"> configuring separate TDD configuration for each BWP pair of the UE is supported.</w:t>
      </w:r>
    </w:p>
    <w:p w14:paraId="2A4C9537" w14:textId="77777777" w:rsidR="000A2042" w:rsidRDefault="00000000">
      <w:pPr>
        <w:spacing w:after="160" w:line="259" w:lineRule="auto"/>
        <w:contextualSpacing/>
      </w:pPr>
      <w:r>
        <w:rPr>
          <w:b/>
          <w:bCs/>
          <w:color w:val="000000" w:themeColor="text1"/>
        </w:rPr>
        <w:t>Observation 4: To allow such flexibility of scheduling and efficient utilization of available bandwidth for SBFD, TDD configurations and SFI formats starting with UL slots/symbols can be introduced.</w:t>
      </w:r>
    </w:p>
    <w:p w14:paraId="57052DBB" w14:textId="77777777" w:rsidR="000A2042" w:rsidRDefault="000A2042">
      <w:pPr>
        <w:spacing w:after="160" w:line="259" w:lineRule="auto"/>
        <w:contextualSpacing/>
        <w:rPr>
          <w:b/>
          <w:bCs/>
          <w:color w:val="000000" w:themeColor="text1"/>
        </w:rPr>
      </w:pPr>
    </w:p>
    <w:p w14:paraId="7CB83519" w14:textId="77777777" w:rsidR="000A2042" w:rsidRDefault="00000000">
      <w:pPr>
        <w:spacing w:after="160" w:line="259" w:lineRule="auto"/>
        <w:contextualSpacing/>
        <w:rPr>
          <w:b/>
          <w:bCs/>
        </w:rPr>
      </w:pPr>
      <w:r>
        <w:rPr>
          <w:b/>
          <w:bCs/>
          <w:color w:val="000000" w:themeColor="text1"/>
        </w:rPr>
        <w:t>Proposal 6: TDD configurations starting with UL slots/symbols are supported.</w:t>
      </w:r>
    </w:p>
    <w:p w14:paraId="41D9FBF0" w14:textId="77777777" w:rsidR="000A2042" w:rsidRDefault="000A2042">
      <w:pPr>
        <w:spacing w:after="160" w:line="259" w:lineRule="auto"/>
        <w:contextualSpacing/>
        <w:rPr>
          <w:b/>
          <w:bCs/>
        </w:rPr>
      </w:pPr>
    </w:p>
    <w:p w14:paraId="62A309C4" w14:textId="77777777" w:rsidR="000A2042" w:rsidRDefault="00000000">
      <w:pPr>
        <w:spacing w:after="160" w:line="259" w:lineRule="auto"/>
        <w:ind w:left="90"/>
        <w:contextualSpacing/>
        <w:rPr>
          <w:b/>
          <w:bCs/>
          <w:color w:val="000000" w:themeColor="text1"/>
        </w:rPr>
      </w:pPr>
      <w:r>
        <w:rPr>
          <w:b/>
          <w:bCs/>
          <w:color w:val="000000" w:themeColor="text1"/>
        </w:rPr>
        <w:t xml:space="preserve">Proposal 7: </w:t>
      </w:r>
      <w:r>
        <w:rPr>
          <w:b/>
          <w:bCs/>
          <w:color w:val="000000" w:themeColor="text1"/>
          <w:lang w:val="fr-FR"/>
        </w:rPr>
        <w:t xml:space="preserve"> </w:t>
      </w:r>
      <w:r>
        <w:rPr>
          <w:b/>
          <w:bCs/>
          <w:color w:val="000000" w:themeColor="text1"/>
        </w:rPr>
        <w:t xml:space="preserve">Following options are supported for </w:t>
      </w:r>
      <w:proofErr w:type="gramStart"/>
      <w:r>
        <w:rPr>
          <w:b/>
          <w:bCs/>
          <w:color w:val="000000" w:themeColor="text1"/>
        </w:rPr>
        <w:t>performing  CSI</w:t>
      </w:r>
      <w:proofErr w:type="gramEnd"/>
      <w:r>
        <w:rPr>
          <w:b/>
          <w:bCs/>
          <w:color w:val="000000" w:themeColor="text1"/>
        </w:rPr>
        <w:t>-RS reception in SBFD  symbols</w:t>
      </w:r>
    </w:p>
    <w:p w14:paraId="23BA8D68" w14:textId="77777777" w:rsidR="000A2042" w:rsidRDefault="00000000">
      <w:pPr>
        <w:rPr>
          <w:b/>
          <w:bCs/>
          <w:color w:val="000000" w:themeColor="text1"/>
        </w:rPr>
      </w:pPr>
      <w:r>
        <w:rPr>
          <w:b/>
          <w:bCs/>
          <w:color w:val="000000" w:themeColor="text1"/>
        </w:rPr>
        <w:t xml:space="preserve"> Alt 1: Whole symbol </w:t>
      </w:r>
      <w:proofErr w:type="gramStart"/>
      <w:r>
        <w:rPr>
          <w:b/>
          <w:bCs/>
          <w:color w:val="000000" w:themeColor="text1"/>
        </w:rPr>
        <w:t>is  converted</w:t>
      </w:r>
      <w:proofErr w:type="gramEnd"/>
      <w:r>
        <w:rPr>
          <w:b/>
          <w:bCs/>
          <w:color w:val="000000" w:themeColor="text1"/>
        </w:rPr>
        <w:t xml:space="preserve"> to DL symbol and  CSI-RS reception is  performed</w:t>
      </w:r>
    </w:p>
    <w:p w14:paraId="46CF8328" w14:textId="77777777" w:rsidR="000A2042" w:rsidRDefault="00000000">
      <w:pPr>
        <w:spacing w:after="160" w:line="259" w:lineRule="auto"/>
        <w:contextualSpacing/>
        <w:rPr>
          <w:color w:val="000000" w:themeColor="text1"/>
          <w:lang w:eastAsia="ko-KR"/>
        </w:rPr>
      </w:pPr>
      <w:r>
        <w:rPr>
          <w:rFonts w:eastAsiaTheme="minorEastAsia"/>
          <w:b/>
          <w:bCs/>
          <w:color w:val="000000" w:themeColor="text1"/>
          <w:lang w:val="fr-FR" w:eastAsia="ko-KR"/>
        </w:rPr>
        <w:t xml:space="preserve"> Alt 2: CSI-RS </w:t>
      </w:r>
      <w:proofErr w:type="spellStart"/>
      <w:r>
        <w:rPr>
          <w:rFonts w:eastAsiaTheme="minorEastAsia"/>
          <w:b/>
          <w:bCs/>
          <w:color w:val="000000" w:themeColor="text1"/>
          <w:lang w:val="fr-FR" w:eastAsia="ko-KR"/>
        </w:rPr>
        <w:t>reception</w:t>
      </w:r>
      <w:proofErr w:type="spellEnd"/>
      <w:r>
        <w:rPr>
          <w:rFonts w:eastAsiaTheme="minorEastAsia"/>
          <w:b/>
          <w:bCs/>
          <w:color w:val="000000" w:themeColor="text1"/>
          <w:lang w:val="fr-FR" w:eastAsia="ko-KR"/>
        </w:rPr>
        <w:t xml:space="preserve"> </w:t>
      </w:r>
      <w:proofErr w:type="spellStart"/>
      <w:r>
        <w:rPr>
          <w:rFonts w:eastAsiaTheme="minorEastAsia"/>
          <w:b/>
          <w:bCs/>
          <w:color w:val="000000" w:themeColor="text1"/>
          <w:lang w:val="fr-FR" w:eastAsia="ko-KR"/>
        </w:rPr>
        <w:t>is</w:t>
      </w:r>
      <w:proofErr w:type="spellEnd"/>
      <w:r>
        <w:rPr>
          <w:rFonts w:eastAsiaTheme="minorEastAsia"/>
          <w:b/>
          <w:bCs/>
          <w:color w:val="000000" w:themeColor="text1"/>
          <w:lang w:val="fr-FR" w:eastAsia="ko-KR"/>
        </w:rPr>
        <w:t xml:space="preserve">  </w:t>
      </w:r>
      <w:proofErr w:type="spellStart"/>
      <w:r>
        <w:rPr>
          <w:rFonts w:eastAsiaTheme="minorEastAsia"/>
          <w:b/>
          <w:bCs/>
          <w:color w:val="000000" w:themeColor="text1"/>
          <w:lang w:val="fr-FR" w:eastAsia="ko-KR"/>
        </w:rPr>
        <w:t>skipped</w:t>
      </w:r>
      <w:proofErr w:type="spellEnd"/>
      <w:r>
        <w:rPr>
          <w:rFonts w:eastAsiaTheme="minorEastAsia"/>
          <w:b/>
          <w:bCs/>
          <w:color w:val="000000" w:themeColor="text1"/>
          <w:lang w:val="fr-FR" w:eastAsia="ko-KR"/>
        </w:rPr>
        <w:t xml:space="preserve"> in UL SB and </w:t>
      </w:r>
      <w:proofErr w:type="spellStart"/>
      <w:r>
        <w:rPr>
          <w:rFonts w:eastAsiaTheme="minorEastAsia"/>
          <w:b/>
          <w:bCs/>
          <w:color w:val="000000" w:themeColor="text1"/>
          <w:lang w:val="fr-FR" w:eastAsia="ko-KR"/>
        </w:rPr>
        <w:t>guard</w:t>
      </w:r>
      <w:proofErr w:type="spellEnd"/>
      <w:r>
        <w:rPr>
          <w:rFonts w:eastAsiaTheme="minorEastAsia"/>
          <w:b/>
          <w:bCs/>
          <w:color w:val="000000" w:themeColor="text1"/>
          <w:lang w:val="fr-FR" w:eastAsia="ko-KR"/>
        </w:rPr>
        <w:t xml:space="preserve">  band</w:t>
      </w:r>
    </w:p>
    <w:p w14:paraId="21E76E19" w14:textId="77777777" w:rsidR="000A2042" w:rsidRDefault="000A2042">
      <w:pPr>
        <w:spacing w:after="160" w:line="259" w:lineRule="auto"/>
        <w:ind w:left="90"/>
        <w:contextualSpacing/>
        <w:rPr>
          <w:b/>
          <w:bCs/>
        </w:rPr>
      </w:pPr>
    </w:p>
    <w:p w14:paraId="46778362" w14:textId="77777777" w:rsidR="000A2042" w:rsidRDefault="00000000">
      <w:pPr>
        <w:spacing w:after="160" w:line="259" w:lineRule="auto"/>
        <w:contextualSpacing/>
        <w:rPr>
          <w:b/>
          <w:bCs/>
        </w:rPr>
      </w:pPr>
      <w:r>
        <w:rPr>
          <w:b/>
          <w:bCs/>
          <w:color w:val="000000" w:themeColor="text1"/>
        </w:rPr>
        <w:t>Observation 5: In SBFD, the availability of frequency resources changes dynamically due to changes in SB size/location.</w:t>
      </w:r>
    </w:p>
    <w:p w14:paraId="71F81952" w14:textId="77777777" w:rsidR="000A2042" w:rsidRDefault="000A2042">
      <w:pPr>
        <w:spacing w:after="160" w:line="259" w:lineRule="auto"/>
        <w:contextualSpacing/>
        <w:rPr>
          <w:b/>
          <w:bCs/>
        </w:rPr>
      </w:pPr>
    </w:p>
    <w:p w14:paraId="55F04D02" w14:textId="77777777" w:rsidR="000A2042" w:rsidRDefault="00000000">
      <w:pPr>
        <w:spacing w:after="160" w:line="259" w:lineRule="auto"/>
        <w:contextualSpacing/>
        <w:rPr>
          <w:b/>
          <w:bCs/>
        </w:rPr>
      </w:pPr>
      <w:r>
        <w:rPr>
          <w:b/>
          <w:bCs/>
          <w:color w:val="000000" w:themeColor="text1"/>
        </w:rPr>
        <w:t>Proposal 8: Study FDRA related enhancement for SPS PDSCH and CG PUSCH.</w:t>
      </w:r>
    </w:p>
    <w:p w14:paraId="7EC7270E" w14:textId="77777777" w:rsidR="000A2042" w:rsidRDefault="000A2042">
      <w:pPr>
        <w:spacing w:after="160" w:line="259" w:lineRule="auto"/>
        <w:contextualSpacing/>
        <w:rPr>
          <w:b/>
          <w:bCs/>
        </w:rPr>
      </w:pPr>
    </w:p>
    <w:p w14:paraId="3932426A" w14:textId="77777777" w:rsidR="000A2042" w:rsidRDefault="00000000">
      <w:pPr>
        <w:spacing w:after="160" w:line="259" w:lineRule="auto"/>
        <w:contextualSpacing/>
        <w:rPr>
          <w:b/>
          <w:bCs/>
        </w:rPr>
      </w:pPr>
      <w:r>
        <w:rPr>
          <w:b/>
          <w:bCs/>
          <w:color w:val="000000" w:themeColor="text1"/>
          <w:lang w:eastAsia="ko-KR"/>
        </w:rPr>
        <w:t>Proposal 9: Study enhancements related to repetition of UL signals/</w:t>
      </w:r>
      <w:proofErr w:type="gramStart"/>
      <w:r>
        <w:rPr>
          <w:b/>
          <w:bCs/>
          <w:color w:val="000000" w:themeColor="text1"/>
          <w:lang w:eastAsia="ko-KR"/>
        </w:rPr>
        <w:t>channels  for</w:t>
      </w:r>
      <w:proofErr w:type="gramEnd"/>
      <w:r>
        <w:rPr>
          <w:b/>
          <w:bCs/>
          <w:color w:val="000000" w:themeColor="text1"/>
          <w:lang w:eastAsia="ko-KR"/>
        </w:rPr>
        <w:t xml:space="preserve"> coverage enhancement. </w:t>
      </w:r>
    </w:p>
    <w:p w14:paraId="582ABFF0" w14:textId="77777777" w:rsidR="000A2042" w:rsidRDefault="000A2042">
      <w:pPr>
        <w:spacing w:after="160" w:line="259" w:lineRule="auto"/>
        <w:contextualSpacing/>
        <w:rPr>
          <w:b/>
          <w:bCs/>
        </w:rPr>
      </w:pPr>
    </w:p>
    <w:p w14:paraId="7B123572" w14:textId="77777777" w:rsidR="000A2042" w:rsidRDefault="00000000">
      <w:pPr>
        <w:spacing w:after="160" w:line="259" w:lineRule="auto"/>
        <w:contextualSpacing/>
        <w:rPr>
          <w:b/>
          <w:bCs/>
        </w:rPr>
      </w:pPr>
      <w:r>
        <w:rPr>
          <w:b/>
          <w:bCs/>
          <w:color w:val="000000" w:themeColor="text1"/>
          <w:lang w:eastAsia="ko-KR"/>
        </w:rPr>
        <w:t xml:space="preserve">Proposal 10: SBFD operation is not allowed in SSB symbols. </w:t>
      </w:r>
    </w:p>
    <w:p w14:paraId="04995FC3" w14:textId="77777777" w:rsidR="000A2042" w:rsidRDefault="000A2042">
      <w:pPr>
        <w:rPr>
          <w:b/>
          <w:bCs/>
        </w:rPr>
      </w:pPr>
    </w:p>
    <w:p w14:paraId="0AFB6D5F" w14:textId="77777777" w:rsidR="000A2042" w:rsidRDefault="00000000" w:rsidP="00F30702">
      <w:pPr>
        <w:pStyle w:val="Heading1"/>
        <w:numPr>
          <w:ilvl w:val="0"/>
          <w:numId w:val="3"/>
        </w:numPr>
      </w:pPr>
      <w:bookmarkStart w:id="3" w:name="_Ref124589665"/>
      <w:bookmarkStart w:id="4" w:name="_Ref124671424"/>
      <w:bookmarkStart w:id="5" w:name="_Ref71620620"/>
      <w:bookmarkEnd w:id="3"/>
      <w:bookmarkEnd w:id="4"/>
      <w:bookmarkEnd w:id="5"/>
      <w:r>
        <w:rPr>
          <w:rFonts w:eastAsia="Wingdings" w:cs="Wingdings"/>
        </w:rPr>
        <w:t>References</w:t>
      </w:r>
    </w:p>
    <w:p w14:paraId="6A9F8B75" w14:textId="77777777" w:rsidR="000A2042" w:rsidRDefault="00000000">
      <w:pPr>
        <w:pStyle w:val="References"/>
        <w:numPr>
          <w:ilvl w:val="0"/>
          <w:numId w:val="1"/>
        </w:numPr>
      </w:pPr>
      <w:bookmarkStart w:id="6" w:name="_Ref716206201"/>
      <w:bookmarkStart w:id="7" w:name="_Ref1246714241"/>
      <w:bookmarkStart w:id="8" w:name="_Ref1245896651"/>
      <w:bookmarkStart w:id="9" w:name="OLE_LINK12"/>
      <w:bookmarkStart w:id="10" w:name="_Ref446582201"/>
      <w:bookmarkStart w:id="11" w:name="_Ref485833320"/>
      <w:bookmarkEnd w:id="2"/>
      <w:bookmarkEnd w:id="6"/>
      <w:bookmarkEnd w:id="7"/>
      <w:bookmarkEnd w:id="8"/>
      <w:r>
        <w:rPr>
          <w:rFonts w:eastAsia="Wingdings" w:cs="Wingdings"/>
          <w:lang w:val="en-GB" w:eastAsia="ko-KR"/>
        </w:rPr>
        <w:t>RP-</w:t>
      </w:r>
      <w:bookmarkEnd w:id="9"/>
      <w:r>
        <w:rPr>
          <w:rFonts w:eastAsia="Wingdings" w:cs="Wingdings"/>
          <w:lang w:val="en-GB" w:eastAsia="ko-KR"/>
        </w:rPr>
        <w:t>21</w:t>
      </w:r>
      <w:r>
        <w:rPr>
          <w:lang w:val="en-GB"/>
        </w:rPr>
        <w:t xml:space="preserve">3591, </w:t>
      </w:r>
      <w:bookmarkEnd w:id="10"/>
      <w:bookmarkEnd w:id="11"/>
      <w:r>
        <w:rPr>
          <w:lang w:val="en-GB"/>
        </w:rPr>
        <w:t>New SI: Study on evolution of NR duplex operation, RAN#94-e, Dec. 2021</w:t>
      </w:r>
    </w:p>
    <w:p w14:paraId="05B5FF51" w14:textId="77777777" w:rsidR="000A2042" w:rsidRDefault="00000000">
      <w:pPr>
        <w:pStyle w:val="TdocHeader2"/>
        <w:numPr>
          <w:ilvl w:val="0"/>
          <w:numId w:val="1"/>
        </w:numPr>
        <w:rPr>
          <w:rFonts w:ascii="Times New Roman" w:hAnsi="Times New Roman" w:cs="Times New Roman"/>
          <w:b w:val="0"/>
          <w:sz w:val="20"/>
          <w:szCs w:val="16"/>
          <w:lang w:val="en-GB"/>
        </w:rPr>
      </w:pPr>
      <w:r>
        <w:rPr>
          <w:rFonts w:ascii="Times New Roman" w:hAnsi="Times New Roman" w:cs="Times New Roman"/>
          <w:b w:val="0"/>
          <w:sz w:val="20"/>
          <w:szCs w:val="16"/>
          <w:lang w:val="en-GB"/>
        </w:rPr>
        <w:lastRenderedPageBreak/>
        <w:t>RAN1 Chairman’s Notes, 3GPP TSG RAN WG1 Meeting #109-e, May 2022</w:t>
      </w:r>
    </w:p>
    <w:p w14:paraId="32108AE9" w14:textId="77777777" w:rsidR="000A2042" w:rsidRDefault="00000000">
      <w:pPr>
        <w:pStyle w:val="TdocHeader2"/>
        <w:numPr>
          <w:ilvl w:val="0"/>
          <w:numId w:val="1"/>
        </w:numPr>
        <w:rPr>
          <w:rFonts w:ascii="Times New Roman" w:hAnsi="Times New Roman" w:cs="Times New Roman"/>
          <w:b w:val="0"/>
          <w:sz w:val="20"/>
          <w:szCs w:val="16"/>
          <w:lang w:val="en-GB"/>
        </w:rPr>
      </w:pPr>
      <w:r>
        <w:rPr>
          <w:rFonts w:ascii="Times New Roman" w:hAnsi="Times New Roman" w:cs="Times New Roman"/>
          <w:b w:val="0"/>
          <w:sz w:val="20"/>
          <w:szCs w:val="16"/>
          <w:lang w:val="en-GB"/>
        </w:rPr>
        <w:t>RAN1 Chairman’s Notes, 3GPP TSG RAN WG1 Meeting #110bis-e, October 2022</w:t>
      </w:r>
    </w:p>
    <w:p w14:paraId="3FADE73C" w14:textId="77777777" w:rsidR="000A2042" w:rsidRDefault="00000000">
      <w:pPr>
        <w:pStyle w:val="TdocHeader2"/>
        <w:numPr>
          <w:ilvl w:val="0"/>
          <w:numId w:val="1"/>
        </w:numPr>
        <w:rPr>
          <w:rFonts w:ascii="Times New Roman" w:hAnsi="Times New Roman" w:cs="Times New Roman"/>
          <w:b w:val="0"/>
          <w:sz w:val="20"/>
          <w:szCs w:val="16"/>
          <w:lang w:val="en-GB"/>
        </w:rPr>
      </w:pPr>
      <w:r>
        <w:rPr>
          <w:rFonts w:ascii="Times New Roman" w:hAnsi="Times New Roman" w:cs="Times New Roman"/>
          <w:b w:val="0"/>
          <w:sz w:val="20"/>
          <w:szCs w:val="16"/>
          <w:lang w:val="en-GB"/>
        </w:rPr>
        <w:t>RAN1 Chairman’s Notes, 3GPP TSG RAN WG1 Meeting #111, November 2022</w:t>
      </w:r>
    </w:p>
    <w:p w14:paraId="0D8CB36E" w14:textId="77777777" w:rsidR="000A2042" w:rsidRDefault="000A2042">
      <w:pPr>
        <w:pStyle w:val="References"/>
        <w:ind w:left="360"/>
        <w:rPr>
          <w:lang w:val="en-GB"/>
        </w:rPr>
      </w:pPr>
    </w:p>
    <w:sectPr w:rsidR="000A2042">
      <w:pgSz w:w="11906" w:h="16838"/>
      <w:pgMar w:top="1440" w:right="1152"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Times New Roman">
    <w:panose1 w:val="00000000000000000000"/>
    <w:charset w:val="00"/>
    <w:family w:val="roman"/>
    <w:notTrueType/>
    <w:pitch w:val="default"/>
  </w:font>
  <w:font w:name="Malgun Gothic;맑은 고딕">
    <w:panose1 w:val="00000000000000000000"/>
    <w:charset w:val="80"/>
    <w:family w:val="roman"/>
    <w:notTrueType/>
    <w:pitch w:val="default"/>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87A3F"/>
    <w:multiLevelType w:val="multilevel"/>
    <w:tmpl w:val="07BC1884"/>
    <w:lvl w:ilvl="0">
      <w:start w:val="1"/>
      <w:numFmt w:val="decimal"/>
      <w:lvlText w:val="%1."/>
      <w:lvlJc w:val="left"/>
      <w:pPr>
        <w:tabs>
          <w:tab w:val="num" w:pos="360"/>
        </w:tabs>
        <w:ind w:left="360" w:hanging="360"/>
      </w:pPr>
      <w:rPr>
        <w:b/>
        <w:bCs/>
        <w:sz w:val="28"/>
        <w:szCs w:val="28"/>
      </w:rPr>
    </w:lvl>
    <w:lvl w:ilvl="1">
      <w:start w:val="1"/>
      <w:numFmt w:val="decimal"/>
      <w:lvlText w:val="%2."/>
      <w:lvlJc w:val="left"/>
      <w:pPr>
        <w:tabs>
          <w:tab w:val="num" w:pos="1080"/>
        </w:tabs>
        <w:ind w:left="1080" w:hanging="360"/>
      </w:pPr>
      <w:rPr>
        <w:b/>
        <w:bCs/>
        <w:sz w:val="28"/>
        <w:szCs w:val="28"/>
      </w:rPr>
    </w:lvl>
    <w:lvl w:ilvl="2">
      <w:start w:val="1"/>
      <w:numFmt w:val="decimal"/>
      <w:lvlText w:val="%3."/>
      <w:lvlJc w:val="left"/>
      <w:pPr>
        <w:tabs>
          <w:tab w:val="num" w:pos="1440"/>
        </w:tabs>
        <w:ind w:left="1440" w:hanging="360"/>
      </w:pPr>
      <w:rPr>
        <w:b/>
        <w:bCs/>
        <w:sz w:val="28"/>
        <w:szCs w:val="28"/>
      </w:rPr>
    </w:lvl>
    <w:lvl w:ilvl="3">
      <w:start w:val="1"/>
      <w:numFmt w:val="decimal"/>
      <w:lvlText w:val="%4."/>
      <w:lvlJc w:val="left"/>
      <w:pPr>
        <w:tabs>
          <w:tab w:val="num" w:pos="1800"/>
        </w:tabs>
        <w:ind w:left="1800" w:hanging="360"/>
      </w:pPr>
      <w:rPr>
        <w:b/>
        <w:bCs/>
        <w:sz w:val="28"/>
        <w:szCs w:val="28"/>
      </w:rPr>
    </w:lvl>
    <w:lvl w:ilvl="4">
      <w:start w:val="1"/>
      <w:numFmt w:val="decimal"/>
      <w:lvlText w:val="%5."/>
      <w:lvlJc w:val="left"/>
      <w:pPr>
        <w:tabs>
          <w:tab w:val="num" w:pos="2160"/>
        </w:tabs>
        <w:ind w:left="2160" w:hanging="360"/>
      </w:pPr>
      <w:rPr>
        <w:b/>
        <w:bCs/>
        <w:sz w:val="28"/>
        <w:szCs w:val="28"/>
      </w:rPr>
    </w:lvl>
    <w:lvl w:ilvl="5">
      <w:start w:val="1"/>
      <w:numFmt w:val="decimal"/>
      <w:lvlText w:val="%6."/>
      <w:lvlJc w:val="left"/>
      <w:pPr>
        <w:tabs>
          <w:tab w:val="num" w:pos="2520"/>
        </w:tabs>
        <w:ind w:left="2520" w:hanging="360"/>
      </w:pPr>
      <w:rPr>
        <w:b/>
        <w:bCs/>
        <w:sz w:val="28"/>
        <w:szCs w:val="28"/>
      </w:rPr>
    </w:lvl>
    <w:lvl w:ilvl="6">
      <w:start w:val="1"/>
      <w:numFmt w:val="decimal"/>
      <w:lvlText w:val="%7."/>
      <w:lvlJc w:val="left"/>
      <w:pPr>
        <w:tabs>
          <w:tab w:val="num" w:pos="2880"/>
        </w:tabs>
        <w:ind w:left="2880" w:hanging="360"/>
      </w:pPr>
      <w:rPr>
        <w:b/>
        <w:bCs/>
        <w:sz w:val="28"/>
        <w:szCs w:val="28"/>
      </w:rPr>
    </w:lvl>
    <w:lvl w:ilvl="7">
      <w:start w:val="1"/>
      <w:numFmt w:val="decimal"/>
      <w:lvlText w:val="%8."/>
      <w:lvlJc w:val="left"/>
      <w:pPr>
        <w:tabs>
          <w:tab w:val="num" w:pos="3240"/>
        </w:tabs>
        <w:ind w:left="3240" w:hanging="360"/>
      </w:pPr>
      <w:rPr>
        <w:b/>
        <w:bCs/>
        <w:sz w:val="28"/>
        <w:szCs w:val="28"/>
      </w:rPr>
    </w:lvl>
    <w:lvl w:ilvl="8">
      <w:start w:val="1"/>
      <w:numFmt w:val="decimal"/>
      <w:lvlText w:val="%9."/>
      <w:lvlJc w:val="left"/>
      <w:pPr>
        <w:tabs>
          <w:tab w:val="num" w:pos="3600"/>
        </w:tabs>
        <w:ind w:left="3600" w:hanging="360"/>
      </w:pPr>
      <w:rPr>
        <w:b/>
        <w:bCs/>
        <w:sz w:val="28"/>
        <w:szCs w:val="28"/>
      </w:rPr>
    </w:lvl>
  </w:abstractNum>
  <w:abstractNum w:abstractNumId="1" w15:restartNumberingAfterBreak="0">
    <w:nsid w:val="076A20F6"/>
    <w:multiLevelType w:val="multilevel"/>
    <w:tmpl w:val="7E7263E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0B415BC2"/>
    <w:multiLevelType w:val="multilevel"/>
    <w:tmpl w:val="B37E5E8E"/>
    <w:lvl w:ilvl="0">
      <w:start w:val="3"/>
      <w:numFmt w:val="decimal"/>
      <w:lvlText w:val="%1."/>
      <w:lvlJc w:val="left"/>
      <w:pPr>
        <w:tabs>
          <w:tab w:val="num" w:pos="720"/>
        </w:tabs>
        <w:ind w:left="720" w:hanging="360"/>
      </w:pPr>
      <w:rPr>
        <w:b/>
        <w:bCs/>
        <w:sz w:val="28"/>
        <w:szCs w:val="28"/>
      </w:rPr>
    </w:lvl>
    <w:lvl w:ilvl="1">
      <w:start w:val="1"/>
      <w:numFmt w:val="decimal"/>
      <w:lvlText w:val="%2."/>
      <w:lvlJc w:val="left"/>
      <w:pPr>
        <w:tabs>
          <w:tab w:val="num" w:pos="1080"/>
        </w:tabs>
        <w:ind w:left="1080" w:hanging="360"/>
      </w:pPr>
      <w:rPr>
        <w:b/>
        <w:bCs/>
        <w:sz w:val="28"/>
        <w:szCs w:val="28"/>
      </w:rPr>
    </w:lvl>
    <w:lvl w:ilvl="2">
      <w:start w:val="1"/>
      <w:numFmt w:val="decimal"/>
      <w:lvlText w:val="%3."/>
      <w:lvlJc w:val="left"/>
      <w:pPr>
        <w:tabs>
          <w:tab w:val="num" w:pos="1440"/>
        </w:tabs>
        <w:ind w:left="1440" w:hanging="360"/>
      </w:pPr>
      <w:rPr>
        <w:b/>
        <w:bCs/>
        <w:sz w:val="28"/>
        <w:szCs w:val="28"/>
      </w:rPr>
    </w:lvl>
    <w:lvl w:ilvl="3">
      <w:start w:val="1"/>
      <w:numFmt w:val="decimal"/>
      <w:lvlText w:val="%4."/>
      <w:lvlJc w:val="left"/>
      <w:pPr>
        <w:tabs>
          <w:tab w:val="num" w:pos="1800"/>
        </w:tabs>
        <w:ind w:left="1800" w:hanging="360"/>
      </w:pPr>
      <w:rPr>
        <w:b/>
        <w:bCs/>
        <w:sz w:val="28"/>
        <w:szCs w:val="28"/>
      </w:rPr>
    </w:lvl>
    <w:lvl w:ilvl="4">
      <w:start w:val="1"/>
      <w:numFmt w:val="decimal"/>
      <w:lvlText w:val="%5."/>
      <w:lvlJc w:val="left"/>
      <w:pPr>
        <w:tabs>
          <w:tab w:val="num" w:pos="2160"/>
        </w:tabs>
        <w:ind w:left="2160" w:hanging="360"/>
      </w:pPr>
      <w:rPr>
        <w:b/>
        <w:bCs/>
        <w:sz w:val="28"/>
        <w:szCs w:val="28"/>
      </w:rPr>
    </w:lvl>
    <w:lvl w:ilvl="5">
      <w:start w:val="1"/>
      <w:numFmt w:val="decimal"/>
      <w:lvlText w:val="%6."/>
      <w:lvlJc w:val="left"/>
      <w:pPr>
        <w:tabs>
          <w:tab w:val="num" w:pos="2520"/>
        </w:tabs>
        <w:ind w:left="2520" w:hanging="360"/>
      </w:pPr>
      <w:rPr>
        <w:b/>
        <w:bCs/>
        <w:sz w:val="28"/>
        <w:szCs w:val="28"/>
      </w:rPr>
    </w:lvl>
    <w:lvl w:ilvl="6">
      <w:start w:val="1"/>
      <w:numFmt w:val="decimal"/>
      <w:lvlText w:val="%7."/>
      <w:lvlJc w:val="left"/>
      <w:pPr>
        <w:tabs>
          <w:tab w:val="num" w:pos="2880"/>
        </w:tabs>
        <w:ind w:left="2880" w:hanging="360"/>
      </w:pPr>
      <w:rPr>
        <w:b/>
        <w:bCs/>
        <w:sz w:val="28"/>
        <w:szCs w:val="28"/>
      </w:rPr>
    </w:lvl>
    <w:lvl w:ilvl="7">
      <w:start w:val="1"/>
      <w:numFmt w:val="decimal"/>
      <w:lvlText w:val="%8."/>
      <w:lvlJc w:val="left"/>
      <w:pPr>
        <w:tabs>
          <w:tab w:val="num" w:pos="3240"/>
        </w:tabs>
        <w:ind w:left="3240" w:hanging="360"/>
      </w:pPr>
      <w:rPr>
        <w:b/>
        <w:bCs/>
        <w:sz w:val="28"/>
        <w:szCs w:val="28"/>
      </w:rPr>
    </w:lvl>
    <w:lvl w:ilvl="8">
      <w:start w:val="1"/>
      <w:numFmt w:val="decimal"/>
      <w:lvlText w:val="%9."/>
      <w:lvlJc w:val="left"/>
      <w:pPr>
        <w:tabs>
          <w:tab w:val="num" w:pos="3600"/>
        </w:tabs>
        <w:ind w:left="3600" w:hanging="360"/>
      </w:pPr>
      <w:rPr>
        <w:b/>
        <w:bCs/>
        <w:sz w:val="28"/>
        <w:szCs w:val="28"/>
      </w:rPr>
    </w:lvl>
  </w:abstractNum>
  <w:abstractNum w:abstractNumId="3" w15:restartNumberingAfterBreak="0">
    <w:nsid w:val="0C5C449B"/>
    <w:multiLevelType w:val="multilevel"/>
    <w:tmpl w:val="48B0FB1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CC1CF8"/>
    <w:multiLevelType w:val="multilevel"/>
    <w:tmpl w:val="119CE28A"/>
    <w:lvl w:ilvl="0">
      <w:start w:val="5"/>
      <w:numFmt w:val="decimal"/>
      <w:lvlText w:val="%1."/>
      <w:lvlJc w:val="left"/>
      <w:pPr>
        <w:tabs>
          <w:tab w:val="num" w:pos="720"/>
        </w:tabs>
        <w:ind w:left="720" w:hanging="360"/>
      </w:pPr>
      <w:rPr>
        <w:b/>
        <w:bCs/>
        <w:sz w:val="28"/>
        <w:szCs w:val="28"/>
      </w:rPr>
    </w:lvl>
    <w:lvl w:ilvl="1">
      <w:start w:val="1"/>
      <w:numFmt w:val="decimal"/>
      <w:lvlText w:val="%2."/>
      <w:lvlJc w:val="left"/>
      <w:pPr>
        <w:tabs>
          <w:tab w:val="num" w:pos="1080"/>
        </w:tabs>
        <w:ind w:left="1080" w:hanging="360"/>
      </w:pPr>
      <w:rPr>
        <w:b/>
        <w:bCs/>
        <w:sz w:val="28"/>
        <w:szCs w:val="28"/>
      </w:rPr>
    </w:lvl>
    <w:lvl w:ilvl="2">
      <w:start w:val="1"/>
      <w:numFmt w:val="decimal"/>
      <w:lvlText w:val="%3."/>
      <w:lvlJc w:val="left"/>
      <w:pPr>
        <w:tabs>
          <w:tab w:val="num" w:pos="1440"/>
        </w:tabs>
        <w:ind w:left="1440" w:hanging="360"/>
      </w:pPr>
      <w:rPr>
        <w:b/>
        <w:bCs/>
        <w:sz w:val="28"/>
        <w:szCs w:val="28"/>
      </w:rPr>
    </w:lvl>
    <w:lvl w:ilvl="3">
      <w:start w:val="1"/>
      <w:numFmt w:val="decimal"/>
      <w:lvlText w:val="%4."/>
      <w:lvlJc w:val="left"/>
      <w:pPr>
        <w:tabs>
          <w:tab w:val="num" w:pos="1800"/>
        </w:tabs>
        <w:ind w:left="1800" w:hanging="360"/>
      </w:pPr>
      <w:rPr>
        <w:b/>
        <w:bCs/>
        <w:sz w:val="28"/>
        <w:szCs w:val="28"/>
      </w:rPr>
    </w:lvl>
    <w:lvl w:ilvl="4">
      <w:start w:val="1"/>
      <w:numFmt w:val="decimal"/>
      <w:lvlText w:val="%5."/>
      <w:lvlJc w:val="left"/>
      <w:pPr>
        <w:tabs>
          <w:tab w:val="num" w:pos="2160"/>
        </w:tabs>
        <w:ind w:left="2160" w:hanging="360"/>
      </w:pPr>
      <w:rPr>
        <w:b/>
        <w:bCs/>
        <w:sz w:val="28"/>
        <w:szCs w:val="28"/>
      </w:rPr>
    </w:lvl>
    <w:lvl w:ilvl="5">
      <w:start w:val="1"/>
      <w:numFmt w:val="decimal"/>
      <w:lvlText w:val="%6."/>
      <w:lvlJc w:val="left"/>
      <w:pPr>
        <w:tabs>
          <w:tab w:val="num" w:pos="2520"/>
        </w:tabs>
        <w:ind w:left="2520" w:hanging="360"/>
      </w:pPr>
      <w:rPr>
        <w:b/>
        <w:bCs/>
        <w:sz w:val="28"/>
        <w:szCs w:val="28"/>
      </w:rPr>
    </w:lvl>
    <w:lvl w:ilvl="6">
      <w:start w:val="1"/>
      <w:numFmt w:val="decimal"/>
      <w:lvlText w:val="%7."/>
      <w:lvlJc w:val="left"/>
      <w:pPr>
        <w:tabs>
          <w:tab w:val="num" w:pos="2880"/>
        </w:tabs>
        <w:ind w:left="2880" w:hanging="360"/>
      </w:pPr>
      <w:rPr>
        <w:b/>
        <w:bCs/>
        <w:sz w:val="28"/>
        <w:szCs w:val="28"/>
      </w:rPr>
    </w:lvl>
    <w:lvl w:ilvl="7">
      <w:start w:val="1"/>
      <w:numFmt w:val="decimal"/>
      <w:lvlText w:val="%8."/>
      <w:lvlJc w:val="left"/>
      <w:pPr>
        <w:tabs>
          <w:tab w:val="num" w:pos="3240"/>
        </w:tabs>
        <w:ind w:left="3240" w:hanging="360"/>
      </w:pPr>
      <w:rPr>
        <w:b/>
        <w:bCs/>
        <w:sz w:val="28"/>
        <w:szCs w:val="28"/>
      </w:rPr>
    </w:lvl>
    <w:lvl w:ilvl="8">
      <w:start w:val="1"/>
      <w:numFmt w:val="decimal"/>
      <w:lvlText w:val="%9."/>
      <w:lvlJc w:val="left"/>
      <w:pPr>
        <w:tabs>
          <w:tab w:val="num" w:pos="3600"/>
        </w:tabs>
        <w:ind w:left="3600" w:hanging="360"/>
      </w:pPr>
      <w:rPr>
        <w:b/>
        <w:bCs/>
        <w:sz w:val="28"/>
        <w:szCs w:val="28"/>
      </w:rPr>
    </w:lvl>
  </w:abstractNum>
  <w:abstractNum w:abstractNumId="5" w15:restartNumberingAfterBreak="0">
    <w:nsid w:val="0D577436"/>
    <w:multiLevelType w:val="multilevel"/>
    <w:tmpl w:val="00F879D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5201A86"/>
    <w:multiLevelType w:val="multilevel"/>
    <w:tmpl w:val="8B966D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851543B"/>
    <w:multiLevelType w:val="multilevel"/>
    <w:tmpl w:val="3C58731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435B4E79"/>
    <w:multiLevelType w:val="multilevel"/>
    <w:tmpl w:val="87B0DE5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54A7C00"/>
    <w:multiLevelType w:val="multilevel"/>
    <w:tmpl w:val="ADBED6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F73594B"/>
    <w:multiLevelType w:val="multilevel"/>
    <w:tmpl w:val="B07403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17741DC"/>
    <w:multiLevelType w:val="hybridMultilevel"/>
    <w:tmpl w:val="D318DB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A5D1220"/>
    <w:multiLevelType w:val="multilevel"/>
    <w:tmpl w:val="29E6C896"/>
    <w:lvl w:ilvl="0">
      <w:start w:val="1"/>
      <w:numFmt w:val="bullet"/>
      <w:lvlText w:val=""/>
      <w:lvlJc w:val="left"/>
      <w:pPr>
        <w:tabs>
          <w:tab w:val="num" w:pos="810"/>
        </w:tabs>
        <w:ind w:left="810" w:hanging="360"/>
      </w:pPr>
      <w:rPr>
        <w:rFonts w:ascii="Symbol" w:hAnsi="Symbol" w:cs="Symbol" w:hint="default"/>
      </w:rPr>
    </w:lvl>
    <w:lvl w:ilvl="1">
      <w:start w:val="1"/>
      <w:numFmt w:val="bullet"/>
      <w:lvlText w:val="◦"/>
      <w:lvlJc w:val="left"/>
      <w:pPr>
        <w:tabs>
          <w:tab w:val="num" w:pos="1170"/>
        </w:tabs>
        <w:ind w:left="1170" w:hanging="360"/>
      </w:pPr>
      <w:rPr>
        <w:rFonts w:ascii="OpenSymbol" w:hAnsi="OpenSymbol" w:cs="OpenSymbol" w:hint="default"/>
      </w:rPr>
    </w:lvl>
    <w:lvl w:ilvl="2">
      <w:start w:val="1"/>
      <w:numFmt w:val="bullet"/>
      <w:lvlText w:val="▪"/>
      <w:lvlJc w:val="left"/>
      <w:pPr>
        <w:tabs>
          <w:tab w:val="num" w:pos="1530"/>
        </w:tabs>
        <w:ind w:left="1530" w:hanging="360"/>
      </w:pPr>
      <w:rPr>
        <w:rFonts w:ascii="OpenSymbol" w:hAnsi="OpenSymbol" w:cs="OpenSymbol" w:hint="default"/>
      </w:rPr>
    </w:lvl>
    <w:lvl w:ilvl="3">
      <w:start w:val="1"/>
      <w:numFmt w:val="bullet"/>
      <w:lvlText w:val=""/>
      <w:lvlJc w:val="left"/>
      <w:pPr>
        <w:tabs>
          <w:tab w:val="num" w:pos="1890"/>
        </w:tabs>
        <w:ind w:left="1890" w:hanging="360"/>
      </w:pPr>
      <w:rPr>
        <w:rFonts w:ascii="Symbol" w:hAnsi="Symbol" w:cs="Symbol" w:hint="default"/>
      </w:rPr>
    </w:lvl>
    <w:lvl w:ilvl="4">
      <w:start w:val="1"/>
      <w:numFmt w:val="bullet"/>
      <w:lvlText w:val="◦"/>
      <w:lvlJc w:val="left"/>
      <w:pPr>
        <w:tabs>
          <w:tab w:val="num" w:pos="2250"/>
        </w:tabs>
        <w:ind w:left="2250" w:hanging="360"/>
      </w:pPr>
      <w:rPr>
        <w:rFonts w:ascii="OpenSymbol" w:hAnsi="OpenSymbol" w:cs="OpenSymbol" w:hint="default"/>
      </w:rPr>
    </w:lvl>
    <w:lvl w:ilvl="5">
      <w:start w:val="1"/>
      <w:numFmt w:val="bullet"/>
      <w:lvlText w:val="▪"/>
      <w:lvlJc w:val="left"/>
      <w:pPr>
        <w:tabs>
          <w:tab w:val="num" w:pos="2610"/>
        </w:tabs>
        <w:ind w:left="2610" w:hanging="360"/>
      </w:pPr>
      <w:rPr>
        <w:rFonts w:ascii="OpenSymbol" w:hAnsi="OpenSymbol" w:cs="OpenSymbol" w:hint="default"/>
      </w:rPr>
    </w:lvl>
    <w:lvl w:ilvl="6">
      <w:start w:val="1"/>
      <w:numFmt w:val="bullet"/>
      <w:lvlText w:val=""/>
      <w:lvlJc w:val="left"/>
      <w:pPr>
        <w:tabs>
          <w:tab w:val="num" w:pos="2970"/>
        </w:tabs>
        <w:ind w:left="2970" w:hanging="360"/>
      </w:pPr>
      <w:rPr>
        <w:rFonts w:ascii="Symbol" w:hAnsi="Symbol" w:cs="Symbol" w:hint="default"/>
      </w:rPr>
    </w:lvl>
    <w:lvl w:ilvl="7">
      <w:start w:val="1"/>
      <w:numFmt w:val="bullet"/>
      <w:lvlText w:val="◦"/>
      <w:lvlJc w:val="left"/>
      <w:pPr>
        <w:tabs>
          <w:tab w:val="num" w:pos="3330"/>
        </w:tabs>
        <w:ind w:left="3330" w:hanging="360"/>
      </w:pPr>
      <w:rPr>
        <w:rFonts w:ascii="OpenSymbol" w:hAnsi="OpenSymbol" w:cs="OpenSymbol" w:hint="default"/>
      </w:rPr>
    </w:lvl>
    <w:lvl w:ilvl="8">
      <w:start w:val="1"/>
      <w:numFmt w:val="bullet"/>
      <w:lvlText w:val="▪"/>
      <w:lvlJc w:val="left"/>
      <w:pPr>
        <w:tabs>
          <w:tab w:val="num" w:pos="3690"/>
        </w:tabs>
        <w:ind w:left="3690" w:hanging="360"/>
      </w:pPr>
      <w:rPr>
        <w:rFonts w:ascii="OpenSymbol" w:hAnsi="OpenSymbol" w:cs="OpenSymbol" w:hint="default"/>
      </w:rPr>
    </w:lvl>
  </w:abstractNum>
  <w:num w:numId="1" w16cid:durableId="1100877644">
    <w:abstractNumId w:val="9"/>
  </w:num>
  <w:num w:numId="2" w16cid:durableId="1463379674">
    <w:abstractNumId w:val="6"/>
  </w:num>
  <w:num w:numId="3" w16cid:durableId="562057983">
    <w:abstractNumId w:val="0"/>
  </w:num>
  <w:num w:numId="4" w16cid:durableId="1209142381">
    <w:abstractNumId w:val="2"/>
  </w:num>
  <w:num w:numId="5" w16cid:durableId="1555893961">
    <w:abstractNumId w:val="1"/>
  </w:num>
  <w:num w:numId="6" w16cid:durableId="2030911901">
    <w:abstractNumId w:val="12"/>
  </w:num>
  <w:num w:numId="7" w16cid:durableId="1421372101">
    <w:abstractNumId w:val="4"/>
  </w:num>
  <w:num w:numId="8" w16cid:durableId="1108623443">
    <w:abstractNumId w:val="5"/>
  </w:num>
  <w:num w:numId="9" w16cid:durableId="1526361693">
    <w:abstractNumId w:val="7"/>
  </w:num>
  <w:num w:numId="10" w16cid:durableId="728184888">
    <w:abstractNumId w:val="10"/>
  </w:num>
  <w:num w:numId="11" w16cid:durableId="798760390">
    <w:abstractNumId w:val="8"/>
  </w:num>
  <w:num w:numId="12" w16cid:durableId="1428961102">
    <w:abstractNumId w:val="11"/>
  </w:num>
  <w:num w:numId="13" w16cid:durableId="1607082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1152"/>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0A2042"/>
    <w:rsid w:val="000A2042"/>
    <w:rsid w:val="000C3620"/>
    <w:rsid w:val="004C0F85"/>
    <w:rsid w:val="006A741E"/>
    <w:rsid w:val="00F3070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1C7BC"/>
  <w15:docId w15:val="{39DF398C-DB3C-4C06-9E6C-DF1401698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napToGrid w:val="0"/>
      <w:spacing w:after="120"/>
      <w:jc w:val="both"/>
    </w:pPr>
    <w:rPr>
      <w:rFonts w:eastAsia="SimSun"/>
      <w:sz w:val="22"/>
      <w:szCs w:val="22"/>
      <w:lang w:eastAsia="zh-CN"/>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qFormat/>
    <w:pPr>
      <w:keepNext/>
      <w:spacing w:before="120"/>
      <w:outlineLvl w:val="2"/>
    </w:pPr>
    <w:rPr>
      <w:b/>
    </w:rPr>
  </w:style>
  <w:style w:type="paragraph" w:styleId="Heading4">
    <w:name w:val="heading 4"/>
    <w:basedOn w:val="Normal"/>
    <w:next w:val="Normal"/>
    <w:qFormat/>
    <w:pPr>
      <w:keepNext/>
      <w:spacing w:before="120"/>
      <w:ind w:left="720" w:hanging="720"/>
      <w:outlineLvl w:val="3"/>
    </w:pPr>
    <w:rPr>
      <w:b/>
      <w:bCs/>
      <w:szCs w:val="28"/>
    </w:rPr>
  </w:style>
  <w:style w:type="paragraph" w:styleId="Heading5">
    <w:name w:val="heading 5"/>
    <w:basedOn w:val="Normal"/>
    <w:next w:val="Normal"/>
    <w:qFormat/>
    <w:pPr>
      <w:keepNext/>
      <w:spacing w:before="120"/>
      <w:ind w:left="720" w:hanging="720"/>
      <w:outlineLvl w:val="4"/>
    </w:pPr>
    <w:rPr>
      <w:b/>
      <w:bCs/>
      <w:i/>
      <w:iCs/>
      <w:szCs w:val="26"/>
    </w:r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i w:val="0"/>
      <w:lang w:val="en-US"/>
    </w:rPr>
  </w:style>
  <w:style w:type="character" w:customStyle="1" w:styleId="WW8Num1z1">
    <w:name w:val="WW8Num1z1"/>
    <w:qFormat/>
    <w:rPr>
      <w:rFonts w:ascii="Times New Roman" w:hAnsi="Times New Roman" w:cs="Times New Roman"/>
      <w:b/>
      <w:i w:val="0"/>
      <w:sz w:val="24"/>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rPr>
      <w:rFonts w:ascii="Courier New" w:eastAsia="Malgun Gothic" w:hAnsi="Courier New" w:cs="Courier New"/>
      <w:lang w:eastAsia="ko-KR"/>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Courier New" w:eastAsia="Malgun Gothic" w:hAnsi="Courier New" w:cs="Courier New"/>
      <w:lang w:eastAsia="ko-KR"/>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Symbol" w:eastAsia="Malgun Gothic" w:hAnsi="Symbol" w:cs="Symbol"/>
      <w:lang w:eastAsia="ko-KR"/>
    </w:rPr>
  </w:style>
  <w:style w:type="character" w:customStyle="1" w:styleId="WW8Num5z1">
    <w:name w:val="WW8Num5z1"/>
    <w:qFormat/>
    <w:rPr>
      <w:rFonts w:ascii="Courier New" w:eastAsia="Malgun Gothic" w:hAnsi="Courier New" w:cs="Courier New"/>
      <w:sz w:val="24"/>
      <w:szCs w:val="24"/>
      <w:lang w:eastAsia="en-US"/>
    </w:rPr>
  </w:style>
  <w:style w:type="character" w:customStyle="1" w:styleId="WW8Num5z2">
    <w:name w:val="WW8Num5z2"/>
    <w:qFormat/>
    <w:rPr>
      <w:rFonts w:ascii="Wingdings" w:hAnsi="Wingdings" w:cs="Wingdings"/>
    </w:rPr>
  </w:style>
  <w:style w:type="character" w:customStyle="1" w:styleId="WW8Num6z0">
    <w:name w:val="WW8Num6z0"/>
    <w:qFormat/>
    <w:rPr>
      <w:rFonts w:ascii="Times New Roman" w:eastAsia="Malgun Gothic" w:hAnsi="Times New Roman" w:cs="Times New Roman"/>
      <w:lang w:eastAsia="ko-KR"/>
    </w:rPr>
  </w:style>
  <w:style w:type="character" w:customStyle="1" w:styleId="WW8Num6z1">
    <w:name w:val="WW8Num6z1"/>
    <w:qFormat/>
    <w:rPr>
      <w:rFonts w:ascii="Wingdings" w:hAnsi="Wingdings" w:cs="Wingdings"/>
    </w:rPr>
  </w:style>
  <w:style w:type="character" w:customStyle="1" w:styleId="DefaultParagraphFont0">
    <w:name w:val="Default Paragraph Font0"/>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DefaultParagraphFont">
    <w:name w:val="WW-Default Paragraph Font"/>
    <w:qFormat/>
  </w:style>
  <w:style w:type="character" w:customStyle="1" w:styleId="WW8Num3z1">
    <w:name w:val="WW8Num3z1"/>
    <w:qFormat/>
    <w:rPr>
      <w:rFonts w:ascii="Wingdings" w:hAnsi="Wingdings" w:cs="Wingdings"/>
    </w:rPr>
  </w:style>
  <w:style w:type="character" w:customStyle="1" w:styleId="WW8Num8z0">
    <w:name w:val="WW8Num8z0"/>
    <w:qFormat/>
    <w:rPr>
      <w:lang w:eastAsia="zh-CN"/>
    </w:rPr>
  </w:style>
  <w:style w:type="character" w:customStyle="1" w:styleId="WW8Num9z0">
    <w:name w:val="WW8Num9z0"/>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Symbol" w:eastAsia="Wingdings" w:hAnsi="Symbol" w:cs="Symbol"/>
    </w:rPr>
  </w:style>
  <w:style w:type="character" w:customStyle="1" w:styleId="WW8Num14z1">
    <w:name w:val="WW8Num14z1"/>
    <w:qFormat/>
    <w:rPr>
      <w:rFonts w:ascii="Courier New" w:eastAsia="Wingdings" w:hAnsi="Courier New" w:cs="Courier New"/>
      <w:sz w:val="24"/>
      <w:szCs w:val="24"/>
    </w:rPr>
  </w:style>
  <w:style w:type="character" w:customStyle="1" w:styleId="WW8Num14z2">
    <w:name w:val="WW8Num14z2"/>
    <w:qFormat/>
    <w:rPr>
      <w:rFonts w:ascii="Wingdings" w:eastAsia="Wingdings" w:hAnsi="Wingdings" w:cs="Wingdings"/>
    </w:rPr>
  </w:style>
  <w:style w:type="character" w:customStyle="1" w:styleId="WW8Num15z0">
    <w:name w:val="WW8Num15z0"/>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DefaultParagraphFont1">
    <w:name w:val="WW-Default Paragraph Font1"/>
    <w:qFormat/>
  </w:style>
  <w:style w:type="character" w:customStyle="1" w:styleId="WW8Num2z1">
    <w:name w:val="WW8Num2z1"/>
    <w:qFormat/>
    <w:rPr>
      <w:rFonts w:ascii="Wingdings" w:hAnsi="Wingdings" w:cs="Wingdings"/>
    </w:rPr>
  </w:style>
  <w:style w:type="character" w:customStyle="1" w:styleId="WW8Num4z1">
    <w:name w:val="WW8Num4z1"/>
    <w:qFormat/>
    <w:rPr>
      <w:rFonts w:ascii="Wingdings" w:hAnsi="Wingdings" w:cs="Wingdings"/>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1">
    <w:name w:val="WW8Num9z1"/>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a">
    <w:name w:val="默认段落字体"/>
    <w:qFormat/>
  </w:style>
  <w:style w:type="character" w:customStyle="1" w:styleId="Char">
    <w:name w:val="正文文本 Char"/>
    <w:qFormat/>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qFormat/>
    <w:rPr>
      <w:b/>
      <w:bCs/>
      <w:kern w:val="2"/>
      <w:lang w:val="en-GB" w:eastAsia="zh-CN" w:bidi="ar-SA"/>
    </w:rPr>
  </w:style>
  <w:style w:type="character" w:customStyle="1" w:styleId="1">
    <w:name w:val="已访问的超链接1"/>
    <w:qFormat/>
    <w:rPr>
      <w:color w:val="800080"/>
      <w:kern w:val="2"/>
      <w:u w:val="single"/>
      <w:lang w:val="en-GB" w:eastAsia="zh-CN" w:bidi="ar-SA"/>
    </w:rPr>
  </w:style>
  <w:style w:type="character" w:customStyle="1" w:styleId="FootnoteCharacters">
    <w:name w:val="Footnote Characters"/>
    <w:qFormat/>
    <w:rPr>
      <w:kern w:val="2"/>
      <w:vertAlign w:val="superscript"/>
      <w:lang w:val="en-GB" w:eastAsia="zh-CN" w:bidi="ar-SA"/>
    </w:rPr>
  </w:style>
  <w:style w:type="character" w:customStyle="1" w:styleId="Char1">
    <w:name w:val="页眉 Char"/>
    <w:qFormat/>
    <w:rPr>
      <w:kern w:val="2"/>
      <w:sz w:val="22"/>
      <w:szCs w:val="22"/>
      <w:lang w:val="en-GB" w:eastAsia="zh-CN" w:bidi="ar-SA"/>
    </w:rPr>
  </w:style>
  <w:style w:type="character" w:customStyle="1" w:styleId="Char2">
    <w:name w:val="页脚 Char"/>
    <w:qFormat/>
    <w:rPr>
      <w:kern w:val="2"/>
      <w:sz w:val="22"/>
      <w:szCs w:val="22"/>
      <w:lang w:val="en-GB" w:eastAsia="zh-CN" w:bidi="ar-SA"/>
    </w:rPr>
  </w:style>
  <w:style w:type="character" w:customStyle="1" w:styleId="Char3">
    <w:name w:val="文档结构图 Char"/>
    <w:qFormat/>
    <w:rPr>
      <w:rFonts w:ascii="SimSun" w:hAnsi="SimSun" w:cs="SimSun"/>
      <w:kern w:val="2"/>
      <w:sz w:val="18"/>
      <w:szCs w:val="18"/>
      <w:lang w:val="en-GB" w:bidi="ar-SA"/>
    </w:rPr>
  </w:style>
  <w:style w:type="character" w:customStyle="1" w:styleId="maintextChar">
    <w:name w:val="main text Char"/>
    <w:qFormat/>
    <w:rPr>
      <w:rFonts w:eastAsia="Malgun Gothic" w:cs="Batang"/>
      <w:lang w:val="en-GB" w:eastAsia="ko-KR"/>
    </w:rPr>
  </w:style>
  <w:style w:type="character" w:customStyle="1" w:styleId="2222Char">
    <w:name w:val="스타일 스타일 스타일 스타일 양쪽 첫 줄:  2 글자 + 첫 줄:  2 글자 + 첫 줄:  2 글자 + 첫 줄:  2... Char"/>
    <w:qFormat/>
    <w:rPr>
      <w:rFonts w:eastAsia="Malgun Gothic" w:cs="Batang"/>
      <w:lang w:val="en-GB"/>
    </w:rPr>
  </w:style>
  <w:style w:type="character" w:customStyle="1" w:styleId="a0">
    <w:name w:val="批注引用"/>
    <w:qFormat/>
    <w:rPr>
      <w:kern w:val="2"/>
      <w:sz w:val="21"/>
      <w:szCs w:val="21"/>
      <w:lang w:val="en-GB" w:eastAsia="zh-CN" w:bidi="ar-SA"/>
    </w:rPr>
  </w:style>
  <w:style w:type="character" w:customStyle="1" w:styleId="Char4">
    <w:name w:val="批注文字 Char"/>
    <w:qFormat/>
    <w:rPr>
      <w:kern w:val="2"/>
      <w:sz w:val="22"/>
      <w:szCs w:val="22"/>
      <w:lang w:val="en-GB" w:bidi="ar-SA"/>
    </w:rPr>
  </w:style>
  <w:style w:type="character" w:customStyle="1" w:styleId="Char5">
    <w:name w:val="批注主题 Char"/>
    <w:qFormat/>
    <w:rPr>
      <w:b/>
      <w:bCs/>
      <w:kern w:val="2"/>
      <w:sz w:val="22"/>
      <w:szCs w:val="22"/>
      <w:lang w:val="en-GB" w:bidi="ar-SA"/>
    </w:rPr>
  </w:style>
  <w:style w:type="character" w:styleId="CommentReference">
    <w:name w:val="annotation reference"/>
    <w:qFormat/>
    <w:rPr>
      <w:sz w:val="16"/>
      <w:szCs w:val="16"/>
    </w:rPr>
  </w:style>
  <w:style w:type="character" w:customStyle="1" w:styleId="CommentTextChar">
    <w:name w:val="Comment Text Char"/>
    <w:qFormat/>
    <w:rPr>
      <w:rFonts w:eastAsia="SimSun"/>
      <w:lang w:eastAsia="zh-CN"/>
    </w:rPr>
  </w:style>
  <w:style w:type="character" w:customStyle="1" w:styleId="CommentSubjectChar">
    <w:name w:val="Comment Subject Char"/>
    <w:qFormat/>
    <w:rPr>
      <w:rFonts w:eastAsia="SimSun"/>
      <w:b/>
      <w:bCs/>
      <w:lang w:eastAsia="zh-CN"/>
    </w:rPr>
  </w:style>
  <w:style w:type="character" w:customStyle="1" w:styleId="NumberingSymbols">
    <w:name w:val="Numbering Symbols"/>
    <w:qFormat/>
    <w:rPr>
      <w:b/>
      <w:bCs/>
      <w:sz w:val="28"/>
      <w:szCs w:val="28"/>
    </w:rPr>
  </w:style>
  <w:style w:type="character" w:customStyle="1" w:styleId="WW8Num16z0">
    <w:name w:val="WW8Num16z0"/>
    <w:qFormat/>
    <w:rPr>
      <w:rFonts w:ascii="Times;Times New Roman" w:eastAsia="Malgun Gothic" w:hAnsi="Times;Times New Roman" w:cs="Times;Times New Roman"/>
    </w:rPr>
  </w:style>
  <w:style w:type="character" w:customStyle="1" w:styleId="WW8Num16z1">
    <w:name w:val="WW8Num16z1"/>
    <w:qFormat/>
    <w:rPr>
      <w:rFonts w:ascii="Arial" w:eastAsia="Malgun Gothic" w:hAnsi="Arial" w:cs="Arial"/>
      <w:highlight w:val="yellow"/>
      <w:lang w:eastAsia="zh-CN"/>
    </w:rPr>
  </w:style>
  <w:style w:type="character" w:customStyle="1" w:styleId="WW8Num47z0">
    <w:name w:val="WW8Num47z0"/>
    <w:qFormat/>
    <w:rPr>
      <w:rFonts w:ascii="Times;Times New Roman" w:eastAsia="Malgun Gothic" w:hAnsi="Times;Times New Roman" w:cs="Times;Times New Roman"/>
      <w:szCs w:val="20"/>
      <w:highlight w:val="yellow"/>
    </w:rPr>
  </w:style>
  <w:style w:type="character" w:customStyle="1" w:styleId="WW8Num47z1">
    <w:name w:val="WW8Num47z1"/>
    <w:qFormat/>
    <w:rPr>
      <w:rFonts w:ascii="Arial" w:eastAsia="Malgun Gothic" w:hAnsi="Arial" w:cs="Arial"/>
      <w:highlight w:val="yellow"/>
    </w:rPr>
  </w:style>
  <w:style w:type="character" w:customStyle="1" w:styleId="WW8Num12z1">
    <w:name w:val="WW8Num12z1"/>
    <w:qFormat/>
    <w:rPr>
      <w:rFonts w:ascii="Courier New" w:eastAsia="Malgun Gothic" w:hAnsi="Courier New" w:cs="Courier New"/>
      <w:szCs w:val="20"/>
      <w:lang w:eastAsia="ko-KR"/>
    </w:rPr>
  </w:style>
  <w:style w:type="character" w:customStyle="1" w:styleId="Bullets">
    <w:name w:val="Bullets"/>
    <w:qFormat/>
    <w:rPr>
      <w:rFonts w:ascii="OpenSymbol" w:eastAsia="OpenSymbol" w:hAnsi="OpenSymbol" w:cs="OpenSymbol"/>
    </w:rPr>
  </w:style>
  <w:style w:type="character" w:customStyle="1" w:styleId="WW8Num155z0">
    <w:name w:val="WW8Num155z0"/>
    <w:qFormat/>
    <w:rPr>
      <w:rFonts w:ascii="Symbol" w:eastAsia="Malgun Gothic;맑은 고딕" w:hAnsi="Symbol" w:cs="Symbol"/>
    </w:rPr>
  </w:style>
  <w:style w:type="character" w:customStyle="1" w:styleId="WW8Num155z1">
    <w:name w:val="WW8Num155z1"/>
    <w:qFormat/>
    <w:rPr>
      <w:rFonts w:ascii="Courier New" w:hAnsi="Courier New" w:cs="Courier New"/>
    </w:rPr>
  </w:style>
  <w:style w:type="character" w:customStyle="1" w:styleId="WW8Num155z2">
    <w:name w:val="WW8Num155z2"/>
    <w:qFormat/>
    <w:rPr>
      <w:rFonts w:ascii="Wingdings" w:hAnsi="Wingdings" w:cs="Wingdings"/>
    </w:rPr>
  </w:style>
  <w:style w:type="character" w:customStyle="1" w:styleId="WW8Num135z0">
    <w:name w:val="WW8Num135z0"/>
    <w:qFormat/>
    <w:rPr>
      <w:rFonts w:ascii="Symbol" w:eastAsia="Malgun Gothic;맑은 고딕" w:hAnsi="Symbol" w:cs="Symbol"/>
      <w:lang w:eastAsia="zh-CN"/>
    </w:rPr>
  </w:style>
  <w:style w:type="character" w:customStyle="1" w:styleId="WW8Num135z1">
    <w:name w:val="WW8Num135z1"/>
    <w:qFormat/>
    <w:rPr>
      <w:rFonts w:ascii="Courier New" w:hAnsi="Courier New" w:cs="Courier New"/>
    </w:rPr>
  </w:style>
  <w:style w:type="character" w:customStyle="1" w:styleId="WW8Num135z2">
    <w:name w:val="WW8Num135z2"/>
    <w:qFormat/>
    <w:rPr>
      <w:rFonts w:ascii="Wingdings" w:hAnsi="Wingdings" w:cs="Wingdings"/>
    </w:rPr>
  </w:style>
  <w:style w:type="character" w:customStyle="1" w:styleId="WW8Num219z0">
    <w:name w:val="WW8Num219z0"/>
    <w:qFormat/>
    <w:rPr>
      <w:rFonts w:ascii="Symbol" w:eastAsia="Malgun Gothic;맑은 고딕" w:hAnsi="Symbol" w:cs="Symbol"/>
      <w:szCs w:val="20"/>
    </w:rPr>
  </w:style>
  <w:style w:type="character" w:customStyle="1" w:styleId="WW8Num219z1">
    <w:name w:val="WW8Num219z1"/>
    <w:qFormat/>
    <w:rPr>
      <w:rFonts w:ascii="Courier New" w:eastAsia="Malgun Gothic;맑은 고딕" w:hAnsi="Courier New" w:cs="Courier New"/>
      <w:szCs w:val="20"/>
    </w:rPr>
  </w:style>
  <w:style w:type="character" w:customStyle="1" w:styleId="WW8Num219z2">
    <w:name w:val="WW8Num219z2"/>
    <w:qFormat/>
    <w:rPr>
      <w:rFonts w:ascii="Wingdings" w:hAnsi="Wingdings" w:cs="Wingdings"/>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a1">
    <w:name w:val="题注"/>
    <w:basedOn w:val="Normal"/>
    <w:next w:val="Normal"/>
    <w:qFormat/>
    <w:pPr>
      <w:jc w:val="center"/>
    </w:pPr>
    <w:rPr>
      <w:b/>
      <w:bCs/>
      <w:kern w:val="2"/>
      <w:sz w:val="20"/>
      <w:szCs w:val="20"/>
      <w:lang w:val="en-GB"/>
    </w:rPr>
  </w:style>
  <w:style w:type="paragraph" w:customStyle="1" w:styleId="a2">
    <w:name w:val="列表项目符号"/>
    <w:basedOn w:val="List"/>
    <w:qFormat/>
    <w:pPr>
      <w:spacing w:after="180"/>
      <w:ind w:left="568" w:hanging="284"/>
      <w:jc w:val="left"/>
    </w:pPr>
    <w:rPr>
      <w:sz w:val="20"/>
      <w:szCs w:val="20"/>
      <w:lang w:val="en-GB"/>
    </w:rPr>
  </w:style>
  <w:style w:type="paragraph" w:customStyle="1" w:styleId="2">
    <w:name w:val="正文文本 2"/>
    <w:basedOn w:val="Normal"/>
    <w:qFormat/>
    <w:pPr>
      <w:spacing w:after="0"/>
      <w:jc w:val="left"/>
    </w:pPr>
    <w:rPr>
      <w:szCs w:val="20"/>
    </w:rPr>
  </w:style>
  <w:style w:type="paragraph" w:customStyle="1" w:styleId="a3">
    <w:name w:val="批注框文本"/>
    <w:basedOn w:val="Normal"/>
    <w:qFormat/>
    <w:rPr>
      <w:rFonts w:ascii="Tahoma" w:hAnsi="Tahoma" w:cs="Tahoma"/>
      <w:sz w:val="16"/>
      <w:szCs w:val="16"/>
    </w:rPr>
  </w:style>
  <w:style w:type="paragraph" w:customStyle="1" w:styleId="References">
    <w:name w:val="References"/>
    <w:basedOn w:val="Normal"/>
    <w:qFormat/>
    <w:p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qFormat/>
    <w:pPr>
      <w:keepNext/>
      <w:jc w:val="center"/>
    </w:pPr>
  </w:style>
  <w:style w:type="paragraph" w:customStyle="1" w:styleId="Eqn">
    <w:name w:val="Eqn"/>
    <w:basedOn w:val="Normal"/>
    <w:qFormat/>
    <w:rPr>
      <w:lang w:eastAsia="ja-JP"/>
    </w:rPr>
  </w:style>
  <w:style w:type="paragraph" w:customStyle="1" w:styleId="tablecell">
    <w:name w:val="tablecell"/>
    <w:basedOn w:val="Normal"/>
    <w:qFormat/>
    <w:pPr>
      <w:spacing w:before="20" w:after="20"/>
      <w:jc w:val="left"/>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qFormat/>
    <w:pPr>
      <w:jc w:val="center"/>
    </w:pPr>
    <w:rPr>
      <w:b/>
    </w:rPr>
  </w:style>
  <w:style w:type="paragraph" w:customStyle="1" w:styleId="a4">
    <w:name w:val="文档结构图"/>
    <w:basedOn w:val="Normal"/>
    <w:qFormat/>
    <w:rPr>
      <w:rFonts w:ascii="SimSun" w:hAnsi="SimSun" w:cs="SimSun"/>
      <w:kern w:val="2"/>
      <w:sz w:val="18"/>
      <w:szCs w:val="18"/>
      <w:lang w:val="en-GB"/>
    </w:rPr>
  </w:style>
  <w:style w:type="paragraph" w:customStyle="1" w:styleId="maintext">
    <w:name w:val="main text"/>
    <w:basedOn w:val="Normal"/>
    <w:qFormat/>
    <w:pPr>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qFormat/>
    <w:pPr>
      <w:snapToGrid/>
      <w:spacing w:after="180" w:line="336" w:lineRule="auto"/>
      <w:ind w:firstLine="200"/>
    </w:pPr>
    <w:rPr>
      <w:rFonts w:eastAsia="Malgun Gothic"/>
      <w:sz w:val="20"/>
      <w:szCs w:val="20"/>
      <w:lang w:val="en-GB"/>
    </w:rPr>
  </w:style>
  <w:style w:type="paragraph" w:customStyle="1" w:styleId="a5">
    <w:name w:val="批注文字"/>
    <w:basedOn w:val="Normal"/>
    <w:qFormat/>
    <w:pPr>
      <w:jc w:val="left"/>
    </w:pPr>
    <w:rPr>
      <w:kern w:val="2"/>
      <w:lang w:val="en-GB"/>
    </w:rPr>
  </w:style>
  <w:style w:type="paragraph" w:customStyle="1" w:styleId="a6">
    <w:name w:val="批注主题"/>
    <w:basedOn w:val="a5"/>
    <w:next w:val="a5"/>
    <w:qFormat/>
    <w:rPr>
      <w:b/>
      <w:bCs/>
    </w:rPr>
  </w:style>
  <w:style w:type="paragraph" w:customStyle="1" w:styleId="a7">
    <w:name w:val="列出段落"/>
    <w:basedOn w:val="Normal"/>
    <w:qFormat/>
    <w:pPr>
      <w:ind w:left="720"/>
      <w:contextualSpacing/>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ListParagraph">
    <w:name w:val="List Paragraph"/>
    <w:basedOn w:val="Normal"/>
    <w:qFormat/>
    <w:pPr>
      <w:spacing w:after="180"/>
      <w:ind w:left="720"/>
      <w:contextualSpacing/>
    </w:pPr>
  </w:style>
  <w:style w:type="paragraph" w:customStyle="1" w:styleId="TdocHeader2">
    <w:name w:val="Tdoc_Header_2"/>
    <w:basedOn w:val="Normal"/>
    <w:qFormat/>
    <w:pPr>
      <w:widowControl w:val="0"/>
      <w:tabs>
        <w:tab w:val="left" w:pos="1701"/>
        <w:tab w:val="right" w:pos="9072"/>
        <w:tab w:val="right" w:pos="10206"/>
      </w:tabs>
    </w:pPr>
    <w:rPr>
      <w:rFonts w:ascii="Arial" w:hAnsi="Arial" w:cs="Arial"/>
      <w:b/>
      <w:sz w:val="18"/>
      <w:szCs w:val="20"/>
    </w:rPr>
  </w:style>
  <w:style w:type="paragraph" w:styleId="Revision">
    <w:name w:val="Revision"/>
    <w:uiPriority w:val="99"/>
    <w:semiHidden/>
    <w:qFormat/>
    <w:rsid w:val="000158AE"/>
    <w:pPr>
      <w:suppressAutoHyphens w:val="0"/>
    </w:pPr>
    <w:rPr>
      <w:rFonts w:eastAsia="SimSun"/>
      <w:sz w:val="22"/>
      <w:szCs w:val="22"/>
      <w:lang w:eastAsia="zh-CN"/>
    </w:rPr>
  </w:style>
  <w:style w:type="paragraph" w:customStyle="1" w:styleId="a8">
    <w:name w:val="목록 단락"/>
    <w:basedOn w:val="Normal"/>
    <w:qFormat/>
    <w:pPr>
      <w:ind w:left="840"/>
    </w:pPr>
  </w:style>
  <w:style w:type="paragraph" w:customStyle="1" w:styleId="TableContents">
    <w:name w:val="Table Contents"/>
    <w:basedOn w:val="Normal"/>
    <w:qFormat/>
    <w:pPr>
      <w:suppressLineNumbers/>
    </w:pPr>
  </w:style>
  <w:style w:type="numbering" w:customStyle="1" w:styleId="WW8Num16">
    <w:name w:val="WW8Num16"/>
    <w:qFormat/>
  </w:style>
  <w:style w:type="numbering" w:customStyle="1" w:styleId="WW8Num47">
    <w:name w:val="WW8Num47"/>
    <w:qFormat/>
  </w:style>
  <w:style w:type="numbering" w:customStyle="1" w:styleId="WW8Num12">
    <w:name w:val="WW8Num12"/>
    <w:qFormat/>
  </w:style>
  <w:style w:type="numbering" w:customStyle="1" w:styleId="WW8Num155">
    <w:name w:val="WW8Num155"/>
    <w:qFormat/>
  </w:style>
  <w:style w:type="numbering" w:customStyle="1" w:styleId="WW8Num135">
    <w:name w:val="WW8Num135"/>
    <w:qFormat/>
  </w:style>
  <w:style w:type="numbering" w:customStyle="1" w:styleId="WW8Num219">
    <w:name w:val="WW8Num21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2421</Words>
  <Characters>13802</Characters>
  <Application>Microsoft Office Word</Application>
  <DocSecurity>0</DocSecurity>
  <Lines>115</Lines>
  <Paragraphs>32</Paragraphs>
  <ScaleCrop>false</ScaleCrop>
  <Company/>
  <LinksUpToDate>false</LinksUpToDate>
  <CharactersWithSpaces>16191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dc:description/>
  <cp:lastModifiedBy>cewit</cp:lastModifiedBy>
  <cp:revision>2</cp:revision>
  <cp:lastPrinted>2007-06-19T00:08:00Z</cp:lastPrinted>
  <dcterms:created xsi:type="dcterms:W3CDTF">2023-02-17T12:15:00Z</dcterms:created>
  <dcterms:modified xsi:type="dcterms:W3CDTF">2023-02-17T12:15:00Z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9"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10" name="_2015_ms_pID_7253431_00">
    <vt:lpwstr>_2015_ms_pID_7253431</vt:lpwstr>
  </property>
  <property fmtid="{D5CDD505-2E9C-101B-9397-08002B2CF9AE}" pid="11" name="_2015_ms_pID_7253432">
    <vt:lpwstr>9qLhyHC9obdVHv8/RLoYiwEXWdzr8N8/jd2r_x000d_
Z4zgO54Jul26UUC1NNoYDAts+rdWXA==</vt:lpwstr>
  </property>
  <property fmtid="{D5CDD505-2E9C-101B-9397-08002B2CF9AE}" pid="12" name="_2015_ms_pID_7253432_00">
    <vt:lpwstr>_2015_ms_pID_7253432</vt:lpwstr>
  </property>
  <property fmtid="{D5CDD505-2E9C-101B-9397-08002B2CF9AE}" pid="13" name="_2015_ms_pID_725343_00">
    <vt:lpwstr>_2015_ms_pID_725343</vt:lpwstr>
  </property>
  <property fmtid="{D5CDD505-2E9C-101B-9397-08002B2CF9AE}" pid="14" name="_change">
    <vt:lpwstr/>
  </property>
  <property fmtid="{D5CDD505-2E9C-101B-9397-08002B2CF9AE}" pid="15" name="_full-control">
    <vt:lpwstr/>
  </property>
  <property fmtid="{D5CDD505-2E9C-101B-9397-08002B2CF9AE}" pid="16"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7"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8" name="_ms_pID_7253431_00">
    <vt:lpwstr>_ms_pID_7253431</vt:lpwstr>
  </property>
  <property fmtid="{D5CDD505-2E9C-101B-9397-08002B2CF9AE}" pid="19" name="_ms_pID_725343_00">
    <vt:lpwstr>_ms_pID_725343</vt:lpwstr>
  </property>
  <property fmtid="{D5CDD505-2E9C-101B-9397-08002B2CF9AE}" pid="20"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1"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2" name="_new_ms_pID_725431_00">
    <vt:lpwstr>_new_ms_pID_725431</vt:lpwstr>
  </property>
  <property fmtid="{D5CDD505-2E9C-101B-9397-08002B2CF9AE}" pid="23" name="_new_ms_pID_725432">
    <vt:lpwstr>5ODSr9xM8Xe/xX3rgoOAg9xBQQRuph+xauB2_x000d_
+Uz1cw0AjCoGCO2oa+/H2hSUl4V/TuAc1JprpjrQiCnOJfR4pc0=</vt:lpwstr>
  </property>
  <property fmtid="{D5CDD505-2E9C-101B-9397-08002B2CF9AE}" pid="24" name="_new_ms_pID_725432_00">
    <vt:lpwstr>_new_ms_pID_725432</vt:lpwstr>
  </property>
  <property fmtid="{D5CDD505-2E9C-101B-9397-08002B2CF9AE}" pid="25" name="_new_ms_pID_72543_00">
    <vt:lpwstr>_new_ms_pID_72543</vt:lpwstr>
  </property>
  <property fmtid="{D5CDD505-2E9C-101B-9397-08002B2CF9AE}" pid="26" name="_readonly">
    <vt:lpwstr/>
  </property>
  <property fmtid="{D5CDD505-2E9C-101B-9397-08002B2CF9AE}" pid="27" name="sflag">
    <vt:lpwstr>1510973513</vt:lpwstr>
  </property>
</Properties>
</file>