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1FDF1DDE"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C2342F">
        <w:rPr>
          <w:rFonts w:cs="Arial"/>
          <w:b/>
          <w:sz w:val="24"/>
          <w:szCs w:val="24"/>
          <w:lang w:eastAsia="ko-KR"/>
        </w:rPr>
        <w:t>#11</w:t>
      </w:r>
      <w:r w:rsidR="00720B80">
        <w:rPr>
          <w:rFonts w:cs="Arial"/>
          <w:b/>
          <w:sz w:val="24"/>
          <w:szCs w:val="24"/>
          <w:lang w:eastAsia="ko-KR"/>
        </w:rPr>
        <w:t>2</w:t>
      </w:r>
      <w:r w:rsidRPr="00923F07">
        <w:rPr>
          <w:rFonts w:ascii="Times New Roman" w:hAnsi="Times New Roman"/>
          <w:b/>
          <w:sz w:val="24"/>
          <w:szCs w:val="24"/>
        </w:rPr>
        <w:tab/>
      </w:r>
      <w:r w:rsidR="00512A6B">
        <w:rPr>
          <w:rFonts w:cs="Arial"/>
          <w:b/>
          <w:sz w:val="24"/>
          <w:szCs w:val="24"/>
        </w:rPr>
        <w:t>R1-</w:t>
      </w:r>
      <w:r w:rsidR="00744B51" w:rsidRPr="00744B51">
        <w:rPr>
          <w:rFonts w:cs="Arial"/>
          <w:b/>
          <w:sz w:val="24"/>
          <w:szCs w:val="24"/>
        </w:rPr>
        <w:t>2301293</w:t>
      </w:r>
      <w:r w:rsidR="00286AFC">
        <w:rPr>
          <w:rFonts w:cs="Arial"/>
          <w:b/>
          <w:sz w:val="24"/>
          <w:szCs w:val="24"/>
        </w:rPr>
        <w:t xml:space="preserve"> </w:t>
      </w:r>
    </w:p>
    <w:p w14:paraId="02ED61BB" w14:textId="00BDACB5" w:rsidR="00154194" w:rsidRPr="00923F07" w:rsidRDefault="00720B80">
      <w:pPr>
        <w:pStyle w:val="CRCoverPage"/>
        <w:spacing w:after="240"/>
        <w:outlineLvl w:val="0"/>
        <w:rPr>
          <w:rFonts w:cs="Arial"/>
          <w:b/>
          <w:bCs/>
          <w:noProof/>
          <w:sz w:val="24"/>
          <w:szCs w:val="24"/>
          <w:lang w:eastAsia="ko-KR"/>
        </w:rPr>
      </w:pPr>
      <w:r>
        <w:rPr>
          <w:rFonts w:cs="Arial"/>
          <w:b/>
          <w:bCs/>
          <w:noProof/>
          <w:sz w:val="24"/>
          <w:szCs w:val="24"/>
        </w:rPr>
        <w:t>Athens</w:t>
      </w:r>
      <w:r w:rsidRPr="00AB58E0">
        <w:rPr>
          <w:rFonts w:cs="Arial"/>
          <w:b/>
          <w:bCs/>
          <w:noProof/>
          <w:sz w:val="24"/>
          <w:szCs w:val="24"/>
        </w:rPr>
        <w:t xml:space="preserve">, </w:t>
      </w:r>
      <w:r>
        <w:rPr>
          <w:rFonts w:cs="Arial"/>
          <w:b/>
          <w:bCs/>
          <w:noProof/>
          <w:sz w:val="24"/>
          <w:szCs w:val="24"/>
        </w:rPr>
        <w:t>Greece</w:t>
      </w:r>
      <w:r w:rsidRPr="00AB58E0">
        <w:rPr>
          <w:rFonts w:cs="Arial"/>
          <w:b/>
          <w:bCs/>
          <w:noProof/>
          <w:sz w:val="24"/>
          <w:szCs w:val="24"/>
        </w:rPr>
        <w:t xml:space="preserve">, </w:t>
      </w:r>
      <w:r>
        <w:rPr>
          <w:rFonts w:cs="Arial"/>
          <w:b/>
          <w:bCs/>
          <w:noProof/>
          <w:sz w:val="24"/>
          <w:szCs w:val="24"/>
        </w:rPr>
        <w:t>February 27</w:t>
      </w:r>
      <w:r w:rsidRPr="00544AB2">
        <w:rPr>
          <w:rFonts w:cs="Arial"/>
          <w:b/>
          <w:bCs/>
          <w:noProof/>
          <w:sz w:val="24"/>
          <w:szCs w:val="24"/>
          <w:vertAlign w:val="superscript"/>
        </w:rPr>
        <w:t>th</w:t>
      </w:r>
      <w:r>
        <w:rPr>
          <w:rFonts w:cs="Arial"/>
          <w:b/>
          <w:bCs/>
          <w:noProof/>
          <w:sz w:val="24"/>
          <w:szCs w:val="24"/>
        </w:rPr>
        <w:t xml:space="preserve"> - March</w:t>
      </w:r>
      <w:r w:rsidRPr="00AB58E0">
        <w:rPr>
          <w:rFonts w:cs="Arial"/>
          <w:b/>
          <w:bCs/>
          <w:noProof/>
          <w:sz w:val="24"/>
          <w:szCs w:val="24"/>
        </w:rPr>
        <w:t xml:space="preserve"> </w:t>
      </w:r>
      <w:r>
        <w:rPr>
          <w:rFonts w:cs="Arial"/>
          <w:b/>
          <w:bCs/>
          <w:noProof/>
          <w:sz w:val="24"/>
          <w:szCs w:val="24"/>
        </w:rPr>
        <w:t>3</w:t>
      </w:r>
      <w:r w:rsidRPr="00544AB2">
        <w:rPr>
          <w:rFonts w:cs="Arial"/>
          <w:b/>
          <w:bCs/>
          <w:noProof/>
          <w:sz w:val="24"/>
          <w:szCs w:val="24"/>
          <w:vertAlign w:val="superscript"/>
        </w:rPr>
        <w:t>rd</w:t>
      </w:r>
      <w:r w:rsidRPr="00AB58E0">
        <w:rPr>
          <w:rFonts w:cs="Arial"/>
          <w:b/>
          <w:bCs/>
          <w:noProof/>
          <w:sz w:val="24"/>
          <w:szCs w:val="24"/>
        </w:rPr>
        <w:t>, 202</w:t>
      </w:r>
      <w:r>
        <w:rPr>
          <w:rFonts w:cs="Arial"/>
          <w:b/>
          <w:bCs/>
          <w:noProof/>
          <w:sz w:val="24"/>
          <w:szCs w:val="24"/>
        </w:rPr>
        <w:t>3</w:t>
      </w:r>
    </w:p>
    <w:p w14:paraId="67CAF68F" w14:textId="2567DFBA"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A80327" w:rsidRPr="00A80327">
        <w:rPr>
          <w:rFonts w:ascii="Arial" w:hAnsi="Arial" w:cs="Arial"/>
          <w:sz w:val="22"/>
          <w:lang w:eastAsia="zh-CN"/>
        </w:rPr>
        <w:t>9.14.2</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6AF083D2"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A80327" w:rsidRPr="00A80327">
        <w:rPr>
          <w:rFonts w:ascii="Arial" w:hAnsi="Arial" w:cs="Arial"/>
          <w:sz w:val="22"/>
          <w:lang w:eastAsia="zh-CN"/>
        </w:rPr>
        <w:t>Power domain enhancements</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62CE4F13" w14:textId="5B6A314A" w:rsidR="00D031B8" w:rsidRDefault="00D031B8" w:rsidP="00D031B8">
      <w:pPr>
        <w:spacing w:after="0"/>
        <w:ind w:firstLineChars="0" w:firstLine="0"/>
        <w:rPr>
          <w:rFonts w:eastAsia="DengXian"/>
          <w:lang w:val="en-GB" w:eastAsia="zh-CN"/>
        </w:rPr>
      </w:pPr>
      <w:bookmarkStart w:id="0" w:name="_Hlk22834419"/>
      <w:r>
        <w:rPr>
          <w:rFonts w:eastAsia="DengXian"/>
          <w:lang w:eastAsia="zh-CN"/>
        </w:rPr>
        <w:t xml:space="preserve">In RAN#96 a Rel-18 WID on </w:t>
      </w:r>
      <w:r w:rsidRPr="002315B1">
        <w:rPr>
          <w:rFonts w:eastAsia="DengXian"/>
          <w:lang w:val="en-GB" w:eastAsia="zh-CN"/>
        </w:rPr>
        <w:t>Further NR coverage enhancements</w:t>
      </w:r>
      <w:r>
        <w:rPr>
          <w:rFonts w:eastAsia="DengXian"/>
          <w:lang w:val="en-GB" w:eastAsia="zh-CN"/>
        </w:rPr>
        <w:t xml:space="preserve"> [1] was approved.  One of the objectives is the following:</w:t>
      </w:r>
    </w:p>
    <w:tbl>
      <w:tblPr>
        <w:tblStyle w:val="TableGrid"/>
        <w:tblW w:w="0" w:type="auto"/>
        <w:tblLook w:val="04A0" w:firstRow="1" w:lastRow="0" w:firstColumn="1" w:lastColumn="0" w:noHBand="0" w:noVBand="1"/>
      </w:tblPr>
      <w:tblGrid>
        <w:gridCol w:w="9737"/>
      </w:tblGrid>
      <w:tr w:rsidR="00D031B8" w14:paraId="195B9E6A" w14:textId="77777777" w:rsidTr="00984175">
        <w:tc>
          <w:tcPr>
            <w:tcW w:w="9737" w:type="dxa"/>
          </w:tcPr>
          <w:p w14:paraId="65117440" w14:textId="77777777" w:rsidR="00636190" w:rsidRPr="007843FE" w:rsidRDefault="00636190" w:rsidP="00636190">
            <w:pPr>
              <w:numPr>
                <w:ilvl w:val="0"/>
                <w:numId w:val="19"/>
              </w:numPr>
              <w:tabs>
                <w:tab w:val="num" w:pos="720"/>
              </w:tabs>
              <w:spacing w:before="120" w:after="120" w:line="276" w:lineRule="auto"/>
              <w:ind w:left="720" w:firstLineChars="0" w:firstLine="200"/>
              <w:rPr>
                <w:rFonts w:eastAsia="SimSun"/>
                <w:lang w:eastAsia="zh-CN"/>
              </w:rPr>
            </w:pPr>
            <w:r w:rsidRPr="007843FE">
              <w:rPr>
                <w:rFonts w:eastAsia="SimSun"/>
                <w:lang w:eastAsia="zh-CN"/>
              </w:rPr>
              <w:t>Study and if necessary specify following power domain enhancements</w:t>
            </w:r>
          </w:p>
          <w:p w14:paraId="69A59815" w14:textId="77777777" w:rsidR="00636190" w:rsidRPr="007B39D0" w:rsidRDefault="00636190" w:rsidP="00636190">
            <w:pPr>
              <w:numPr>
                <w:ilvl w:val="1"/>
                <w:numId w:val="19"/>
              </w:numPr>
              <w:tabs>
                <w:tab w:val="num" w:pos="1440"/>
              </w:tabs>
              <w:spacing w:before="120" w:after="120" w:line="276" w:lineRule="auto"/>
              <w:ind w:left="1440" w:firstLineChars="0" w:firstLine="200"/>
              <w:rPr>
                <w:iCs/>
              </w:rPr>
            </w:pPr>
            <w:r w:rsidRPr="007B39D0">
              <w:rPr>
                <w:iCs/>
              </w:rPr>
              <w:t xml:space="preserve">Enhancements to realize </w:t>
            </w:r>
            <w:r w:rsidRPr="007B39D0">
              <w:rPr>
                <w:rFonts w:eastAsia="SimSun" w:hint="eastAsia"/>
                <w:iCs/>
                <w:lang w:eastAsia="zh-CN"/>
              </w:rPr>
              <w:t>i</w:t>
            </w:r>
            <w:r w:rsidRPr="007B39D0">
              <w:rPr>
                <w:iCs/>
              </w:rPr>
              <w:t xml:space="preserve">ncreasing UE power high limit for CA and DC based on Rel-17 RAN4 work on “Increasing UE power high limit for CA and DC”, </w:t>
            </w:r>
            <w:r w:rsidRPr="007B39D0">
              <w:rPr>
                <w:rFonts w:eastAsia="SimSun" w:hint="eastAsia"/>
                <w:iCs/>
                <w:lang w:eastAsia="zh-CN"/>
              </w:rPr>
              <w:t xml:space="preserve">in compliance with </w:t>
            </w:r>
            <w:r w:rsidRPr="007B39D0">
              <w:rPr>
                <w:iCs/>
              </w:rPr>
              <w:t>relevant regulations</w:t>
            </w:r>
            <w:r>
              <w:rPr>
                <w:iCs/>
              </w:rPr>
              <w:t xml:space="preserve"> (RAN4, RAN1)</w:t>
            </w:r>
          </w:p>
          <w:p w14:paraId="1FBC642C" w14:textId="4CC59B5D" w:rsidR="00D031B8" w:rsidRPr="00636190" w:rsidRDefault="00636190" w:rsidP="00636190">
            <w:pPr>
              <w:numPr>
                <w:ilvl w:val="1"/>
                <w:numId w:val="19"/>
              </w:numPr>
              <w:tabs>
                <w:tab w:val="num" w:pos="1440"/>
              </w:tabs>
              <w:spacing w:before="120" w:after="120" w:line="276" w:lineRule="auto"/>
              <w:ind w:left="1440" w:firstLineChars="0" w:firstLine="200"/>
              <w:rPr>
                <w:iCs/>
              </w:rPr>
            </w:pPr>
            <w:r w:rsidRPr="006949AE">
              <w:rPr>
                <w:iCs/>
              </w:rPr>
              <w:t xml:space="preserve">Enhancements to reduce MPR/PAR, including </w:t>
            </w:r>
            <w:r w:rsidRPr="00E74766">
              <w:rPr>
                <w:rFonts w:eastAsia="SimSun" w:hint="eastAsia"/>
                <w:iCs/>
                <w:lang w:eastAsia="zh-CN"/>
              </w:rPr>
              <w:t xml:space="preserve">frequency domain </w:t>
            </w:r>
            <w:r w:rsidRPr="006949AE">
              <w:rPr>
                <w:iCs/>
              </w:rPr>
              <w:t>spectrum shaping</w:t>
            </w:r>
            <w:r w:rsidRPr="004D388E">
              <w:t xml:space="preserve"> </w:t>
            </w:r>
            <w:r w:rsidRPr="004D388E">
              <w:rPr>
                <w:iCs/>
              </w:rPr>
              <w:t>with and without spectrum extension for DFT-S-OFDM and tone reservation</w:t>
            </w:r>
            <w:r w:rsidRPr="006949AE">
              <w:rPr>
                <w:iCs/>
              </w:rPr>
              <w:t xml:space="preserve"> (RAN4, RAN1)</w:t>
            </w:r>
          </w:p>
        </w:tc>
      </w:tr>
    </w:tbl>
    <w:p w14:paraId="6AD90559" w14:textId="5BCAE493" w:rsidR="00D031B8" w:rsidRDefault="00D031B8" w:rsidP="00D031B8">
      <w:pPr>
        <w:spacing w:after="0"/>
        <w:ind w:firstLineChars="0" w:firstLine="0"/>
        <w:rPr>
          <w:rFonts w:eastAsia="DengXian"/>
          <w:lang w:eastAsia="zh-CN"/>
        </w:rPr>
      </w:pPr>
    </w:p>
    <w:p w14:paraId="22AF140E" w14:textId="4904E19F" w:rsidR="00D031B8" w:rsidRPr="00923F07" w:rsidRDefault="005F0C0D" w:rsidP="00D031B8">
      <w:pPr>
        <w:spacing w:after="0"/>
        <w:ind w:firstLineChars="0" w:firstLine="0"/>
        <w:rPr>
          <w:rFonts w:eastAsia="DengXian"/>
          <w:lang w:eastAsia="zh-CN"/>
        </w:rPr>
      </w:pPr>
      <w:r>
        <w:rPr>
          <w:rFonts w:eastAsia="DengXian"/>
          <w:lang w:eastAsia="zh-CN"/>
        </w:rPr>
        <w:t>Initial discussion on both topics for power domain enhancement</w:t>
      </w:r>
      <w:r w:rsidR="00DD3B65">
        <w:rPr>
          <w:rFonts w:eastAsia="DengXian"/>
          <w:lang w:eastAsia="zh-CN"/>
        </w:rPr>
        <w:t>s started in RAN1#110bis-e, and the study further progressed during RAN1#111</w:t>
      </w:r>
      <w:r w:rsidR="005D0506">
        <w:rPr>
          <w:rFonts w:eastAsia="DengXian"/>
          <w:lang w:eastAsia="zh-CN"/>
        </w:rPr>
        <w:t xml:space="preserve"> [2]</w:t>
      </w:r>
      <w:r w:rsidR="00DD3B65">
        <w:rPr>
          <w:rFonts w:eastAsia="DengXian"/>
          <w:lang w:eastAsia="zh-CN"/>
        </w:rPr>
        <w:t>, including the coordination with RAN4</w:t>
      </w:r>
      <w:r w:rsidR="005D0506">
        <w:rPr>
          <w:rFonts w:eastAsia="DengXian"/>
          <w:lang w:eastAsia="zh-CN"/>
        </w:rPr>
        <w:t xml:space="preserve"> [3]</w:t>
      </w:r>
      <w:r w:rsidR="00DD3B65">
        <w:rPr>
          <w:rFonts w:eastAsia="DengXian"/>
          <w:lang w:eastAsia="zh-CN"/>
        </w:rPr>
        <w:t xml:space="preserve">. </w:t>
      </w:r>
      <w:r w:rsidR="00D031B8" w:rsidRPr="00923F07">
        <w:rPr>
          <w:rFonts w:eastAsia="DengXian"/>
          <w:lang w:eastAsia="zh-CN"/>
        </w:rPr>
        <w:t xml:space="preserve">This contribution </w:t>
      </w:r>
      <w:r w:rsidR="00524F6A">
        <w:rPr>
          <w:rFonts w:eastAsia="DengXian"/>
          <w:lang w:eastAsia="zh-CN"/>
        </w:rPr>
        <w:t>considers</w:t>
      </w:r>
      <w:r w:rsidR="00D031B8" w:rsidRPr="00923F07">
        <w:rPr>
          <w:rFonts w:eastAsia="DengXian"/>
          <w:lang w:eastAsia="zh-CN"/>
        </w:rPr>
        <w:t xml:space="preserve"> </w:t>
      </w:r>
      <w:r w:rsidR="00524F6A">
        <w:rPr>
          <w:rFonts w:eastAsia="DengXian"/>
          <w:lang w:eastAsia="zh-CN"/>
        </w:rPr>
        <w:t xml:space="preserve">aspects of </w:t>
      </w:r>
      <w:r w:rsidR="00D031B8">
        <w:rPr>
          <w:rFonts w:eastAsia="DengXian"/>
          <w:lang w:eastAsia="zh-CN"/>
        </w:rPr>
        <w:t xml:space="preserve">potential </w:t>
      </w:r>
      <w:r w:rsidR="00636190">
        <w:rPr>
          <w:rFonts w:eastAsia="DengXian"/>
          <w:lang w:eastAsia="zh-CN"/>
        </w:rPr>
        <w:t xml:space="preserve">power domain </w:t>
      </w:r>
      <w:r w:rsidR="00A970B9">
        <w:rPr>
          <w:rFonts w:eastAsia="DengXian"/>
          <w:lang w:eastAsia="zh-CN"/>
        </w:rPr>
        <w:t>enhancement</w:t>
      </w:r>
      <w:r w:rsidR="00636190">
        <w:rPr>
          <w:rFonts w:eastAsia="DengXian"/>
          <w:lang w:eastAsia="zh-CN"/>
        </w:rPr>
        <w:t>s to enhance coverage</w:t>
      </w:r>
      <w:r w:rsidR="00D031B8">
        <w:rPr>
          <w:rFonts w:eastAsia="SimSun"/>
          <w:sz w:val="21"/>
          <w:szCs w:val="21"/>
        </w:rPr>
        <w:t>.</w:t>
      </w:r>
    </w:p>
    <w:bookmarkEnd w:id="0"/>
    <w:p w14:paraId="7DB103BE" w14:textId="0BFA863A" w:rsidR="00F64AB6" w:rsidRDefault="003A000F" w:rsidP="00872819">
      <w:pPr>
        <w:pStyle w:val="Heading1"/>
        <w:numPr>
          <w:ilvl w:val="0"/>
          <w:numId w:val="1"/>
        </w:numPr>
        <w:rPr>
          <w:rFonts w:cs="Arial"/>
          <w:sz w:val="32"/>
          <w:szCs w:val="32"/>
          <w:lang w:eastAsia="ko-KR"/>
        </w:rPr>
      </w:pPr>
      <w:r>
        <w:rPr>
          <w:rFonts w:cs="Arial"/>
          <w:sz w:val="32"/>
          <w:szCs w:val="32"/>
          <w:lang w:eastAsia="ko-KR"/>
        </w:rPr>
        <w:t xml:space="preserve">Increasing UE power high limit </w:t>
      </w:r>
      <w:r w:rsidRPr="007B39D0">
        <w:rPr>
          <w:iCs/>
        </w:rPr>
        <w:t>for CA and DC</w:t>
      </w:r>
    </w:p>
    <w:p w14:paraId="2BA15BA3" w14:textId="77777777" w:rsidR="00822639" w:rsidRDefault="00822639" w:rsidP="00097F26">
      <w:pPr>
        <w:spacing w:before="120" w:after="120" w:line="276" w:lineRule="auto"/>
        <w:ind w:firstLineChars="0" w:firstLine="0"/>
        <w:rPr>
          <w:lang w:val="en-GB"/>
        </w:rPr>
      </w:pPr>
      <w:r>
        <w:rPr>
          <w:lang w:val="en-GB"/>
        </w:rPr>
        <w:t>In RAN1#111 it was agreed the following:</w:t>
      </w:r>
    </w:p>
    <w:tbl>
      <w:tblPr>
        <w:tblStyle w:val="TableGrid"/>
        <w:tblW w:w="0" w:type="auto"/>
        <w:tblLook w:val="04A0" w:firstRow="1" w:lastRow="0" w:firstColumn="1" w:lastColumn="0" w:noHBand="0" w:noVBand="1"/>
      </w:tblPr>
      <w:tblGrid>
        <w:gridCol w:w="9737"/>
      </w:tblGrid>
      <w:tr w:rsidR="00822639" w14:paraId="24F2888B" w14:textId="77777777" w:rsidTr="00822639">
        <w:tc>
          <w:tcPr>
            <w:tcW w:w="9737" w:type="dxa"/>
          </w:tcPr>
          <w:p w14:paraId="431C9DBB" w14:textId="77777777" w:rsidR="00822639" w:rsidRPr="00822639" w:rsidRDefault="00822639" w:rsidP="00822639">
            <w:pPr>
              <w:spacing w:before="120" w:after="120" w:line="276" w:lineRule="auto"/>
              <w:ind w:firstLineChars="0" w:firstLine="0"/>
            </w:pPr>
            <w:r w:rsidRPr="00822639">
              <w:rPr>
                <w:rFonts w:hint="eastAsia"/>
                <w:highlight w:val="green"/>
              </w:rPr>
              <w:t>A</w:t>
            </w:r>
            <w:r w:rsidRPr="00822639">
              <w:rPr>
                <w:highlight w:val="green"/>
              </w:rPr>
              <w:t>greement</w:t>
            </w:r>
          </w:p>
          <w:p w14:paraId="3BDBED7E" w14:textId="77777777" w:rsidR="00822639" w:rsidRPr="00822639" w:rsidRDefault="00822639" w:rsidP="00822639">
            <w:pPr>
              <w:numPr>
                <w:ilvl w:val="0"/>
                <w:numId w:val="28"/>
              </w:numPr>
              <w:spacing w:before="120" w:after="120" w:line="276" w:lineRule="auto"/>
              <w:ind w:firstLineChars="0"/>
            </w:pPr>
            <w:r w:rsidRPr="00822639">
              <w:t xml:space="preserve">At least the following enhancements to information exchange between UE and gNB to facilitate higher power transmissions in CA and DC can be considered for study. Enhanced signaling, if necessary and subject to RAN4’s input, to allow: </w:t>
            </w:r>
          </w:p>
          <w:p w14:paraId="7F32DD73" w14:textId="77777777" w:rsidR="00822639" w:rsidRPr="00822639" w:rsidRDefault="00822639" w:rsidP="00822639">
            <w:pPr>
              <w:numPr>
                <w:ilvl w:val="0"/>
                <w:numId w:val="27"/>
              </w:numPr>
              <w:spacing w:before="120" w:after="120" w:line="276" w:lineRule="auto"/>
              <w:ind w:firstLineChars="0"/>
            </w:pPr>
            <w:r w:rsidRPr="00822639">
              <w:t>Determination at gNB of power class change at the UE</w:t>
            </w:r>
          </w:p>
          <w:p w14:paraId="5D668D72" w14:textId="77777777" w:rsidR="00822639" w:rsidRPr="00822639" w:rsidRDefault="00822639" w:rsidP="00822639">
            <w:pPr>
              <w:numPr>
                <w:ilvl w:val="0"/>
                <w:numId w:val="27"/>
              </w:numPr>
              <w:spacing w:before="120" w:after="120" w:line="276" w:lineRule="auto"/>
              <w:ind w:firstLineChars="0"/>
            </w:pPr>
            <w:r w:rsidRPr="00822639">
              <w:t>Increased awareness at gNB of energy/power availability at the UE, e.g., a budget.</w:t>
            </w:r>
          </w:p>
          <w:p w14:paraId="424D343E" w14:textId="77777777" w:rsidR="00822639" w:rsidRPr="00822639" w:rsidRDefault="00822639" w:rsidP="00822639">
            <w:pPr>
              <w:numPr>
                <w:ilvl w:val="1"/>
                <w:numId w:val="27"/>
              </w:numPr>
              <w:spacing w:before="120" w:after="120" w:line="276" w:lineRule="auto"/>
              <w:ind w:firstLineChars="0"/>
            </w:pPr>
            <w:r w:rsidRPr="00822639">
              <w:t>More informative PHR to be sent from UE to gNB, which may include, e.g., P-MPR related information, power headroom for carrier configured for DL but not UL, power class change indication.</w:t>
            </w:r>
          </w:p>
          <w:p w14:paraId="26DA0298" w14:textId="77777777" w:rsidR="00822639" w:rsidRPr="00822639" w:rsidRDefault="00822639" w:rsidP="00822639">
            <w:pPr>
              <w:numPr>
                <w:ilvl w:val="0"/>
                <w:numId w:val="27"/>
              </w:numPr>
              <w:spacing w:before="120" w:after="120" w:line="276" w:lineRule="auto"/>
              <w:ind w:firstLineChars="0"/>
            </w:pPr>
            <w:r w:rsidRPr="00822639">
              <w:t xml:space="preserve">More effective scheduling decisions in the context of UL CA, e.g., best band combination, preferred carrier for servicing uplink, adaptive load sharing across sharing, </w:t>
            </w:r>
          </w:p>
          <w:p w14:paraId="467C2DB6" w14:textId="49278DE1" w:rsidR="00822639" w:rsidRDefault="00822639" w:rsidP="00822639">
            <w:pPr>
              <w:numPr>
                <w:ilvl w:val="0"/>
                <w:numId w:val="28"/>
              </w:numPr>
              <w:spacing w:before="120" w:after="120" w:line="276" w:lineRule="auto"/>
              <w:ind w:firstLineChars="0"/>
              <w:rPr>
                <w:lang w:val="en-GB"/>
              </w:rPr>
            </w:pPr>
            <w:r w:rsidRPr="00822639">
              <w:t>Other options are not precluded.</w:t>
            </w:r>
          </w:p>
        </w:tc>
      </w:tr>
    </w:tbl>
    <w:p w14:paraId="27E002A8" w14:textId="6AEE109F" w:rsidR="003E4961" w:rsidRDefault="004A01D8" w:rsidP="00097F26">
      <w:pPr>
        <w:spacing w:before="120" w:after="120" w:line="276" w:lineRule="auto"/>
        <w:ind w:firstLineChars="0" w:firstLine="0"/>
      </w:pPr>
      <w:r>
        <w:t>Beyond a capability to transmit a maximum output power higher than what the power class for a UL CA or DC configuration would have allowed for single carrier</w:t>
      </w:r>
      <w:r w:rsidR="00562DD8">
        <w:t xml:space="preserve"> [4]</w:t>
      </w:r>
      <w:r>
        <w:t>, a UE may provide information to a gNB that can be use</w:t>
      </w:r>
      <w:r w:rsidR="00C324F0">
        <w:t>ful</w:t>
      </w:r>
      <w:r>
        <w:t xml:space="preserve"> for enhancing scheduling and </w:t>
      </w:r>
      <w:r w:rsidR="00C324F0">
        <w:t>for facilitating</w:t>
      </w:r>
      <w:r>
        <w:t xml:space="preserve"> </w:t>
      </w:r>
      <w:r w:rsidR="00C324F0">
        <w:t xml:space="preserve">a network </w:t>
      </w:r>
      <w:r>
        <w:t xml:space="preserve">operation with multiple uplink carriers. </w:t>
      </w:r>
      <w:r w:rsidR="00B87388">
        <w:t xml:space="preserve">Although whether and how to use additional feedback can be decided by a gNB implementation, it is important to </w:t>
      </w:r>
      <w:r w:rsidR="00C03A50">
        <w:t>consider the use cases and assess</w:t>
      </w:r>
      <w:r w:rsidR="00B87388">
        <w:t xml:space="preserve"> </w:t>
      </w:r>
      <w:r w:rsidR="00C03A50">
        <w:t xml:space="preserve">potential </w:t>
      </w:r>
      <w:r w:rsidR="0063391F">
        <w:t>benefits of the additional feedback</w:t>
      </w:r>
      <w:r w:rsidR="00C03A50">
        <w:t xml:space="preserve"> for such </w:t>
      </w:r>
      <w:r w:rsidR="003E4961">
        <w:t>use cases</w:t>
      </w:r>
      <w:r w:rsidR="00C03A50">
        <w:t>.</w:t>
      </w:r>
    </w:p>
    <w:p w14:paraId="33CF8749" w14:textId="0F344A8A" w:rsidR="00BE2EAC" w:rsidRDefault="00822639" w:rsidP="00097F26">
      <w:pPr>
        <w:spacing w:before="120" w:after="120" w:line="276" w:lineRule="auto"/>
        <w:ind w:firstLineChars="0" w:firstLine="0"/>
      </w:pPr>
      <w:r>
        <w:rPr>
          <w:iCs/>
        </w:rPr>
        <w:lastRenderedPageBreak/>
        <w:t>For example, c</w:t>
      </w:r>
      <w:r>
        <w:t>urrent mechanisms for power headroom report (PHR) may need to be further studied to assess whether improvements are needed for UEs that support higher transmit power limit.</w:t>
      </w:r>
      <w:r w:rsidR="002A6975">
        <w:t xml:space="preserve"> </w:t>
      </w:r>
      <w:r w:rsidR="00EE011B">
        <w:t>For an UL CA or DC configuration, the UE can report t</w:t>
      </w:r>
      <w:r w:rsidR="002A6975">
        <w:t xml:space="preserve">he PHR </w:t>
      </w:r>
      <w:r w:rsidR="00EE011B">
        <w:t xml:space="preserve">based on the transmission with a maximum output power associated with the higher PC </w:t>
      </w:r>
      <w:r w:rsidR="00AB197C">
        <w:t xml:space="preserve">and the PHR based on the transmission power combined over the two carriers when simultaneously transmitting at maximum power on each carrier. Also, </w:t>
      </w:r>
      <w:r w:rsidR="0058261C">
        <w:t>a</w:t>
      </w:r>
      <w:r w:rsidR="00AB197C">
        <w:t xml:space="preserve"> UE not configured with UL CA may report the PHR associated with an UL CA configuration so that the gNB is informed of the </w:t>
      </w:r>
      <w:r w:rsidR="0058261C">
        <w:t xml:space="preserve">potential UE transmit power capability for the UL CA configuration. </w:t>
      </w:r>
    </w:p>
    <w:p w14:paraId="1E1BD45B" w14:textId="4BE9E8DB" w:rsidR="006D47B7" w:rsidRDefault="003E4961" w:rsidP="00097F26">
      <w:pPr>
        <w:spacing w:before="120" w:after="120" w:line="276" w:lineRule="auto"/>
        <w:ind w:firstLineChars="0" w:firstLine="0"/>
        <w:rPr>
          <w:lang w:val="en-GB"/>
        </w:rPr>
      </w:pPr>
      <w:r>
        <w:t xml:space="preserve">The WID objective mentions that potential </w:t>
      </w:r>
      <w:r w:rsidR="001E6927">
        <w:rPr>
          <w:lang w:val="en-GB"/>
        </w:rPr>
        <w:t xml:space="preserve">enhancements </w:t>
      </w:r>
      <w:r w:rsidR="006D47B7">
        <w:rPr>
          <w:lang w:val="en-GB"/>
        </w:rPr>
        <w:t>need also to be</w:t>
      </w:r>
      <w:r w:rsidR="001E6927">
        <w:rPr>
          <w:lang w:val="en-GB"/>
        </w:rPr>
        <w:t xml:space="preserve"> in compliance with relevant regulations</w:t>
      </w:r>
      <w:r>
        <w:rPr>
          <w:lang w:val="en-GB"/>
        </w:rPr>
        <w:t xml:space="preserve">. We think the existing </w:t>
      </w:r>
      <w:r w:rsidR="006D47B7">
        <w:rPr>
          <w:lang w:val="en-GB"/>
        </w:rPr>
        <w:t xml:space="preserve">RF exposure limits </w:t>
      </w:r>
      <w:r>
        <w:rPr>
          <w:lang w:val="en-GB"/>
        </w:rPr>
        <w:t xml:space="preserve">such </w:t>
      </w:r>
      <w:r w:rsidR="006D47B7">
        <w:rPr>
          <w:lang w:val="en-GB"/>
        </w:rPr>
        <w:t xml:space="preserve">as </w:t>
      </w:r>
      <w:r>
        <w:rPr>
          <w:lang w:val="en-GB"/>
        </w:rPr>
        <w:t>the limits for</w:t>
      </w:r>
      <w:r w:rsidR="006D47B7" w:rsidRPr="006D47B7">
        <w:rPr>
          <w:lang w:val="en-GB"/>
        </w:rPr>
        <w:t xml:space="preserve"> absorption rate (SAR)</w:t>
      </w:r>
      <w:r w:rsidR="006D47B7">
        <w:rPr>
          <w:lang w:val="en-GB"/>
        </w:rPr>
        <w:t xml:space="preserve"> and power density (PD)</w:t>
      </w:r>
      <w:r>
        <w:rPr>
          <w:lang w:val="en-GB"/>
        </w:rPr>
        <w:t xml:space="preserve"> are prerequisite</w:t>
      </w:r>
      <w:r w:rsidR="00CE704E">
        <w:rPr>
          <w:lang w:val="en-GB"/>
        </w:rPr>
        <w:t>s</w:t>
      </w:r>
      <w:r>
        <w:rPr>
          <w:lang w:val="en-GB"/>
        </w:rPr>
        <w:t xml:space="preserve"> for this work, and whether the enhancements under consideration would be still in compliance with such regulation may need RAN4 work. </w:t>
      </w:r>
      <w:r w:rsidR="00753294">
        <w:rPr>
          <w:lang w:val="en-GB"/>
        </w:rPr>
        <w:t>In RAN4 specifications</w:t>
      </w:r>
      <w:r w:rsidR="005B5DE4">
        <w:rPr>
          <w:lang w:val="en-GB"/>
        </w:rPr>
        <w:t>,</w:t>
      </w:r>
      <w:r w:rsidR="00753294">
        <w:rPr>
          <w:lang w:val="en-GB"/>
        </w:rPr>
        <w:t xml:space="preserve"> </w:t>
      </w:r>
      <w:r w:rsidR="005F3398">
        <w:rPr>
          <w:lang w:val="en-GB"/>
        </w:rPr>
        <w:t xml:space="preserve">to estimate the transmit power over an evaluation period to be compared with a SAR limit, </w:t>
      </w:r>
      <w:r w:rsidR="00753294" w:rsidRPr="00753294">
        <w:t xml:space="preserve">the </w:t>
      </w:r>
      <w:r w:rsidR="00753294" w:rsidRPr="00753294">
        <w:rPr>
          <w:lang w:val="en-GB"/>
        </w:rPr>
        <w:t xml:space="preserve">maximum average percentage of uplink symbols that can be transmitted in a certain </w:t>
      </w:r>
      <w:r w:rsidR="00753294">
        <w:rPr>
          <w:lang w:val="en-GB"/>
        </w:rPr>
        <w:t xml:space="preserve">evaluation period </w:t>
      </w:r>
      <w:r w:rsidR="005F3398">
        <w:rPr>
          <w:lang w:val="en-GB"/>
        </w:rPr>
        <w:t>seems to be</w:t>
      </w:r>
      <w:r w:rsidR="00753294">
        <w:rPr>
          <w:lang w:val="en-GB"/>
        </w:rPr>
        <w:t xml:space="preserve"> determined</w:t>
      </w:r>
      <w:r w:rsidR="00753294" w:rsidRPr="00753294">
        <w:rPr>
          <w:lang w:val="en-GB"/>
        </w:rPr>
        <w:t xml:space="preserve"> assuming that the UE </w:t>
      </w:r>
      <w:r w:rsidR="00753294">
        <w:rPr>
          <w:lang w:val="en-GB"/>
        </w:rPr>
        <w:t xml:space="preserve">maximum output power is the power of the </w:t>
      </w:r>
      <w:r w:rsidR="005B5DE4">
        <w:rPr>
          <w:lang w:val="en-GB"/>
        </w:rPr>
        <w:t xml:space="preserve">higher power class. Thus the SAR requirements </w:t>
      </w:r>
      <w:r w:rsidR="005F3398">
        <w:rPr>
          <w:lang w:val="en-GB"/>
        </w:rPr>
        <w:t>would be</w:t>
      </w:r>
      <w:r w:rsidR="005B5DE4">
        <w:rPr>
          <w:lang w:val="en-GB"/>
        </w:rPr>
        <w:t xml:space="preserve"> satisfied assuming that the maximum transmit power is given by the </w:t>
      </w:r>
      <w:r w:rsidR="005F3398">
        <w:rPr>
          <w:lang w:val="en-GB"/>
        </w:rPr>
        <w:t>higher</w:t>
      </w:r>
      <w:r w:rsidR="005B5DE4">
        <w:rPr>
          <w:lang w:val="en-GB"/>
        </w:rPr>
        <w:t xml:space="preserve"> UE power class even when the UE indicates the capability of transmitting with the aggregated power over the two component carriers. Whether further enhancements are needed for the SAR evaluation for UEs capable of transmitting with an aggregated power over the two component carriers</w:t>
      </w:r>
      <w:r w:rsidR="005F3398">
        <w:rPr>
          <w:lang w:val="en-GB"/>
        </w:rPr>
        <w:t xml:space="preserve"> should be studied in RAN4, or at least RAN1 </w:t>
      </w:r>
      <w:r w:rsidR="0078203C">
        <w:rPr>
          <w:lang w:val="en-GB"/>
        </w:rPr>
        <w:t>needs RAN4 feedback</w:t>
      </w:r>
      <w:r w:rsidR="005F3398">
        <w:rPr>
          <w:lang w:val="en-GB"/>
        </w:rPr>
        <w:t xml:space="preserve"> </w:t>
      </w:r>
      <w:r w:rsidR="0078203C">
        <w:rPr>
          <w:lang w:val="en-GB"/>
        </w:rPr>
        <w:t>to progress the study on potential enhancements</w:t>
      </w:r>
      <w:r w:rsidR="005F3398">
        <w:rPr>
          <w:lang w:val="en-GB"/>
        </w:rPr>
        <w:t xml:space="preserve">. </w:t>
      </w:r>
    </w:p>
    <w:p w14:paraId="37B6C5CE" w14:textId="76DB6BCF" w:rsidR="00A970B9" w:rsidRPr="00CD4153" w:rsidRDefault="001E6927" w:rsidP="00097F26">
      <w:pPr>
        <w:spacing w:before="120" w:after="120" w:line="276" w:lineRule="auto"/>
        <w:ind w:firstLineChars="0" w:firstLine="0"/>
        <w:rPr>
          <w:rFonts w:eastAsia="SimSun"/>
          <w:lang w:val="en-GB" w:eastAsia="zh-CN"/>
        </w:rPr>
      </w:pPr>
      <w:r w:rsidRPr="003E4961">
        <w:rPr>
          <w:rFonts w:eastAsia="SimSun"/>
          <w:b/>
          <w:lang w:val="en-GB" w:eastAsia="zh-CN"/>
        </w:rPr>
        <w:t>Proposal 1</w:t>
      </w:r>
      <w:r w:rsidRPr="00CD4153">
        <w:rPr>
          <w:rFonts w:eastAsia="SimSun"/>
          <w:lang w:val="en-GB" w:eastAsia="zh-CN"/>
        </w:rPr>
        <w:t xml:space="preserve">: </w:t>
      </w:r>
      <w:r w:rsidR="004A01D8" w:rsidRPr="00CD4153">
        <w:rPr>
          <w:rFonts w:eastAsia="SimSun"/>
          <w:lang w:val="en-GB" w:eastAsia="zh-CN"/>
        </w:rPr>
        <w:t>Further discuss</w:t>
      </w:r>
      <w:r w:rsidR="003E4961" w:rsidRPr="00CD4153">
        <w:rPr>
          <w:rFonts w:eastAsia="SimSun"/>
          <w:lang w:val="en-GB" w:eastAsia="zh-CN"/>
        </w:rPr>
        <w:t xml:space="preserve"> e</w:t>
      </w:r>
      <w:proofErr w:type="spellStart"/>
      <w:r w:rsidR="003E4961" w:rsidRPr="00CD4153">
        <w:rPr>
          <w:iCs/>
        </w:rPr>
        <w:t>nhancements</w:t>
      </w:r>
      <w:proofErr w:type="spellEnd"/>
      <w:r w:rsidR="003E4961" w:rsidRPr="00CD4153">
        <w:rPr>
          <w:iCs/>
        </w:rPr>
        <w:t xml:space="preserve"> to realize </w:t>
      </w:r>
      <w:r w:rsidR="003E4961" w:rsidRPr="00CD4153">
        <w:rPr>
          <w:rFonts w:eastAsia="SimSun" w:hint="eastAsia"/>
          <w:iCs/>
          <w:lang w:eastAsia="zh-CN"/>
        </w:rPr>
        <w:t>i</w:t>
      </w:r>
      <w:r w:rsidR="003E4961" w:rsidRPr="00CD4153">
        <w:rPr>
          <w:iCs/>
        </w:rPr>
        <w:t>ncreasing UE power high limit for CA and DC</w:t>
      </w:r>
      <w:r w:rsidR="005F3398" w:rsidRPr="00CD4153">
        <w:rPr>
          <w:rFonts w:eastAsia="SimSun"/>
          <w:lang w:val="en-GB" w:eastAsia="zh-CN"/>
        </w:rPr>
        <w:t xml:space="preserve"> based on the feedback from RAN4.</w:t>
      </w:r>
      <w:r w:rsidR="0000561B" w:rsidRPr="00CD4153">
        <w:rPr>
          <w:rFonts w:eastAsia="SimSun"/>
          <w:lang w:val="en-GB" w:eastAsia="zh-CN"/>
        </w:rPr>
        <w:t xml:space="preserve"> </w:t>
      </w:r>
    </w:p>
    <w:p w14:paraId="3209FDFF" w14:textId="5292E241" w:rsidR="00174694" w:rsidRPr="004C1B5A" w:rsidRDefault="003A000F" w:rsidP="004C1B5A">
      <w:pPr>
        <w:pStyle w:val="Heading1"/>
        <w:numPr>
          <w:ilvl w:val="0"/>
          <w:numId w:val="1"/>
        </w:numPr>
        <w:rPr>
          <w:rFonts w:cs="Arial"/>
          <w:sz w:val="32"/>
          <w:szCs w:val="32"/>
          <w:lang w:eastAsia="ko-KR"/>
        </w:rPr>
      </w:pPr>
      <w:r>
        <w:rPr>
          <w:rFonts w:cs="Arial"/>
          <w:sz w:val="32"/>
          <w:szCs w:val="32"/>
          <w:lang w:eastAsia="ko-KR"/>
        </w:rPr>
        <w:t>MPR/PAR reduction</w:t>
      </w:r>
    </w:p>
    <w:p w14:paraId="0C9D8DE1" w14:textId="333853C6" w:rsidR="00987F06" w:rsidRPr="00987F06" w:rsidRDefault="00987F06" w:rsidP="006D70B5">
      <w:pPr>
        <w:spacing w:before="120" w:after="120" w:line="276" w:lineRule="auto"/>
        <w:ind w:firstLineChars="0" w:firstLine="0"/>
      </w:pPr>
      <w:r>
        <w:t xml:space="preserve">Regarding </w:t>
      </w:r>
      <w:r w:rsidRPr="00987F06">
        <w:t xml:space="preserve">enhancements to reduce MPR/PAR, during RAN1#111 several assumptions for studying the LLS performance of MPR/PAR reduction solutions for power domain enhancements were agreed [2], and an LS [3] including simulation assumptions, schemes for MPR/PAR reduction to </w:t>
      </w:r>
      <w:r w:rsidR="00537E2E">
        <w:t>be studied and reference scheme</w:t>
      </w:r>
      <w:r w:rsidRPr="00987F06">
        <w:t xml:space="preserve"> for calibration was sent to RAN4. </w:t>
      </w:r>
      <w:r w:rsidR="00A850DE">
        <w:t xml:space="preserve">Based on the </w:t>
      </w:r>
      <w:r w:rsidR="00537E2E">
        <w:t xml:space="preserve">agreed </w:t>
      </w:r>
      <w:r w:rsidR="00A850DE">
        <w:t>ass</w:t>
      </w:r>
      <w:r w:rsidR="002D15AC">
        <w:t xml:space="preserve">umptions, RAN1 will discuss </w:t>
      </w:r>
      <w:r w:rsidR="00A850DE">
        <w:t xml:space="preserve">evaluation results </w:t>
      </w:r>
      <w:r w:rsidR="00625181">
        <w:t xml:space="preserve">of BLER and PAPR/CM reduction </w:t>
      </w:r>
      <w:r w:rsidR="00A850DE">
        <w:t>in this meeting.</w:t>
      </w:r>
      <w:r w:rsidR="00537E2E">
        <w:t xml:space="preserve"> </w:t>
      </w:r>
    </w:p>
    <w:p w14:paraId="771ABE82" w14:textId="63C551BE" w:rsidR="00D12AE8" w:rsidRDefault="00DB5636" w:rsidP="006D70B5">
      <w:pPr>
        <w:spacing w:before="120" w:after="120" w:line="276" w:lineRule="auto"/>
        <w:ind w:firstLineChars="0" w:firstLine="0"/>
      </w:pPr>
      <w:r>
        <w:t>P</w:t>
      </w:r>
      <w:r w:rsidR="00DC3232">
        <w:t xml:space="preserve">ower domain techniques such as </w:t>
      </w:r>
      <w:r w:rsidR="00DC3232" w:rsidRPr="000668E1">
        <w:t>FDSS (Frequency Domain Spectral Shaping) without s</w:t>
      </w:r>
      <w:r w:rsidR="00DC3232">
        <w:t>pectral extension for pi/2 BPSK</w:t>
      </w:r>
      <w:r w:rsidR="00DC3232" w:rsidRPr="000668E1">
        <w:t xml:space="preserve"> and with and with</w:t>
      </w:r>
      <w:r w:rsidR="00DC3232">
        <w:t>out spectral extension for QPSK, and tone reservation</w:t>
      </w:r>
      <w:r w:rsidR="00E30A4A">
        <w:t>,</w:t>
      </w:r>
      <w:r w:rsidR="00DC3232">
        <w:t xml:space="preserve"> </w:t>
      </w:r>
      <w:r w:rsidR="00B170CF">
        <w:t>aim at reducing</w:t>
      </w:r>
      <w:r w:rsidR="00F91AAF">
        <w:t xml:space="preserve"> the peak to average power ratio (PAPR) and cubic metric (CM) of the waveform so that higher transmission powers, </w:t>
      </w:r>
      <w:r w:rsidR="007E5377">
        <w:t>and</w:t>
      </w:r>
      <w:r w:rsidR="00F91AAF">
        <w:t xml:space="preserve"> lower maximum power reduction can be achieved</w:t>
      </w:r>
      <w:r w:rsidR="00B3135C">
        <w:t>, thus enhancing coverage.</w:t>
      </w:r>
      <w:r w:rsidR="00655E42">
        <w:t xml:space="preserve"> </w:t>
      </w:r>
    </w:p>
    <w:p w14:paraId="5CD50483" w14:textId="0B238931" w:rsidR="00E30A4A" w:rsidRDefault="00E30A4A" w:rsidP="006D70B5">
      <w:pPr>
        <w:spacing w:before="120" w:after="120" w:line="276" w:lineRule="auto"/>
        <w:ind w:firstLineChars="0" w:firstLine="0"/>
      </w:pPr>
      <w:r>
        <w:t xml:space="preserve">FDSS without spectral extension can be considered as a reference for the evaluation because it can be a transparent scheme </w:t>
      </w:r>
      <w:r w:rsidR="00850B8D">
        <w:t>for</w:t>
      </w:r>
      <w:r>
        <w:t xml:space="preserve"> the specifications. </w:t>
      </w:r>
      <w:r w:rsidR="00696701">
        <w:t>C</w:t>
      </w:r>
      <w:r>
        <w:t>onsideration of the used filter</w:t>
      </w:r>
      <w:r w:rsidR="00850B8D">
        <w:t xml:space="preserve"> in the reference scheme</w:t>
      </w:r>
      <w:r>
        <w:t xml:space="preserve"> is needed when assessing performance of non-transparent</w:t>
      </w:r>
      <w:r w:rsidR="004412CB">
        <w:t xml:space="preserve"> schemes. </w:t>
      </w:r>
      <w:r w:rsidR="00696701">
        <w:t>The two non-transparent schemes</w:t>
      </w:r>
      <w:r w:rsidR="00A850DE">
        <w:t xml:space="preserve"> under considerations are </w:t>
      </w:r>
      <w:r w:rsidR="00696701">
        <w:t>FDSS</w:t>
      </w:r>
      <w:r w:rsidR="00BF7FB7">
        <w:t xml:space="preserve"> with spectrum extension (FDSS-SE)</w:t>
      </w:r>
      <w:r w:rsidR="00696701">
        <w:t xml:space="preserve"> and </w:t>
      </w:r>
      <w:r w:rsidR="00307CC0">
        <w:t>T</w:t>
      </w:r>
      <w:r>
        <w:t>one reservation</w:t>
      </w:r>
      <w:r w:rsidR="00BF7FB7">
        <w:t xml:space="preserve"> (TR)</w:t>
      </w:r>
      <w:r w:rsidR="00696701">
        <w:t xml:space="preserve"> </w:t>
      </w:r>
      <w:r>
        <w:t>with spectrum extension</w:t>
      </w:r>
      <w:r w:rsidR="00696701">
        <w:t>, briefly summarized below</w:t>
      </w:r>
      <w:r w:rsidR="004417D0">
        <w:t>.</w:t>
      </w:r>
      <w:r w:rsidR="00696701">
        <w:t xml:space="preserve"> </w:t>
      </w:r>
    </w:p>
    <w:p w14:paraId="6EE0B803" w14:textId="1C4C6E22" w:rsidR="00D71749" w:rsidRDefault="00E50C79" w:rsidP="006D70B5">
      <w:pPr>
        <w:spacing w:before="120" w:after="120" w:line="276" w:lineRule="auto"/>
        <w:ind w:firstLineChars="0" w:firstLine="0"/>
      </w:pPr>
      <w:r>
        <w:t>For the</w:t>
      </w:r>
      <w:r w:rsidR="00B548E1">
        <w:t xml:space="preserve"> FDSS-SE technique</w:t>
      </w:r>
      <w:r>
        <w:t xml:space="preserve">, pulse shape </w:t>
      </w:r>
      <w:r w:rsidR="00B548E1">
        <w:t xml:space="preserve">filtering </w:t>
      </w:r>
      <w:r>
        <w:t xml:space="preserve">is done </w:t>
      </w:r>
      <w:r w:rsidR="00B548E1">
        <w:t xml:space="preserve">over a larger bandwidth </w:t>
      </w:r>
      <w:r>
        <w:t xml:space="preserve">than the allocated bandwidth. </w:t>
      </w:r>
      <w:r w:rsidR="00E90C6E">
        <w:t>In case of symmetric extension, the allocated bandwidth of the transmission is same with and without extension. FDSS-SE</w:t>
      </w:r>
      <w:r>
        <w:t xml:space="preserve"> is done in two steps. The first step uses a M-point DFT that generates </w:t>
      </w:r>
      <w:r w:rsidRPr="00E50C79">
        <w:t>DFT-S-OFDM waveform</w:t>
      </w:r>
      <w:r w:rsidR="006768D0">
        <w:t xml:space="preserve">. The output of the first step and </w:t>
      </w:r>
      <w:r>
        <w:t xml:space="preserve">K additional tones are </w:t>
      </w:r>
      <w:r w:rsidR="006768D0">
        <w:t>input</w:t>
      </w:r>
      <w:r w:rsidR="00307CC0">
        <w:t>s</w:t>
      </w:r>
      <w:r w:rsidR="006768D0">
        <w:t xml:space="preserve"> to </w:t>
      </w:r>
      <w:r w:rsidR="00307CC0">
        <w:t>a</w:t>
      </w:r>
      <w:r w:rsidR="006768D0">
        <w:t xml:space="preserve"> filtering done in the </w:t>
      </w:r>
      <w:r>
        <w:t xml:space="preserve">second step. The filtering </w:t>
      </w:r>
      <w:r w:rsidR="006768D0">
        <w:t xml:space="preserve">is done </w:t>
      </w:r>
      <w:r>
        <w:t>with (M+K) coefficients</w:t>
      </w:r>
      <w:r w:rsidR="006768D0">
        <w:t xml:space="preserve"> to reduce the </w:t>
      </w:r>
      <w:proofErr w:type="spellStart"/>
      <w:r w:rsidR="006768D0">
        <w:t>sidelobes</w:t>
      </w:r>
      <w:proofErr w:type="spellEnd"/>
      <w:r w:rsidR="006768D0">
        <w:t xml:space="preserve"> of the pulse shape</w:t>
      </w:r>
      <w:r w:rsidR="00594FAE">
        <w:t xml:space="preserve"> by using a larger bandwidth</w:t>
      </w:r>
      <w:r w:rsidR="00307CC0">
        <w:t xml:space="preserve"> than the allocated bandwidth</w:t>
      </w:r>
      <w:r>
        <w:t xml:space="preserve">. </w:t>
      </w:r>
      <w:r w:rsidR="006768D0">
        <w:t xml:space="preserve">For a given number of RBs, the </w:t>
      </w:r>
      <w:r w:rsidR="00594FAE">
        <w:t xml:space="preserve">PAPR improves as the </w:t>
      </w:r>
      <w:r w:rsidR="003440FD">
        <w:t>spectral extension increase</w:t>
      </w:r>
      <w:r w:rsidR="00307CC0">
        <w:t>s,</w:t>
      </w:r>
      <w:r w:rsidR="003440FD">
        <w:t xml:space="preserve"> and the improvement depends on the type of pulse shape used. </w:t>
      </w:r>
      <w:r w:rsidR="00914045">
        <w:t>With a pulse shape wi</w:t>
      </w:r>
      <w:r w:rsidR="00F567FD">
        <w:t xml:space="preserve">th low </w:t>
      </w:r>
      <w:proofErr w:type="spellStart"/>
      <w:r w:rsidR="00F567FD">
        <w:t>sidelobes</w:t>
      </w:r>
      <w:proofErr w:type="spellEnd"/>
      <w:r w:rsidR="00F567FD">
        <w:t>, the relative gai</w:t>
      </w:r>
      <w:r w:rsidR="00914045">
        <w:t xml:space="preserve">ns </w:t>
      </w:r>
      <w:r w:rsidR="00F567FD">
        <w:t>for different sizes of spectral expansion increase.</w:t>
      </w:r>
      <w:r w:rsidR="00914045">
        <w:t xml:space="preserve"> </w:t>
      </w:r>
      <w:r w:rsidR="003440FD">
        <w:t>As the number of RBs decreases, the pulse shape becomes wider and</w:t>
      </w:r>
      <w:r w:rsidR="007B7533">
        <w:t xml:space="preserve"> PAPR becomes worse.</w:t>
      </w:r>
      <w:r w:rsidR="00F567FD">
        <w:t xml:space="preserve"> For coverage limited scenarios, the UE is expected to be scheduled with few RBs and low MCS values, and </w:t>
      </w:r>
      <w:r w:rsidR="003A1F94">
        <w:t xml:space="preserve">the </w:t>
      </w:r>
      <w:r w:rsidR="00F567FD">
        <w:t xml:space="preserve">PAPR gains </w:t>
      </w:r>
      <w:r w:rsidR="00A66898">
        <w:t xml:space="preserve">of FDSS-SE </w:t>
      </w:r>
      <w:r w:rsidR="00307CC0">
        <w:t>need</w:t>
      </w:r>
      <w:r w:rsidR="00F567FD">
        <w:t xml:space="preserve"> to be assess</w:t>
      </w:r>
      <w:r w:rsidR="003A1F94">
        <w:t>ed for low R</w:t>
      </w:r>
      <w:r w:rsidR="00A850DE">
        <w:t>B</w:t>
      </w:r>
      <w:r w:rsidR="003A1F94">
        <w:t xml:space="preserve"> allocation.</w:t>
      </w:r>
      <w:r w:rsidR="003403FE">
        <w:t xml:space="preserve"> The spectral extension used for filtering comes with a cost since these frequencies used for filtering cannot be used</w:t>
      </w:r>
      <w:r w:rsidR="00307CC0">
        <w:t xml:space="preserve"> for </w:t>
      </w:r>
      <w:r w:rsidR="00E90C6E">
        <w:t>other purposes.</w:t>
      </w:r>
    </w:p>
    <w:p w14:paraId="51E7CDBC" w14:textId="3B29C905" w:rsidR="0015724F" w:rsidRPr="0015724F" w:rsidRDefault="00D71749" w:rsidP="00097F26">
      <w:pPr>
        <w:spacing w:before="120" w:after="120" w:line="276" w:lineRule="auto"/>
        <w:ind w:firstLineChars="0" w:firstLine="0"/>
      </w:pPr>
      <w:r>
        <w:t xml:space="preserve">The tone reservation technique aims at reducing the PAPR of the waveform by reserving some tones </w:t>
      </w:r>
      <w:r w:rsidR="00C16919">
        <w:t xml:space="preserve">that are used to construct an additional waveform </w:t>
      </w:r>
      <w:r>
        <w:t xml:space="preserve">so that the resulting waveform </w:t>
      </w:r>
      <w:r w:rsidR="00914045">
        <w:t xml:space="preserve">is reshaped and </w:t>
      </w:r>
      <w:r>
        <w:t xml:space="preserve">has a lower PAPR. </w:t>
      </w:r>
      <w:r w:rsidR="00C16919">
        <w:t>The additional waveform is used to cancel the peaks of the waveform from</w:t>
      </w:r>
      <w:r w:rsidR="00FB4383">
        <w:t xml:space="preserve"> the non-reserved tones. </w:t>
      </w:r>
      <w:r>
        <w:t xml:space="preserve">The reserved tones can be in different positions respect to </w:t>
      </w:r>
      <w:r w:rsidR="00FB4383">
        <w:t xml:space="preserve">the allocated bandwidth, within or at the edges of </w:t>
      </w:r>
      <w:r w:rsidR="003A1F94">
        <w:t>the allocated bandwidth</w:t>
      </w:r>
      <w:r w:rsidR="00FB4383">
        <w:t xml:space="preserve">, and when at the edges, the </w:t>
      </w:r>
      <w:r w:rsidR="00FB4383">
        <w:lastRenderedPageBreak/>
        <w:t xml:space="preserve">tone can be inside or outside the allocated bandwidth. </w:t>
      </w:r>
      <w:r>
        <w:t xml:space="preserve"> Since the reserved tones are not used by the UE, the gNB receiver needs to discard such tones. </w:t>
      </w:r>
      <w:r w:rsidR="003A1F94">
        <w:t>Tones that are used</w:t>
      </w:r>
      <w:r w:rsidR="003403FE">
        <w:t xml:space="preserve"> for filtering cannot be used for data transmission</w:t>
      </w:r>
      <w:r w:rsidR="0015724F">
        <w:t xml:space="preserve"> and this impacts performance. </w:t>
      </w:r>
      <w:r w:rsidR="000C2BE5">
        <w:t xml:space="preserve">If reserved tones are outside the allocated bandwidth, the drawback is similar to </w:t>
      </w:r>
      <w:r w:rsidR="00A850DE">
        <w:t xml:space="preserve">spectrum </w:t>
      </w:r>
      <w:r w:rsidR="000C2BE5">
        <w:t>extension in FDSS-SE.</w:t>
      </w:r>
      <w:r w:rsidR="003403FE">
        <w:t xml:space="preserve"> </w:t>
      </w:r>
    </w:p>
    <w:p w14:paraId="48A999E3" w14:textId="245F9B52" w:rsidR="00B170CF" w:rsidRDefault="00625181" w:rsidP="00097F26">
      <w:pPr>
        <w:spacing w:before="120" w:after="120" w:line="276" w:lineRule="auto"/>
        <w:ind w:firstLineChars="0" w:firstLine="0"/>
        <w:rPr>
          <w:rFonts w:eastAsia="SimSun"/>
          <w:lang w:val="en-GB" w:eastAsia="zh-CN"/>
        </w:rPr>
      </w:pPr>
      <w:r>
        <w:rPr>
          <w:rFonts w:cs="Arial"/>
          <w:color w:val="000000" w:themeColor="text1"/>
        </w:rPr>
        <w:t xml:space="preserve">In addition to the evaluation </w:t>
      </w:r>
      <w:r>
        <w:t>results of BLER and PAPR/CM reduction</w:t>
      </w:r>
      <w:r>
        <w:rPr>
          <w:rFonts w:cs="Arial"/>
          <w:color w:val="000000" w:themeColor="text1"/>
        </w:rPr>
        <w:t xml:space="preserve"> of the techniques under consideration, it is important during this study to further discuss aspects related to </w:t>
      </w:r>
      <w:r w:rsidR="005967B4">
        <w:rPr>
          <w:rFonts w:cs="Arial"/>
          <w:color w:val="000000" w:themeColor="text1"/>
        </w:rPr>
        <w:t xml:space="preserve">increased transmit power corresponding to PAPR gains, </w:t>
      </w:r>
      <w:r w:rsidR="00C81C78" w:rsidRPr="00C81C78">
        <w:rPr>
          <w:rFonts w:cs="Arial"/>
          <w:color w:val="000000" w:themeColor="text1"/>
        </w:rPr>
        <w:t xml:space="preserve">availability </w:t>
      </w:r>
      <w:r w:rsidR="00C81C78">
        <w:rPr>
          <w:rFonts w:cs="Arial"/>
          <w:color w:val="000000" w:themeColor="text1"/>
        </w:rPr>
        <w:t xml:space="preserve">for </w:t>
      </w:r>
      <w:r w:rsidR="00562DD8">
        <w:rPr>
          <w:rFonts w:cs="Arial"/>
          <w:color w:val="000000" w:themeColor="text1"/>
        </w:rPr>
        <w:t xml:space="preserve">a coverage limited UE </w:t>
      </w:r>
      <w:r w:rsidR="00C81C78" w:rsidRPr="00562DD8">
        <w:rPr>
          <w:rFonts w:eastAsia="SimSun"/>
          <w:lang w:val="en-GB" w:eastAsia="zh-CN"/>
        </w:rPr>
        <w:t>to transmit at a higher power to realize the gains of MPR/PAR reduction techniques</w:t>
      </w:r>
      <w:r w:rsidR="00C81C78">
        <w:rPr>
          <w:rFonts w:eastAsia="SimSun"/>
          <w:lang w:val="en-GB" w:eastAsia="zh-CN"/>
        </w:rPr>
        <w:t xml:space="preserve">, and </w:t>
      </w:r>
      <w:r w:rsidR="00562DD8">
        <w:rPr>
          <w:rFonts w:eastAsia="SimSun"/>
          <w:lang w:val="en-GB" w:eastAsia="zh-CN"/>
        </w:rPr>
        <w:t>potential</w:t>
      </w:r>
      <w:r w:rsidR="00C81C78">
        <w:rPr>
          <w:rFonts w:eastAsia="SimSun"/>
          <w:lang w:val="en-GB" w:eastAsia="zh-CN"/>
        </w:rPr>
        <w:t xml:space="preserve"> impact on gNB implementation. </w:t>
      </w:r>
    </w:p>
    <w:p w14:paraId="2D571760" w14:textId="0DE382C6" w:rsidR="00562DD8" w:rsidRDefault="00822639" w:rsidP="00097F26">
      <w:pPr>
        <w:spacing w:before="120" w:after="120" w:line="276" w:lineRule="auto"/>
        <w:ind w:firstLineChars="0" w:firstLine="0"/>
        <w:rPr>
          <w:rFonts w:eastAsia="SimSun"/>
          <w:lang w:val="en-GB" w:eastAsia="zh-CN"/>
        </w:rPr>
      </w:pPr>
      <w:r w:rsidRPr="00562DD8">
        <w:rPr>
          <w:rFonts w:eastAsia="SimSun"/>
          <w:b/>
          <w:lang w:val="en-GB" w:eastAsia="zh-CN"/>
        </w:rPr>
        <w:t>Proposal 2:</w:t>
      </w:r>
      <w:r>
        <w:rPr>
          <w:rFonts w:eastAsia="SimSun"/>
          <w:lang w:val="en-GB" w:eastAsia="zh-CN"/>
        </w:rPr>
        <w:t xml:space="preserve"> </w:t>
      </w:r>
      <w:r w:rsidR="00562DD8">
        <w:rPr>
          <w:rFonts w:eastAsia="SimSun"/>
          <w:lang w:val="en-GB" w:eastAsia="zh-CN"/>
        </w:rPr>
        <w:t xml:space="preserve">Further discuss aspects related to </w:t>
      </w:r>
      <w:r w:rsidR="00562DD8">
        <w:rPr>
          <w:rFonts w:cs="Arial"/>
          <w:color w:val="000000" w:themeColor="text1"/>
        </w:rPr>
        <w:t xml:space="preserve">increased transmit power corresponding to PAPR gains, </w:t>
      </w:r>
      <w:r w:rsidR="00562DD8" w:rsidRPr="00C81C78">
        <w:rPr>
          <w:rFonts w:cs="Arial"/>
          <w:color w:val="000000" w:themeColor="text1"/>
        </w:rPr>
        <w:t xml:space="preserve">availability </w:t>
      </w:r>
      <w:r w:rsidR="00562DD8">
        <w:rPr>
          <w:rFonts w:cs="Arial"/>
          <w:color w:val="000000" w:themeColor="text1"/>
        </w:rPr>
        <w:t xml:space="preserve">for a coverage limited UE </w:t>
      </w:r>
      <w:r w:rsidR="00562DD8" w:rsidRPr="00562DD8">
        <w:rPr>
          <w:rFonts w:eastAsia="SimSun"/>
          <w:lang w:val="en-GB" w:eastAsia="zh-CN"/>
        </w:rPr>
        <w:t>to transmit at a higher power to realize the gains of MPR/PAR reduction techniques</w:t>
      </w:r>
      <w:r w:rsidR="00562DD8">
        <w:rPr>
          <w:rFonts w:eastAsia="SimSun"/>
          <w:lang w:val="en-GB" w:eastAsia="zh-CN"/>
        </w:rPr>
        <w:t>, and potential impact on gNB implementation</w:t>
      </w:r>
      <w:r w:rsidR="00F503B6">
        <w:rPr>
          <w:rFonts w:eastAsia="SimSun"/>
          <w:lang w:val="en-GB" w:eastAsia="zh-CN"/>
        </w:rPr>
        <w:t>.</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2A9F75B2" w14:textId="79A29228" w:rsidR="00FB0621" w:rsidRPr="00097F26" w:rsidRDefault="00D031B8" w:rsidP="00097F26">
      <w:pPr>
        <w:spacing w:before="120" w:after="120" w:line="276" w:lineRule="auto"/>
        <w:ind w:firstLineChars="0" w:firstLine="0"/>
        <w:rPr>
          <w:rFonts w:eastAsia="DengXian"/>
          <w:lang w:eastAsia="zh-CN"/>
        </w:rPr>
      </w:pPr>
      <w:r w:rsidRPr="00097F26">
        <w:rPr>
          <w:rFonts w:eastAsia="DengXian"/>
          <w:lang w:eastAsia="zh-CN" w:bidi="ar"/>
        </w:rPr>
        <w:t xml:space="preserve">This contribution discusses </w:t>
      </w:r>
      <w:r w:rsidR="00FB0621" w:rsidRPr="00097F26">
        <w:rPr>
          <w:rFonts w:eastAsia="DengXian"/>
          <w:lang w:eastAsia="zh-CN"/>
        </w:rPr>
        <w:t>potential power domain mechanisms to enhance coverage</w:t>
      </w:r>
      <w:r w:rsidR="00FB0621" w:rsidRPr="00097F26">
        <w:rPr>
          <w:rFonts w:eastAsia="SimSun"/>
        </w:rPr>
        <w:t>.</w:t>
      </w:r>
      <w:r w:rsidR="00FB0621" w:rsidRPr="00097F26">
        <w:rPr>
          <w:rFonts w:eastAsia="DengXian"/>
          <w:lang w:eastAsia="zh-CN"/>
        </w:rPr>
        <w:t xml:space="preserve"> </w:t>
      </w:r>
      <w:r w:rsidR="002C1C06">
        <w:rPr>
          <w:rFonts w:eastAsia="DengXian"/>
          <w:lang w:eastAsia="zh-CN" w:bidi="ar"/>
        </w:rPr>
        <w:t xml:space="preserve">The proposals </w:t>
      </w:r>
      <w:r w:rsidRPr="00097F26">
        <w:rPr>
          <w:rFonts w:eastAsia="DengXian"/>
          <w:lang w:eastAsia="zh-CN" w:bidi="ar"/>
        </w:rPr>
        <w:t>made in this contribution are summarized as below:</w:t>
      </w:r>
    </w:p>
    <w:p w14:paraId="7CC166DE" w14:textId="0C18F0D6" w:rsidR="00407688" w:rsidRDefault="00407688" w:rsidP="00407688">
      <w:pPr>
        <w:spacing w:before="120" w:after="120" w:line="276" w:lineRule="auto"/>
        <w:ind w:firstLineChars="0" w:firstLine="0"/>
        <w:rPr>
          <w:rFonts w:eastAsia="SimSun"/>
          <w:b/>
          <w:lang w:val="en-GB" w:eastAsia="zh-CN"/>
        </w:rPr>
      </w:pPr>
      <w:r w:rsidRPr="003E4961">
        <w:rPr>
          <w:rFonts w:eastAsia="SimSun"/>
          <w:b/>
          <w:lang w:val="en-GB" w:eastAsia="zh-CN"/>
        </w:rPr>
        <w:t xml:space="preserve">Proposal 1: </w:t>
      </w:r>
      <w:r w:rsidRPr="00562DD8">
        <w:rPr>
          <w:rFonts w:eastAsia="SimSun"/>
          <w:lang w:val="en-GB" w:eastAsia="zh-CN"/>
        </w:rPr>
        <w:t>Further discuss e</w:t>
      </w:r>
      <w:proofErr w:type="spellStart"/>
      <w:r w:rsidRPr="00562DD8">
        <w:rPr>
          <w:iCs/>
        </w:rPr>
        <w:t>nhancements</w:t>
      </w:r>
      <w:proofErr w:type="spellEnd"/>
      <w:r w:rsidRPr="00562DD8">
        <w:rPr>
          <w:iCs/>
        </w:rPr>
        <w:t xml:space="preserve"> to realize </w:t>
      </w:r>
      <w:r w:rsidRPr="00562DD8">
        <w:rPr>
          <w:rFonts w:eastAsia="SimSun" w:hint="eastAsia"/>
          <w:iCs/>
          <w:lang w:eastAsia="zh-CN"/>
        </w:rPr>
        <w:t>i</w:t>
      </w:r>
      <w:r w:rsidRPr="00562DD8">
        <w:rPr>
          <w:iCs/>
        </w:rPr>
        <w:t>ncreasing UE power high limit for CA and DC</w:t>
      </w:r>
      <w:r w:rsidRPr="00562DD8">
        <w:rPr>
          <w:rFonts w:eastAsia="SimSun"/>
          <w:lang w:val="en-GB" w:eastAsia="zh-CN"/>
        </w:rPr>
        <w:t xml:space="preserve"> based on the feedback from RAN4.</w:t>
      </w:r>
      <w:r w:rsidRPr="003E4961">
        <w:rPr>
          <w:rFonts w:eastAsia="SimSun"/>
          <w:b/>
          <w:lang w:val="en-GB" w:eastAsia="zh-CN"/>
        </w:rPr>
        <w:t xml:space="preserve"> </w:t>
      </w:r>
    </w:p>
    <w:p w14:paraId="0F33EF43" w14:textId="70D25E92" w:rsidR="00562DD8" w:rsidRDefault="00562DD8" w:rsidP="00562DD8">
      <w:pPr>
        <w:spacing w:before="120" w:after="120" w:line="276" w:lineRule="auto"/>
        <w:ind w:firstLineChars="0" w:firstLine="0"/>
        <w:rPr>
          <w:rFonts w:eastAsia="SimSun"/>
          <w:lang w:val="en-GB" w:eastAsia="zh-CN"/>
        </w:rPr>
      </w:pPr>
      <w:r w:rsidRPr="00562DD8">
        <w:rPr>
          <w:rFonts w:eastAsia="SimSun"/>
          <w:b/>
          <w:lang w:val="en-GB" w:eastAsia="zh-CN"/>
        </w:rPr>
        <w:t>Proposal 2:</w:t>
      </w:r>
      <w:r>
        <w:rPr>
          <w:rFonts w:eastAsia="SimSun"/>
          <w:lang w:val="en-GB" w:eastAsia="zh-CN"/>
        </w:rPr>
        <w:t xml:space="preserve"> Further discuss aspects related to </w:t>
      </w:r>
      <w:r>
        <w:rPr>
          <w:rFonts w:cs="Arial"/>
          <w:color w:val="000000" w:themeColor="text1"/>
        </w:rPr>
        <w:t xml:space="preserve">increased transmit power corresponding to PAPR gains, </w:t>
      </w:r>
      <w:r w:rsidRPr="00C81C78">
        <w:rPr>
          <w:rFonts w:cs="Arial"/>
          <w:color w:val="000000" w:themeColor="text1"/>
        </w:rPr>
        <w:t xml:space="preserve">availability </w:t>
      </w:r>
      <w:r>
        <w:rPr>
          <w:rFonts w:cs="Arial"/>
          <w:color w:val="000000" w:themeColor="text1"/>
        </w:rPr>
        <w:t xml:space="preserve">for a coverage limited UE </w:t>
      </w:r>
      <w:r w:rsidRPr="00562DD8">
        <w:rPr>
          <w:rFonts w:eastAsia="SimSun"/>
          <w:lang w:val="en-GB" w:eastAsia="zh-CN"/>
        </w:rPr>
        <w:t>to transmit at a higher power to realize the gains of MPR/PAR reduction techniques</w:t>
      </w:r>
      <w:r>
        <w:rPr>
          <w:rFonts w:eastAsia="SimSun"/>
          <w:lang w:val="en-GB" w:eastAsia="zh-CN"/>
        </w:rPr>
        <w:t>, and potential impact on gNB implementation</w:t>
      </w:r>
      <w:r w:rsidR="009908DF">
        <w:rPr>
          <w:rFonts w:eastAsia="SimSun"/>
          <w:lang w:val="en-GB" w:eastAsia="zh-CN"/>
        </w:rPr>
        <w:t>.</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17DDEE79" w14:textId="335091BC" w:rsidR="00D031B8" w:rsidRDefault="00D031B8" w:rsidP="00D031B8">
      <w:pPr>
        <w:pStyle w:val="List2"/>
        <w:numPr>
          <w:ilvl w:val="0"/>
          <w:numId w:val="6"/>
        </w:numPr>
        <w:spacing w:before="0" w:line="240" w:lineRule="auto"/>
        <w:ind w:firstLineChars="0"/>
        <w:jc w:val="left"/>
        <w:rPr>
          <w:rFonts w:ascii="Times New Roman" w:hAnsi="Times New Roman" w:cs="Times New Roman"/>
          <w:color w:val="auto"/>
          <w:lang w:eastAsia="ko-KR"/>
        </w:rPr>
      </w:pPr>
      <w:r w:rsidRPr="001D787F">
        <w:rPr>
          <w:rFonts w:ascii="Times New Roman" w:hAnsi="Times New Roman" w:cs="Times New Roman"/>
          <w:color w:val="auto"/>
          <w:lang w:eastAsia="ko-KR"/>
        </w:rPr>
        <w:t>RP-221858, Revised WID on Further NR coverage enhancements, China Telecom, RAN#96.</w:t>
      </w:r>
    </w:p>
    <w:p w14:paraId="34F3B682" w14:textId="5DA0C2F9" w:rsidR="005D0506" w:rsidRPr="007E31E7" w:rsidRDefault="007E31E7" w:rsidP="007E31E7">
      <w:pPr>
        <w:pStyle w:val="List2"/>
        <w:numPr>
          <w:ilvl w:val="0"/>
          <w:numId w:val="6"/>
        </w:numPr>
        <w:spacing w:before="0" w:line="240" w:lineRule="auto"/>
        <w:ind w:firstLineChars="0"/>
        <w:jc w:val="left"/>
        <w:rPr>
          <w:rFonts w:ascii="Times New Roman" w:hAnsi="Times New Roman" w:cs="Times New Roman"/>
          <w:color w:val="auto"/>
          <w:lang w:eastAsia="ko-KR"/>
        </w:rPr>
      </w:pPr>
      <w:r>
        <w:rPr>
          <w:rFonts w:ascii="Times New Roman" w:hAnsi="Times New Roman" w:cs="Times New Roman"/>
          <w:color w:val="auto"/>
          <w:lang w:eastAsia="ko-KR"/>
        </w:rPr>
        <w:t>Chair Notes, RAN1#111, November</w:t>
      </w:r>
      <w:r>
        <w:rPr>
          <w:rFonts w:ascii="Times New Roman" w:hAnsi="Times New Roman" w:cs="Times New Roman"/>
          <w:color w:val="auto"/>
          <w:lang w:eastAsia="ko-KR"/>
        </w:rPr>
        <w:t xml:space="preserve"> 2022</w:t>
      </w:r>
      <w:bookmarkStart w:id="1" w:name="_GoBack"/>
      <w:bookmarkEnd w:id="1"/>
      <w:r w:rsidR="005D0506" w:rsidRPr="007E31E7">
        <w:rPr>
          <w:rFonts w:ascii="Times New Roman" w:hAnsi="Times New Roman" w:cs="Times New Roman"/>
          <w:color w:val="auto"/>
          <w:lang w:eastAsia="ko-KR"/>
        </w:rPr>
        <w:t>.</w:t>
      </w:r>
    </w:p>
    <w:p w14:paraId="3BA71103" w14:textId="7B40A96A" w:rsidR="001D787F" w:rsidRPr="001D787F" w:rsidRDefault="00DE5C69" w:rsidP="001D787F">
      <w:pPr>
        <w:pStyle w:val="ListParagraph"/>
        <w:numPr>
          <w:ilvl w:val="0"/>
          <w:numId w:val="6"/>
        </w:numPr>
        <w:ind w:firstLineChars="0"/>
        <w:rPr>
          <w:rFonts w:ascii="Times New Roman" w:eastAsia="DengXian" w:hAnsi="Times New Roman"/>
          <w:sz w:val="20"/>
          <w:szCs w:val="20"/>
        </w:rPr>
      </w:pPr>
      <w:r>
        <w:rPr>
          <w:rFonts w:ascii="Times New Roman" w:hAnsi="Times New Roman"/>
          <w:sz w:val="20"/>
          <w:szCs w:val="20"/>
          <w:lang w:eastAsia="x-none"/>
        </w:rPr>
        <w:t>R1-2212917</w:t>
      </w:r>
      <w:r>
        <w:rPr>
          <w:rFonts w:ascii="Arial" w:eastAsia="MS Mincho" w:hAnsi="Arial" w:cs="Arial"/>
          <w:bCs/>
          <w:sz w:val="20"/>
          <w:szCs w:val="20"/>
          <w:lang w:val="en-GB" w:eastAsia="ja-JP"/>
        </w:rPr>
        <w:t xml:space="preserve">, </w:t>
      </w:r>
      <w:r w:rsidRPr="00DE5C69">
        <w:rPr>
          <w:rFonts w:ascii="Times New Roman" w:hAnsi="Times New Roman"/>
          <w:bCs/>
          <w:sz w:val="20"/>
          <w:szCs w:val="20"/>
          <w:lang w:val="en-GB" w:eastAsia="x-none"/>
        </w:rPr>
        <w:t>LS to RAN4 for further information on RAN1 assumptions for LLS performance evaluation of MPR/PAR reduction solutions</w:t>
      </w:r>
      <w:r w:rsidR="001D787F" w:rsidRPr="001D787F">
        <w:rPr>
          <w:rFonts w:ascii="Times New Roman" w:eastAsia="Yu Mincho" w:hAnsi="Times New Roman"/>
          <w:bCs/>
          <w:iCs/>
          <w:sz w:val="20"/>
          <w:szCs w:val="20"/>
          <w:lang w:eastAsia="ja-JP"/>
        </w:rPr>
        <w:t>, RAN1</w:t>
      </w:r>
      <w:r w:rsidR="00C82ECE">
        <w:rPr>
          <w:rFonts w:ascii="Times New Roman" w:eastAsia="Yu Mincho" w:hAnsi="Times New Roman"/>
          <w:bCs/>
          <w:iCs/>
          <w:sz w:val="20"/>
          <w:szCs w:val="20"/>
          <w:lang w:eastAsia="ja-JP"/>
        </w:rPr>
        <w:t>.</w:t>
      </w:r>
    </w:p>
    <w:p w14:paraId="251DFF31" w14:textId="37231EE5" w:rsidR="00474CD2" w:rsidRPr="00DB5636" w:rsidRDefault="00CE1B8F" w:rsidP="00DB5636">
      <w:pPr>
        <w:numPr>
          <w:ilvl w:val="0"/>
          <w:numId w:val="6"/>
        </w:numPr>
        <w:tabs>
          <w:tab w:val="left" w:pos="1080"/>
        </w:tabs>
        <w:spacing w:before="0" w:line="240" w:lineRule="auto"/>
        <w:ind w:left="418" w:firstLineChars="0" w:hanging="418"/>
        <w:jc w:val="left"/>
        <w:rPr>
          <w:lang w:eastAsia="x-none"/>
        </w:rPr>
      </w:pPr>
      <w:r w:rsidRPr="001D787F">
        <w:t>RP-221302, “New WID: Increasing UE power high limit for CA and DC,” China Telecom, Qualcomm</w:t>
      </w:r>
      <w:r w:rsidR="00C82ECE">
        <w:t>.</w:t>
      </w:r>
    </w:p>
    <w:sectPr w:rsidR="00474CD2" w:rsidRPr="00DB5636"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092E3" w14:textId="77777777" w:rsidR="005E2A55" w:rsidRDefault="005E2A55" w:rsidP="007378B8">
      <w:r>
        <w:separator/>
      </w:r>
    </w:p>
  </w:endnote>
  <w:endnote w:type="continuationSeparator" w:id="0">
    <w:p w14:paraId="355D7D39" w14:textId="77777777" w:rsidR="005E2A55" w:rsidRDefault="005E2A5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Microsoft YaHei Light"/>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27B1B0F2"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E31E7">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15F3A" w14:textId="77777777" w:rsidR="005E2A55" w:rsidRDefault="005E2A55" w:rsidP="007378B8">
      <w:r>
        <w:separator/>
      </w:r>
    </w:p>
  </w:footnote>
  <w:footnote w:type="continuationSeparator" w:id="0">
    <w:p w14:paraId="576F6F1C" w14:textId="77777777" w:rsidR="005E2A55" w:rsidRDefault="005E2A5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216"/>
        </w:tabs>
        <w:ind w:left="-1216" w:hanging="360"/>
      </w:pPr>
      <w:rPr>
        <w:rFonts w:ascii="Wingdings" w:hAnsi="Wingdings" w:hint="default"/>
      </w:rPr>
    </w:lvl>
    <w:lvl w:ilvl="1" w:tplc="08090003">
      <w:start w:val="1"/>
      <w:numFmt w:val="bullet"/>
      <w:lvlText w:val="o"/>
      <w:lvlJc w:val="left"/>
      <w:pPr>
        <w:tabs>
          <w:tab w:val="num" w:pos="-496"/>
        </w:tabs>
        <w:ind w:left="-496" w:hanging="360"/>
      </w:pPr>
      <w:rPr>
        <w:rFonts w:ascii="Courier New" w:hAnsi="Courier New" w:cs="Courier New" w:hint="default"/>
      </w:rPr>
    </w:lvl>
    <w:lvl w:ilvl="2" w:tplc="B5307B6A">
      <w:start w:val="1"/>
      <w:numFmt w:val="bullet"/>
      <w:lvlText w:val=""/>
      <w:lvlJc w:val="left"/>
      <w:pPr>
        <w:tabs>
          <w:tab w:val="num" w:pos="224"/>
        </w:tabs>
        <w:ind w:left="224" w:hanging="360"/>
      </w:pPr>
      <w:rPr>
        <w:rFonts w:ascii="Wingdings" w:hAnsi="Wingdings" w:hint="default"/>
        <w:color w:val="auto"/>
      </w:rPr>
    </w:lvl>
    <w:lvl w:ilvl="3" w:tplc="08090003">
      <w:start w:val="1"/>
      <w:numFmt w:val="bullet"/>
      <w:lvlText w:val="o"/>
      <w:lvlJc w:val="left"/>
      <w:pPr>
        <w:tabs>
          <w:tab w:val="num" w:pos="944"/>
        </w:tabs>
        <w:ind w:left="944" w:hanging="360"/>
      </w:pPr>
      <w:rPr>
        <w:rFonts w:ascii="Courier New" w:hAnsi="Courier New" w:cs="Courier New" w:hint="default"/>
      </w:rPr>
    </w:lvl>
    <w:lvl w:ilvl="4" w:tplc="08090003">
      <w:start w:val="1"/>
      <w:numFmt w:val="bullet"/>
      <w:lvlText w:val="o"/>
      <w:lvlJc w:val="left"/>
      <w:pPr>
        <w:tabs>
          <w:tab w:val="num" w:pos="1664"/>
        </w:tabs>
        <w:ind w:left="1664" w:hanging="360"/>
      </w:pPr>
      <w:rPr>
        <w:rFonts w:ascii="Courier New" w:hAnsi="Courier New" w:cs="Courier New" w:hint="default"/>
      </w:rPr>
    </w:lvl>
    <w:lvl w:ilvl="5" w:tplc="08090005">
      <w:start w:val="1"/>
      <w:numFmt w:val="bullet"/>
      <w:lvlText w:val=""/>
      <w:lvlJc w:val="left"/>
      <w:pPr>
        <w:tabs>
          <w:tab w:val="num" w:pos="2384"/>
        </w:tabs>
        <w:ind w:left="2384" w:hanging="360"/>
      </w:pPr>
      <w:rPr>
        <w:rFonts w:ascii="Wingdings" w:hAnsi="Wingdings" w:hint="default"/>
      </w:rPr>
    </w:lvl>
    <w:lvl w:ilvl="6" w:tplc="08090001">
      <w:start w:val="1"/>
      <w:numFmt w:val="bullet"/>
      <w:lvlText w:val=""/>
      <w:lvlJc w:val="left"/>
      <w:pPr>
        <w:tabs>
          <w:tab w:val="num" w:pos="3104"/>
        </w:tabs>
        <w:ind w:left="3104" w:hanging="360"/>
      </w:pPr>
      <w:rPr>
        <w:rFonts w:ascii="Symbol" w:hAnsi="Symbol" w:hint="default"/>
      </w:rPr>
    </w:lvl>
    <w:lvl w:ilvl="7" w:tplc="08090003">
      <w:start w:val="1"/>
      <w:numFmt w:val="bullet"/>
      <w:lvlText w:val="o"/>
      <w:lvlJc w:val="left"/>
      <w:pPr>
        <w:tabs>
          <w:tab w:val="num" w:pos="3824"/>
        </w:tabs>
        <w:ind w:left="3824" w:hanging="360"/>
      </w:pPr>
      <w:rPr>
        <w:rFonts w:ascii="Courier New" w:hAnsi="Courier New" w:cs="Courier New" w:hint="default"/>
      </w:rPr>
    </w:lvl>
    <w:lvl w:ilvl="8" w:tplc="08090005">
      <w:start w:val="1"/>
      <w:numFmt w:val="bullet"/>
      <w:lvlText w:val=""/>
      <w:lvlJc w:val="left"/>
      <w:pPr>
        <w:tabs>
          <w:tab w:val="num" w:pos="4544"/>
        </w:tabs>
        <w:ind w:left="4544" w:hanging="360"/>
      </w:pPr>
      <w:rPr>
        <w:rFonts w:ascii="Wingdings" w:hAnsi="Wingdings" w:hint="default"/>
      </w:rPr>
    </w:lvl>
  </w:abstractNum>
  <w:abstractNum w:abstractNumId="5" w15:restartNumberingAfterBreak="0">
    <w:nsid w:val="0DF939CE"/>
    <w:multiLevelType w:val="hybridMultilevel"/>
    <w:tmpl w:val="EEACFE00"/>
    <w:lvl w:ilvl="0" w:tplc="EC52B54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3325CB"/>
    <w:multiLevelType w:val="hybridMultilevel"/>
    <w:tmpl w:val="A93E1A3A"/>
    <w:lvl w:ilvl="0" w:tplc="DB8868EC">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BA805E8"/>
    <w:multiLevelType w:val="hybridMultilevel"/>
    <w:tmpl w:val="9514A186"/>
    <w:lvl w:ilvl="0" w:tplc="FEFA5FF2">
      <w:start w:val="1"/>
      <w:numFmt w:val="bullet"/>
      <w:lvlText w:val="–"/>
      <w:lvlJc w:val="left"/>
      <w:pPr>
        <w:tabs>
          <w:tab w:val="num" w:pos="720"/>
        </w:tabs>
        <w:ind w:left="720" w:hanging="360"/>
      </w:pPr>
      <w:rPr>
        <w:rFonts w:ascii="Arial" w:hAnsi="Arial" w:hint="default"/>
      </w:rPr>
    </w:lvl>
    <w:lvl w:ilvl="1" w:tplc="5D2A9BB2">
      <w:start w:val="1"/>
      <w:numFmt w:val="bullet"/>
      <w:lvlText w:val="–"/>
      <w:lvlJc w:val="left"/>
      <w:pPr>
        <w:tabs>
          <w:tab w:val="num" w:pos="1440"/>
        </w:tabs>
        <w:ind w:left="1440" w:hanging="360"/>
      </w:pPr>
      <w:rPr>
        <w:rFonts w:ascii="Arial" w:hAnsi="Arial" w:hint="default"/>
      </w:rPr>
    </w:lvl>
    <w:lvl w:ilvl="2" w:tplc="7B5041C2" w:tentative="1">
      <w:start w:val="1"/>
      <w:numFmt w:val="bullet"/>
      <w:lvlText w:val="–"/>
      <w:lvlJc w:val="left"/>
      <w:pPr>
        <w:tabs>
          <w:tab w:val="num" w:pos="2160"/>
        </w:tabs>
        <w:ind w:left="2160" w:hanging="360"/>
      </w:pPr>
      <w:rPr>
        <w:rFonts w:ascii="Arial" w:hAnsi="Arial" w:hint="default"/>
      </w:rPr>
    </w:lvl>
    <w:lvl w:ilvl="3" w:tplc="1AB4C8EC" w:tentative="1">
      <w:start w:val="1"/>
      <w:numFmt w:val="bullet"/>
      <w:lvlText w:val="–"/>
      <w:lvlJc w:val="left"/>
      <w:pPr>
        <w:tabs>
          <w:tab w:val="num" w:pos="2880"/>
        </w:tabs>
        <w:ind w:left="2880" w:hanging="360"/>
      </w:pPr>
      <w:rPr>
        <w:rFonts w:ascii="Arial" w:hAnsi="Arial" w:hint="default"/>
      </w:rPr>
    </w:lvl>
    <w:lvl w:ilvl="4" w:tplc="ABA8D85A" w:tentative="1">
      <w:start w:val="1"/>
      <w:numFmt w:val="bullet"/>
      <w:lvlText w:val="–"/>
      <w:lvlJc w:val="left"/>
      <w:pPr>
        <w:tabs>
          <w:tab w:val="num" w:pos="3600"/>
        </w:tabs>
        <w:ind w:left="3600" w:hanging="360"/>
      </w:pPr>
      <w:rPr>
        <w:rFonts w:ascii="Arial" w:hAnsi="Arial" w:hint="default"/>
      </w:rPr>
    </w:lvl>
    <w:lvl w:ilvl="5" w:tplc="B1385148" w:tentative="1">
      <w:start w:val="1"/>
      <w:numFmt w:val="bullet"/>
      <w:lvlText w:val="–"/>
      <w:lvlJc w:val="left"/>
      <w:pPr>
        <w:tabs>
          <w:tab w:val="num" w:pos="4320"/>
        </w:tabs>
        <w:ind w:left="4320" w:hanging="360"/>
      </w:pPr>
      <w:rPr>
        <w:rFonts w:ascii="Arial" w:hAnsi="Arial" w:hint="default"/>
      </w:rPr>
    </w:lvl>
    <w:lvl w:ilvl="6" w:tplc="A7526448" w:tentative="1">
      <w:start w:val="1"/>
      <w:numFmt w:val="bullet"/>
      <w:lvlText w:val="–"/>
      <w:lvlJc w:val="left"/>
      <w:pPr>
        <w:tabs>
          <w:tab w:val="num" w:pos="5040"/>
        </w:tabs>
        <w:ind w:left="5040" w:hanging="360"/>
      </w:pPr>
      <w:rPr>
        <w:rFonts w:ascii="Arial" w:hAnsi="Arial" w:hint="default"/>
      </w:rPr>
    </w:lvl>
    <w:lvl w:ilvl="7" w:tplc="956E31D0" w:tentative="1">
      <w:start w:val="1"/>
      <w:numFmt w:val="bullet"/>
      <w:lvlText w:val="–"/>
      <w:lvlJc w:val="left"/>
      <w:pPr>
        <w:tabs>
          <w:tab w:val="num" w:pos="5760"/>
        </w:tabs>
        <w:ind w:left="5760" w:hanging="360"/>
      </w:pPr>
      <w:rPr>
        <w:rFonts w:ascii="Arial" w:hAnsi="Arial" w:hint="default"/>
      </w:rPr>
    </w:lvl>
    <w:lvl w:ilvl="8" w:tplc="83500A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387D14"/>
    <w:multiLevelType w:val="hybridMultilevel"/>
    <w:tmpl w:val="D0780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47596D05"/>
    <w:multiLevelType w:val="hybridMultilevel"/>
    <w:tmpl w:val="136A0EFA"/>
    <w:lvl w:ilvl="0" w:tplc="1212A4C8">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7DD3D21"/>
    <w:multiLevelType w:val="hybridMultilevel"/>
    <w:tmpl w:val="DBAA8638"/>
    <w:lvl w:ilvl="0" w:tplc="8AEAA2BE">
      <w:start w:val="1"/>
      <w:numFmt w:val="bullet"/>
      <w:lvlText w:val="–"/>
      <w:lvlJc w:val="left"/>
      <w:pPr>
        <w:tabs>
          <w:tab w:val="num" w:pos="720"/>
        </w:tabs>
        <w:ind w:left="720" w:hanging="360"/>
      </w:pPr>
      <w:rPr>
        <w:rFonts w:ascii="Arial" w:hAnsi="Arial" w:hint="default"/>
      </w:rPr>
    </w:lvl>
    <w:lvl w:ilvl="1" w:tplc="FFE248DE">
      <w:start w:val="1"/>
      <w:numFmt w:val="bullet"/>
      <w:lvlText w:val="–"/>
      <w:lvlJc w:val="left"/>
      <w:pPr>
        <w:tabs>
          <w:tab w:val="num" w:pos="1440"/>
        </w:tabs>
        <w:ind w:left="1440" w:hanging="360"/>
      </w:pPr>
      <w:rPr>
        <w:rFonts w:ascii="Arial" w:hAnsi="Arial" w:hint="default"/>
      </w:rPr>
    </w:lvl>
    <w:lvl w:ilvl="2" w:tplc="01349230" w:tentative="1">
      <w:start w:val="1"/>
      <w:numFmt w:val="bullet"/>
      <w:lvlText w:val="–"/>
      <w:lvlJc w:val="left"/>
      <w:pPr>
        <w:tabs>
          <w:tab w:val="num" w:pos="2160"/>
        </w:tabs>
        <w:ind w:left="2160" w:hanging="360"/>
      </w:pPr>
      <w:rPr>
        <w:rFonts w:ascii="Arial" w:hAnsi="Arial" w:hint="default"/>
      </w:rPr>
    </w:lvl>
    <w:lvl w:ilvl="3" w:tplc="A3CEAA7A" w:tentative="1">
      <w:start w:val="1"/>
      <w:numFmt w:val="bullet"/>
      <w:lvlText w:val="–"/>
      <w:lvlJc w:val="left"/>
      <w:pPr>
        <w:tabs>
          <w:tab w:val="num" w:pos="2880"/>
        </w:tabs>
        <w:ind w:left="2880" w:hanging="360"/>
      </w:pPr>
      <w:rPr>
        <w:rFonts w:ascii="Arial" w:hAnsi="Arial" w:hint="default"/>
      </w:rPr>
    </w:lvl>
    <w:lvl w:ilvl="4" w:tplc="78328C9E" w:tentative="1">
      <w:start w:val="1"/>
      <w:numFmt w:val="bullet"/>
      <w:lvlText w:val="–"/>
      <w:lvlJc w:val="left"/>
      <w:pPr>
        <w:tabs>
          <w:tab w:val="num" w:pos="3600"/>
        </w:tabs>
        <w:ind w:left="3600" w:hanging="360"/>
      </w:pPr>
      <w:rPr>
        <w:rFonts w:ascii="Arial" w:hAnsi="Arial" w:hint="default"/>
      </w:rPr>
    </w:lvl>
    <w:lvl w:ilvl="5" w:tplc="F21A4E82" w:tentative="1">
      <w:start w:val="1"/>
      <w:numFmt w:val="bullet"/>
      <w:lvlText w:val="–"/>
      <w:lvlJc w:val="left"/>
      <w:pPr>
        <w:tabs>
          <w:tab w:val="num" w:pos="4320"/>
        </w:tabs>
        <w:ind w:left="4320" w:hanging="360"/>
      </w:pPr>
      <w:rPr>
        <w:rFonts w:ascii="Arial" w:hAnsi="Arial" w:hint="default"/>
      </w:rPr>
    </w:lvl>
    <w:lvl w:ilvl="6" w:tplc="469C211C" w:tentative="1">
      <w:start w:val="1"/>
      <w:numFmt w:val="bullet"/>
      <w:lvlText w:val="–"/>
      <w:lvlJc w:val="left"/>
      <w:pPr>
        <w:tabs>
          <w:tab w:val="num" w:pos="5040"/>
        </w:tabs>
        <w:ind w:left="5040" w:hanging="360"/>
      </w:pPr>
      <w:rPr>
        <w:rFonts w:ascii="Arial" w:hAnsi="Arial" w:hint="default"/>
      </w:rPr>
    </w:lvl>
    <w:lvl w:ilvl="7" w:tplc="71CE49E6" w:tentative="1">
      <w:start w:val="1"/>
      <w:numFmt w:val="bullet"/>
      <w:lvlText w:val="–"/>
      <w:lvlJc w:val="left"/>
      <w:pPr>
        <w:tabs>
          <w:tab w:val="num" w:pos="5760"/>
        </w:tabs>
        <w:ind w:left="5760" w:hanging="360"/>
      </w:pPr>
      <w:rPr>
        <w:rFonts w:ascii="Arial" w:hAnsi="Arial" w:hint="default"/>
      </w:rPr>
    </w:lvl>
    <w:lvl w:ilvl="8" w:tplc="69B00A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13"/>
  </w:num>
  <w:num w:numId="4">
    <w:abstractNumId w:val="22"/>
  </w:num>
  <w:num w:numId="5">
    <w:abstractNumId w:val="1"/>
  </w:num>
  <w:num w:numId="6">
    <w:abstractNumId w:val="7"/>
  </w:num>
  <w:num w:numId="7">
    <w:abstractNumId w:val="26"/>
  </w:num>
  <w:num w:numId="8">
    <w:abstractNumId w:val="2"/>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8"/>
  </w:num>
  <w:num w:numId="12">
    <w:abstractNumId w:val="28"/>
  </w:num>
  <w:num w:numId="13">
    <w:abstractNumId w:val="23"/>
  </w:num>
  <w:num w:numId="14">
    <w:abstractNumId w:val="25"/>
  </w:num>
  <w:num w:numId="15">
    <w:abstractNumId w:val="3"/>
  </w:num>
  <w:num w:numId="16">
    <w:abstractNumId w:val="19"/>
  </w:num>
  <w:num w:numId="17">
    <w:abstractNumId w:val="12"/>
  </w:num>
  <w:num w:numId="18">
    <w:abstractNumId w:val="15"/>
  </w:num>
  <w:num w:numId="19">
    <w:abstractNumId w:val="4"/>
  </w:num>
  <w:num w:numId="20">
    <w:abstractNumId w:val="6"/>
  </w:num>
  <w:num w:numId="21">
    <w:abstractNumId w:val="24"/>
  </w:num>
  <w:num w:numId="22">
    <w:abstractNumId w:val="11"/>
  </w:num>
  <w:num w:numId="23">
    <w:abstractNumId w:val="27"/>
  </w:num>
  <w:num w:numId="24">
    <w:abstractNumId w:val="5"/>
  </w:num>
  <w:num w:numId="25">
    <w:abstractNumId w:val="9"/>
  </w:num>
  <w:num w:numId="26">
    <w:abstractNumId w:val="14"/>
  </w:num>
  <w:num w:numId="27">
    <w:abstractNumId w:val="20"/>
  </w:num>
  <w:num w:numId="28">
    <w:abstractNumId w:val="8"/>
  </w:num>
  <w:num w:numId="2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61B"/>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2B"/>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899"/>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38B"/>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265"/>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57F"/>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9C0"/>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97F26"/>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47F"/>
    <w:rsid w:val="000C250C"/>
    <w:rsid w:val="000C2513"/>
    <w:rsid w:val="000C2BE5"/>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8F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702"/>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6D8"/>
    <w:rsid w:val="000F599A"/>
    <w:rsid w:val="000F5C9C"/>
    <w:rsid w:val="000F5DA7"/>
    <w:rsid w:val="000F635B"/>
    <w:rsid w:val="000F641D"/>
    <w:rsid w:val="000F6498"/>
    <w:rsid w:val="000F6716"/>
    <w:rsid w:val="000F699D"/>
    <w:rsid w:val="000F6B6B"/>
    <w:rsid w:val="000F6C56"/>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2C8"/>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930"/>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4F"/>
    <w:rsid w:val="00157255"/>
    <w:rsid w:val="0015751E"/>
    <w:rsid w:val="00157687"/>
    <w:rsid w:val="00157C48"/>
    <w:rsid w:val="00157D69"/>
    <w:rsid w:val="00160121"/>
    <w:rsid w:val="00160516"/>
    <w:rsid w:val="0016072B"/>
    <w:rsid w:val="00160987"/>
    <w:rsid w:val="001609CF"/>
    <w:rsid w:val="00160A6A"/>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694"/>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04D"/>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1DBF"/>
    <w:rsid w:val="001B21C5"/>
    <w:rsid w:val="001B2544"/>
    <w:rsid w:val="001B2F45"/>
    <w:rsid w:val="001B2F87"/>
    <w:rsid w:val="001B353D"/>
    <w:rsid w:val="001B3836"/>
    <w:rsid w:val="001B44AF"/>
    <w:rsid w:val="001B44B6"/>
    <w:rsid w:val="001B4944"/>
    <w:rsid w:val="001B4ECD"/>
    <w:rsid w:val="001B4EF4"/>
    <w:rsid w:val="001B4EF7"/>
    <w:rsid w:val="001B5BB0"/>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87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27"/>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07F92"/>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B8E"/>
    <w:rsid w:val="00232D96"/>
    <w:rsid w:val="00232DDB"/>
    <w:rsid w:val="00233382"/>
    <w:rsid w:val="002336A5"/>
    <w:rsid w:val="002336AF"/>
    <w:rsid w:val="0023377E"/>
    <w:rsid w:val="0023386F"/>
    <w:rsid w:val="002339CF"/>
    <w:rsid w:val="00233B09"/>
    <w:rsid w:val="00234A1E"/>
    <w:rsid w:val="00234B64"/>
    <w:rsid w:val="00234CD4"/>
    <w:rsid w:val="00235739"/>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5A79"/>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637"/>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B4"/>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D93"/>
    <w:rsid w:val="00281E07"/>
    <w:rsid w:val="002823AC"/>
    <w:rsid w:val="002824EF"/>
    <w:rsid w:val="00282626"/>
    <w:rsid w:val="002828EB"/>
    <w:rsid w:val="00282A2D"/>
    <w:rsid w:val="00282C6B"/>
    <w:rsid w:val="00282D21"/>
    <w:rsid w:val="00283118"/>
    <w:rsid w:val="00283DFB"/>
    <w:rsid w:val="002844FA"/>
    <w:rsid w:val="00284E9A"/>
    <w:rsid w:val="0028516C"/>
    <w:rsid w:val="002857BB"/>
    <w:rsid w:val="00285FBE"/>
    <w:rsid w:val="00286346"/>
    <w:rsid w:val="0028648B"/>
    <w:rsid w:val="00286494"/>
    <w:rsid w:val="00286A37"/>
    <w:rsid w:val="00286AC5"/>
    <w:rsid w:val="00286AFC"/>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975"/>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1C06"/>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513"/>
    <w:rsid w:val="002D15AC"/>
    <w:rsid w:val="002D1678"/>
    <w:rsid w:val="002D16A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4972"/>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CC0"/>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0E02"/>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38"/>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3FE"/>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0FD"/>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00F"/>
    <w:rsid w:val="003A0185"/>
    <w:rsid w:val="003A0498"/>
    <w:rsid w:val="003A0EAA"/>
    <w:rsid w:val="003A11AA"/>
    <w:rsid w:val="003A13DA"/>
    <w:rsid w:val="003A1650"/>
    <w:rsid w:val="003A176B"/>
    <w:rsid w:val="003A1A6B"/>
    <w:rsid w:val="003A1E46"/>
    <w:rsid w:val="003A1F94"/>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3D"/>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F"/>
    <w:rsid w:val="003E45B4"/>
    <w:rsid w:val="003E4961"/>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88"/>
    <w:rsid w:val="004076A6"/>
    <w:rsid w:val="00407749"/>
    <w:rsid w:val="00407A2A"/>
    <w:rsid w:val="00407E90"/>
    <w:rsid w:val="00407FBE"/>
    <w:rsid w:val="0041019B"/>
    <w:rsid w:val="0041079D"/>
    <w:rsid w:val="004107A7"/>
    <w:rsid w:val="0041091F"/>
    <w:rsid w:val="00410B89"/>
    <w:rsid w:val="00410C81"/>
    <w:rsid w:val="00410DD6"/>
    <w:rsid w:val="00411091"/>
    <w:rsid w:val="00411345"/>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2CB"/>
    <w:rsid w:val="004417D0"/>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3FCE"/>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7F"/>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80E"/>
    <w:rsid w:val="00492C3B"/>
    <w:rsid w:val="00492D96"/>
    <w:rsid w:val="00492DA8"/>
    <w:rsid w:val="00492DFD"/>
    <w:rsid w:val="00492FBC"/>
    <w:rsid w:val="004931E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1D8"/>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0D0"/>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B5A"/>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49"/>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0C0"/>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63A5"/>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E95"/>
    <w:rsid w:val="00522F51"/>
    <w:rsid w:val="00522F86"/>
    <w:rsid w:val="00523016"/>
    <w:rsid w:val="00523086"/>
    <w:rsid w:val="00523620"/>
    <w:rsid w:val="005236D1"/>
    <w:rsid w:val="00523778"/>
    <w:rsid w:val="00523DD5"/>
    <w:rsid w:val="00523F1F"/>
    <w:rsid w:val="00524317"/>
    <w:rsid w:val="00524A47"/>
    <w:rsid w:val="00524DC0"/>
    <w:rsid w:val="00524E75"/>
    <w:rsid w:val="00524F6A"/>
    <w:rsid w:val="0052544C"/>
    <w:rsid w:val="005258F8"/>
    <w:rsid w:val="00525CA2"/>
    <w:rsid w:val="0052613B"/>
    <w:rsid w:val="005262B1"/>
    <w:rsid w:val="005265AC"/>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E2E"/>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0EED"/>
    <w:rsid w:val="0056156D"/>
    <w:rsid w:val="00561978"/>
    <w:rsid w:val="005619BB"/>
    <w:rsid w:val="00561A38"/>
    <w:rsid w:val="00561C92"/>
    <w:rsid w:val="00561E29"/>
    <w:rsid w:val="005620F4"/>
    <w:rsid w:val="00562BEF"/>
    <w:rsid w:val="00562D9C"/>
    <w:rsid w:val="00562DD8"/>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61C"/>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8E3"/>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4FAE"/>
    <w:rsid w:val="0059514A"/>
    <w:rsid w:val="005951CE"/>
    <w:rsid w:val="00595210"/>
    <w:rsid w:val="00595245"/>
    <w:rsid w:val="00595345"/>
    <w:rsid w:val="0059534E"/>
    <w:rsid w:val="005962BA"/>
    <w:rsid w:val="005965C9"/>
    <w:rsid w:val="00596725"/>
    <w:rsid w:val="005967B4"/>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C4"/>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DE4"/>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0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A55"/>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0C0D"/>
    <w:rsid w:val="005F111F"/>
    <w:rsid w:val="005F1713"/>
    <w:rsid w:val="005F181F"/>
    <w:rsid w:val="005F1AB1"/>
    <w:rsid w:val="005F1BFD"/>
    <w:rsid w:val="005F1D7B"/>
    <w:rsid w:val="005F20BA"/>
    <w:rsid w:val="005F2306"/>
    <w:rsid w:val="005F2682"/>
    <w:rsid w:val="005F2891"/>
    <w:rsid w:val="005F2CE7"/>
    <w:rsid w:val="005F2E51"/>
    <w:rsid w:val="005F3398"/>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93D"/>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3F7"/>
    <w:rsid w:val="00624429"/>
    <w:rsid w:val="00624433"/>
    <w:rsid w:val="00624576"/>
    <w:rsid w:val="0062480C"/>
    <w:rsid w:val="00624C13"/>
    <w:rsid w:val="00624DB4"/>
    <w:rsid w:val="00624E8D"/>
    <w:rsid w:val="006250BD"/>
    <w:rsid w:val="00625181"/>
    <w:rsid w:val="006254BB"/>
    <w:rsid w:val="006256DE"/>
    <w:rsid w:val="00625828"/>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1F"/>
    <w:rsid w:val="00633928"/>
    <w:rsid w:val="00633D4E"/>
    <w:rsid w:val="0063423C"/>
    <w:rsid w:val="006344E0"/>
    <w:rsid w:val="00634621"/>
    <w:rsid w:val="00634A8B"/>
    <w:rsid w:val="00634C8C"/>
    <w:rsid w:val="00634E19"/>
    <w:rsid w:val="0063509B"/>
    <w:rsid w:val="00635A97"/>
    <w:rsid w:val="00635F98"/>
    <w:rsid w:val="00636190"/>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E42"/>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8D0"/>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0F2F"/>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341"/>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701"/>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42"/>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B7"/>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0B5"/>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8A6"/>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3D"/>
    <w:rsid w:val="00716EFD"/>
    <w:rsid w:val="00716EFF"/>
    <w:rsid w:val="007173F2"/>
    <w:rsid w:val="0071746D"/>
    <w:rsid w:val="00717985"/>
    <w:rsid w:val="0072010C"/>
    <w:rsid w:val="007201CB"/>
    <w:rsid w:val="00720683"/>
    <w:rsid w:val="0072072A"/>
    <w:rsid w:val="00720B80"/>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B51"/>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294"/>
    <w:rsid w:val="007535ED"/>
    <w:rsid w:val="0075368D"/>
    <w:rsid w:val="00754011"/>
    <w:rsid w:val="00754041"/>
    <w:rsid w:val="007541B1"/>
    <w:rsid w:val="00754295"/>
    <w:rsid w:val="007548BF"/>
    <w:rsid w:val="00754BC8"/>
    <w:rsid w:val="00754DF8"/>
    <w:rsid w:val="007551CD"/>
    <w:rsid w:val="007558AB"/>
    <w:rsid w:val="00755A77"/>
    <w:rsid w:val="00755B99"/>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A8"/>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03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D93"/>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EA7"/>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28D"/>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33"/>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26"/>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1E7"/>
    <w:rsid w:val="007E32D4"/>
    <w:rsid w:val="007E3363"/>
    <w:rsid w:val="007E3B78"/>
    <w:rsid w:val="007E4696"/>
    <w:rsid w:val="007E4E09"/>
    <w:rsid w:val="007E4FF6"/>
    <w:rsid w:val="007E5294"/>
    <w:rsid w:val="007E5377"/>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39"/>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5B2"/>
    <w:rsid w:val="008469EF"/>
    <w:rsid w:val="00847331"/>
    <w:rsid w:val="00847414"/>
    <w:rsid w:val="008479F0"/>
    <w:rsid w:val="00847D2D"/>
    <w:rsid w:val="0085014E"/>
    <w:rsid w:val="0085027B"/>
    <w:rsid w:val="008503DF"/>
    <w:rsid w:val="00850742"/>
    <w:rsid w:val="00850AC1"/>
    <w:rsid w:val="00850B8D"/>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0F"/>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2DC"/>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6E"/>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B49"/>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626"/>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196"/>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045"/>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EE1"/>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2"/>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24"/>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0B7"/>
    <w:rsid w:val="0095793C"/>
    <w:rsid w:val="00957D24"/>
    <w:rsid w:val="00957D43"/>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590"/>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C89"/>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87F06"/>
    <w:rsid w:val="009903D4"/>
    <w:rsid w:val="00990402"/>
    <w:rsid w:val="009908DF"/>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2FC5"/>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34"/>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87E"/>
    <w:rsid w:val="009C393F"/>
    <w:rsid w:val="009C3B76"/>
    <w:rsid w:val="009C3D2A"/>
    <w:rsid w:val="009C3D75"/>
    <w:rsid w:val="009C3E04"/>
    <w:rsid w:val="009C40FB"/>
    <w:rsid w:val="009C41A0"/>
    <w:rsid w:val="009C4474"/>
    <w:rsid w:val="009C4696"/>
    <w:rsid w:val="009C4710"/>
    <w:rsid w:val="009C49A2"/>
    <w:rsid w:val="009C4E78"/>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6CC"/>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98"/>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049"/>
    <w:rsid w:val="00A72533"/>
    <w:rsid w:val="00A72553"/>
    <w:rsid w:val="00A729E7"/>
    <w:rsid w:val="00A72A47"/>
    <w:rsid w:val="00A72AB5"/>
    <w:rsid w:val="00A72B0E"/>
    <w:rsid w:val="00A72BAA"/>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327"/>
    <w:rsid w:val="00A80961"/>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0DE"/>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970B9"/>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97C"/>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906"/>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826"/>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3E5"/>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C6D"/>
    <w:rsid w:val="00AF4FEE"/>
    <w:rsid w:val="00AF54EE"/>
    <w:rsid w:val="00AF561F"/>
    <w:rsid w:val="00AF56EE"/>
    <w:rsid w:val="00AF5E62"/>
    <w:rsid w:val="00AF5F15"/>
    <w:rsid w:val="00AF615A"/>
    <w:rsid w:val="00AF61FE"/>
    <w:rsid w:val="00AF625F"/>
    <w:rsid w:val="00AF67DB"/>
    <w:rsid w:val="00AF684C"/>
    <w:rsid w:val="00AF6A37"/>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82C"/>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200"/>
    <w:rsid w:val="00B16528"/>
    <w:rsid w:val="00B16531"/>
    <w:rsid w:val="00B16541"/>
    <w:rsid w:val="00B1658B"/>
    <w:rsid w:val="00B168D9"/>
    <w:rsid w:val="00B16AAD"/>
    <w:rsid w:val="00B16C59"/>
    <w:rsid w:val="00B17038"/>
    <w:rsid w:val="00B170CF"/>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5C"/>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8E1"/>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B10"/>
    <w:rsid w:val="00B86C55"/>
    <w:rsid w:val="00B86E86"/>
    <w:rsid w:val="00B8717F"/>
    <w:rsid w:val="00B87388"/>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0FC"/>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EAC"/>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BF7FB7"/>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50"/>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19"/>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42F"/>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4F0"/>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BE0"/>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5B5"/>
    <w:rsid w:val="00C806FE"/>
    <w:rsid w:val="00C80724"/>
    <w:rsid w:val="00C81C78"/>
    <w:rsid w:val="00C81E89"/>
    <w:rsid w:val="00C822D4"/>
    <w:rsid w:val="00C823F8"/>
    <w:rsid w:val="00C82656"/>
    <w:rsid w:val="00C8271D"/>
    <w:rsid w:val="00C829D1"/>
    <w:rsid w:val="00C82B9A"/>
    <w:rsid w:val="00C82C1C"/>
    <w:rsid w:val="00C82ECE"/>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30"/>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355"/>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71C"/>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608"/>
    <w:rsid w:val="00CA570C"/>
    <w:rsid w:val="00CA580D"/>
    <w:rsid w:val="00CA5945"/>
    <w:rsid w:val="00CA596E"/>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153"/>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B8F"/>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04E"/>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B8"/>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AE8"/>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6D97"/>
    <w:rsid w:val="00D17056"/>
    <w:rsid w:val="00D171FC"/>
    <w:rsid w:val="00D175CE"/>
    <w:rsid w:val="00D17C61"/>
    <w:rsid w:val="00D20110"/>
    <w:rsid w:val="00D2011F"/>
    <w:rsid w:val="00D20168"/>
    <w:rsid w:val="00D20567"/>
    <w:rsid w:val="00D20D0D"/>
    <w:rsid w:val="00D20E20"/>
    <w:rsid w:val="00D21591"/>
    <w:rsid w:val="00D2183B"/>
    <w:rsid w:val="00D218B7"/>
    <w:rsid w:val="00D21B1C"/>
    <w:rsid w:val="00D21B9C"/>
    <w:rsid w:val="00D2203C"/>
    <w:rsid w:val="00D22216"/>
    <w:rsid w:val="00D22481"/>
    <w:rsid w:val="00D22634"/>
    <w:rsid w:val="00D2273E"/>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3D59"/>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749"/>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6D"/>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18A7"/>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36"/>
    <w:rsid w:val="00DB56A3"/>
    <w:rsid w:val="00DB56CC"/>
    <w:rsid w:val="00DB5708"/>
    <w:rsid w:val="00DB572B"/>
    <w:rsid w:val="00DB573E"/>
    <w:rsid w:val="00DB57A6"/>
    <w:rsid w:val="00DB595A"/>
    <w:rsid w:val="00DB5D21"/>
    <w:rsid w:val="00DB5DFA"/>
    <w:rsid w:val="00DB5FC8"/>
    <w:rsid w:val="00DB61D4"/>
    <w:rsid w:val="00DB65BC"/>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BCA"/>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232"/>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65"/>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69"/>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C9"/>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0CC5"/>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A4A"/>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70"/>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C79"/>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D2"/>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6E"/>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EA5"/>
    <w:rsid w:val="00EC6FA0"/>
    <w:rsid w:val="00EC6FCF"/>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11B"/>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712"/>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027"/>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3CC"/>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638"/>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86C"/>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3B6"/>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7F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AAF"/>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62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383"/>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1B1"/>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4A7"/>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normaltextrun">
    <w:name w:val="normaltextrun"/>
    <w:basedOn w:val="DefaultParagraphFont"/>
    <w:rsid w:val="00AF6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41195066">
      <w:bodyDiv w:val="1"/>
      <w:marLeft w:val="0"/>
      <w:marRight w:val="0"/>
      <w:marTop w:val="0"/>
      <w:marBottom w:val="0"/>
      <w:divBdr>
        <w:top w:val="none" w:sz="0" w:space="0" w:color="auto"/>
        <w:left w:val="none" w:sz="0" w:space="0" w:color="auto"/>
        <w:bottom w:val="none" w:sz="0" w:space="0" w:color="auto"/>
        <w:right w:val="none" w:sz="0" w:space="0" w:color="auto"/>
      </w:divBdr>
      <w:divsChild>
        <w:div w:id="1899048640">
          <w:marLeft w:val="821"/>
          <w:marRight w:val="0"/>
          <w:marTop w:val="8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56343135">
      <w:bodyDiv w:val="1"/>
      <w:marLeft w:val="0"/>
      <w:marRight w:val="0"/>
      <w:marTop w:val="0"/>
      <w:marBottom w:val="0"/>
      <w:divBdr>
        <w:top w:val="none" w:sz="0" w:space="0" w:color="auto"/>
        <w:left w:val="none" w:sz="0" w:space="0" w:color="auto"/>
        <w:bottom w:val="none" w:sz="0" w:space="0" w:color="auto"/>
        <w:right w:val="none" w:sz="0" w:space="0" w:color="auto"/>
      </w:divBdr>
      <w:divsChild>
        <w:div w:id="1415008845">
          <w:marLeft w:val="821"/>
          <w:marRight w:val="0"/>
          <w:marTop w:val="80"/>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1BB29-16C0-47D8-98F9-F4F5B86A2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1399</Words>
  <Characters>7976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12</cp:revision>
  <cp:lastPrinted>2021-07-30T07:31:00Z</cp:lastPrinted>
  <dcterms:created xsi:type="dcterms:W3CDTF">2023-02-17T02:34:00Z</dcterms:created>
  <dcterms:modified xsi:type="dcterms:W3CDTF">2023-02-17T16:56:00Z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