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6F2EE" w14:textId="0FF4BBFB" w:rsidR="00F85266" w:rsidRPr="00FF60EA" w:rsidRDefault="00F85266" w:rsidP="00F85266">
      <w:pPr>
        <w:adjustRightInd w:val="0"/>
        <w:snapToGrid w:val="0"/>
        <w:spacing w:after="120"/>
        <w:rPr>
          <w:rFonts w:ascii="Arial" w:hAnsi="Arial" w:cs="Arial"/>
          <w:b/>
          <w:bCs/>
          <w:sz w:val="24"/>
          <w:szCs w:val="24"/>
        </w:rPr>
      </w:pPr>
      <w:r w:rsidRPr="00FF60EA">
        <w:rPr>
          <w:rFonts w:ascii="Arial" w:eastAsia="宋体" w:hAnsi="Arial" w:cs="Arial"/>
          <w:b/>
          <w:bCs/>
          <w:sz w:val="24"/>
          <w:szCs w:val="24"/>
          <w:lang w:val="en-GB"/>
        </w:rPr>
        <w:t xml:space="preserve">3GPP TSG RAN WG1 </w:t>
      </w:r>
      <w:r w:rsidRPr="00FF60EA">
        <w:rPr>
          <w:rFonts w:ascii="Arial" w:hAnsi="Arial" w:cs="Arial" w:hint="eastAsia"/>
          <w:b/>
          <w:bCs/>
          <w:sz w:val="24"/>
          <w:szCs w:val="24"/>
        </w:rPr>
        <w:t>#</w:t>
      </w:r>
      <w:r w:rsidRPr="00FF60EA">
        <w:rPr>
          <w:rFonts w:ascii="Arial" w:hAnsi="Arial" w:cs="Arial"/>
          <w:b/>
          <w:bCs/>
          <w:sz w:val="24"/>
          <w:szCs w:val="24"/>
        </w:rPr>
        <w:t>11</w:t>
      </w:r>
      <w:r w:rsidR="00095686">
        <w:rPr>
          <w:rFonts w:ascii="Arial" w:hAnsi="Arial" w:cs="Arial"/>
          <w:b/>
          <w:bCs/>
          <w:sz w:val="24"/>
          <w:szCs w:val="24"/>
        </w:rPr>
        <w:t>2</w:t>
      </w:r>
      <w:r>
        <w:rPr>
          <w:rFonts w:ascii="Arial" w:hAnsi="Arial" w:cs="Arial"/>
          <w:b/>
          <w:bCs/>
          <w:sz w:val="24"/>
          <w:szCs w:val="24"/>
        </w:rPr>
        <w:t xml:space="preserve">                                 </w:t>
      </w:r>
      <w:r w:rsidRPr="00FF60EA">
        <w:rPr>
          <w:rFonts w:ascii="Arial" w:hAnsi="Arial" w:cs="Arial"/>
          <w:b/>
          <w:bCs/>
          <w:sz w:val="24"/>
          <w:szCs w:val="24"/>
        </w:rPr>
        <w:t>R1-</w:t>
      </w:r>
      <w:r w:rsidR="00095686" w:rsidRPr="00095686">
        <w:t xml:space="preserve"> </w:t>
      </w:r>
      <w:r w:rsidR="00095686" w:rsidRPr="00095686">
        <w:rPr>
          <w:rFonts w:ascii="Arial" w:hAnsi="Arial" w:cs="Arial"/>
          <w:b/>
          <w:bCs/>
          <w:sz w:val="24"/>
          <w:szCs w:val="24"/>
        </w:rPr>
        <w:t>2300600</w:t>
      </w:r>
    </w:p>
    <w:p w14:paraId="210293C4" w14:textId="35BE5B01" w:rsidR="00F85266" w:rsidRPr="00FF60EA" w:rsidRDefault="004356DD" w:rsidP="00F85266">
      <w:pPr>
        <w:adjustRightInd w:val="0"/>
        <w:snapToGrid w:val="0"/>
        <w:spacing w:after="120"/>
        <w:rPr>
          <w:rFonts w:ascii="Arial" w:hAnsi="Arial" w:cs="Arial"/>
          <w:b/>
          <w:bCs/>
          <w:sz w:val="24"/>
          <w:szCs w:val="24"/>
        </w:rPr>
      </w:pPr>
      <w:r w:rsidRPr="004356DD">
        <w:rPr>
          <w:rFonts w:ascii="Arial" w:hAnsi="Arial" w:cs="Arial"/>
          <w:b/>
          <w:bCs/>
          <w:sz w:val="24"/>
          <w:szCs w:val="24"/>
        </w:rPr>
        <w:t>Athens, Greece, February 27th – March 3rd 2023</w:t>
      </w:r>
    </w:p>
    <w:p w14:paraId="7AEB910E" w14:textId="77777777" w:rsidR="00F85266" w:rsidRPr="00891183" w:rsidRDefault="00F85266" w:rsidP="00F85266">
      <w:pPr>
        <w:adjustRightInd w:val="0"/>
        <w:snapToGrid w:val="0"/>
        <w:spacing w:after="120"/>
        <w:rPr>
          <w:rFonts w:ascii="Arial" w:hAnsi="Arial" w:cs="Arial"/>
          <w:b/>
          <w:bCs/>
          <w:sz w:val="24"/>
          <w:szCs w:val="24"/>
        </w:rPr>
      </w:pPr>
    </w:p>
    <w:p w14:paraId="3A28B189" w14:textId="77777777" w:rsidR="00F85266" w:rsidRPr="00FF60EA" w:rsidRDefault="00F85266" w:rsidP="00F85266">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Pr="00FF60EA">
        <w:rPr>
          <w:rFonts w:ascii="Arial" w:hAnsi="Arial" w:cs="Arial"/>
          <w:b/>
          <w:bCs/>
          <w:sz w:val="24"/>
          <w:szCs w:val="24"/>
        </w:rPr>
        <w:t>.1.1</w:t>
      </w:r>
      <w:r>
        <w:rPr>
          <w:rFonts w:ascii="Arial" w:hAnsi="Arial" w:cs="Arial"/>
          <w:b/>
          <w:bCs/>
          <w:sz w:val="24"/>
          <w:szCs w:val="24"/>
        </w:rPr>
        <w:t>.1</w:t>
      </w:r>
    </w:p>
    <w:p w14:paraId="462F9A87" w14:textId="77777777" w:rsidR="00F85266" w:rsidRPr="00FF60EA" w:rsidRDefault="00F85266" w:rsidP="00F85266">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Pr="00FF60EA">
        <w:rPr>
          <w:rFonts w:ascii="Arial" w:hAnsi="Arial" w:cs="Arial"/>
          <w:b/>
          <w:sz w:val="24"/>
          <w:szCs w:val="24"/>
        </w:rPr>
        <w:t>TCL Communication Ltd.</w:t>
      </w:r>
    </w:p>
    <w:p w14:paraId="2B480B01" w14:textId="77777777" w:rsidR="00F85266" w:rsidRPr="00FF60EA" w:rsidRDefault="00F85266" w:rsidP="00F85266">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Discussion on unified TCI framework extension for multi-TRP operation</w:t>
      </w:r>
    </w:p>
    <w:p w14:paraId="05DAF6AA" w14:textId="77777777" w:rsidR="00F85266" w:rsidRPr="00FF60EA" w:rsidRDefault="00F85266" w:rsidP="00F85266">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26546BE" wp14:editId="4257CC1A">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3B6105"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3C358E4E"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1 Introduction</w:t>
      </w:r>
    </w:p>
    <w:p w14:paraId="6DA1292A"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During RAN#94-e meeting, the Rel-18 WID of MIMO evolution for DL and UL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85266" w:rsidRPr="0076060E" w14:paraId="780F394B" w14:textId="77777777" w:rsidTr="00BA2DE5">
        <w:tc>
          <w:tcPr>
            <w:tcW w:w="9576" w:type="dxa"/>
          </w:tcPr>
          <w:p w14:paraId="5AB52080" w14:textId="77777777" w:rsidR="00F85266" w:rsidRPr="0076060E" w:rsidRDefault="00F85266" w:rsidP="00F85266">
            <w:pPr>
              <w:widowControl/>
              <w:numPr>
                <w:ilvl w:val="0"/>
                <w:numId w:val="11"/>
              </w:numPr>
              <w:overflowPunct w:val="0"/>
              <w:autoSpaceDE w:val="0"/>
              <w:autoSpaceDN w:val="0"/>
              <w:adjustRightInd w:val="0"/>
              <w:snapToGrid w:val="0"/>
              <w:spacing w:beforeLines="50" w:before="156"/>
              <w:textAlignment w:val="baseline"/>
              <w:rPr>
                <w:bCs/>
                <w:highlight w:val="yellow"/>
              </w:rPr>
            </w:pPr>
            <w:r w:rsidRPr="0076060E">
              <w:rPr>
                <w:bCs/>
                <w:highlight w:val="yellow"/>
              </w:rPr>
              <w:t>Specify extension of Rel-17 Unified TCI framework for indication of multiple DL and UL TCI states focusing on multi-TRP use case, using Rel-17 unified TCI framework.</w:t>
            </w:r>
          </w:p>
          <w:p w14:paraId="71ACAC3C"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8585C8E" w14:textId="77777777" w:rsidR="00F85266" w:rsidRPr="0076060E" w:rsidRDefault="00F85266" w:rsidP="00F85266">
            <w:pPr>
              <w:widowControl/>
              <w:numPr>
                <w:ilvl w:val="1"/>
                <w:numId w:val="12"/>
              </w:numPr>
              <w:overflowPunct w:val="0"/>
              <w:autoSpaceDE w:val="0"/>
              <w:autoSpaceDN w:val="0"/>
              <w:adjustRightInd w:val="0"/>
              <w:snapToGrid w:val="0"/>
              <w:spacing w:beforeLines="50" w:before="156"/>
              <w:textAlignment w:val="baseline"/>
              <w:rPr>
                <w:bCs/>
              </w:rPr>
            </w:pPr>
            <w:r w:rsidRPr="0076060E">
              <w:rPr>
                <w:bCs/>
              </w:rPr>
              <w:t>UL precoding indication for PUSCH, where no new codebook is introduced for multi-panel simultaneous transmission</w:t>
            </w:r>
          </w:p>
          <w:p w14:paraId="40E376A6" w14:textId="77777777" w:rsidR="00F85266" w:rsidRPr="0076060E" w:rsidRDefault="00F85266" w:rsidP="00F85266">
            <w:pPr>
              <w:widowControl/>
              <w:numPr>
                <w:ilvl w:val="2"/>
                <w:numId w:val="14"/>
              </w:numPr>
              <w:tabs>
                <w:tab w:val="left" w:pos="1418"/>
              </w:tabs>
              <w:overflowPunct w:val="0"/>
              <w:autoSpaceDE w:val="0"/>
              <w:autoSpaceDN w:val="0"/>
              <w:adjustRightInd w:val="0"/>
              <w:snapToGrid w:val="0"/>
              <w:spacing w:beforeLines="50" w:before="156"/>
              <w:textAlignment w:val="baseline"/>
              <w:rPr>
                <w:bCs/>
              </w:rPr>
            </w:pPr>
            <w:r w:rsidRPr="0076060E">
              <w:rPr>
                <w:bCs/>
              </w:rPr>
              <w:t>The total number of layers is up to four across all panels and total number of codewords is up to two across all panels, considering single DCI and multi-DCI based multi-TRP operation.</w:t>
            </w:r>
          </w:p>
          <w:p w14:paraId="714B8795" w14:textId="77777777" w:rsidR="00F85266" w:rsidRPr="0076060E" w:rsidRDefault="00F85266" w:rsidP="00F85266">
            <w:pPr>
              <w:widowControl/>
              <w:numPr>
                <w:ilvl w:val="1"/>
                <w:numId w:val="13"/>
              </w:numPr>
              <w:overflowPunct w:val="0"/>
              <w:autoSpaceDE w:val="0"/>
              <w:autoSpaceDN w:val="0"/>
              <w:adjustRightInd w:val="0"/>
              <w:snapToGrid w:val="0"/>
              <w:spacing w:beforeLines="50" w:before="156"/>
              <w:textAlignment w:val="baseline"/>
              <w:rPr>
                <w:bCs/>
              </w:rPr>
            </w:pPr>
            <w:r w:rsidRPr="0076060E">
              <w:rPr>
                <w:bCs/>
              </w:rPr>
              <w:t xml:space="preserve">UL beam indication for PUCCH/PUSCH, </w:t>
            </w:r>
            <w:r w:rsidRPr="0076060E">
              <w:rPr>
                <w:bCs/>
                <w:highlight w:val="yellow"/>
              </w:rPr>
              <w:t>where unified TCI framework extension in objective 2 is assumed</w:t>
            </w:r>
            <w:r w:rsidRPr="0076060E">
              <w:rPr>
                <w:bCs/>
              </w:rPr>
              <w:t>, considering single DCI and multi-DCI based multi-TRP operation</w:t>
            </w:r>
          </w:p>
          <w:p w14:paraId="799D51B1" w14:textId="77777777" w:rsidR="00F85266" w:rsidRPr="0076060E" w:rsidRDefault="00F85266" w:rsidP="00F85266">
            <w:pPr>
              <w:widowControl/>
              <w:numPr>
                <w:ilvl w:val="2"/>
                <w:numId w:val="15"/>
              </w:numPr>
              <w:overflowPunct w:val="0"/>
              <w:autoSpaceDE w:val="0"/>
              <w:autoSpaceDN w:val="0"/>
              <w:adjustRightInd w:val="0"/>
              <w:snapToGrid w:val="0"/>
              <w:spacing w:beforeLines="50" w:before="156"/>
              <w:textAlignment w:val="baseline"/>
              <w:rPr>
                <w:bCs/>
              </w:rPr>
            </w:pPr>
            <w:r w:rsidRPr="0076060E">
              <w:rPr>
                <w:bCs/>
              </w:rPr>
              <w:t>For the case of multi-DCI based multi-TRP operation, only PUSCH+PUSCH, or PUCCH+PUCCH is transmitted across two panels in a same CC.</w:t>
            </w:r>
          </w:p>
          <w:p w14:paraId="2353E92A"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 xml:space="preserve">Study, and if justified, specify the following </w:t>
            </w:r>
          </w:p>
          <w:p w14:paraId="6524BF74"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Two TAs for UL multi-DCI for multi-TRP operation </w:t>
            </w:r>
          </w:p>
          <w:p w14:paraId="4DD1C51E"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Power control for UL single DCI for multi-TRP operation </w:t>
            </w:r>
            <w:r w:rsidRPr="0076060E">
              <w:rPr>
                <w:bCs/>
                <w:highlight w:val="yellow"/>
              </w:rPr>
              <w:t>where unified TCI framework extension in objective 2 is assumed</w:t>
            </w:r>
            <w:r w:rsidRPr="0076060E">
              <w:rPr>
                <w:bCs/>
              </w:rPr>
              <w:t>.</w:t>
            </w:r>
          </w:p>
          <w:p w14:paraId="0383F308" w14:textId="77777777" w:rsidR="00F85266" w:rsidRPr="0076060E" w:rsidRDefault="00F85266" w:rsidP="00BA2DE5">
            <w:pPr>
              <w:snapToGrid w:val="0"/>
              <w:spacing w:beforeLines="50" w:before="156"/>
              <w:ind w:left="840"/>
              <w:rPr>
                <w:bCs/>
              </w:rPr>
            </w:pPr>
            <w:r w:rsidRPr="0076060E">
              <w:rPr>
                <w:bCs/>
              </w:rPr>
              <w:t>For the case of simultaneous UL transmission from multiple panels, the operation will only be limited to the objective 6 scenarios.</w:t>
            </w:r>
          </w:p>
        </w:tc>
      </w:tr>
    </w:tbl>
    <w:p w14:paraId="7B15E5B5"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our opinions on unified TCI framework extension for multi-TRP operation are presented.</w:t>
      </w:r>
    </w:p>
    <w:p w14:paraId="121A4D83"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lastRenderedPageBreak/>
        <w:t xml:space="preserve">2 </w:t>
      </w:r>
      <w:r>
        <w:rPr>
          <w:rFonts w:ascii="Times New Roman" w:hAnsi="Times New Roman" w:cs="Times New Roman"/>
          <w:sz w:val="36"/>
        </w:rPr>
        <w:t>Discussion</w:t>
      </w:r>
    </w:p>
    <w:p w14:paraId="161C5EB4" w14:textId="092B7F88" w:rsidR="00F85266" w:rsidRDefault="00F85266" w:rsidP="00F85266">
      <w:pPr>
        <w:pStyle w:val="2"/>
      </w:pPr>
      <w:r w:rsidRPr="00A14461">
        <w:t xml:space="preserve">2.1 </w:t>
      </w:r>
      <w:r>
        <w:t>TCI state indication</w:t>
      </w:r>
    </w:p>
    <w:p w14:paraId="6A14F4A2" w14:textId="43CEAAE1" w:rsidR="00EB1E4E" w:rsidRPr="003E6C12" w:rsidRDefault="00EB1E4E" w:rsidP="00EB1E4E">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TCI state indication </w:t>
      </w:r>
      <w:r>
        <w:rPr>
          <w:rFonts w:ascii="Times New Roman" w:eastAsia="宋体" w:hAnsi="Times New Roman" w:cs="Times New Roman"/>
          <w:kern w:val="0"/>
          <w:sz w:val="20"/>
          <w:szCs w:val="20"/>
          <w:lang w:eastAsia="ko-KR"/>
        </w:rPr>
        <w:t>was made in RAN1#111 meeting:</w:t>
      </w:r>
    </w:p>
    <w:tbl>
      <w:tblPr>
        <w:tblStyle w:val="a7"/>
        <w:tblW w:w="0" w:type="auto"/>
        <w:tblLook w:val="04A0" w:firstRow="1" w:lastRow="0" w:firstColumn="1" w:lastColumn="0" w:noHBand="0" w:noVBand="1"/>
      </w:tblPr>
      <w:tblGrid>
        <w:gridCol w:w="8296"/>
      </w:tblGrid>
      <w:tr w:rsidR="00EB1E4E" w:rsidRPr="00E761C2" w14:paraId="05D18674" w14:textId="77777777" w:rsidTr="00211D1D">
        <w:tc>
          <w:tcPr>
            <w:tcW w:w="8296" w:type="dxa"/>
          </w:tcPr>
          <w:p w14:paraId="573846FE" w14:textId="77777777" w:rsidR="00EB1E4E" w:rsidRPr="00896145" w:rsidRDefault="00EB1E4E" w:rsidP="00EB1E4E">
            <w:pPr>
              <w:widowControl/>
              <w:rPr>
                <w:rFonts w:ascii="Times" w:eastAsia="Batang" w:hAnsi="Times" w:cs="Times"/>
                <w:color w:val="000000"/>
                <w:highlight w:val="green"/>
                <w:lang w:val="en-GB" w:eastAsia="en-US"/>
              </w:rPr>
            </w:pPr>
            <w:r w:rsidRPr="00896145">
              <w:rPr>
                <w:rFonts w:ascii="Times" w:eastAsia="Batang" w:hAnsi="Times" w:cs="Times"/>
                <w:color w:val="000000"/>
                <w:highlight w:val="green"/>
                <w:lang w:val="en-GB" w:eastAsia="en-US"/>
              </w:rPr>
              <w:t>Agreement</w:t>
            </w:r>
          </w:p>
          <w:p w14:paraId="25086501" w14:textId="77777777" w:rsidR="00EB1E4E" w:rsidRPr="005B2A0E" w:rsidRDefault="00EB1E4E" w:rsidP="00EB1E4E">
            <w:pPr>
              <w:widowControl/>
              <w:rPr>
                <w:rFonts w:ascii="Times" w:eastAsia="Batang" w:hAnsi="Times" w:cs="Times"/>
                <w:lang w:val="en-GB" w:eastAsia="en-US"/>
              </w:rPr>
            </w:pPr>
            <w:r w:rsidRPr="00896145">
              <w:rPr>
                <w:rFonts w:ascii="Times" w:eastAsia="Batang" w:hAnsi="Times" w:cs="Times"/>
                <w:lang w:val="en-GB" w:eastAsia="en-US"/>
              </w:rPr>
              <w:t xml:space="preserve">On unified TCI framework extension for </w:t>
            </w:r>
            <w:r w:rsidRPr="005B2A0E">
              <w:rPr>
                <w:rFonts w:ascii="Times" w:eastAsia="Batang" w:hAnsi="Times" w:cs="Times"/>
                <w:lang w:val="en-GB" w:eastAsia="en-US"/>
              </w:rPr>
              <w:t>S-DCI based MTRP, a DCI field in DCI format 1_1/1_2 that schedules/activates PDSCH reception is used to determine which one or both of the indicated joint/DL TCI states shall be applied to the scheduled/activated PDSCH reception</w:t>
            </w:r>
          </w:p>
          <w:p w14:paraId="4E178BF6" w14:textId="77777777" w:rsidR="00EB1E4E" w:rsidRPr="005B2A0E" w:rsidRDefault="00EB1E4E" w:rsidP="00EB1E4E">
            <w:pPr>
              <w:widowControl/>
              <w:numPr>
                <w:ilvl w:val="0"/>
                <w:numId w:val="20"/>
              </w:numPr>
              <w:tabs>
                <w:tab w:val="left" w:pos="360"/>
              </w:tabs>
              <w:spacing w:line="252" w:lineRule="auto"/>
              <w:contextualSpacing/>
              <w:jc w:val="left"/>
              <w:rPr>
                <w:rFonts w:ascii="Times" w:eastAsia="Batang" w:hAnsi="Times" w:cs="Times"/>
                <w:color w:val="000000"/>
                <w:lang w:val="en-GB" w:eastAsia="en-US"/>
              </w:rPr>
            </w:pPr>
            <w:r w:rsidRPr="005B2A0E">
              <w:rPr>
                <w:rFonts w:ascii="Times" w:eastAsia="Batang" w:hAnsi="Times" w:cs="Times"/>
                <w:color w:val="000000"/>
                <w:lang w:val="en-GB" w:eastAsia="en-US"/>
              </w:rPr>
              <w:t>The presence of the DCI field is configurable by RRC; when the DCI field is not present in DCI format 1_1/1_2, the UE shall apply the default indicated joint/DL TCI state(s) to PDSCH reception</w:t>
            </w:r>
          </w:p>
          <w:p w14:paraId="786149D6" w14:textId="77777777" w:rsidR="00EB1E4E" w:rsidRPr="005B2A0E" w:rsidRDefault="00EB1E4E" w:rsidP="00EB1E4E">
            <w:pPr>
              <w:widowControl/>
              <w:numPr>
                <w:ilvl w:val="1"/>
                <w:numId w:val="20"/>
              </w:numPr>
              <w:spacing w:line="252" w:lineRule="auto"/>
              <w:contextualSpacing/>
              <w:jc w:val="left"/>
              <w:rPr>
                <w:rFonts w:ascii="Times" w:eastAsia="Batang" w:hAnsi="Times" w:cs="Times"/>
                <w:color w:val="000000"/>
                <w:lang w:val="en-GB" w:eastAsia="en-US"/>
              </w:rPr>
            </w:pPr>
            <w:r w:rsidRPr="005B2A0E">
              <w:rPr>
                <w:rFonts w:ascii="Times" w:eastAsia="Batang" w:hAnsi="Times" w:cs="Times"/>
                <w:color w:val="000000"/>
                <w:lang w:val="en-GB" w:eastAsia="en-US"/>
              </w:rPr>
              <w:t>FFS: Details on the default indicated joint/DL TCI state(s) to PDSCH reception</w:t>
            </w:r>
          </w:p>
          <w:p w14:paraId="475A7F0B" w14:textId="77777777" w:rsidR="00EB1E4E" w:rsidRPr="005B2A0E" w:rsidRDefault="00EB1E4E" w:rsidP="00EB1E4E">
            <w:pPr>
              <w:widowControl/>
              <w:numPr>
                <w:ilvl w:val="0"/>
                <w:numId w:val="20"/>
              </w:numPr>
              <w:tabs>
                <w:tab w:val="left" w:pos="360"/>
              </w:tabs>
              <w:spacing w:line="252" w:lineRule="auto"/>
              <w:contextualSpacing/>
              <w:jc w:val="left"/>
              <w:rPr>
                <w:rFonts w:ascii="Times" w:eastAsia="Batang" w:hAnsi="Times" w:cs="Times"/>
                <w:color w:val="000000"/>
                <w:lang w:val="en-GB" w:eastAsia="en-US"/>
              </w:rPr>
            </w:pPr>
            <w:r w:rsidRPr="005B2A0E">
              <w:rPr>
                <w:rFonts w:ascii="Times" w:eastAsia="Batang" w:hAnsi="Times" w:cs="Times"/>
                <w:color w:val="000000"/>
                <w:lang w:val="en-GB" w:eastAsia="en-US"/>
              </w:rPr>
              <w:t>FFS: The DCI field is a new indicator field or an existing field (e.g., the existing TCI field)</w:t>
            </w:r>
          </w:p>
          <w:p w14:paraId="75C89CD7" w14:textId="77777777" w:rsidR="00EB1E4E" w:rsidRPr="00896145" w:rsidRDefault="00EB1E4E" w:rsidP="00EB1E4E">
            <w:pPr>
              <w:widowControl/>
              <w:numPr>
                <w:ilvl w:val="0"/>
                <w:numId w:val="20"/>
              </w:numPr>
              <w:spacing w:line="252" w:lineRule="auto"/>
              <w:contextualSpacing/>
              <w:jc w:val="left"/>
              <w:rPr>
                <w:rFonts w:ascii="Times" w:eastAsia="Batang" w:hAnsi="Times" w:cs="Times"/>
                <w:color w:val="000000"/>
                <w:lang w:val="en-GB" w:eastAsia="en-US"/>
              </w:rPr>
            </w:pPr>
            <w:r w:rsidRPr="005B2A0E">
              <w:rPr>
                <w:rFonts w:ascii="Times" w:eastAsia="Batang" w:hAnsi="Times" w:cs="Times"/>
                <w:color w:val="000000"/>
                <w:lang w:val="en-GB" w:eastAsia="en-US"/>
              </w:rPr>
              <w:t>FFS: Regardless the DCI field is present or not present, how to apply the indicated joint/DL TCI state(s) to PDSCH reception if the offset between the reception of the DCI format 1_1/1_2 and the corresponding PDSCH reception is less than a</w:t>
            </w:r>
            <w:r w:rsidRPr="00896145">
              <w:rPr>
                <w:rFonts w:ascii="Times" w:eastAsia="Batang" w:hAnsi="Times" w:cs="Times"/>
                <w:color w:val="000000"/>
                <w:lang w:val="en-GB" w:eastAsia="en-US"/>
              </w:rPr>
              <w:t xml:space="preserve"> threshold </w:t>
            </w:r>
          </w:p>
          <w:p w14:paraId="2C35C7C3" w14:textId="77777777" w:rsidR="00EB1E4E" w:rsidRPr="00896145" w:rsidRDefault="00EB1E4E" w:rsidP="00EB1E4E">
            <w:pPr>
              <w:widowControl/>
              <w:tabs>
                <w:tab w:val="left" w:pos="360"/>
              </w:tabs>
              <w:spacing w:line="252" w:lineRule="auto"/>
              <w:contextualSpacing/>
              <w:jc w:val="left"/>
              <w:rPr>
                <w:rFonts w:ascii="Times" w:eastAsia="Batang" w:hAnsi="Times" w:cs="Times"/>
                <w:color w:val="000000"/>
                <w:lang w:val="en-GB" w:eastAsia="en-US"/>
              </w:rPr>
            </w:pPr>
            <w:r w:rsidRPr="00896145">
              <w:rPr>
                <w:rFonts w:ascii="Times" w:eastAsia="Batang" w:hAnsi="Times" w:cs="Times"/>
                <w:color w:val="000000"/>
                <w:lang w:val="en-GB" w:eastAsia="en-US"/>
              </w:rPr>
              <w:t>FFS: How to apply the indicated joint/DL TCI state(s) to PDSCH reception scheduled/activated by DCI format 1_0.</w:t>
            </w:r>
          </w:p>
          <w:p w14:paraId="263D4DCC" w14:textId="77777777" w:rsidR="00EB1E4E" w:rsidRPr="00896145" w:rsidRDefault="00EB1E4E" w:rsidP="00EB1E4E">
            <w:pPr>
              <w:widowControl/>
              <w:jc w:val="left"/>
              <w:rPr>
                <w:rFonts w:ascii="Times" w:eastAsia="Batang" w:hAnsi="Times" w:cs="Times"/>
                <w:iCs/>
                <w:lang w:val="en-GB" w:eastAsia="en-US"/>
              </w:rPr>
            </w:pPr>
            <w:r w:rsidRPr="00896145">
              <w:rPr>
                <w:rFonts w:ascii="Times" w:eastAsia="Batang" w:hAnsi="Times" w:cs="Times"/>
                <w:iCs/>
                <w:lang w:val="en-GB" w:eastAsia="en-US"/>
              </w:rPr>
              <w:t>Above applies for the case where PDSCHs scheduled by the same DCI.</w:t>
            </w:r>
          </w:p>
          <w:p w14:paraId="32DB0BDE" w14:textId="77777777" w:rsidR="00EB1E4E" w:rsidRDefault="00EB1E4E" w:rsidP="00EB1E4E">
            <w:pPr>
              <w:widowControl/>
              <w:jc w:val="left"/>
              <w:rPr>
                <w:rFonts w:eastAsia="Times New Roman"/>
                <w:lang w:val="en-GB" w:eastAsia="en-US"/>
              </w:rPr>
            </w:pPr>
          </w:p>
          <w:p w14:paraId="0F5B15F3" w14:textId="77777777" w:rsidR="005B2A0E" w:rsidRPr="005B2A0E" w:rsidRDefault="005B2A0E" w:rsidP="005B2A0E">
            <w:pPr>
              <w:widowControl/>
              <w:rPr>
                <w:rFonts w:ascii="Times" w:eastAsia="Batang" w:hAnsi="Times" w:cs="Times"/>
                <w:color w:val="000000"/>
                <w:highlight w:val="green"/>
                <w:lang w:val="en-GB" w:eastAsia="en-US"/>
              </w:rPr>
            </w:pPr>
            <w:r w:rsidRPr="005B2A0E">
              <w:rPr>
                <w:rFonts w:ascii="Times" w:eastAsia="Batang" w:hAnsi="Times" w:cs="Times"/>
                <w:color w:val="000000"/>
                <w:highlight w:val="green"/>
                <w:lang w:val="en-GB" w:eastAsia="en-US"/>
              </w:rPr>
              <w:t>Agreement</w:t>
            </w:r>
          </w:p>
          <w:p w14:paraId="3465BC95" w14:textId="77777777" w:rsidR="005B2A0E" w:rsidRPr="005B2A0E" w:rsidRDefault="005B2A0E" w:rsidP="005B2A0E">
            <w:pPr>
              <w:widowControl/>
              <w:rPr>
                <w:rFonts w:ascii="Times" w:eastAsia="Batang" w:hAnsi="Times" w:cs="Times"/>
                <w:color w:val="000000"/>
                <w:lang w:val="en-GB" w:eastAsia="en-US"/>
              </w:rPr>
            </w:pPr>
            <w:r w:rsidRPr="005B2A0E">
              <w:rPr>
                <w:rFonts w:ascii="Times" w:eastAsia="Batang" w:hAnsi="Times" w:cs="Times"/>
                <w:color w:val="000000"/>
                <w:lang w:val="en-GB" w:eastAsia="en-US"/>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3E006789" w14:textId="77777777" w:rsidR="005B2A0E" w:rsidRPr="005B2A0E" w:rsidRDefault="005B2A0E" w:rsidP="005B2A0E">
            <w:pPr>
              <w:widowControl/>
              <w:numPr>
                <w:ilvl w:val="0"/>
                <w:numId w:val="21"/>
              </w:numPr>
              <w:overflowPunct w:val="0"/>
              <w:autoSpaceDE w:val="0"/>
              <w:autoSpaceDN w:val="0"/>
              <w:adjustRightInd w:val="0"/>
              <w:spacing w:after="180"/>
              <w:contextualSpacing/>
              <w:jc w:val="left"/>
              <w:textAlignment w:val="baseline"/>
              <w:rPr>
                <w:lang w:val="en-GB" w:eastAsia="ja-JP"/>
              </w:rPr>
            </w:pPr>
            <w:r w:rsidRPr="005B2A0E">
              <w:rPr>
                <w:lang w:val="en-GB" w:eastAsia="ja-JP"/>
              </w:rPr>
              <w:t>FFS: Increase on the size of the TCI field</w:t>
            </w:r>
          </w:p>
          <w:p w14:paraId="3090D095" w14:textId="77777777" w:rsidR="005B2A0E" w:rsidRPr="005B2A0E" w:rsidRDefault="005B2A0E" w:rsidP="005B2A0E">
            <w:pPr>
              <w:widowControl/>
              <w:numPr>
                <w:ilvl w:val="0"/>
                <w:numId w:val="21"/>
              </w:numPr>
              <w:overflowPunct w:val="0"/>
              <w:autoSpaceDE w:val="0"/>
              <w:autoSpaceDN w:val="0"/>
              <w:adjustRightInd w:val="0"/>
              <w:spacing w:after="180"/>
              <w:contextualSpacing/>
              <w:jc w:val="left"/>
              <w:textAlignment w:val="baseline"/>
              <w:rPr>
                <w:lang w:val="en-GB" w:eastAsia="ja-JP"/>
              </w:rPr>
            </w:pPr>
            <w:r w:rsidRPr="005B2A0E">
              <w:rPr>
                <w:lang w:val="en-GB" w:eastAsia="ja-JP"/>
              </w:rPr>
              <w:t>Note: The term TRP is used only for discussion purpose in RAN1 and whether/how to capture this is FFS</w:t>
            </w:r>
          </w:p>
          <w:p w14:paraId="69AAB49D" w14:textId="77777777" w:rsidR="005B2A0E" w:rsidRDefault="005B2A0E" w:rsidP="00EB1E4E">
            <w:pPr>
              <w:widowControl/>
              <w:jc w:val="left"/>
              <w:rPr>
                <w:rFonts w:eastAsia="Times New Roman"/>
                <w:lang w:val="en-GB" w:eastAsia="en-US"/>
              </w:rPr>
            </w:pPr>
          </w:p>
          <w:p w14:paraId="54DFCB78" w14:textId="77777777" w:rsidR="005B2A0E" w:rsidRPr="005B2A0E" w:rsidRDefault="005B2A0E" w:rsidP="005B2A0E">
            <w:pPr>
              <w:widowControl/>
              <w:jc w:val="left"/>
              <w:rPr>
                <w:rFonts w:eastAsia="Batang"/>
                <w:lang w:val="en-GB" w:eastAsia="en-US"/>
              </w:rPr>
            </w:pPr>
            <w:r w:rsidRPr="005B2A0E">
              <w:rPr>
                <w:rFonts w:eastAsia="Batang"/>
                <w:highlight w:val="green"/>
                <w:lang w:val="en-GB" w:eastAsia="en-US"/>
              </w:rPr>
              <w:t>Agreement</w:t>
            </w:r>
            <w:r w:rsidRPr="005B2A0E">
              <w:rPr>
                <w:rFonts w:eastAsia="Batang"/>
                <w:lang w:val="en-GB" w:eastAsia="en-US"/>
              </w:rPr>
              <w:t xml:space="preserve"> (modified as shown in Nov17th session)</w:t>
            </w:r>
          </w:p>
          <w:p w14:paraId="288D8BAB" w14:textId="77777777" w:rsidR="005B2A0E" w:rsidRPr="005B2A0E" w:rsidRDefault="005B2A0E" w:rsidP="005B2A0E">
            <w:pPr>
              <w:widowControl/>
              <w:jc w:val="left"/>
              <w:rPr>
                <w:rFonts w:eastAsia="Batang"/>
                <w:lang w:val="en-GB" w:eastAsia="en-US"/>
              </w:rPr>
            </w:pPr>
            <w:r w:rsidRPr="005B2A0E">
              <w:rPr>
                <w:rFonts w:eastAsia="Batang"/>
                <w:color w:val="FF0000"/>
                <w:lang w:val="en-GB" w:eastAsia="en-US"/>
              </w:rPr>
              <w:t>On unified TCI framework extension for S-DCI based MTRP, use</w:t>
            </w:r>
            <w:r w:rsidRPr="005B2A0E">
              <w:rPr>
                <w:rFonts w:eastAsia="Batang"/>
                <w:lang w:val="en-GB" w:eastAsia="en-US"/>
              </w:rPr>
              <w:t xml:space="preserve"> </w:t>
            </w:r>
            <w:r w:rsidRPr="005B2A0E">
              <w:rPr>
                <w:rFonts w:eastAsia="Batang"/>
                <w:strike/>
                <w:lang w:val="en-GB" w:eastAsia="en-US"/>
              </w:rPr>
              <w:t>Use</w:t>
            </w:r>
            <w:r w:rsidRPr="005B2A0E">
              <w:rPr>
                <w:rFonts w:eastAsia="Batang"/>
                <w:lang w:val="en-GB" w:eastAsia="en-US"/>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880B825" w14:textId="77777777" w:rsidR="005B2A0E" w:rsidRDefault="005B2A0E" w:rsidP="00EB1E4E">
            <w:pPr>
              <w:widowControl/>
              <w:jc w:val="left"/>
              <w:rPr>
                <w:rFonts w:eastAsia="Times New Roman"/>
                <w:lang w:val="en-GB" w:eastAsia="en-US"/>
              </w:rPr>
            </w:pPr>
          </w:p>
          <w:p w14:paraId="5D254FB6" w14:textId="77777777" w:rsidR="005B2A0E" w:rsidRPr="005B2A0E" w:rsidRDefault="005B2A0E" w:rsidP="005B2A0E">
            <w:pPr>
              <w:widowControl/>
              <w:rPr>
                <w:rFonts w:ascii="Times" w:eastAsia="Batang" w:hAnsi="Times" w:cs="Times"/>
                <w:color w:val="000000"/>
                <w:highlight w:val="green"/>
                <w:lang w:val="en-GB" w:eastAsia="en-US"/>
              </w:rPr>
            </w:pPr>
            <w:r w:rsidRPr="005B2A0E">
              <w:rPr>
                <w:rFonts w:ascii="Times" w:eastAsia="Batang" w:hAnsi="Times" w:cs="Times"/>
                <w:color w:val="000000"/>
                <w:highlight w:val="green"/>
                <w:lang w:val="en-GB" w:eastAsia="en-US"/>
              </w:rPr>
              <w:t>Agreement</w:t>
            </w:r>
          </w:p>
          <w:p w14:paraId="7B6FE503" w14:textId="3B3BF9CD" w:rsidR="005B2A0E" w:rsidRDefault="005B2A0E" w:rsidP="005B2A0E">
            <w:pPr>
              <w:widowControl/>
              <w:jc w:val="left"/>
              <w:rPr>
                <w:rFonts w:eastAsia="Batang"/>
                <w:lang w:val="en-GB" w:eastAsia="en-US"/>
              </w:rPr>
            </w:pPr>
            <w:r w:rsidRPr="005B2A0E">
              <w:rPr>
                <w:rFonts w:eastAsia="Batang"/>
                <w:lang w:val="en-GB" w:eastAsia="en-US"/>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5B2A0E">
              <w:rPr>
                <w:rFonts w:eastAsia="Batang"/>
                <w:i/>
                <w:iCs/>
                <w:lang w:val="en-GB" w:eastAsia="en-US"/>
              </w:rPr>
              <w:t xml:space="preserve">coresetPoolIndex </w:t>
            </w:r>
            <w:r w:rsidRPr="005B2A0E">
              <w:rPr>
                <w:rFonts w:eastAsia="Batang"/>
                <w:lang w:val="en-GB" w:eastAsia="en-US"/>
              </w:rPr>
              <w:t xml:space="preserve">value to PDCCH on a </w:t>
            </w:r>
            <w:r w:rsidRPr="005B2A0E">
              <w:rPr>
                <w:rFonts w:eastAsia="Batang"/>
                <w:lang w:val="en-GB" w:eastAsia="en-US"/>
              </w:rPr>
              <w:lastRenderedPageBreak/>
              <w:t xml:space="preserve">CORESET associated with the same </w:t>
            </w:r>
            <w:r w:rsidRPr="005B2A0E">
              <w:rPr>
                <w:rFonts w:eastAsia="Batang"/>
                <w:i/>
                <w:iCs/>
                <w:lang w:val="en-GB" w:eastAsia="en-US"/>
              </w:rPr>
              <w:t xml:space="preserve">coresetPoolIndex </w:t>
            </w:r>
            <w:r w:rsidRPr="005B2A0E">
              <w:rPr>
                <w:rFonts w:eastAsia="Batang"/>
                <w:lang w:val="en-GB" w:eastAsia="en-US"/>
              </w:rPr>
              <w:t>value and PDSCH scheduled/activated by the PDCCH.</w:t>
            </w:r>
          </w:p>
          <w:p w14:paraId="06EB109B" w14:textId="77777777" w:rsidR="005B2A0E" w:rsidRPr="005B2A0E" w:rsidRDefault="005B2A0E" w:rsidP="005B2A0E">
            <w:pPr>
              <w:widowControl/>
              <w:jc w:val="left"/>
              <w:rPr>
                <w:rFonts w:eastAsia="Batang"/>
                <w:lang w:val="en-GB" w:eastAsia="en-US"/>
              </w:rPr>
            </w:pPr>
          </w:p>
          <w:p w14:paraId="05E57A7B" w14:textId="77777777" w:rsidR="005B2A0E" w:rsidRPr="005B2A0E" w:rsidRDefault="005B2A0E" w:rsidP="005B2A0E">
            <w:pPr>
              <w:widowControl/>
              <w:rPr>
                <w:rFonts w:ascii="Times" w:eastAsia="Batang" w:hAnsi="Times" w:cs="Times"/>
                <w:color w:val="000000"/>
                <w:highlight w:val="green"/>
                <w:lang w:val="en-GB" w:eastAsia="en-US"/>
              </w:rPr>
            </w:pPr>
            <w:r w:rsidRPr="005B2A0E">
              <w:rPr>
                <w:rFonts w:ascii="Times" w:eastAsia="Batang" w:hAnsi="Times" w:cs="Times"/>
                <w:color w:val="000000"/>
                <w:highlight w:val="green"/>
                <w:lang w:val="en-GB" w:eastAsia="en-US"/>
              </w:rPr>
              <w:t>Agreement</w:t>
            </w:r>
          </w:p>
          <w:p w14:paraId="4F986EC4" w14:textId="77777777" w:rsidR="005B2A0E" w:rsidRPr="005B2A0E" w:rsidRDefault="005B2A0E" w:rsidP="005B2A0E">
            <w:pPr>
              <w:widowControl/>
              <w:rPr>
                <w:rFonts w:eastAsia="Batang"/>
                <w:color w:val="000000"/>
                <w:lang w:val="en-GB" w:eastAsia="en-US"/>
              </w:rPr>
            </w:pPr>
            <w:r w:rsidRPr="005B2A0E">
              <w:rPr>
                <w:rFonts w:eastAsia="Batang"/>
                <w:color w:val="000000"/>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4CFFA108" w14:textId="1750135C" w:rsidR="005B2A0E" w:rsidRPr="005B2A0E" w:rsidRDefault="005B2A0E" w:rsidP="00EB1E4E">
            <w:pPr>
              <w:widowControl/>
              <w:numPr>
                <w:ilvl w:val="0"/>
                <w:numId w:val="22"/>
              </w:numPr>
              <w:overflowPunct w:val="0"/>
              <w:autoSpaceDE w:val="0"/>
              <w:autoSpaceDN w:val="0"/>
              <w:adjustRightInd w:val="0"/>
              <w:spacing w:after="180"/>
              <w:contextualSpacing/>
              <w:jc w:val="left"/>
              <w:textAlignment w:val="baseline"/>
              <w:rPr>
                <w:lang w:val="en-GB" w:eastAsia="ja-JP"/>
              </w:rPr>
            </w:pPr>
            <w:r w:rsidRPr="005B2A0E">
              <w:rPr>
                <w:lang w:val="en-GB" w:eastAsia="ja-JP"/>
              </w:rPr>
              <w:t>FFS: Detail design of the new indicator field</w:t>
            </w:r>
          </w:p>
        </w:tc>
      </w:tr>
    </w:tbl>
    <w:p w14:paraId="1E81499E" w14:textId="19AD7224" w:rsidR="00EB1E4E" w:rsidRDefault="00604351" w:rsidP="00F235CE">
      <w:pPr>
        <w:spacing w:after="180"/>
        <w:rPr>
          <w:rFonts w:ascii="Times New Roman" w:hAnsi="Times New Roman" w:cs="Times New Roman"/>
          <w:sz w:val="20"/>
          <w:szCs w:val="20"/>
        </w:rPr>
      </w:pPr>
      <w:r>
        <w:rPr>
          <w:rFonts w:ascii="Times New Roman" w:hAnsi="Times New Roman" w:cs="Times New Roman"/>
          <w:sz w:val="20"/>
          <w:szCs w:val="20"/>
        </w:rPr>
        <w:lastRenderedPageBreak/>
        <w:t xml:space="preserve">In current spec, the ‘Transmission Configuration Indicator’ filed (3 bits) in DCI format 1_1/1_2 is used to indicate the TCI state(s) </w:t>
      </w:r>
      <w:r w:rsidR="007A091C">
        <w:rPr>
          <w:rFonts w:ascii="Times New Roman" w:hAnsi="Times New Roman" w:cs="Times New Roman"/>
          <w:sz w:val="20"/>
          <w:szCs w:val="20"/>
        </w:rPr>
        <w:t xml:space="preserve">for single TRP or MTRP operation </w:t>
      </w:r>
      <w:r>
        <w:rPr>
          <w:rFonts w:ascii="Times New Roman" w:hAnsi="Times New Roman" w:cs="Times New Roman"/>
          <w:sz w:val="20"/>
          <w:szCs w:val="20"/>
        </w:rPr>
        <w:t xml:space="preserve">no matter the TCI framework is unified or not. </w:t>
      </w:r>
      <w:r w:rsidR="004F1E96">
        <w:rPr>
          <w:rFonts w:ascii="Times New Roman" w:hAnsi="Times New Roman" w:cs="Times New Roman"/>
          <w:sz w:val="20"/>
          <w:szCs w:val="20"/>
        </w:rPr>
        <w:t>For S-DCI based MTRP with unified TCI framework, a new indicator filed</w:t>
      </w:r>
      <w:r w:rsidR="00607727">
        <w:rPr>
          <w:rFonts w:ascii="Times New Roman" w:hAnsi="Times New Roman" w:cs="Times New Roman"/>
          <w:sz w:val="20"/>
          <w:szCs w:val="20"/>
        </w:rPr>
        <w:t xml:space="preserve"> in DCI format 1_1/1_2</w:t>
      </w:r>
      <w:r w:rsidR="004F1E96">
        <w:rPr>
          <w:rFonts w:ascii="Times New Roman" w:hAnsi="Times New Roman" w:cs="Times New Roman"/>
          <w:sz w:val="20"/>
          <w:szCs w:val="20"/>
        </w:rPr>
        <w:t xml:space="preserve"> is supported to </w:t>
      </w:r>
      <w:r w:rsidR="00607727">
        <w:rPr>
          <w:rFonts w:ascii="Times New Roman" w:hAnsi="Times New Roman" w:cs="Times New Roman"/>
          <w:sz w:val="20"/>
          <w:szCs w:val="20"/>
        </w:rPr>
        <w:t>determine which indicated joint/DL TCI states shall be applied to</w:t>
      </w:r>
      <w:r w:rsidR="00607727" w:rsidRPr="00607727">
        <w:t xml:space="preserve"> </w:t>
      </w:r>
      <w:r w:rsidR="00607727">
        <w:rPr>
          <w:rFonts w:ascii="Times New Roman" w:hAnsi="Times New Roman" w:cs="Times New Roman"/>
          <w:sz w:val="20"/>
          <w:szCs w:val="20"/>
        </w:rPr>
        <w:t xml:space="preserve">the scheduled PDSCH reception. There are two methods to design the new indicator filed. The first method is to use one bit to indicate the TRP index. When the new filed is set to ‘0’ indicating the first TRP, the TCI state(s) indicated by the legacy ‘Transmission Configuration Indicator’ field in DCI format 1_1/1_2 corresponds to the first TRP. When the new filed is set to ‘1’ indicating the second TRP, the TCI state(s) indicated by the legacy ‘Transmission Configuration Indicator’ field in DCI format 1_1/1_2 corresponds to the second TRP. The second method is to use three bits to indicate the TCI state(s) corresponding to the TRP which is different from the TCI state(s) indicated by the legacy ‘Transmission Configuration Indicator’ field in DCI format 1_1/1_2 corresponds to the other TRP. </w:t>
      </w:r>
      <w:r w:rsidR="00F235CE">
        <w:rPr>
          <w:rFonts w:ascii="Times New Roman" w:hAnsi="Times New Roman" w:cs="Times New Roman"/>
          <w:sz w:val="20"/>
          <w:szCs w:val="20"/>
        </w:rPr>
        <w:t>According the analysis, the first method can save overhead in DCI, but it cannot indicate the TCI states of two TRPs simultaneously. Although the second method can indicate the TCI states of two TRPs simultaneously, it is more flexible.</w:t>
      </w:r>
      <w:r w:rsidR="00010B4B">
        <w:rPr>
          <w:rFonts w:ascii="Times New Roman" w:hAnsi="Times New Roman" w:cs="Times New Roman"/>
          <w:sz w:val="20"/>
          <w:szCs w:val="20"/>
        </w:rPr>
        <w:t xml:space="preserve"> </w:t>
      </w:r>
    </w:p>
    <w:p w14:paraId="237D1A2F" w14:textId="269E209A" w:rsidR="00CA4875" w:rsidRDefault="000151FE" w:rsidP="00F235CE">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b/>
          <w:sz w:val="20"/>
          <w:szCs w:val="20"/>
        </w:rPr>
        <w:t>Two options to design the new indicator filed</w:t>
      </w:r>
      <w:r w:rsidR="0057798F">
        <w:rPr>
          <w:rFonts w:ascii="Times New Roman" w:hAnsi="Times New Roman" w:cs="Times New Roman"/>
          <w:b/>
          <w:sz w:val="20"/>
          <w:szCs w:val="20"/>
        </w:rPr>
        <w:t xml:space="preserve"> in DCI format 1_1/1_2</w:t>
      </w:r>
      <w:r>
        <w:rPr>
          <w:rFonts w:ascii="Times New Roman" w:hAnsi="Times New Roman" w:cs="Times New Roman"/>
          <w:b/>
          <w:sz w:val="20"/>
          <w:szCs w:val="20"/>
        </w:rPr>
        <w:t xml:space="preserve">. </w:t>
      </w:r>
    </w:p>
    <w:p w14:paraId="1B557762" w14:textId="10330DD3" w:rsidR="00CA4875" w:rsidRDefault="00CA4875" w:rsidP="00CA4875">
      <w:pPr>
        <w:pStyle w:val="aa"/>
        <w:numPr>
          <w:ilvl w:val="1"/>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Option</w:t>
      </w:r>
      <w:r>
        <w:rPr>
          <w:rFonts w:ascii="Times New Roman" w:hAnsi="Times New Roman" w:cs="Times New Roman"/>
          <w:b/>
          <w:sz w:val="20"/>
          <w:szCs w:val="20"/>
        </w:rPr>
        <w:t xml:space="preserve"> 1: U</w:t>
      </w:r>
      <w:r>
        <w:rPr>
          <w:rFonts w:ascii="Times New Roman" w:hAnsi="Times New Roman" w:cs="Times New Roman"/>
          <w:b/>
          <w:sz w:val="20"/>
          <w:szCs w:val="20"/>
        </w:rPr>
        <w:t>se one bit to indicate the TRP.</w:t>
      </w:r>
    </w:p>
    <w:p w14:paraId="11A61E76" w14:textId="21556EA0" w:rsidR="00CA4875" w:rsidRDefault="00CA4875" w:rsidP="00CA4875">
      <w:pPr>
        <w:pStyle w:val="aa"/>
        <w:numPr>
          <w:ilvl w:val="1"/>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Option</w:t>
      </w:r>
      <w:r>
        <w:rPr>
          <w:rFonts w:ascii="Times New Roman" w:hAnsi="Times New Roman" w:cs="Times New Roman"/>
          <w:b/>
          <w:sz w:val="20"/>
          <w:szCs w:val="20"/>
        </w:rPr>
        <w:t xml:space="preserve"> </w:t>
      </w:r>
      <w:r>
        <w:rPr>
          <w:rFonts w:ascii="Times New Roman" w:hAnsi="Times New Roman" w:cs="Times New Roman"/>
          <w:b/>
          <w:sz w:val="20"/>
          <w:szCs w:val="20"/>
        </w:rPr>
        <w:t>2</w:t>
      </w:r>
      <w:r>
        <w:rPr>
          <w:rFonts w:ascii="Times New Roman" w:hAnsi="Times New Roman" w:cs="Times New Roman"/>
          <w:b/>
          <w:sz w:val="20"/>
          <w:szCs w:val="20"/>
        </w:rPr>
        <w:t xml:space="preserve">: </w:t>
      </w:r>
      <w:r>
        <w:rPr>
          <w:rFonts w:ascii="Times New Roman" w:hAnsi="Times New Roman" w:cs="Times New Roman"/>
          <w:b/>
          <w:sz w:val="20"/>
          <w:szCs w:val="20"/>
        </w:rPr>
        <w:t>U</w:t>
      </w:r>
      <w:r>
        <w:rPr>
          <w:rFonts w:ascii="Times New Roman" w:hAnsi="Times New Roman" w:cs="Times New Roman"/>
          <w:b/>
          <w:sz w:val="20"/>
          <w:szCs w:val="20"/>
        </w:rPr>
        <w:t>se three bits to indicate the different TCI state(s).</w:t>
      </w:r>
    </w:p>
    <w:p w14:paraId="38EB65AA" w14:textId="3E18A10D" w:rsidR="00607727" w:rsidRDefault="007A091C" w:rsidP="00A96BE2">
      <w:pPr>
        <w:spacing w:after="180"/>
        <w:rPr>
          <w:rFonts w:ascii="Times New Roman" w:hAnsi="Times New Roman" w:cs="Times New Roman"/>
          <w:sz w:val="20"/>
          <w:szCs w:val="20"/>
        </w:rPr>
      </w:pPr>
      <w:r>
        <w:rPr>
          <w:rFonts w:ascii="Times New Roman" w:hAnsi="Times New Roman" w:cs="Times New Roman"/>
          <w:sz w:val="20"/>
          <w:szCs w:val="20"/>
        </w:rPr>
        <w:t xml:space="preserve">In current spec, the ‘SRS resource set indicator’ filed in DCI format 0_1/0_2 is used to indicate the TRP index for S-DCI based MTRP operation and the ‘SRS resource indicator’ filed is used to indicate the UL beam(s) of the scheduled PUSCH transmission. This two fields indicate which TRP the UE transmits UL signal(s) to and which beam(s) the UE uses. Therefore, in unified TCI framework, this two fields can be reused to </w:t>
      </w:r>
      <w:r w:rsidRPr="007A091C">
        <w:rPr>
          <w:rFonts w:ascii="Times New Roman" w:hAnsi="Times New Roman" w:cs="Times New Roman"/>
          <w:sz w:val="20"/>
          <w:szCs w:val="20"/>
        </w:rPr>
        <w:t>inform which joint/UL TCI state(s) indicated by MAC-CE/DCI the UE shall apply to PUSCH transmission scheduled/activated by the DCI format 0_1/0_2</w:t>
      </w:r>
    </w:p>
    <w:p w14:paraId="3774ABB5" w14:textId="47AC9EAE" w:rsidR="007A091C" w:rsidRPr="00EB72F8" w:rsidRDefault="007A091C" w:rsidP="007A091C">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b/>
          <w:sz w:val="20"/>
          <w:szCs w:val="20"/>
        </w:rPr>
        <w:t>T</w:t>
      </w:r>
      <w:r w:rsidRPr="007A091C">
        <w:rPr>
          <w:rFonts w:ascii="Times New Roman" w:hAnsi="Times New Roman" w:cs="Times New Roman"/>
          <w:b/>
          <w:sz w:val="20"/>
          <w:szCs w:val="20"/>
        </w:rPr>
        <w:t xml:space="preserve">he ‘SRS resource set indicator’ </w:t>
      </w:r>
      <w:r w:rsidR="000A4360">
        <w:rPr>
          <w:rFonts w:ascii="Times New Roman" w:hAnsi="Times New Roman" w:cs="Times New Roman"/>
          <w:b/>
          <w:sz w:val="20"/>
          <w:szCs w:val="20"/>
        </w:rPr>
        <w:t xml:space="preserve">and ‘SRS resource indicator’ </w:t>
      </w:r>
      <w:r w:rsidRPr="007A091C">
        <w:rPr>
          <w:rFonts w:ascii="Times New Roman" w:hAnsi="Times New Roman" w:cs="Times New Roman"/>
          <w:b/>
          <w:sz w:val="20"/>
          <w:szCs w:val="20"/>
        </w:rPr>
        <w:t>filed in DCI format 0_1/0_2</w:t>
      </w:r>
      <w:r>
        <w:rPr>
          <w:rFonts w:ascii="Times New Roman" w:hAnsi="Times New Roman" w:cs="Times New Roman"/>
          <w:b/>
          <w:sz w:val="20"/>
          <w:szCs w:val="20"/>
        </w:rPr>
        <w:t xml:space="preserve"> </w:t>
      </w:r>
      <w:r w:rsidR="000A4360">
        <w:rPr>
          <w:rFonts w:ascii="Times New Roman" w:hAnsi="Times New Roman" w:cs="Times New Roman"/>
          <w:b/>
          <w:sz w:val="20"/>
          <w:szCs w:val="20"/>
        </w:rPr>
        <w:t>can be reused.</w:t>
      </w:r>
    </w:p>
    <w:p w14:paraId="75BD909A" w14:textId="22002C4C" w:rsidR="009C5921" w:rsidRPr="009C5921" w:rsidRDefault="005809DF" w:rsidP="009C5921">
      <w:pPr>
        <w:pStyle w:val="aa"/>
        <w:spacing w:after="180"/>
        <w:ind w:firstLineChars="0" w:firstLine="0"/>
        <w:rPr>
          <w:rFonts w:ascii="Times New Roman" w:hAnsi="Times New Roman" w:cs="Times New Roman"/>
          <w:sz w:val="20"/>
          <w:szCs w:val="20"/>
        </w:rPr>
      </w:pPr>
      <w:r w:rsidRPr="005809DF">
        <w:rPr>
          <w:rFonts w:ascii="Times New Roman" w:hAnsi="Times New Roman" w:cs="Times New Roman"/>
          <w:sz w:val="20"/>
          <w:szCs w:val="20"/>
        </w:rPr>
        <w:t>On unified TCI framework extension for S-DCI based MTRP, when the DCI field is not present in DCI format 1_1/1_2, the UE shall apply the default indicated joint/DL TCI state(s) to PDSCH reception</w:t>
      </w:r>
      <w:r>
        <w:rPr>
          <w:rFonts w:ascii="Times New Roman" w:hAnsi="Times New Roman" w:cs="Times New Roman"/>
          <w:sz w:val="20"/>
          <w:szCs w:val="20"/>
        </w:rPr>
        <w:t>. The legacy mechanism to determine the default TCI state(s) can be reused. The default TCI state(s) can be the two activated TCI state(s) with lowest ID corresponding to two TRPs.</w:t>
      </w:r>
    </w:p>
    <w:p w14:paraId="0B27CFB7" w14:textId="4F4966E6" w:rsidR="005809DF" w:rsidRPr="00EB72F8" w:rsidRDefault="005809DF" w:rsidP="005809DF">
      <w:pPr>
        <w:pStyle w:val="aa"/>
        <w:numPr>
          <w:ilvl w:val="0"/>
          <w:numId w:val="17"/>
        </w:numPr>
        <w:spacing w:after="180"/>
        <w:ind w:firstLineChars="0"/>
        <w:rPr>
          <w:rFonts w:ascii="Times New Roman" w:hAnsi="Times New Roman" w:cs="Times New Roman"/>
          <w:b/>
          <w:sz w:val="20"/>
          <w:szCs w:val="20"/>
        </w:rPr>
      </w:pPr>
      <w:r w:rsidRPr="005809DF">
        <w:rPr>
          <w:rFonts w:ascii="Times New Roman" w:hAnsi="Times New Roman" w:cs="Times New Roman"/>
          <w:b/>
          <w:sz w:val="20"/>
          <w:szCs w:val="20"/>
        </w:rPr>
        <w:t>The default TCI state(s) can be the two activated TCI state(s) with lowest ID corresponding to two TRPs.</w:t>
      </w:r>
    </w:p>
    <w:p w14:paraId="4BE126E9" w14:textId="3B1F005A" w:rsidR="00F235CE" w:rsidRPr="005809DF" w:rsidRDefault="00F235CE" w:rsidP="00EB1E4E">
      <w:pPr>
        <w:rPr>
          <w:rFonts w:ascii="Times New Roman" w:hAnsi="Times New Roman" w:cs="Times New Roman"/>
          <w:sz w:val="20"/>
          <w:szCs w:val="20"/>
        </w:rPr>
      </w:pPr>
    </w:p>
    <w:p w14:paraId="3E521130" w14:textId="77777777" w:rsidR="00E50F34" w:rsidRPr="00F235CE" w:rsidRDefault="00E50F34" w:rsidP="00EB1E4E">
      <w:pPr>
        <w:rPr>
          <w:rFonts w:ascii="Times New Roman" w:hAnsi="Times New Roman" w:cs="Times New Roman"/>
          <w:sz w:val="20"/>
          <w:szCs w:val="20"/>
        </w:rPr>
      </w:pPr>
    </w:p>
    <w:p w14:paraId="09D98361" w14:textId="2C3C81E2" w:rsidR="00B8649E" w:rsidRDefault="00B8649E" w:rsidP="00B8649E">
      <w:pPr>
        <w:pStyle w:val="2"/>
      </w:pPr>
      <w:r w:rsidRPr="00BE2A91">
        <w:rPr>
          <w:rFonts w:hint="eastAsia"/>
        </w:rPr>
        <w:t>2</w:t>
      </w:r>
      <w:r w:rsidRPr="00BE2A91">
        <w:t>.</w:t>
      </w:r>
      <w:r w:rsidR="003F4233">
        <w:t>2</w:t>
      </w:r>
      <w:r w:rsidRPr="00BE2A91">
        <w:t xml:space="preserve"> </w:t>
      </w:r>
      <w:r w:rsidR="007177DE">
        <w:t>Power control for s</w:t>
      </w:r>
      <w:r w:rsidR="00DC145E">
        <w:rPr>
          <w:rFonts w:hint="eastAsia"/>
        </w:rPr>
        <w:t>imultaneous</w:t>
      </w:r>
      <w:r w:rsidR="00DC145E">
        <w:t xml:space="preserve"> </w:t>
      </w:r>
      <w:r w:rsidR="00DC145E">
        <w:rPr>
          <w:rFonts w:hint="eastAsia"/>
        </w:rPr>
        <w:t>UL</w:t>
      </w:r>
      <w:r w:rsidR="00DC145E">
        <w:t xml:space="preserve"> </w:t>
      </w:r>
      <w:r w:rsidR="00DC145E">
        <w:rPr>
          <w:rFonts w:hint="eastAsia"/>
        </w:rPr>
        <w:t>transmission</w:t>
      </w:r>
    </w:p>
    <w:p w14:paraId="2A17AC64" w14:textId="250423FF" w:rsidR="004578C1" w:rsidRPr="003E6C12" w:rsidRDefault="004578C1" w:rsidP="004578C1">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TCI state indication </w:t>
      </w:r>
      <w:r>
        <w:rPr>
          <w:rFonts w:ascii="Times New Roman" w:eastAsia="宋体" w:hAnsi="Times New Roman" w:cs="Times New Roman"/>
          <w:kern w:val="0"/>
          <w:sz w:val="20"/>
          <w:szCs w:val="20"/>
          <w:lang w:eastAsia="ko-KR"/>
        </w:rPr>
        <w:t>was made in RAN1#109-</w:t>
      </w: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lang w:eastAsia="ko-KR"/>
        </w:rPr>
        <w:t xml:space="preserve"> meeting:</w:t>
      </w:r>
    </w:p>
    <w:tbl>
      <w:tblPr>
        <w:tblStyle w:val="a7"/>
        <w:tblW w:w="0" w:type="auto"/>
        <w:tblLook w:val="04A0" w:firstRow="1" w:lastRow="0" w:firstColumn="1" w:lastColumn="0" w:noHBand="0" w:noVBand="1"/>
      </w:tblPr>
      <w:tblGrid>
        <w:gridCol w:w="8296"/>
      </w:tblGrid>
      <w:tr w:rsidR="004578C1" w:rsidRPr="00E761C2" w14:paraId="64601424" w14:textId="77777777" w:rsidTr="00211D1D">
        <w:tc>
          <w:tcPr>
            <w:tcW w:w="8296" w:type="dxa"/>
          </w:tcPr>
          <w:p w14:paraId="480865CA" w14:textId="77777777" w:rsidR="004578C1" w:rsidRPr="004578C1" w:rsidRDefault="004578C1" w:rsidP="004578C1">
            <w:pPr>
              <w:widowControl/>
              <w:jc w:val="left"/>
              <w:rPr>
                <w:rFonts w:ascii="Times" w:eastAsia="PMingLiU" w:hAnsi="Times" w:cs="Times"/>
                <w:highlight w:val="green"/>
                <w:lang w:val="en-GB" w:eastAsia="zh-TW"/>
              </w:rPr>
            </w:pPr>
            <w:r w:rsidRPr="004578C1">
              <w:rPr>
                <w:rFonts w:ascii="Times" w:eastAsia="Batang" w:hAnsi="Times" w:cs="Times"/>
                <w:b/>
                <w:bCs/>
                <w:highlight w:val="green"/>
                <w:lang w:val="en-GB" w:eastAsia="zh-TW"/>
              </w:rPr>
              <w:t>Agreement</w:t>
            </w:r>
          </w:p>
          <w:p w14:paraId="0535DACA"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On UE power limitation for STxMP for FR2, send LS to RAN4 to check the followings:</w:t>
            </w:r>
          </w:p>
          <w:p w14:paraId="7E173A24"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Whether it is feasible to assume power limitation per panel for STxMP (Assumption 1)</w:t>
            </w:r>
          </w:p>
          <w:p w14:paraId="5C1E7136"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Whether it is feasible to assume a total power limitation per UE over all UE panels used for STxMP (Assumption 2)</w:t>
            </w:r>
          </w:p>
          <w:p w14:paraId="16EA0175"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In either of Assumption1 or Assumption 2, whether the total power limitation</w:t>
            </w:r>
            <w:r w:rsidRPr="004578C1">
              <w:rPr>
                <w:rFonts w:ascii="Times" w:eastAsia="Times New Roman" w:hAnsi="Times"/>
                <w:lang w:val="en-GB" w:eastAsia="en-US"/>
              </w:rPr>
              <w:t> </w:t>
            </w:r>
            <w:r w:rsidRPr="004578C1">
              <w:rPr>
                <w:rFonts w:ascii="Times" w:eastAsia="Times New Roman" w:hAnsi="Times" w:cs="Times"/>
                <w:lang w:val="en-GB" w:eastAsia="en-US"/>
              </w:rPr>
              <w:t>per UE over all UE panels used for STxMP or the sum of per-panel power limitation for STxMP can be different from (greater than) the existing power limitation for a given power class?</w:t>
            </w:r>
          </w:p>
          <w:p w14:paraId="2A469B01"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1B5435C" w14:textId="77777777" w:rsidR="004578C1" w:rsidRPr="004578C1" w:rsidRDefault="004578C1" w:rsidP="004578C1">
            <w:pPr>
              <w:widowControl/>
              <w:jc w:val="left"/>
              <w:rPr>
                <w:rFonts w:ascii="Times" w:eastAsia="PMingLiU" w:hAnsi="Times" w:cs="Times"/>
                <w:sz w:val="24"/>
                <w:szCs w:val="24"/>
                <w:lang w:val="en-GB" w:eastAsia="zh-TW"/>
              </w:rPr>
            </w:pPr>
            <w:r w:rsidRPr="004578C1">
              <w:rPr>
                <w:rFonts w:ascii="Times" w:eastAsia="Batang" w:hAnsi="Times" w:cs="Times"/>
                <w:szCs w:val="24"/>
                <w:lang w:val="en-GB" w:eastAsia="zh-TW"/>
              </w:rPr>
              <w:t>FFS: Detail of exact LS if agreed</w:t>
            </w:r>
          </w:p>
          <w:p w14:paraId="51E623FF" w14:textId="77777777" w:rsidR="004578C1" w:rsidRPr="004578C1" w:rsidRDefault="004578C1" w:rsidP="004578C1">
            <w:pPr>
              <w:widowControl/>
              <w:jc w:val="left"/>
              <w:rPr>
                <w:rFonts w:ascii="Times" w:eastAsia="Batang" w:hAnsi="Times" w:cs="Times"/>
                <w:sz w:val="22"/>
                <w:lang w:val="en-GB" w:eastAsia="zh-TW"/>
              </w:rPr>
            </w:pPr>
            <w:r w:rsidRPr="004578C1">
              <w:rPr>
                <w:rFonts w:ascii="Times" w:eastAsia="Batang" w:hAnsi="Times" w:cs="Times"/>
                <w:szCs w:val="24"/>
                <w:lang w:val="en-GB" w:eastAsia="zh-TW"/>
              </w:rPr>
              <w:t>Note: Scenarios of above include at least single carrier scenario for FR2</w:t>
            </w:r>
          </w:p>
          <w:p w14:paraId="04FFC5FB"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Note: Above power limitation includes both total radiated power and EIRP</w:t>
            </w:r>
          </w:p>
          <w:p w14:paraId="253B05F3" w14:textId="229B2CEE" w:rsidR="004578C1" w:rsidRPr="004578C1" w:rsidRDefault="004578C1" w:rsidP="004578C1">
            <w:pPr>
              <w:widowControl/>
              <w:jc w:val="left"/>
              <w:rPr>
                <w:rFonts w:ascii="Times" w:eastAsia="PMingLiU" w:hAnsi="Times" w:cs="Times"/>
                <w:szCs w:val="24"/>
                <w:lang w:val="en-GB" w:eastAsia="zh-TW"/>
              </w:rPr>
            </w:pPr>
            <w:r w:rsidRPr="004578C1">
              <w:rPr>
                <w:rFonts w:ascii="Times" w:eastAsia="Batang" w:hAnsi="Times" w:cs="Times"/>
                <w:szCs w:val="24"/>
                <w:lang w:val="en-GB" w:eastAsia="zh-TW"/>
              </w:rPr>
              <w:t>LS to RAN4 (</w:t>
            </w:r>
            <w:r w:rsidRPr="004578C1">
              <w:rPr>
                <w:rFonts w:ascii="Times" w:eastAsia="Batang" w:hAnsi="Times" w:cs="Times"/>
                <w:i/>
                <w:iCs/>
                <w:szCs w:val="24"/>
                <w:lang w:val="en-GB" w:eastAsia="zh-TW"/>
              </w:rPr>
              <w:t>approved on May 24</w:t>
            </w:r>
            <w:r w:rsidRPr="004578C1">
              <w:rPr>
                <w:rFonts w:ascii="Times" w:eastAsia="Batang" w:hAnsi="Times" w:cs="Times"/>
                <w:i/>
                <w:iCs/>
                <w:szCs w:val="24"/>
                <w:vertAlign w:val="superscript"/>
                <w:lang w:val="en-GB" w:eastAsia="zh-TW"/>
              </w:rPr>
              <w:t>th</w:t>
            </w:r>
            <w:r w:rsidRPr="004578C1">
              <w:rPr>
                <w:rFonts w:ascii="Times" w:eastAsia="Batang" w:hAnsi="Times" w:cs="Times"/>
                <w:i/>
                <w:iCs/>
                <w:szCs w:val="24"/>
                <w:lang w:val="en-GB" w:eastAsia="zh-TW"/>
              </w:rPr>
              <w:t>, see below</w:t>
            </w:r>
            <w:r w:rsidRPr="004578C1">
              <w:rPr>
                <w:rFonts w:ascii="Times" w:eastAsia="Batang" w:hAnsi="Times" w:cs="Times"/>
                <w:szCs w:val="24"/>
                <w:lang w:val="en-GB" w:eastAsia="zh-TW"/>
              </w:rPr>
              <w:t>).</w:t>
            </w:r>
          </w:p>
        </w:tc>
      </w:tr>
    </w:tbl>
    <w:p w14:paraId="10D65723" w14:textId="09139731" w:rsidR="00B8649E" w:rsidRDefault="00C13613" w:rsidP="00B8649E">
      <w:pPr>
        <w:pStyle w:val="aa"/>
        <w:spacing w:after="180"/>
        <w:ind w:firstLineChars="0" w:firstLine="0"/>
        <w:rPr>
          <w:rFonts w:ascii="Times New Roman" w:hAnsi="Times New Roman" w:cs="Times New Roman"/>
          <w:sz w:val="20"/>
          <w:szCs w:val="20"/>
        </w:rPr>
      </w:pPr>
      <w:r>
        <w:rPr>
          <w:rFonts w:ascii="Times New Roman" w:hAnsi="Times New Roman" w:cs="Times New Roman"/>
          <w:sz w:val="20"/>
          <w:szCs w:val="20"/>
        </w:rPr>
        <w:t xml:space="preserve">In current spec, </w:t>
      </w:r>
      <w:r w:rsidRPr="00C13613">
        <w:rPr>
          <w:rFonts w:ascii="Times New Roman" w:hAnsi="Times New Roman" w:cs="Times New Roman"/>
          <w:sz w:val="20"/>
          <w:szCs w:val="20"/>
        </w:rPr>
        <w:t xml:space="preserve">only one panel in a UE can perform a UL transmission on a carrier of a serving cell at the same time </w:t>
      </w:r>
      <w:bookmarkStart w:id="0" w:name="OLE_LINK5"/>
      <w:bookmarkStart w:id="1" w:name="OLE_LINK6"/>
      <w:r w:rsidRPr="00C13613">
        <w:rPr>
          <w:rFonts w:ascii="Times New Roman" w:hAnsi="Times New Roman" w:cs="Times New Roman"/>
          <w:sz w:val="20"/>
          <w:szCs w:val="20"/>
        </w:rPr>
        <w:t>in spite of a UE with one or more panels</w:t>
      </w:r>
      <w:bookmarkEnd w:id="0"/>
      <w:bookmarkEnd w:id="1"/>
      <w:r w:rsidRPr="00C13613">
        <w:rPr>
          <w:rFonts w:ascii="Times New Roman" w:hAnsi="Times New Roman" w:cs="Times New Roman"/>
          <w:sz w:val="20"/>
          <w:szCs w:val="20"/>
        </w:rPr>
        <w:t>.</w:t>
      </w:r>
      <w:r w:rsidR="007337EF">
        <w:rPr>
          <w:rFonts w:ascii="Times New Roman" w:hAnsi="Times New Roman" w:cs="Times New Roman"/>
          <w:sz w:val="20"/>
          <w:szCs w:val="20"/>
        </w:rPr>
        <w:t xml:space="preserve"> That means there is only one UL transmission occasion at the same time.</w:t>
      </w:r>
      <w:r w:rsidRPr="00C13613">
        <w:rPr>
          <w:rFonts w:ascii="Times New Roman" w:hAnsi="Times New Roman" w:cs="Times New Roman"/>
          <w:sz w:val="20"/>
          <w:szCs w:val="20"/>
        </w:rPr>
        <w:t xml:space="preserve"> Therefore, a UE is configured a maximum power and the UE only needs </w:t>
      </w:r>
      <w:r>
        <w:rPr>
          <w:rFonts w:ascii="Times New Roman" w:hAnsi="Times New Roman" w:cs="Times New Roman"/>
          <w:sz w:val="20"/>
          <w:szCs w:val="20"/>
        </w:rPr>
        <w:t>to calculate a scheduling power</w:t>
      </w:r>
      <w:r w:rsidRPr="00C13613">
        <w:rPr>
          <w:rFonts w:ascii="Times New Roman" w:hAnsi="Times New Roman" w:cs="Times New Roman"/>
          <w:sz w:val="20"/>
          <w:szCs w:val="20"/>
        </w:rPr>
        <w:t xml:space="preserve"> according to the scheduling parameters such as P0, alpha, closed loop index, path loss, PRB number and so on.</w:t>
      </w:r>
      <w:r>
        <w:rPr>
          <w:rFonts w:ascii="Times New Roman" w:hAnsi="Times New Roman" w:cs="Times New Roman"/>
          <w:sz w:val="20"/>
          <w:szCs w:val="20"/>
        </w:rPr>
        <w:t xml:space="preserve"> </w:t>
      </w:r>
      <w:r w:rsidRPr="00C13613">
        <w:rPr>
          <w:rFonts w:ascii="Times New Roman" w:hAnsi="Times New Roman" w:cs="Times New Roman"/>
          <w:sz w:val="20"/>
          <w:szCs w:val="20"/>
        </w:rPr>
        <w:t>If the scheduling power is not larger than the maximum power, the UE will utilize the scheduling power for a UL transmission. If the scheduling power is larger than the maximum power, the UE will utilize the maximum power for a UL transmission.</w:t>
      </w:r>
    </w:p>
    <w:p w14:paraId="270FCD9B" w14:textId="3589A468" w:rsidR="006C6054" w:rsidRDefault="00975177" w:rsidP="00975177">
      <w:pPr>
        <w:pStyle w:val="aa"/>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STxMP, the UE can transmit two UL channels/signals </w:t>
      </w:r>
      <w:r w:rsidR="00E4449F">
        <w:rPr>
          <w:rFonts w:ascii="Times New Roman" w:hAnsi="Times New Roman" w:cs="Times New Roman"/>
          <w:sz w:val="20"/>
          <w:szCs w:val="20"/>
        </w:rPr>
        <w:t xml:space="preserve">on two panels </w:t>
      </w:r>
      <w:r>
        <w:rPr>
          <w:rFonts w:ascii="Times New Roman" w:hAnsi="Times New Roman" w:cs="Times New Roman"/>
          <w:sz w:val="20"/>
          <w:szCs w:val="20"/>
        </w:rPr>
        <w:t xml:space="preserve">simultaneously. </w:t>
      </w:r>
      <w:r w:rsidR="007337EF">
        <w:rPr>
          <w:rFonts w:ascii="Times New Roman" w:hAnsi="Times New Roman" w:cs="Times New Roman"/>
          <w:sz w:val="20"/>
          <w:szCs w:val="20"/>
        </w:rPr>
        <w:t>That means</w:t>
      </w:r>
      <w:r w:rsidR="006C6054">
        <w:rPr>
          <w:rFonts w:ascii="Times New Roman" w:hAnsi="Times New Roman" w:cs="Times New Roman"/>
          <w:sz w:val="20"/>
          <w:szCs w:val="20"/>
        </w:rPr>
        <w:t xml:space="preserve"> there are at most two UL transmission occasions </w:t>
      </w:r>
      <w:r w:rsidR="00E4449F">
        <w:rPr>
          <w:rFonts w:ascii="Times New Roman" w:hAnsi="Times New Roman" w:cs="Times New Roman"/>
          <w:sz w:val="20"/>
          <w:szCs w:val="20"/>
        </w:rPr>
        <w:t xml:space="preserve">on two panels </w:t>
      </w:r>
      <w:r w:rsidR="006C6054">
        <w:rPr>
          <w:rFonts w:ascii="Times New Roman" w:hAnsi="Times New Roman" w:cs="Times New Roman"/>
          <w:sz w:val="20"/>
          <w:szCs w:val="20"/>
        </w:rPr>
        <w:t xml:space="preserve">at the same time. </w:t>
      </w:r>
      <w:r w:rsidR="007337EF">
        <w:rPr>
          <w:rFonts w:ascii="Times New Roman" w:hAnsi="Times New Roman" w:cs="Times New Roman"/>
          <w:sz w:val="20"/>
          <w:szCs w:val="20"/>
        </w:rPr>
        <w:t>Therefore, a UE needs to calculate two scheduling power</w:t>
      </w:r>
      <w:r w:rsidR="00E4449F">
        <w:rPr>
          <w:rFonts w:ascii="Times New Roman" w:hAnsi="Times New Roman" w:cs="Times New Roman"/>
          <w:sz w:val="20"/>
          <w:szCs w:val="20"/>
        </w:rPr>
        <w:t xml:space="preserve"> on two panels</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The maximum power in this situation is different from that in current spec.</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A</w:t>
      </w:r>
      <w:r w:rsidR="007337EF">
        <w:rPr>
          <w:rFonts w:ascii="Times New Roman" w:hAnsi="Times New Roman" w:cs="Times New Roman"/>
          <w:sz w:val="20"/>
          <w:szCs w:val="20"/>
        </w:rPr>
        <w:t xml:space="preserve"> UE </w:t>
      </w:r>
      <w:r w:rsidR="00317C9A">
        <w:rPr>
          <w:rFonts w:ascii="Times New Roman" w:hAnsi="Times New Roman" w:cs="Times New Roman"/>
          <w:sz w:val="20"/>
          <w:szCs w:val="20"/>
        </w:rPr>
        <w:t>can be</w:t>
      </w:r>
      <w:r w:rsidR="007337EF">
        <w:rPr>
          <w:rFonts w:ascii="Times New Roman" w:hAnsi="Times New Roman" w:cs="Times New Roman"/>
          <w:sz w:val="20"/>
          <w:szCs w:val="20"/>
        </w:rPr>
        <w:t xml:space="preserve"> configured a UE-specific maximum power or two panel-specific maximum powers or both of them.</w:t>
      </w:r>
      <w:r w:rsidR="00317C9A">
        <w:rPr>
          <w:rFonts w:ascii="Times New Roman" w:hAnsi="Times New Roman" w:cs="Times New Roman"/>
          <w:sz w:val="20"/>
          <w:szCs w:val="20"/>
        </w:rPr>
        <w:t xml:space="preserve"> </w:t>
      </w:r>
    </w:p>
    <w:p w14:paraId="534E2A4E" w14:textId="1C74DB17" w:rsidR="00285A8C" w:rsidRPr="00285A8C" w:rsidRDefault="00317C9A" w:rsidP="006D7978">
      <w:pPr>
        <w:spacing w:after="180"/>
        <w:rPr>
          <w:rFonts w:ascii="Times New Roman" w:hAnsi="Times New Roman" w:cs="Times New Roman"/>
          <w:sz w:val="20"/>
          <w:szCs w:val="20"/>
        </w:rPr>
      </w:pPr>
      <w:r>
        <w:rPr>
          <w:rFonts w:ascii="Times New Roman" w:hAnsi="Times New Roman" w:cs="Times New Roman"/>
          <w:sz w:val="20"/>
          <w:szCs w:val="20"/>
        </w:rPr>
        <w:t xml:space="preserve">In our opinion, the best option is that a UE is configured a UE-specific maximum power and calculates two scheduling powers. </w:t>
      </w:r>
      <w:r w:rsidR="00285A8C">
        <w:rPr>
          <w:rFonts w:ascii="Times New Roman" w:hAnsi="Times New Roman" w:cs="Times New Roman"/>
          <w:sz w:val="20"/>
          <w:szCs w:val="20"/>
        </w:rPr>
        <w:t>This option does not introduce the concept of a</w:t>
      </w:r>
      <w:r w:rsidR="00285A8C" w:rsidRPr="00285A8C">
        <w:rPr>
          <w:rFonts w:ascii="Times New Roman" w:hAnsi="Times New Roman" w:cs="Times New Roman"/>
          <w:sz w:val="20"/>
          <w:szCs w:val="20"/>
        </w:rPr>
        <w:t xml:space="preserve"> </w:t>
      </w:r>
      <w:r w:rsidR="00285A8C">
        <w:rPr>
          <w:rFonts w:ascii="Times New Roman" w:hAnsi="Times New Roman" w:cs="Times New Roman"/>
          <w:sz w:val="20"/>
          <w:szCs w:val="20"/>
        </w:rPr>
        <w:t>panel entity such as it has little spec impact. Meanwhile, e</w:t>
      </w:r>
      <w:r w:rsidR="00285A8C" w:rsidRPr="00285A8C">
        <w:rPr>
          <w:rFonts w:ascii="Times New Roman" w:hAnsi="Times New Roman" w:cs="Times New Roman"/>
          <w:sz w:val="20"/>
          <w:szCs w:val="20"/>
        </w:rPr>
        <w:t>ach panel has a maximum power limit</w:t>
      </w:r>
      <w:r w:rsidR="00285A8C">
        <w:rPr>
          <w:rFonts w:ascii="Times New Roman" w:hAnsi="Times New Roman" w:cs="Times New Roman"/>
          <w:sz w:val="20"/>
          <w:szCs w:val="20"/>
        </w:rPr>
        <w:t xml:space="preserve">. If the sum of two scheduling powers is not larger than the UE-specific maximum power, </w:t>
      </w:r>
      <w:r w:rsidR="006D7978">
        <w:rPr>
          <w:rFonts w:ascii="Times New Roman" w:hAnsi="Times New Roman" w:cs="Times New Roman"/>
          <w:sz w:val="20"/>
          <w:szCs w:val="20"/>
        </w:rPr>
        <w:t xml:space="preserve">a UE allocates two scheduling powers to </w:t>
      </w:r>
      <w:r w:rsidR="00285A8C">
        <w:rPr>
          <w:rFonts w:ascii="Times New Roman" w:hAnsi="Times New Roman" w:cs="Times New Roman"/>
          <w:sz w:val="20"/>
          <w:szCs w:val="20"/>
        </w:rPr>
        <w:t>two panels as actual UL transmission power</w:t>
      </w:r>
      <w:r w:rsidR="006D7978">
        <w:rPr>
          <w:rFonts w:ascii="Times New Roman" w:hAnsi="Times New Roman" w:cs="Times New Roman"/>
          <w:sz w:val="20"/>
          <w:szCs w:val="20"/>
        </w:rPr>
        <w:t>,</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r w:rsidR="00285A8C">
        <w:rPr>
          <w:rFonts w:ascii="Times New Roman" w:hAnsi="Times New Roman" w:cs="Times New Roman"/>
          <w:sz w:val="20"/>
          <w:szCs w:val="20"/>
        </w:rPr>
        <w:t xml:space="preserve">. </w:t>
      </w:r>
      <w:r w:rsidR="006D7978">
        <w:rPr>
          <w:rFonts w:ascii="Times New Roman" w:hAnsi="Times New Roman" w:cs="Times New Roman"/>
          <w:sz w:val="20"/>
          <w:szCs w:val="20"/>
        </w:rPr>
        <w:t>If the sum of two scheduling powers is larger than the UE-specific maximum power, a UE allocates the UE-specific maximum powers to two panels according to the priority of two UL signals/channels transmitted by two panels,</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p>
    <w:p w14:paraId="7852A057" w14:textId="7C74EB57" w:rsidR="007337EF" w:rsidRDefault="006D7978" w:rsidP="00B8649E">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lastRenderedPageBreak/>
        <w:t>For</w:t>
      </w:r>
      <w:r>
        <w:rPr>
          <w:rFonts w:ascii="Times New Roman" w:hAnsi="Times New Roman" w:cs="Times New Roman"/>
          <w:b/>
          <w:sz w:val="20"/>
          <w:szCs w:val="20"/>
        </w:rPr>
        <w:t xml:space="preserve"> STxMP operation, a UE is configure a UE-specific maximum power and calculates at most two scheduling powers.</w:t>
      </w:r>
    </w:p>
    <w:p w14:paraId="2C756656" w14:textId="7727C87B" w:rsidR="00E4449F" w:rsidRDefault="00E4449F" w:rsidP="00E4449F">
      <w:pPr>
        <w:spacing w:after="180"/>
        <w:rPr>
          <w:rFonts w:ascii="Times New Roman" w:hAnsi="Times New Roman" w:cs="Times New Roman"/>
          <w:sz w:val="20"/>
          <w:szCs w:val="20"/>
        </w:rPr>
      </w:pPr>
      <w:r w:rsidRPr="00E4449F">
        <w:rPr>
          <w:rFonts w:ascii="Times New Roman" w:hAnsi="Times New Roman" w:cs="Times New Roman"/>
          <w:sz w:val="20"/>
          <w:szCs w:val="20"/>
        </w:rPr>
        <w:t xml:space="preserve">When the sum of </w:t>
      </w:r>
      <w:r>
        <w:rPr>
          <w:rFonts w:ascii="Times New Roman" w:hAnsi="Times New Roman" w:cs="Times New Roman"/>
          <w:sz w:val="20"/>
          <w:szCs w:val="20"/>
        </w:rPr>
        <w:t>two</w:t>
      </w:r>
      <w:r w:rsidRPr="00E4449F">
        <w:rPr>
          <w:rFonts w:ascii="Times New Roman" w:hAnsi="Times New Roman" w:cs="Times New Roman"/>
          <w:sz w:val="20"/>
          <w:szCs w:val="20"/>
        </w:rPr>
        <w:t xml:space="preserve"> scheduling powers is larger than the UE-specific maximum power, the sequence of power allocation for scheduling panels should be determined. After the determination of the sequence, a proper power is allocated to a panel which is at the head of the sequence, and the rest power is allocated to a panel which is at the back of the sequence. </w:t>
      </w:r>
      <w:r>
        <w:rPr>
          <w:rFonts w:ascii="Times New Roman" w:hAnsi="Times New Roman" w:cs="Times New Roman"/>
          <w:sz w:val="20"/>
          <w:szCs w:val="20"/>
        </w:rPr>
        <w:t>Some rules to determine the sequence of power allocation should be introduced, such as priorities, power magnitudes or transmission timings of UL channels/signals.</w:t>
      </w:r>
    </w:p>
    <w:p w14:paraId="1AD77583" w14:textId="2E02A040" w:rsidR="00E4449F" w:rsidRDefault="004356DD" w:rsidP="00E4449F">
      <w:pPr>
        <w:spacing w:after="180"/>
        <w:rPr>
          <w:rFonts w:ascii="Times New Roman" w:eastAsia="宋体" w:hAnsi="Times New Roman" w:cs="Times New Roman"/>
          <w:kern w:val="0"/>
          <w:sz w:val="20"/>
          <w:szCs w:val="20"/>
        </w:rPr>
      </w:pPr>
      <w:r>
        <w:rPr>
          <w:rFonts w:ascii="Times New Roman" w:hAnsi="Times New Roman" w:cs="Times New Roman"/>
          <w:sz w:val="20"/>
          <w:szCs w:val="20"/>
        </w:rPr>
        <w:t>The priority rule is taken</w:t>
      </w:r>
      <w:r w:rsidR="00856056">
        <w:rPr>
          <w:rFonts w:ascii="Times New Roman" w:hAnsi="Times New Roman" w:cs="Times New Roman"/>
          <w:sz w:val="20"/>
          <w:szCs w:val="20"/>
        </w:rPr>
        <w:t xml:space="preserve"> a</w:t>
      </w:r>
      <w:r w:rsidR="00856056" w:rsidRPr="00066B24">
        <w:rPr>
          <w:rFonts w:ascii="Times New Roman" w:hAnsi="Times New Roman" w:cs="Times New Roman"/>
          <w:sz w:val="20"/>
          <w:szCs w:val="20"/>
        </w:rPr>
        <w:t xml:space="preserve">s an example. </w:t>
      </w:r>
      <w:r w:rsidR="00066B24" w:rsidRPr="00066B24">
        <w:rPr>
          <w:rFonts w:ascii="Times New Roman" w:eastAsia="宋体" w:hAnsi="Times New Roman" w:cs="Times New Roman"/>
          <w:kern w:val="0"/>
          <w:sz w:val="20"/>
          <w:szCs w:val="20"/>
        </w:rPr>
        <w:t xml:space="preserve">A UE allocates a proper power to a panel which transmits a UL signal/channel with a higher priority, and allocates the rest power to a panel which transmits a UL signal/channel with a lower priority. This guarantees the channel quality of a UL signal/channel with a higher priority. </w:t>
      </w:r>
    </w:p>
    <w:p w14:paraId="35CA88EC" w14:textId="608F5CC7" w:rsidR="004356DD" w:rsidRPr="004356DD" w:rsidRDefault="004356DD" w:rsidP="00E4449F">
      <w:pPr>
        <w:spacing w:after="180"/>
        <w:rPr>
          <w:rFonts w:ascii="Times New Roman" w:hAnsi="Times New Roman" w:cs="Times New Roman"/>
          <w:b/>
          <w:sz w:val="20"/>
          <w:szCs w:val="20"/>
        </w:rPr>
      </w:pPr>
      <w:r w:rsidRPr="004356DD">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72114CD4" w14:textId="0EF24029" w:rsidR="00C13613" w:rsidRPr="00BE2A91" w:rsidRDefault="00C13613" w:rsidP="00C13613">
      <w:pPr>
        <w:pStyle w:val="2"/>
      </w:pPr>
      <w:r w:rsidRPr="00BE2A91">
        <w:rPr>
          <w:rFonts w:hint="eastAsia"/>
        </w:rPr>
        <w:t>2</w:t>
      </w:r>
      <w:r w:rsidRPr="00BE2A91">
        <w:t>.</w:t>
      </w:r>
      <w:r w:rsidR="003F4233">
        <w:t>3</w:t>
      </w:r>
      <w:r w:rsidRPr="00BE2A91">
        <w:t xml:space="preserve"> Switching between joint and separate TCI states</w:t>
      </w:r>
    </w:p>
    <w:p w14:paraId="1CBD44AC" w14:textId="77777777" w:rsidR="00C13613" w:rsidRDefault="00C13613" w:rsidP="00C13613">
      <w:pPr>
        <w:spacing w:after="180"/>
        <w:rPr>
          <w:rFonts w:ascii="Times New Roman" w:hAnsi="Times New Roman" w:cs="Times New Roman"/>
          <w:sz w:val="20"/>
          <w:szCs w:val="20"/>
        </w:rPr>
      </w:pPr>
      <w:r w:rsidRPr="0076060E">
        <w:rPr>
          <w:rFonts w:ascii="Times New Roman" w:hAnsi="Times New Roman" w:cs="Times New Roman"/>
          <w:sz w:val="20"/>
          <w:szCs w:val="20"/>
        </w:rPr>
        <w:t>In current spec, for single TRP operation with unified TCI framework,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xml:space="preserve"> is not dynamic which is configured </w:t>
      </w:r>
      <w:r>
        <w:rPr>
          <w:rFonts w:ascii="Times New Roman" w:hAnsi="Times New Roman" w:cs="Times New Roman"/>
          <w:sz w:val="20"/>
          <w:szCs w:val="20"/>
        </w:rPr>
        <w:t>in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76060E">
        <w:rPr>
          <w:rFonts w:ascii="Times New Roman" w:hAnsi="Times New Roman" w:cs="Times New Roman"/>
          <w:sz w:val="20"/>
          <w:szCs w:val="20"/>
        </w:rPr>
        <w:t xml:space="preserve">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w:t>
      </w:r>
      <w:r>
        <w:rPr>
          <w:rFonts w:ascii="Times New Roman" w:hAnsi="Times New Roman" w:cs="Times New Roman"/>
          <w:sz w:val="20"/>
          <w:szCs w:val="20"/>
        </w:rPr>
        <w:t>For multi-TRP operation with unified TCI framework, this proposal implies that the switching between the joint and separate TCI states should be TRP-specific. Therefore</w:t>
      </w:r>
      <w:r w:rsidRPr="0076060E">
        <w:rPr>
          <w:rFonts w:ascii="Times New Roman" w:hAnsi="Times New Roman" w:cs="Times New Roman"/>
          <w:sz w:val="20"/>
          <w:szCs w:val="20"/>
        </w:rPr>
        <w:t xml:space="preserve">, it is </w:t>
      </w:r>
      <w:r>
        <w:rPr>
          <w:rFonts w:ascii="Times New Roman" w:hAnsi="Times New Roman" w:cs="Times New Roman"/>
          <w:sz w:val="20"/>
          <w:szCs w:val="20"/>
        </w:rPr>
        <w:t>proposed</w:t>
      </w:r>
      <w:r w:rsidRPr="0076060E">
        <w:rPr>
          <w:rFonts w:ascii="Times New Roman" w:hAnsi="Times New Roman" w:cs="Times New Roman"/>
          <w:sz w:val="20"/>
          <w:szCs w:val="20"/>
        </w:rPr>
        <w:t xml:space="preserve"> to extend th</w:t>
      </w:r>
      <w:r>
        <w:rPr>
          <w:rFonts w:ascii="Times New Roman" w:hAnsi="Times New Roman" w:cs="Times New Roman"/>
          <w:sz w:val="20"/>
          <w:szCs w:val="20"/>
        </w:rPr>
        <w:t>e</w:t>
      </w:r>
      <w:r w:rsidRPr="0076060E">
        <w:rPr>
          <w:rFonts w:ascii="Times New Roman" w:hAnsi="Times New Roman" w:cs="Times New Roman"/>
          <w:sz w:val="20"/>
          <w:szCs w:val="20"/>
        </w:rPr>
        <w:t xml:space="preserve"> 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to TRP-specific</w:t>
      </w:r>
      <w:r>
        <w:rPr>
          <w:rFonts w:ascii="Times New Roman" w:hAnsi="Times New Roman" w:cs="Times New Roman"/>
          <w:sz w:val="20"/>
          <w:szCs w:val="20"/>
        </w:rPr>
        <w:t xml:space="preserve"> higher parameters,</w:t>
      </w:r>
      <w:r w:rsidRPr="0076060E">
        <w:rPr>
          <w:rFonts w:ascii="Times New Roman" w:hAnsi="Times New Roman" w:cs="Times New Roman"/>
          <w:sz w:val="20"/>
          <w:szCs w:val="20"/>
        </w:rPr>
        <w:t xml:space="preserve"> </w:t>
      </w:r>
      <w:r>
        <w:rPr>
          <w:rFonts w:ascii="Times New Roman" w:hAnsi="Times New Roman" w:cs="Times New Roman"/>
          <w:sz w:val="20"/>
          <w:szCs w:val="20"/>
        </w:rPr>
        <w:t>f</w:t>
      </w:r>
      <w:r w:rsidRPr="0076060E">
        <w:rPr>
          <w:rFonts w:ascii="Times New Roman" w:hAnsi="Times New Roman" w:cs="Times New Roman"/>
          <w:sz w:val="20"/>
          <w:szCs w:val="20"/>
        </w:rPr>
        <w:t xml:space="preserve">or example, </w:t>
      </w:r>
      <w:r w:rsidRPr="00105EE9">
        <w:rPr>
          <w:rFonts w:ascii="Times New Roman" w:hAnsi="Times New Roman" w:cs="Times New Roman"/>
          <w:i/>
          <w:sz w:val="20"/>
          <w:szCs w:val="20"/>
        </w:rPr>
        <w:t>unifiedtci-StateType-TRP1</w:t>
      </w:r>
      <w:r w:rsidRPr="0076060E">
        <w:rPr>
          <w:rFonts w:ascii="Times New Roman" w:hAnsi="Times New Roman" w:cs="Times New Roman"/>
          <w:sz w:val="20"/>
          <w:szCs w:val="20"/>
        </w:rPr>
        <w:t xml:space="preserve"> </w:t>
      </w:r>
      <w:r>
        <w:rPr>
          <w:rFonts w:ascii="Times New Roman" w:hAnsi="Times New Roman" w:cs="Times New Roman"/>
          <w:sz w:val="20"/>
          <w:szCs w:val="20"/>
        </w:rPr>
        <w:t>and</w:t>
      </w:r>
      <w:r w:rsidRPr="0076060E">
        <w:rPr>
          <w:rFonts w:ascii="Times New Roman" w:hAnsi="Times New Roman" w:cs="Times New Roman"/>
          <w:sz w:val="20"/>
          <w:szCs w:val="20"/>
        </w:rPr>
        <w:t xml:space="preserve"> </w:t>
      </w:r>
      <w:r w:rsidRPr="00105EE9">
        <w:rPr>
          <w:rFonts w:ascii="Times New Roman" w:hAnsi="Times New Roman" w:cs="Times New Roman"/>
          <w:i/>
          <w:sz w:val="20"/>
          <w:szCs w:val="20"/>
        </w:rPr>
        <w:t>unifiedtci-StateType-TRP2</w:t>
      </w:r>
      <w:r>
        <w:rPr>
          <w:rFonts w:ascii="Times New Roman" w:hAnsi="Times New Roman" w:cs="Times New Roman"/>
          <w:sz w:val="20"/>
          <w:szCs w:val="20"/>
        </w:rPr>
        <w:t>.</w:t>
      </w:r>
    </w:p>
    <w:p w14:paraId="24004471" w14:textId="77777777" w:rsidR="00C13613" w:rsidRPr="00A54F5B" w:rsidRDefault="00C13613" w:rsidP="00C13613">
      <w:pPr>
        <w:pStyle w:val="aa"/>
        <w:numPr>
          <w:ilvl w:val="0"/>
          <w:numId w:val="17"/>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394E613E" w14:textId="77777777" w:rsidR="00C13613" w:rsidRDefault="00C13613" w:rsidP="00C13613">
      <w:pPr>
        <w:spacing w:after="180"/>
        <w:rPr>
          <w:rFonts w:ascii="Times New Roman" w:hAnsi="Times New Roman" w:cs="Times New Roman"/>
          <w:sz w:val="20"/>
          <w:szCs w:val="20"/>
        </w:rPr>
      </w:pPr>
      <w:r>
        <w:rPr>
          <w:rFonts w:ascii="Times New Roman" w:hAnsi="Times New Roman" w:cs="Times New Roman"/>
          <w:sz w:val="20"/>
          <w:szCs w:val="20"/>
        </w:rPr>
        <w:t xml:space="preserve">Considering flexible, </w:t>
      </w:r>
      <w:r w:rsidRPr="0076060E">
        <w:rPr>
          <w:rFonts w:ascii="Times New Roman" w:hAnsi="Times New Roman" w:cs="Times New Roman"/>
          <w:sz w:val="20"/>
          <w:szCs w:val="20"/>
        </w:rPr>
        <w:t>MAC CE</w:t>
      </w:r>
      <w:r>
        <w:rPr>
          <w:rFonts w:ascii="Times New Roman" w:hAnsi="Times New Roman" w:cs="Times New Roman"/>
          <w:sz w:val="20"/>
          <w:szCs w:val="20"/>
        </w:rPr>
        <w:t xml:space="preserve"> indication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is proposed </w:t>
      </w:r>
      <w:r w:rsidRPr="0076060E">
        <w:rPr>
          <w:rFonts w:ascii="Times New Roman" w:hAnsi="Times New Roman" w:cs="Times New Roman"/>
          <w:sz w:val="20"/>
          <w:szCs w:val="20"/>
        </w:rPr>
        <w:t>to support dynamic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For example, the MAC CE with 2 bits where the former bit indicates that the TCI state corresponding to the first TRP is whether joint or separate and the latter bit indicates that the TCI state corresponding to the second TRP is whether joint or separate. This MAC CE can also be merged into another MAC CE, such as unified TCI states activation/deactivation MAC CE.</w:t>
      </w:r>
    </w:p>
    <w:p w14:paraId="2D35552C" w14:textId="21C82BA8" w:rsidR="00C13613" w:rsidRPr="00C13613" w:rsidRDefault="00C13613" w:rsidP="00B8649E">
      <w:pPr>
        <w:pStyle w:val="aa"/>
        <w:numPr>
          <w:ilvl w:val="0"/>
          <w:numId w:val="17"/>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39FCA2D7"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3 Conclusion</w:t>
      </w:r>
    </w:p>
    <w:p w14:paraId="2BFFED5F" w14:textId="77777777" w:rsidR="00F85266" w:rsidRPr="00DF73F7" w:rsidRDefault="00F85266" w:rsidP="00F85266">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14:paraId="4A61DD49" w14:textId="77777777" w:rsidR="00CA4875" w:rsidRDefault="00CA4875" w:rsidP="00CA4875">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Two options to design the new indicator filed in DCI format 1_1/1_2. </w:t>
      </w:r>
    </w:p>
    <w:p w14:paraId="277327AA" w14:textId="77777777" w:rsidR="00CA4875" w:rsidRDefault="00CA4875" w:rsidP="00CA4875">
      <w:pPr>
        <w:pStyle w:val="aa"/>
        <w:numPr>
          <w:ilvl w:val="1"/>
          <w:numId w:val="18"/>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Option</w:t>
      </w:r>
      <w:r>
        <w:rPr>
          <w:rFonts w:ascii="Times New Roman" w:hAnsi="Times New Roman" w:cs="Times New Roman"/>
          <w:b/>
          <w:sz w:val="20"/>
          <w:szCs w:val="20"/>
        </w:rPr>
        <w:t xml:space="preserve"> 1: Use one bit to indicate the TRP.</w:t>
      </w:r>
    </w:p>
    <w:p w14:paraId="07C57F0D" w14:textId="77777777" w:rsidR="00CA4875" w:rsidRDefault="00CA4875" w:rsidP="00CA4875">
      <w:pPr>
        <w:pStyle w:val="aa"/>
        <w:numPr>
          <w:ilvl w:val="1"/>
          <w:numId w:val="18"/>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lastRenderedPageBreak/>
        <w:t>Option</w:t>
      </w:r>
      <w:r>
        <w:rPr>
          <w:rFonts w:ascii="Times New Roman" w:hAnsi="Times New Roman" w:cs="Times New Roman"/>
          <w:b/>
          <w:sz w:val="20"/>
          <w:szCs w:val="20"/>
        </w:rPr>
        <w:t xml:space="preserve"> 2: Use three bits to indicate the different TCI state(s).</w:t>
      </w:r>
    </w:p>
    <w:p w14:paraId="57A527C8" w14:textId="77777777" w:rsidR="006A0094" w:rsidRPr="00EB72F8" w:rsidRDefault="006A0094" w:rsidP="006A0094">
      <w:pPr>
        <w:pStyle w:val="aa"/>
        <w:numPr>
          <w:ilvl w:val="0"/>
          <w:numId w:val="18"/>
        </w:numPr>
        <w:spacing w:after="180"/>
        <w:ind w:firstLineChars="0"/>
        <w:rPr>
          <w:rFonts w:ascii="Times New Roman" w:hAnsi="Times New Roman" w:cs="Times New Roman"/>
          <w:b/>
          <w:sz w:val="20"/>
          <w:szCs w:val="20"/>
        </w:rPr>
      </w:pPr>
      <w:bookmarkStart w:id="2" w:name="_GoBack"/>
      <w:bookmarkEnd w:id="2"/>
      <w:r>
        <w:rPr>
          <w:rFonts w:ascii="Times New Roman" w:hAnsi="Times New Roman" w:cs="Times New Roman"/>
          <w:b/>
          <w:sz w:val="20"/>
          <w:szCs w:val="20"/>
        </w:rPr>
        <w:t>T</w:t>
      </w:r>
      <w:r w:rsidRPr="007A091C">
        <w:rPr>
          <w:rFonts w:ascii="Times New Roman" w:hAnsi="Times New Roman" w:cs="Times New Roman"/>
          <w:b/>
          <w:sz w:val="20"/>
          <w:szCs w:val="20"/>
        </w:rPr>
        <w:t xml:space="preserve">he ‘SRS resource set indicator’ </w:t>
      </w:r>
      <w:r>
        <w:rPr>
          <w:rFonts w:ascii="Times New Roman" w:hAnsi="Times New Roman" w:cs="Times New Roman"/>
          <w:b/>
          <w:sz w:val="20"/>
          <w:szCs w:val="20"/>
        </w:rPr>
        <w:t xml:space="preserve">and ‘SRS resource indicator’ </w:t>
      </w:r>
      <w:r w:rsidRPr="007A091C">
        <w:rPr>
          <w:rFonts w:ascii="Times New Roman" w:hAnsi="Times New Roman" w:cs="Times New Roman"/>
          <w:b/>
          <w:sz w:val="20"/>
          <w:szCs w:val="20"/>
        </w:rPr>
        <w:t>filed in DCI format 0_1/0_2</w:t>
      </w:r>
      <w:r>
        <w:rPr>
          <w:rFonts w:ascii="Times New Roman" w:hAnsi="Times New Roman" w:cs="Times New Roman"/>
          <w:b/>
          <w:sz w:val="20"/>
          <w:szCs w:val="20"/>
        </w:rPr>
        <w:t xml:space="preserve"> can be reused.</w:t>
      </w:r>
    </w:p>
    <w:p w14:paraId="296AB688" w14:textId="77777777" w:rsidR="006A0094" w:rsidRPr="00EB72F8" w:rsidRDefault="006A0094" w:rsidP="006A0094">
      <w:pPr>
        <w:pStyle w:val="aa"/>
        <w:numPr>
          <w:ilvl w:val="0"/>
          <w:numId w:val="18"/>
        </w:numPr>
        <w:spacing w:after="180"/>
        <w:ind w:firstLineChars="0"/>
        <w:rPr>
          <w:rFonts w:ascii="Times New Roman" w:hAnsi="Times New Roman" w:cs="Times New Roman"/>
          <w:b/>
          <w:sz w:val="20"/>
          <w:szCs w:val="20"/>
        </w:rPr>
      </w:pPr>
      <w:r w:rsidRPr="005809DF">
        <w:rPr>
          <w:rFonts w:ascii="Times New Roman" w:hAnsi="Times New Roman" w:cs="Times New Roman"/>
          <w:b/>
          <w:sz w:val="20"/>
          <w:szCs w:val="20"/>
        </w:rPr>
        <w:t>The default TCI state(s) can be the two activated TCI state(s) with lowest ID corresponding to two TRPs.</w:t>
      </w:r>
    </w:p>
    <w:p w14:paraId="7737CF6D" w14:textId="0BA09A0E" w:rsidR="006A0094" w:rsidRDefault="006A0094" w:rsidP="006A0094">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STxMP operation, a UE is configure a UE-specific maximum power and calculates at most two scheduling powers.</w:t>
      </w:r>
    </w:p>
    <w:p w14:paraId="2B42C861" w14:textId="7684FE1C" w:rsidR="006A0094" w:rsidRPr="006A0094" w:rsidRDefault="006A0094" w:rsidP="006A0094">
      <w:pPr>
        <w:pStyle w:val="aa"/>
        <w:spacing w:after="180"/>
        <w:ind w:firstLineChars="0" w:firstLine="0"/>
        <w:rPr>
          <w:rFonts w:ascii="Times New Roman" w:hAnsi="Times New Roman" w:cs="Times New Roman"/>
          <w:b/>
          <w:sz w:val="20"/>
          <w:szCs w:val="20"/>
        </w:rPr>
      </w:pPr>
      <w:r w:rsidRPr="006A0094">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3A74D8AF" w14:textId="77777777" w:rsidR="00D920AE" w:rsidRPr="00AE30B2" w:rsidRDefault="00D920AE" w:rsidP="00D920AE">
      <w:pPr>
        <w:pStyle w:val="aa"/>
        <w:numPr>
          <w:ilvl w:val="0"/>
          <w:numId w:val="18"/>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2FA994DB" w14:textId="77777777" w:rsidR="00D920AE" w:rsidRDefault="00D920AE" w:rsidP="00D920AE">
      <w:pPr>
        <w:pStyle w:val="aa"/>
        <w:numPr>
          <w:ilvl w:val="0"/>
          <w:numId w:val="18"/>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2D1965DB" w14:textId="77777777" w:rsidR="00F85266" w:rsidRPr="006A0094" w:rsidRDefault="00F85266" w:rsidP="00F85266">
      <w:pPr>
        <w:spacing w:after="180"/>
        <w:rPr>
          <w:rFonts w:ascii="Times New Roman" w:hAnsi="Times New Roman" w:cs="Times New Roman"/>
          <w:sz w:val="20"/>
          <w:szCs w:val="20"/>
        </w:rPr>
      </w:pPr>
    </w:p>
    <w:p w14:paraId="0FDDB0B5" w14:textId="2F6E6593" w:rsidR="00C804D4" w:rsidRPr="00F85266" w:rsidRDefault="00C804D4" w:rsidP="00F85266"/>
    <w:sectPr w:rsidR="00C804D4" w:rsidRPr="00F85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45CAB" w14:textId="77777777" w:rsidR="008D78F1" w:rsidRDefault="008D78F1" w:rsidP="001A2C68">
      <w:r>
        <w:separator/>
      </w:r>
    </w:p>
  </w:endnote>
  <w:endnote w:type="continuationSeparator" w:id="0">
    <w:p w14:paraId="28BA074D" w14:textId="77777777" w:rsidR="008D78F1" w:rsidRDefault="008D78F1" w:rsidP="001A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auto"/>
    <w:pitch w:val="variable"/>
    <w:sig w:usb0="A00002FF" w:usb1="28CFFCFA"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2D47E" w14:textId="77777777" w:rsidR="008D78F1" w:rsidRDefault="008D78F1" w:rsidP="001A2C68">
      <w:r>
        <w:separator/>
      </w:r>
    </w:p>
  </w:footnote>
  <w:footnote w:type="continuationSeparator" w:id="0">
    <w:p w14:paraId="0837880E" w14:textId="77777777" w:rsidR="008D78F1" w:rsidRDefault="008D78F1" w:rsidP="001A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C07CE778"/>
    <w:lvl w:ilvl="0" w:tplc="061E06BC">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EA19E4"/>
    <w:multiLevelType w:val="hybridMultilevel"/>
    <w:tmpl w:val="E66C53C8"/>
    <w:lvl w:ilvl="0" w:tplc="EBB0863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1F3A6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AA3EE5"/>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6" w15:restartNumberingAfterBreak="0">
    <w:nsid w:val="57DC6E90"/>
    <w:multiLevelType w:val="multilevel"/>
    <w:tmpl w:val="AF5013A2"/>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EBF009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2"/>
  </w:num>
  <w:num w:numId="3">
    <w:abstractNumId w:val="8"/>
  </w:num>
  <w:num w:numId="4">
    <w:abstractNumId w:val="13"/>
  </w:num>
  <w:num w:numId="5">
    <w:abstractNumId w:val="3"/>
  </w:num>
  <w:num w:numId="6">
    <w:abstractNumId w:val="15"/>
  </w:num>
  <w:num w:numId="7">
    <w:abstractNumId w:val="17"/>
  </w:num>
  <w:num w:numId="8">
    <w:abstractNumId w:val="7"/>
  </w:num>
  <w:num w:numId="9">
    <w:abstractNumId w:val="2"/>
  </w:num>
  <w:num w:numId="10">
    <w:abstractNumId w:val="19"/>
  </w:num>
  <w:num w:numId="11">
    <w:abstractNumId w:val="5"/>
  </w:num>
  <w:num w:numId="12">
    <w:abstractNumId w:val="21"/>
  </w:num>
  <w:num w:numId="13">
    <w:abstractNumId w:val="10"/>
  </w:num>
  <w:num w:numId="14">
    <w:abstractNumId w:val="1"/>
  </w:num>
  <w:num w:numId="15">
    <w:abstractNumId w:val="20"/>
  </w:num>
  <w:num w:numId="16">
    <w:abstractNumId w:val="6"/>
  </w:num>
  <w:num w:numId="17">
    <w:abstractNumId w:val="23"/>
  </w:num>
  <w:num w:numId="18">
    <w:abstractNumId w:val="14"/>
  </w:num>
  <w:num w:numId="19">
    <w:abstractNumId w:val="4"/>
  </w:num>
  <w:num w:numId="20">
    <w:abstractNumId w:val="11"/>
  </w:num>
  <w:num w:numId="21">
    <w:abstractNumId w:val="22"/>
  </w:num>
  <w:num w:numId="22">
    <w:abstractNumId w:val="9"/>
  </w:num>
  <w:num w:numId="23">
    <w:abstractNumId w:val="1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33"/>
    <w:rsid w:val="00010B4B"/>
    <w:rsid w:val="000151FE"/>
    <w:rsid w:val="00015AFE"/>
    <w:rsid w:val="00044AE3"/>
    <w:rsid w:val="000558AA"/>
    <w:rsid w:val="00066B24"/>
    <w:rsid w:val="0008135D"/>
    <w:rsid w:val="0008374B"/>
    <w:rsid w:val="00092992"/>
    <w:rsid w:val="00095686"/>
    <w:rsid w:val="000A4360"/>
    <w:rsid w:val="000B1FFC"/>
    <w:rsid w:val="000B3454"/>
    <w:rsid w:val="000E7A70"/>
    <w:rsid w:val="000F5D9B"/>
    <w:rsid w:val="00101C8E"/>
    <w:rsid w:val="00136D04"/>
    <w:rsid w:val="00140AB1"/>
    <w:rsid w:val="00193ED9"/>
    <w:rsid w:val="00193FCC"/>
    <w:rsid w:val="001A2C68"/>
    <w:rsid w:val="001A4696"/>
    <w:rsid w:val="00223EF8"/>
    <w:rsid w:val="002313AF"/>
    <w:rsid w:val="0026642D"/>
    <w:rsid w:val="00285A8C"/>
    <w:rsid w:val="002B3243"/>
    <w:rsid w:val="002C7D44"/>
    <w:rsid w:val="002D674A"/>
    <w:rsid w:val="002F6192"/>
    <w:rsid w:val="00317C9A"/>
    <w:rsid w:val="00354A48"/>
    <w:rsid w:val="0036638B"/>
    <w:rsid w:val="0039182A"/>
    <w:rsid w:val="003E0D5E"/>
    <w:rsid w:val="003E2FDE"/>
    <w:rsid w:val="003E7333"/>
    <w:rsid w:val="003F2CB6"/>
    <w:rsid w:val="003F4233"/>
    <w:rsid w:val="003F5F91"/>
    <w:rsid w:val="004356DD"/>
    <w:rsid w:val="004578C1"/>
    <w:rsid w:val="00497C83"/>
    <w:rsid w:val="004D04DA"/>
    <w:rsid w:val="004F1E96"/>
    <w:rsid w:val="00506048"/>
    <w:rsid w:val="005139FC"/>
    <w:rsid w:val="0053097E"/>
    <w:rsid w:val="005530F9"/>
    <w:rsid w:val="00554FD4"/>
    <w:rsid w:val="0057798F"/>
    <w:rsid w:val="005809DF"/>
    <w:rsid w:val="00584BFB"/>
    <w:rsid w:val="0058642B"/>
    <w:rsid w:val="005A2100"/>
    <w:rsid w:val="005A401C"/>
    <w:rsid w:val="005B2A0E"/>
    <w:rsid w:val="005E15D9"/>
    <w:rsid w:val="00604351"/>
    <w:rsid w:val="00607727"/>
    <w:rsid w:val="00613878"/>
    <w:rsid w:val="00632047"/>
    <w:rsid w:val="00632500"/>
    <w:rsid w:val="0063554A"/>
    <w:rsid w:val="00656C23"/>
    <w:rsid w:val="006A0094"/>
    <w:rsid w:val="006A155E"/>
    <w:rsid w:val="006B0C2B"/>
    <w:rsid w:val="006C6054"/>
    <w:rsid w:val="006D5F9D"/>
    <w:rsid w:val="006D7978"/>
    <w:rsid w:val="00707513"/>
    <w:rsid w:val="007177DE"/>
    <w:rsid w:val="00722BE7"/>
    <w:rsid w:val="007337EF"/>
    <w:rsid w:val="0076401D"/>
    <w:rsid w:val="00795785"/>
    <w:rsid w:val="007A091C"/>
    <w:rsid w:val="007B5F0A"/>
    <w:rsid w:val="007E1A2F"/>
    <w:rsid w:val="008311A8"/>
    <w:rsid w:val="00856056"/>
    <w:rsid w:val="0087266C"/>
    <w:rsid w:val="008777F3"/>
    <w:rsid w:val="008D78F1"/>
    <w:rsid w:val="008E491E"/>
    <w:rsid w:val="00903092"/>
    <w:rsid w:val="009253CC"/>
    <w:rsid w:val="00956262"/>
    <w:rsid w:val="0096346E"/>
    <w:rsid w:val="00973C45"/>
    <w:rsid w:val="00973FBD"/>
    <w:rsid w:val="00975177"/>
    <w:rsid w:val="00984AD1"/>
    <w:rsid w:val="009A5491"/>
    <w:rsid w:val="009C4736"/>
    <w:rsid w:val="009C5921"/>
    <w:rsid w:val="009F66A4"/>
    <w:rsid w:val="00A33D57"/>
    <w:rsid w:val="00A42D22"/>
    <w:rsid w:val="00A62A13"/>
    <w:rsid w:val="00A96BE2"/>
    <w:rsid w:val="00AA3081"/>
    <w:rsid w:val="00AA7F02"/>
    <w:rsid w:val="00AE1D7D"/>
    <w:rsid w:val="00B0714E"/>
    <w:rsid w:val="00B16285"/>
    <w:rsid w:val="00B3752C"/>
    <w:rsid w:val="00B429D0"/>
    <w:rsid w:val="00B46DB7"/>
    <w:rsid w:val="00B638C0"/>
    <w:rsid w:val="00B8649E"/>
    <w:rsid w:val="00B956C4"/>
    <w:rsid w:val="00C13613"/>
    <w:rsid w:val="00C15FCF"/>
    <w:rsid w:val="00C24C7A"/>
    <w:rsid w:val="00C409BD"/>
    <w:rsid w:val="00C4382C"/>
    <w:rsid w:val="00C55EB7"/>
    <w:rsid w:val="00C60676"/>
    <w:rsid w:val="00C804D4"/>
    <w:rsid w:val="00C8132C"/>
    <w:rsid w:val="00C81BFB"/>
    <w:rsid w:val="00C95620"/>
    <w:rsid w:val="00CA4875"/>
    <w:rsid w:val="00CA5A91"/>
    <w:rsid w:val="00CC554B"/>
    <w:rsid w:val="00CF28E1"/>
    <w:rsid w:val="00CF7EE3"/>
    <w:rsid w:val="00D00512"/>
    <w:rsid w:val="00D01F42"/>
    <w:rsid w:val="00D05433"/>
    <w:rsid w:val="00D20676"/>
    <w:rsid w:val="00D56DBE"/>
    <w:rsid w:val="00D920AE"/>
    <w:rsid w:val="00DB78FA"/>
    <w:rsid w:val="00DC145E"/>
    <w:rsid w:val="00DD665B"/>
    <w:rsid w:val="00DE3122"/>
    <w:rsid w:val="00E4449F"/>
    <w:rsid w:val="00E50F34"/>
    <w:rsid w:val="00E525D1"/>
    <w:rsid w:val="00E768CB"/>
    <w:rsid w:val="00EB1A1D"/>
    <w:rsid w:val="00EB1E4E"/>
    <w:rsid w:val="00EB3DA1"/>
    <w:rsid w:val="00ED08D3"/>
    <w:rsid w:val="00EE4F25"/>
    <w:rsid w:val="00F03172"/>
    <w:rsid w:val="00F146AB"/>
    <w:rsid w:val="00F21B4F"/>
    <w:rsid w:val="00F235CE"/>
    <w:rsid w:val="00F55C1A"/>
    <w:rsid w:val="00F677E5"/>
    <w:rsid w:val="00F72F44"/>
    <w:rsid w:val="00F77281"/>
    <w:rsid w:val="00F85266"/>
    <w:rsid w:val="00FB797D"/>
    <w:rsid w:val="00FD0F93"/>
    <w:rsid w:val="00FE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44A82"/>
  <w15:chartTrackingRefBased/>
  <w15:docId w15:val="{A0881295-925C-4578-894D-62537DFC0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266"/>
    <w:pPr>
      <w:widowControl w:val="0"/>
      <w:jc w:val="both"/>
    </w:pPr>
  </w:style>
  <w:style w:type="paragraph" w:styleId="1">
    <w:name w:val="heading 1"/>
    <w:basedOn w:val="a"/>
    <w:next w:val="a"/>
    <w:link w:val="10"/>
    <w:uiPriority w:val="9"/>
    <w:qFormat/>
    <w:rsid w:val="001A2C6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A2C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525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C68"/>
    <w:rPr>
      <w:sz w:val="18"/>
      <w:szCs w:val="18"/>
    </w:rPr>
  </w:style>
  <w:style w:type="paragraph" w:styleId="a5">
    <w:name w:val="footer"/>
    <w:basedOn w:val="a"/>
    <w:link w:val="a6"/>
    <w:uiPriority w:val="99"/>
    <w:unhideWhenUsed/>
    <w:rsid w:val="001A2C68"/>
    <w:pPr>
      <w:tabs>
        <w:tab w:val="center" w:pos="4153"/>
        <w:tab w:val="right" w:pos="8306"/>
      </w:tabs>
      <w:snapToGrid w:val="0"/>
      <w:jc w:val="left"/>
    </w:pPr>
    <w:rPr>
      <w:sz w:val="18"/>
      <w:szCs w:val="18"/>
    </w:rPr>
  </w:style>
  <w:style w:type="character" w:customStyle="1" w:styleId="a6">
    <w:name w:val="页脚 字符"/>
    <w:basedOn w:val="a0"/>
    <w:link w:val="a5"/>
    <w:uiPriority w:val="99"/>
    <w:rsid w:val="001A2C68"/>
    <w:rPr>
      <w:sz w:val="18"/>
      <w:szCs w:val="18"/>
    </w:rPr>
  </w:style>
  <w:style w:type="character" w:customStyle="1" w:styleId="10">
    <w:name w:val="标题 1 字符"/>
    <w:basedOn w:val="a0"/>
    <w:link w:val="1"/>
    <w:uiPriority w:val="9"/>
    <w:rsid w:val="001A2C68"/>
    <w:rPr>
      <w:b/>
      <w:bCs/>
      <w:kern w:val="44"/>
      <w:sz w:val="44"/>
      <w:szCs w:val="44"/>
    </w:rPr>
  </w:style>
  <w:style w:type="character" w:customStyle="1" w:styleId="20">
    <w:name w:val="标题 2 字符"/>
    <w:basedOn w:val="a0"/>
    <w:link w:val="2"/>
    <w:uiPriority w:val="9"/>
    <w:rsid w:val="001A2C68"/>
    <w:rPr>
      <w:rFonts w:asciiTheme="majorHAnsi" w:eastAsiaTheme="majorEastAsia" w:hAnsiTheme="majorHAnsi" w:cstheme="majorBidi"/>
      <w:b/>
      <w:bCs/>
      <w:sz w:val="32"/>
      <w:szCs w:val="32"/>
    </w:rPr>
  </w:style>
  <w:style w:type="table" w:styleId="a7">
    <w:name w:val="Table Grid"/>
    <w:basedOn w:val="a1"/>
    <w:qFormat/>
    <w:rsid w:val="001A2C6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link w:val="a9"/>
    <w:uiPriority w:val="35"/>
    <w:unhideWhenUsed/>
    <w:qFormat/>
    <w:rsid w:val="001A2C68"/>
    <w:rPr>
      <w:rFonts w:asciiTheme="majorHAnsi" w:eastAsia="黑体" w:hAnsiTheme="majorHAnsi" w:cstheme="majorBidi"/>
      <w:sz w:val="20"/>
      <w:szCs w:val="20"/>
    </w:rPr>
  </w:style>
  <w:style w:type="paragraph" w:styleId="a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b"/>
    <w:uiPriority w:val="34"/>
    <w:qFormat/>
    <w:rsid w:val="001A2C68"/>
    <w:pPr>
      <w:ind w:firstLineChars="200" w:firstLine="420"/>
    </w:pPr>
  </w:style>
  <w:style w:type="character" w:customStyle="1" w:styleId="ab">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58642B"/>
  </w:style>
  <w:style w:type="character" w:styleId="ac">
    <w:name w:val="Placeholder Text"/>
    <w:basedOn w:val="a0"/>
    <w:uiPriority w:val="99"/>
    <w:semiHidden/>
    <w:rsid w:val="005A401C"/>
    <w:rPr>
      <w:color w:val="808080"/>
    </w:rPr>
  </w:style>
  <w:style w:type="character" w:customStyle="1" w:styleId="30">
    <w:name w:val="标题 3 字符"/>
    <w:basedOn w:val="a0"/>
    <w:link w:val="3"/>
    <w:uiPriority w:val="9"/>
    <w:rsid w:val="00E525D1"/>
    <w:rPr>
      <w:b/>
      <w:bCs/>
      <w:sz w:val="32"/>
      <w:szCs w:val="32"/>
    </w:rPr>
  </w:style>
  <w:style w:type="character" w:customStyle="1" w:styleId="a9">
    <w:name w:val="题注 字符"/>
    <w:link w:val="a8"/>
    <w:uiPriority w:val="35"/>
    <w:qFormat/>
    <w:rsid w:val="00F85266"/>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24675">
      <w:bodyDiv w:val="1"/>
      <w:marLeft w:val="0"/>
      <w:marRight w:val="0"/>
      <w:marTop w:val="0"/>
      <w:marBottom w:val="0"/>
      <w:divBdr>
        <w:top w:val="none" w:sz="0" w:space="0" w:color="auto"/>
        <w:left w:val="none" w:sz="0" w:space="0" w:color="auto"/>
        <w:bottom w:val="none" w:sz="0" w:space="0" w:color="auto"/>
        <w:right w:val="none" w:sz="0" w:space="0" w:color="auto"/>
      </w:divBdr>
    </w:div>
    <w:div w:id="1570923582">
      <w:bodyDiv w:val="1"/>
      <w:marLeft w:val="0"/>
      <w:marRight w:val="0"/>
      <w:marTop w:val="0"/>
      <w:marBottom w:val="0"/>
      <w:divBdr>
        <w:top w:val="none" w:sz="0" w:space="0" w:color="auto"/>
        <w:left w:val="none" w:sz="0" w:space="0" w:color="auto"/>
        <w:bottom w:val="none" w:sz="0" w:space="0" w:color="auto"/>
        <w:right w:val="none" w:sz="0" w:space="0" w:color="auto"/>
      </w:divBdr>
    </w:div>
    <w:div w:id="18360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1645</TotalTime>
  <Pages>6</Pages>
  <Words>2089</Words>
  <Characters>11911</Characters>
  <Application>Microsoft Office Word</Application>
  <DocSecurity>0</DocSecurity>
  <Lines>99</Lines>
  <Paragraphs>27</Paragraphs>
  <ScaleCrop>false</ScaleCrop>
  <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Fred</dc:creator>
  <cp:keywords/>
  <dc:description/>
  <cp:lastModifiedBy>刘凯</cp:lastModifiedBy>
  <cp:revision>96</cp:revision>
  <dcterms:created xsi:type="dcterms:W3CDTF">2022-09-18T08:18:00Z</dcterms:created>
  <dcterms:modified xsi:type="dcterms:W3CDTF">2023-02-17T08:52:00Z</dcterms:modified>
</cp:coreProperties>
</file>