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B01B3" w14:textId="626153A4" w:rsidR="00D76093" w:rsidRDefault="00122FF3" w:rsidP="00D76093">
      <w:pPr>
        <w:pStyle w:val="a4"/>
        <w:tabs>
          <w:tab w:val="right" w:pos="10206"/>
        </w:tabs>
        <w:spacing w:after="0" w:afterAutospacing="0"/>
        <w:rPr>
          <w:rFonts w:cs="Arial"/>
          <w:noProof w:val="0"/>
          <w:sz w:val="28"/>
          <w:szCs w:val="28"/>
          <w:lang w:val="en-US"/>
        </w:rPr>
      </w:pPr>
      <w:bookmarkStart w:id="0" w:name="OLE_LINK3"/>
      <w:r w:rsidRPr="00122FF3">
        <w:rPr>
          <w:rFonts w:cs="Arial"/>
          <w:noProof w:val="0"/>
          <w:sz w:val="28"/>
          <w:szCs w:val="28"/>
          <w:lang w:val="en-US"/>
        </w:rPr>
        <w:t>3GPP TSG RAN WG1 #1</w:t>
      </w:r>
      <w:r w:rsidR="001745DE">
        <w:rPr>
          <w:rFonts w:cs="Arial"/>
          <w:noProof w:val="0"/>
          <w:sz w:val="28"/>
          <w:szCs w:val="28"/>
          <w:lang w:val="en-US"/>
        </w:rPr>
        <w:t>1</w:t>
      </w:r>
      <w:r w:rsidR="00A1121C">
        <w:rPr>
          <w:rFonts w:cs="Arial" w:hint="eastAsia"/>
          <w:noProof w:val="0"/>
          <w:sz w:val="28"/>
          <w:szCs w:val="28"/>
          <w:lang w:val="en-US"/>
        </w:rPr>
        <w:t>1</w:t>
      </w:r>
      <w:r w:rsidR="00D76093">
        <w:rPr>
          <w:rFonts w:cs="Arial"/>
          <w:noProof w:val="0"/>
          <w:sz w:val="28"/>
          <w:szCs w:val="28"/>
          <w:lang w:val="en-US"/>
        </w:rPr>
        <w:tab/>
      </w:r>
      <w:r w:rsidR="009B702F" w:rsidRPr="009B702F">
        <w:rPr>
          <w:rFonts w:cs="Arial"/>
          <w:noProof w:val="0"/>
          <w:sz w:val="28"/>
          <w:szCs w:val="28"/>
          <w:lang w:val="en-US"/>
        </w:rPr>
        <w:t>R1-2212182</w:t>
      </w:r>
    </w:p>
    <w:p w14:paraId="79093A31" w14:textId="7123887A" w:rsidR="00D675E5" w:rsidRDefault="00A1121C" w:rsidP="00D675E5">
      <w:pPr>
        <w:tabs>
          <w:tab w:val="center" w:pos="4536"/>
          <w:tab w:val="right" w:pos="9072"/>
        </w:tabs>
        <w:rPr>
          <w:rFonts w:ascii="Arial" w:eastAsia="ＭＳ 明朝" w:hAnsi="Arial" w:cs="Arial"/>
          <w:b/>
          <w:bCs/>
          <w:sz w:val="28"/>
        </w:rPr>
      </w:pPr>
      <w:bookmarkStart w:id="1" w:name="_Ref133120545"/>
      <w:bookmarkEnd w:id="0"/>
      <w:r>
        <w:rPr>
          <w:rFonts w:ascii="Arial" w:eastAsia="ＭＳ 明朝" w:hAnsi="Arial" w:cs="Arial"/>
          <w:b/>
          <w:bCs/>
          <w:sz w:val="28"/>
        </w:rPr>
        <w:t>Toulouse, France</w:t>
      </w:r>
      <w:r w:rsidRPr="00A80D3B">
        <w:rPr>
          <w:rFonts w:ascii="Arial" w:eastAsia="ＭＳ 明朝" w:hAnsi="Arial" w:cs="Arial"/>
          <w:b/>
          <w:bCs/>
          <w:sz w:val="28"/>
        </w:rPr>
        <w:t xml:space="preserve">, </w:t>
      </w:r>
      <w:r>
        <w:rPr>
          <w:rFonts w:ascii="Arial" w:eastAsia="ＭＳ 明朝" w:hAnsi="Arial" w:cs="Arial"/>
          <w:b/>
          <w:bCs/>
          <w:sz w:val="28"/>
        </w:rPr>
        <w:t>November</w:t>
      </w:r>
      <w:r w:rsidRPr="00A80D3B">
        <w:rPr>
          <w:rFonts w:ascii="Arial" w:eastAsia="ＭＳ 明朝" w:hAnsi="Arial" w:cs="Arial"/>
          <w:b/>
          <w:bCs/>
          <w:sz w:val="28"/>
        </w:rPr>
        <w:t xml:space="preserve"> </w:t>
      </w:r>
      <w:r>
        <w:rPr>
          <w:rFonts w:ascii="Arial" w:eastAsia="ＭＳ 明朝" w:hAnsi="Arial" w:cs="Arial"/>
          <w:b/>
          <w:bCs/>
          <w:sz w:val="28"/>
        </w:rPr>
        <w:t>14</w:t>
      </w:r>
      <w:r>
        <w:rPr>
          <w:rFonts w:ascii="Arial" w:eastAsia="ＭＳ 明朝" w:hAnsi="Arial" w:cs="Arial"/>
          <w:b/>
          <w:bCs/>
          <w:sz w:val="28"/>
          <w:vertAlign w:val="superscript"/>
        </w:rPr>
        <w:t>th</w:t>
      </w:r>
      <w:r>
        <w:rPr>
          <w:rFonts w:ascii="Arial" w:eastAsia="ＭＳ 明朝" w:hAnsi="Arial" w:cs="Arial"/>
          <w:b/>
          <w:bCs/>
          <w:sz w:val="28"/>
        </w:rPr>
        <w:t xml:space="preserve"> </w:t>
      </w:r>
      <w:r w:rsidRPr="00A80D3B">
        <w:rPr>
          <w:rFonts w:ascii="Arial" w:eastAsia="ＭＳ 明朝" w:hAnsi="Arial" w:cs="Arial"/>
          <w:b/>
          <w:bCs/>
          <w:sz w:val="28"/>
        </w:rPr>
        <w:t xml:space="preserve">– </w:t>
      </w:r>
      <w:r>
        <w:rPr>
          <w:rFonts w:ascii="Arial" w:eastAsia="ＭＳ 明朝" w:hAnsi="Arial" w:cs="Arial"/>
          <w:b/>
          <w:bCs/>
          <w:sz w:val="28"/>
        </w:rPr>
        <w:t>18</w:t>
      </w:r>
      <w:r w:rsidRPr="00A80D3B">
        <w:rPr>
          <w:rFonts w:ascii="Arial" w:eastAsia="ＭＳ 明朝" w:hAnsi="Arial" w:cs="Arial"/>
          <w:b/>
          <w:bCs/>
          <w:sz w:val="28"/>
          <w:vertAlign w:val="superscript"/>
        </w:rPr>
        <w:t>th</w:t>
      </w:r>
      <w:r w:rsidRPr="00A80D3B">
        <w:rPr>
          <w:rFonts w:ascii="Arial" w:eastAsia="ＭＳ 明朝" w:hAnsi="Arial" w:cs="Arial"/>
          <w:b/>
          <w:bCs/>
          <w:sz w:val="28"/>
        </w:rPr>
        <w:t>, 2022</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04682F89"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6A32EA" w:rsidRPr="006A32EA">
        <w:rPr>
          <w:rFonts w:ascii="Arial" w:hAnsi="Arial" w:cs="Arial"/>
          <w:b/>
          <w:color w:val="000000" w:themeColor="text1"/>
          <w:sz w:val="28"/>
          <w:szCs w:val="28"/>
          <w:lang w:val="en-US"/>
        </w:rPr>
        <w:t>Power domain enhancements</w:t>
      </w:r>
      <w:r w:rsidR="00A875A2">
        <w:rPr>
          <w:rFonts w:ascii="Arial" w:hAnsi="Arial" w:cs="Arial"/>
          <w:b/>
          <w:color w:val="000000" w:themeColor="text1"/>
          <w:sz w:val="28"/>
          <w:szCs w:val="28"/>
          <w:lang w:val="en-US"/>
        </w:rPr>
        <w:t xml:space="preserve"> for Rel-18 </w:t>
      </w:r>
      <w:proofErr w:type="spellStart"/>
      <w:r w:rsidR="00A875A2">
        <w:rPr>
          <w:rFonts w:ascii="Arial" w:hAnsi="Arial" w:cs="Arial"/>
          <w:b/>
          <w:color w:val="000000" w:themeColor="text1"/>
          <w:sz w:val="28"/>
          <w:szCs w:val="28"/>
          <w:lang w:val="en-US"/>
        </w:rPr>
        <w:t>CovEnh</w:t>
      </w:r>
      <w:proofErr w:type="spellEnd"/>
      <w:r w:rsidR="00A875A2">
        <w:rPr>
          <w:rFonts w:ascii="Arial" w:hAnsi="Arial" w:cs="Arial"/>
          <w:b/>
          <w:color w:val="000000" w:themeColor="text1"/>
          <w:sz w:val="28"/>
          <w:szCs w:val="28"/>
          <w:lang w:val="en-US"/>
        </w:rPr>
        <w:t xml:space="preserve"> </w:t>
      </w:r>
    </w:p>
    <w:p w14:paraId="369A72EC" w14:textId="3A7D85CD"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404C4C">
        <w:rPr>
          <w:rFonts w:ascii="Arial" w:hAnsi="Arial" w:cs="Arial"/>
          <w:b/>
          <w:color w:val="000000" w:themeColor="text1"/>
          <w:sz w:val="28"/>
          <w:szCs w:val="28"/>
          <w:lang w:val="en-US"/>
        </w:rPr>
        <w:t>1</w:t>
      </w:r>
      <w:r w:rsidR="00E17FA0">
        <w:rPr>
          <w:rFonts w:ascii="Arial" w:hAnsi="Arial" w:cs="Arial" w:hint="eastAsia"/>
          <w:b/>
          <w:color w:val="000000" w:themeColor="text1"/>
          <w:sz w:val="28"/>
          <w:szCs w:val="28"/>
          <w:lang w:val="en-US"/>
        </w:rPr>
        <w:t>4</w:t>
      </w:r>
      <w:r w:rsidR="00AF31FE" w:rsidRPr="00AD0FF0">
        <w:rPr>
          <w:rFonts w:ascii="Arial" w:hAnsi="Arial" w:cs="Arial"/>
          <w:b/>
          <w:color w:val="000000" w:themeColor="text1"/>
          <w:sz w:val="28"/>
          <w:szCs w:val="28"/>
          <w:lang w:val="en-US"/>
        </w:rPr>
        <w:t>.</w:t>
      </w:r>
      <w:r w:rsidR="006A32EA">
        <w:rPr>
          <w:rFonts w:ascii="Arial" w:hAnsi="Arial" w:cs="Arial"/>
          <w:b/>
          <w:color w:val="000000" w:themeColor="text1"/>
          <w:sz w:val="28"/>
          <w:szCs w:val="28"/>
          <w:lang w:val="en-US"/>
        </w:rPr>
        <w:t>2</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51C52015" w14:textId="15056DF2" w:rsidR="000733DC" w:rsidRPr="004953F0" w:rsidRDefault="000733DC" w:rsidP="000733DC">
      <w:pPr>
        <w:spacing w:before="240" w:after="240" w:afterAutospacing="0"/>
        <w:rPr>
          <w:rFonts w:eastAsiaTheme="minorEastAsia"/>
          <w:color w:val="000000" w:themeColor="text1"/>
          <w:szCs w:val="24"/>
          <w:lang w:val="en-US"/>
        </w:rPr>
      </w:pPr>
      <w:bookmarkStart w:id="3" w:name="_Hlk101443289"/>
      <w:bookmarkStart w:id="4" w:name="OLE_LINK1"/>
      <w:r>
        <w:rPr>
          <w:rFonts w:eastAsiaTheme="minorEastAsia"/>
          <w:color w:val="000000" w:themeColor="text1"/>
          <w:szCs w:val="24"/>
          <w:lang w:val="en-US"/>
        </w:rPr>
        <w:t>In RAN#</w:t>
      </w:r>
      <w:r w:rsidR="00404C4C">
        <w:rPr>
          <w:rFonts w:eastAsiaTheme="minorEastAsia"/>
          <w:color w:val="000000" w:themeColor="text1"/>
          <w:szCs w:val="24"/>
          <w:lang w:val="en-US"/>
        </w:rPr>
        <w:t>96</w:t>
      </w:r>
      <w:r>
        <w:rPr>
          <w:rFonts w:eastAsiaTheme="minorEastAsia"/>
          <w:color w:val="000000" w:themeColor="text1"/>
          <w:szCs w:val="24"/>
          <w:lang w:val="en-US"/>
        </w:rPr>
        <w:t xml:space="preserve">-e, </w:t>
      </w:r>
      <w:r w:rsidR="00404C4C">
        <w:rPr>
          <w:rFonts w:eastAsiaTheme="minorEastAsia"/>
          <w:color w:val="000000" w:themeColor="text1"/>
          <w:szCs w:val="24"/>
          <w:lang w:val="en-US"/>
        </w:rPr>
        <w:t>r</w:t>
      </w:r>
      <w:r w:rsidR="00404C4C" w:rsidRPr="00404C4C">
        <w:rPr>
          <w:rFonts w:eastAsiaTheme="minorEastAsia"/>
          <w:color w:val="000000" w:themeColor="text1"/>
          <w:szCs w:val="24"/>
          <w:lang w:val="en-US"/>
        </w:rPr>
        <w:t>evised WID on Further NR coverage enhancements</w:t>
      </w:r>
      <w:r>
        <w:t xml:space="preserve"> was </w:t>
      </w:r>
      <w:r w:rsidR="00404C4C">
        <w:t>endorsed</w:t>
      </w:r>
      <w:r w:rsidR="00404C4C">
        <w:rPr>
          <w:rFonts w:hint="eastAsia"/>
        </w:rPr>
        <w:t xml:space="preserve"> </w:t>
      </w:r>
      <w:r>
        <w:t>[1]</w:t>
      </w:r>
      <w:r w:rsidR="00404C4C">
        <w:t xml:space="preserve">. One of </w:t>
      </w:r>
      <w:r w:rsidR="00404C4C">
        <w:rPr>
          <w:iCs/>
          <w:lang w:val="en-US"/>
        </w:rPr>
        <w:t xml:space="preserve">the objective of this work item is to specify </w:t>
      </w:r>
      <w:r w:rsidR="006A32EA">
        <w:rPr>
          <w:rFonts w:eastAsia="SimSun"/>
          <w:iCs/>
          <w:lang w:val="en-US" w:eastAsia="zh-CN"/>
        </w:rPr>
        <w:t xml:space="preserve">study </w:t>
      </w:r>
      <w:r w:rsidR="006A32EA" w:rsidRPr="006A32EA">
        <w:rPr>
          <w:rFonts w:eastAsia="SimSun"/>
          <w:iCs/>
          <w:lang w:val="en-US" w:eastAsia="zh-CN"/>
        </w:rPr>
        <w:t>power domain enhancements</w:t>
      </w:r>
      <w:r w:rsidR="00404C4C">
        <w:rPr>
          <w:iCs/>
          <w:lang w:val="en-US"/>
        </w:rPr>
        <w:t xml:space="preserve"> as </w:t>
      </w:r>
      <w:r w:rsidR="00A43A40">
        <w:rPr>
          <w:iCs/>
          <w:lang w:val="en-US"/>
        </w:rPr>
        <w:t xml:space="preserve">the </w:t>
      </w:r>
      <w:r w:rsidR="00404C4C">
        <w:rPr>
          <w:iCs/>
          <w:lang w:val="en-US"/>
        </w:rPr>
        <w:t>following:</w:t>
      </w:r>
    </w:p>
    <w:tbl>
      <w:tblPr>
        <w:tblStyle w:val="af2"/>
        <w:tblW w:w="0" w:type="auto"/>
        <w:tblLook w:val="04A0" w:firstRow="1" w:lastRow="0" w:firstColumn="1" w:lastColumn="0" w:noHBand="0" w:noVBand="1"/>
      </w:tblPr>
      <w:tblGrid>
        <w:gridCol w:w="9954"/>
      </w:tblGrid>
      <w:tr w:rsidR="00935905" w:rsidRPr="00683FDE" w14:paraId="3D44B566" w14:textId="77777777" w:rsidTr="00024731">
        <w:tc>
          <w:tcPr>
            <w:tcW w:w="9954" w:type="dxa"/>
          </w:tcPr>
          <w:p w14:paraId="71D08FA9" w14:textId="77777777" w:rsidR="006A32EA" w:rsidRPr="007843FE" w:rsidRDefault="006A32EA" w:rsidP="006A32EA">
            <w:pPr>
              <w:numPr>
                <w:ilvl w:val="0"/>
                <w:numId w:val="22"/>
              </w:numPr>
              <w:spacing w:before="120" w:after="120" w:line="276" w:lineRule="auto"/>
              <w:rPr>
                <w:rFonts w:eastAsia="SimSun"/>
                <w:lang w:val="en-US" w:eastAsia="zh-CN"/>
              </w:rPr>
            </w:pPr>
            <w:bookmarkStart w:id="5" w:name="_Hlk83924038"/>
            <w:r w:rsidRPr="007843FE">
              <w:rPr>
                <w:rFonts w:eastAsia="SimSun"/>
                <w:lang w:val="en-US" w:eastAsia="zh-CN"/>
              </w:rPr>
              <w:t>Study and if necessary specify following power domain enhancements</w:t>
            </w:r>
          </w:p>
          <w:p w14:paraId="69242FBE" w14:textId="77777777" w:rsidR="006A32EA" w:rsidRPr="007B39D0" w:rsidRDefault="006A32EA" w:rsidP="006A32EA">
            <w:pPr>
              <w:numPr>
                <w:ilvl w:val="1"/>
                <w:numId w:val="22"/>
              </w:numPr>
              <w:spacing w:before="120" w:after="120" w:line="276" w:lineRule="auto"/>
              <w:rPr>
                <w:iCs/>
                <w:lang w:val="en-US"/>
              </w:rPr>
            </w:pPr>
            <w:r w:rsidRPr="007B39D0">
              <w:rPr>
                <w:iCs/>
                <w:lang w:val="en-US"/>
              </w:rPr>
              <w:t xml:space="preserve">Enhancements to realize </w:t>
            </w:r>
            <w:r w:rsidRPr="007B39D0">
              <w:rPr>
                <w:rFonts w:eastAsia="SimSun" w:hint="eastAsia"/>
                <w:iCs/>
                <w:lang w:val="en-US" w:eastAsia="zh-CN"/>
              </w:rPr>
              <w:t>i</w:t>
            </w:r>
            <w:r w:rsidRPr="007B39D0">
              <w:rPr>
                <w:iCs/>
                <w:lang w:val="en-US"/>
              </w:rPr>
              <w:t xml:space="preserve">ncreasing UE power high limit for CA and DC based on Rel-17 RAN4 work on “Increasing UE power high limit for CA and DC”, </w:t>
            </w:r>
            <w:r w:rsidRPr="007B39D0">
              <w:rPr>
                <w:rFonts w:eastAsia="SimSun" w:hint="eastAsia"/>
                <w:iCs/>
                <w:lang w:val="en-US" w:eastAsia="zh-CN"/>
              </w:rPr>
              <w:t xml:space="preserve">in compliance with </w:t>
            </w:r>
            <w:r w:rsidRPr="007B39D0">
              <w:rPr>
                <w:iCs/>
                <w:lang w:val="en-US"/>
              </w:rPr>
              <w:t>relevant regulations</w:t>
            </w:r>
            <w:r>
              <w:rPr>
                <w:iCs/>
                <w:lang w:val="en-US"/>
              </w:rPr>
              <w:t xml:space="preserve"> (RAN4, RAN1)</w:t>
            </w:r>
          </w:p>
          <w:p w14:paraId="358B54E5" w14:textId="37CA0AE0" w:rsidR="00935905" w:rsidRPr="006A32EA" w:rsidRDefault="006A32EA" w:rsidP="006A32EA">
            <w:pPr>
              <w:numPr>
                <w:ilvl w:val="1"/>
                <w:numId w:val="22"/>
              </w:numPr>
              <w:spacing w:before="120" w:after="120" w:line="276" w:lineRule="auto"/>
              <w:rPr>
                <w:iCs/>
                <w:lang w:val="en-US"/>
              </w:rPr>
            </w:pPr>
            <w:r w:rsidRPr="006949AE">
              <w:rPr>
                <w:iCs/>
                <w:lang w:val="en-US"/>
              </w:rPr>
              <w:t xml:space="preserve">Enhancements to reduce MPR/PAR, including </w:t>
            </w:r>
            <w:r w:rsidRPr="00E74766">
              <w:rPr>
                <w:rFonts w:eastAsia="SimSun" w:hint="eastAsia"/>
                <w:iCs/>
                <w:lang w:val="en-US" w:eastAsia="zh-CN"/>
              </w:rPr>
              <w:t xml:space="preserve">frequency domain </w:t>
            </w:r>
            <w:r w:rsidRPr="006949AE">
              <w:rPr>
                <w:iCs/>
                <w:lang w:val="en-US"/>
              </w:rPr>
              <w:t>spectrum shaping</w:t>
            </w:r>
            <w:r w:rsidRPr="004D388E">
              <w:t xml:space="preserve"> </w:t>
            </w:r>
            <w:r w:rsidRPr="004D388E">
              <w:rPr>
                <w:iCs/>
                <w:lang w:val="en-US"/>
              </w:rPr>
              <w:t>with and without spectrum extension for DFT-S-OFDM and tone reservation</w:t>
            </w:r>
            <w:r w:rsidRPr="006949AE">
              <w:rPr>
                <w:iCs/>
                <w:lang w:val="en-US"/>
              </w:rPr>
              <w:t xml:space="preserve"> (RAN4, RAN1)</w:t>
            </w:r>
          </w:p>
        </w:tc>
      </w:tr>
    </w:tbl>
    <w:bookmarkEnd w:id="5"/>
    <w:p w14:paraId="0FEFEC97" w14:textId="0E3DE3B0" w:rsidR="00935905" w:rsidRDefault="00935905" w:rsidP="00935905">
      <w:pPr>
        <w:rPr>
          <w:rFonts w:eastAsia="ＭＳ 明朝"/>
          <w:color w:val="000000" w:themeColor="text1"/>
        </w:rPr>
      </w:pPr>
      <w:r w:rsidRPr="00683FDE">
        <w:rPr>
          <w:rFonts w:eastAsia="ＭＳ 明朝"/>
          <w:color w:val="000000" w:themeColor="text1"/>
        </w:rPr>
        <w:t>In this contribution, we</w:t>
      </w:r>
      <w:r>
        <w:rPr>
          <w:rFonts w:eastAsia="ＭＳ 明朝"/>
          <w:color w:val="000000" w:themeColor="text1"/>
        </w:rPr>
        <w:t xml:space="preserve"> share the view o</w:t>
      </w:r>
      <w:r w:rsidR="00404C4C">
        <w:rPr>
          <w:rFonts w:eastAsia="ＭＳ 明朝"/>
          <w:color w:val="000000" w:themeColor="text1"/>
        </w:rPr>
        <w:t>n</w:t>
      </w:r>
      <w:r w:rsidR="00404C4C" w:rsidRPr="00404C4C">
        <w:t xml:space="preserve"> </w:t>
      </w:r>
      <w:r w:rsidR="006A32EA" w:rsidRPr="006A32EA">
        <w:rPr>
          <w:rFonts w:eastAsia="ＭＳ 明朝"/>
          <w:color w:val="000000" w:themeColor="text1"/>
        </w:rPr>
        <w:t>power domain enhancements</w:t>
      </w:r>
      <w:r w:rsidR="000914B6" w:rsidRPr="000914B6">
        <w:rPr>
          <w:rFonts w:eastAsia="ＭＳ 明朝"/>
          <w:color w:val="000000" w:themeColor="text1"/>
        </w:rPr>
        <w:t xml:space="preserve"> for Rel-18 </w:t>
      </w:r>
      <w:r w:rsidR="00CC072E">
        <w:rPr>
          <w:rFonts w:eastAsia="ＭＳ 明朝"/>
          <w:color w:val="000000" w:themeColor="text1"/>
        </w:rPr>
        <w:t>coverage enhancement</w:t>
      </w:r>
      <w:r w:rsidRPr="00683FDE">
        <w:rPr>
          <w:rFonts w:eastAsia="ＭＳ 明朝"/>
          <w:color w:val="000000" w:themeColor="text1"/>
        </w:rPr>
        <w:t>.</w:t>
      </w:r>
    </w:p>
    <w:bookmarkEnd w:id="3"/>
    <w:p w14:paraId="2EF708C8" w14:textId="1B843EC7" w:rsidR="00322B14" w:rsidRDefault="00656E99" w:rsidP="0025513F">
      <w:pPr>
        <w:pStyle w:val="10"/>
        <w:spacing w:after="180"/>
        <w:rPr>
          <w:color w:val="000000" w:themeColor="text1"/>
          <w:lang w:val="en-US"/>
        </w:rPr>
      </w:pPr>
      <w:r w:rsidRPr="00683FDE">
        <w:rPr>
          <w:color w:val="000000" w:themeColor="text1"/>
          <w:lang w:val="en-US"/>
        </w:rPr>
        <w:t>Discussions</w:t>
      </w:r>
    </w:p>
    <w:p w14:paraId="400811FE" w14:textId="4C0DB5E1" w:rsidR="00AB498D" w:rsidRDefault="00AB498D" w:rsidP="00AB498D">
      <w:pPr>
        <w:pStyle w:val="20"/>
        <w:rPr>
          <w:lang w:val="en-US"/>
        </w:rPr>
      </w:pPr>
      <w:r w:rsidRPr="00AB498D">
        <w:rPr>
          <w:lang w:val="en-US"/>
        </w:rPr>
        <w:t>Enhancements to realize increasing UE power high limit for CA and DC</w:t>
      </w:r>
    </w:p>
    <w:p w14:paraId="5BBEE325" w14:textId="77777777" w:rsidR="00A1121C" w:rsidRDefault="002F434E" w:rsidP="005E68FD">
      <w:pPr>
        <w:rPr>
          <w:lang w:val="en-US"/>
        </w:rPr>
      </w:pPr>
      <w:r>
        <w:rPr>
          <w:lang w:val="en-US"/>
        </w:rPr>
        <w:t xml:space="preserve">In </w:t>
      </w:r>
      <w:r w:rsidR="00DC1108">
        <w:rPr>
          <w:lang w:val="en-US"/>
        </w:rPr>
        <w:t>RAN4 work “</w:t>
      </w:r>
      <w:r w:rsidR="00DC1108" w:rsidRPr="00DC1108">
        <w:rPr>
          <w:lang w:val="en-US"/>
        </w:rPr>
        <w:t>Increasing UE power high limit for CA and DC</w:t>
      </w:r>
      <w:r w:rsidR="00DC1108">
        <w:rPr>
          <w:lang w:val="en-US"/>
        </w:rPr>
        <w:t>” [2], i</w:t>
      </w:r>
      <w:r w:rsidR="00DC1108" w:rsidRPr="00DC1108">
        <w:rPr>
          <w:lang w:val="en-US"/>
        </w:rPr>
        <w:t>mprovement on power high limit</w:t>
      </w:r>
      <w:r w:rsidR="00DC1108">
        <w:rPr>
          <w:lang w:val="en-US"/>
        </w:rPr>
        <w:t xml:space="preserve"> </w:t>
      </w:r>
      <w:proofErr w:type="spellStart"/>
      <w:r w:rsidR="00DC1108">
        <w:rPr>
          <w:lang w:val="en-US"/>
        </w:rPr>
        <w:t>wad</w:t>
      </w:r>
      <w:proofErr w:type="spellEnd"/>
      <w:r w:rsidR="00DC1108">
        <w:rPr>
          <w:lang w:val="en-US"/>
        </w:rPr>
        <w:t xml:space="preserve"> adopted</w:t>
      </w:r>
      <w:r w:rsidR="00975967">
        <w:rPr>
          <w:lang w:val="en-US"/>
        </w:rPr>
        <w:t>.</w:t>
      </w:r>
      <w:r w:rsidR="00DC1108">
        <w:rPr>
          <w:lang w:val="en-US"/>
        </w:rPr>
        <w:t xml:space="preserve"> More specifically, </w:t>
      </w:r>
      <w:r w:rsidR="00DC1108" w:rsidRPr="00DC1108">
        <w:rPr>
          <w:lang w:val="en-US"/>
        </w:rPr>
        <w:t>maximum output power for dual PA equipped UE’s for CA and DC</w:t>
      </w:r>
      <w:r w:rsidR="00DC1108">
        <w:rPr>
          <w:lang w:val="en-US"/>
        </w:rPr>
        <w:t xml:space="preserve"> is updated such as to be derived by the sum in power limits of serving cells in CA/DC within a frequency range [3] [4].</w:t>
      </w:r>
      <w:r w:rsidR="00315CE1">
        <w:rPr>
          <w:lang w:val="en-US"/>
        </w:rPr>
        <w:t xml:space="preserve"> </w:t>
      </w:r>
    </w:p>
    <w:p w14:paraId="03BC33F9" w14:textId="58A5EBB7" w:rsidR="00A1121C" w:rsidRDefault="00A1121C" w:rsidP="005E68FD">
      <w:pPr>
        <w:rPr>
          <w:lang w:val="en-US"/>
        </w:rPr>
      </w:pPr>
      <w:r>
        <w:rPr>
          <w:rFonts w:hint="eastAsia"/>
          <w:lang w:val="en-US"/>
        </w:rPr>
        <w:t>I</w:t>
      </w:r>
      <w:r>
        <w:rPr>
          <w:lang w:val="en-US"/>
        </w:rPr>
        <w:t>n RAN1#110bis-e meeting, it was actively discussed whether to postpone the RAN1 study related to this issue until RAN4 clarifies what the issue is, and the following agreement was made in this regard.</w:t>
      </w:r>
    </w:p>
    <w:tbl>
      <w:tblPr>
        <w:tblStyle w:val="af2"/>
        <w:tblW w:w="0" w:type="auto"/>
        <w:tblLook w:val="04A0" w:firstRow="1" w:lastRow="0" w:firstColumn="1" w:lastColumn="0" w:noHBand="0" w:noVBand="1"/>
      </w:tblPr>
      <w:tblGrid>
        <w:gridCol w:w="9954"/>
      </w:tblGrid>
      <w:tr w:rsidR="00A1121C" w14:paraId="72EEB503" w14:textId="77777777" w:rsidTr="00A1121C">
        <w:tc>
          <w:tcPr>
            <w:tcW w:w="9954" w:type="dxa"/>
          </w:tcPr>
          <w:p w14:paraId="6C93BC8B" w14:textId="77777777" w:rsidR="00A1121C" w:rsidRPr="008A45A7" w:rsidRDefault="00A1121C" w:rsidP="00A1121C">
            <w:pPr>
              <w:rPr>
                <w:highlight w:val="green"/>
                <w:lang w:eastAsia="x-none"/>
              </w:rPr>
            </w:pPr>
            <w:r w:rsidRPr="008A45A7">
              <w:rPr>
                <w:highlight w:val="green"/>
                <w:lang w:eastAsia="x-none"/>
              </w:rPr>
              <w:t>Agreement</w:t>
            </w:r>
          </w:p>
          <w:p w14:paraId="7AB510F6" w14:textId="77777777" w:rsidR="00A1121C" w:rsidRPr="007D1B71" w:rsidRDefault="00A1121C" w:rsidP="00A1121C">
            <w:pPr>
              <w:rPr>
                <w:sz w:val="22"/>
                <w:szCs w:val="22"/>
              </w:rPr>
            </w:pPr>
            <w:r w:rsidRPr="007D1B71">
              <w:rPr>
                <w:sz w:val="22"/>
                <w:szCs w:val="22"/>
              </w:rPr>
              <w:t xml:space="preserve">For enhancements to realize increasing UE power high limit for CA and DC, RAN1 </w:t>
            </w:r>
            <w:r>
              <w:rPr>
                <w:sz w:val="22"/>
                <w:szCs w:val="22"/>
              </w:rPr>
              <w:t>can</w:t>
            </w:r>
            <w:r w:rsidRPr="007D1B71">
              <w:rPr>
                <w:sz w:val="22"/>
                <w:szCs w:val="22"/>
              </w:rPr>
              <w:t xml:space="preserve"> study</w:t>
            </w:r>
            <w:r>
              <w:rPr>
                <w:sz w:val="22"/>
                <w:szCs w:val="22"/>
              </w:rPr>
              <w:t xml:space="preserve"> based on RAN4’s input</w:t>
            </w:r>
          </w:p>
          <w:p w14:paraId="0F589FF0" w14:textId="77777777" w:rsidR="00A1121C" w:rsidRPr="007D1B71" w:rsidRDefault="00A1121C" w:rsidP="00A1121C">
            <w:pPr>
              <w:pStyle w:val="aff9"/>
              <w:numPr>
                <w:ilvl w:val="0"/>
                <w:numId w:val="34"/>
              </w:numPr>
              <w:snapToGrid/>
              <w:spacing w:after="180" w:afterAutospacing="0"/>
              <w:ind w:firstLineChars="0"/>
              <w:contextualSpacing/>
              <w:rPr>
                <w:sz w:val="22"/>
                <w:szCs w:val="22"/>
              </w:rPr>
            </w:pPr>
            <w:r w:rsidRPr="007D1B71">
              <w:rPr>
                <w:sz w:val="22"/>
                <w:szCs w:val="22"/>
              </w:rPr>
              <w:t xml:space="preserve">Whether RAN1 enhancements to information exchange between UE and </w:t>
            </w:r>
            <w:proofErr w:type="spellStart"/>
            <w:r w:rsidRPr="007D1B71">
              <w:rPr>
                <w:sz w:val="22"/>
                <w:szCs w:val="22"/>
              </w:rPr>
              <w:t>gNB</w:t>
            </w:r>
            <w:proofErr w:type="spellEnd"/>
            <w:r w:rsidRPr="007D1B71">
              <w:rPr>
                <w:sz w:val="22"/>
                <w:szCs w:val="22"/>
              </w:rPr>
              <w:t xml:space="preserve"> are needed </w:t>
            </w:r>
            <w:r w:rsidRPr="006F7249">
              <w:rPr>
                <w:sz w:val="22"/>
                <w:szCs w:val="22"/>
              </w:rPr>
              <w:t xml:space="preserve">to improve scheduling and network performance when using </w:t>
            </w:r>
            <w:r w:rsidRPr="007D1B71">
              <w:rPr>
                <w:sz w:val="22"/>
                <w:szCs w:val="22"/>
              </w:rPr>
              <w:t>higher power CA/DC.</w:t>
            </w:r>
          </w:p>
          <w:p w14:paraId="302E152A" w14:textId="2D680986" w:rsidR="00A1121C" w:rsidRPr="00A1121C" w:rsidRDefault="00A1121C" w:rsidP="005E68FD">
            <w:pPr>
              <w:pStyle w:val="aff9"/>
              <w:numPr>
                <w:ilvl w:val="1"/>
                <w:numId w:val="34"/>
              </w:numPr>
              <w:snapToGrid/>
              <w:spacing w:after="180" w:afterAutospacing="0"/>
              <w:ind w:firstLineChars="0"/>
              <w:contextualSpacing/>
              <w:rPr>
                <w:sz w:val="22"/>
                <w:szCs w:val="22"/>
              </w:rPr>
            </w:pPr>
            <w:r w:rsidRPr="007D1B71">
              <w:rPr>
                <w:sz w:val="22"/>
                <w:szCs w:val="22"/>
              </w:rPr>
              <w:lastRenderedPageBreak/>
              <w:t>FFS how to realize such information exchange, e.g., signalling enhancement, and what is the spec impact.</w:t>
            </w:r>
          </w:p>
        </w:tc>
      </w:tr>
    </w:tbl>
    <w:p w14:paraId="5F216781" w14:textId="4E2AFDA2" w:rsidR="00A1121C" w:rsidRDefault="00A1121C" w:rsidP="005E68FD">
      <w:pPr>
        <w:rPr>
          <w:lang w:val="en-US"/>
        </w:rPr>
      </w:pPr>
    </w:p>
    <w:p w14:paraId="70A3980B" w14:textId="1259A0A9" w:rsidR="00A1121C" w:rsidRDefault="00C357FF" w:rsidP="005E68FD">
      <w:pPr>
        <w:rPr>
          <w:lang w:val="en-US"/>
        </w:rPr>
      </w:pPr>
      <w:r>
        <w:rPr>
          <w:rFonts w:hint="eastAsia"/>
          <w:lang w:val="en-US"/>
        </w:rPr>
        <w:t>F</w:t>
      </w:r>
      <w:r>
        <w:rPr>
          <w:lang w:val="en-US"/>
        </w:rPr>
        <w:t>or the Rel-17 function of i</w:t>
      </w:r>
      <w:r w:rsidRPr="00C357FF">
        <w:rPr>
          <w:lang w:val="en-US"/>
        </w:rPr>
        <w:t>ncreasing UE power high limit for CA and DC</w:t>
      </w:r>
      <w:r>
        <w:rPr>
          <w:lang w:val="en-US"/>
        </w:rPr>
        <w:t>, new UE capability reports have been introduced</w:t>
      </w:r>
      <w:r w:rsidR="000822DE">
        <w:rPr>
          <w:lang w:val="en-US"/>
        </w:rPr>
        <w:t xml:space="preserve"> as shown in Table 1</w:t>
      </w:r>
      <w:r w:rsidR="00E5723D">
        <w:rPr>
          <w:lang w:val="en-US"/>
        </w:rPr>
        <w:t xml:space="preserve"> below</w:t>
      </w:r>
      <w:r>
        <w:rPr>
          <w:lang w:val="en-US"/>
        </w:rPr>
        <w:t>.</w:t>
      </w:r>
      <w:r w:rsidR="00850016">
        <w:rPr>
          <w:lang w:val="en-US"/>
        </w:rPr>
        <w:t xml:space="preserve"> These reports indicate the maximum average percentage of UL symbols during a certain evaluation period so as to ensure compliance with regulatory SAR requirements.</w:t>
      </w:r>
    </w:p>
    <w:p w14:paraId="5D60C4D1" w14:textId="51F3E56A" w:rsidR="004C488D" w:rsidRDefault="004C488D" w:rsidP="004C488D">
      <w:pPr>
        <w:spacing w:after="0" w:afterAutospacing="0"/>
        <w:jc w:val="center"/>
        <w:rPr>
          <w:lang w:val="en-US"/>
        </w:rPr>
      </w:pPr>
      <w:r>
        <w:rPr>
          <w:rFonts w:hint="eastAsia"/>
          <w:lang w:val="en-US"/>
        </w:rPr>
        <w:t>T</w:t>
      </w:r>
      <w:r>
        <w:rPr>
          <w:lang w:val="en-US"/>
        </w:rPr>
        <w:t>able 1: Rel-17 i</w:t>
      </w:r>
      <w:r w:rsidRPr="004C488D">
        <w:rPr>
          <w:lang w:val="en-US"/>
        </w:rPr>
        <w:t>ncreas</w:t>
      </w:r>
      <w:r>
        <w:rPr>
          <w:lang w:val="en-US"/>
        </w:rPr>
        <w:t>ed</w:t>
      </w:r>
      <w:r w:rsidRPr="004C488D">
        <w:rPr>
          <w:lang w:val="en-US"/>
        </w:rPr>
        <w:t xml:space="preserve"> UE power high limit</w:t>
      </w:r>
      <w:r>
        <w:rPr>
          <w:lang w:val="en-US"/>
        </w:rPr>
        <w:t xml:space="preserve"> related UE capabilities defined in TS38.306</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64BA1" w:rsidRPr="007D1E1D" w14:paraId="23961202" w14:textId="77777777" w:rsidTr="002D48B7">
        <w:trPr>
          <w:cantSplit/>
          <w:tblHeader/>
        </w:trPr>
        <w:tc>
          <w:tcPr>
            <w:tcW w:w="6917" w:type="dxa"/>
          </w:tcPr>
          <w:p w14:paraId="2FE62EC1" w14:textId="77777777" w:rsidR="00864BA1" w:rsidRPr="007D1E1D" w:rsidRDefault="00864BA1" w:rsidP="002D48B7">
            <w:pPr>
              <w:pStyle w:val="TAH"/>
            </w:pPr>
            <w:r w:rsidRPr="007D1E1D">
              <w:lastRenderedPageBreak/>
              <w:t>Definitions for parameters</w:t>
            </w:r>
          </w:p>
        </w:tc>
        <w:tc>
          <w:tcPr>
            <w:tcW w:w="709" w:type="dxa"/>
          </w:tcPr>
          <w:p w14:paraId="2C9C73A3" w14:textId="77777777" w:rsidR="00864BA1" w:rsidRPr="007D1E1D" w:rsidRDefault="00864BA1" w:rsidP="002D48B7">
            <w:pPr>
              <w:pStyle w:val="TAH"/>
            </w:pPr>
            <w:r w:rsidRPr="007D1E1D">
              <w:t>Per</w:t>
            </w:r>
          </w:p>
        </w:tc>
        <w:tc>
          <w:tcPr>
            <w:tcW w:w="567" w:type="dxa"/>
          </w:tcPr>
          <w:p w14:paraId="090CFFAC" w14:textId="77777777" w:rsidR="00864BA1" w:rsidRPr="007D1E1D" w:rsidRDefault="00864BA1" w:rsidP="002D48B7">
            <w:pPr>
              <w:pStyle w:val="TAH"/>
            </w:pPr>
            <w:r w:rsidRPr="007D1E1D">
              <w:t>M</w:t>
            </w:r>
          </w:p>
        </w:tc>
        <w:tc>
          <w:tcPr>
            <w:tcW w:w="709" w:type="dxa"/>
          </w:tcPr>
          <w:p w14:paraId="52B91996" w14:textId="77777777" w:rsidR="00864BA1" w:rsidRPr="007D1E1D" w:rsidRDefault="00864BA1" w:rsidP="002D48B7">
            <w:pPr>
              <w:pStyle w:val="TAH"/>
            </w:pPr>
            <w:r w:rsidRPr="007D1E1D">
              <w:t>FDD-TDD</w:t>
            </w:r>
          </w:p>
          <w:p w14:paraId="221780DC" w14:textId="77777777" w:rsidR="00864BA1" w:rsidRPr="007D1E1D" w:rsidRDefault="00864BA1" w:rsidP="002D48B7">
            <w:pPr>
              <w:pStyle w:val="TAH"/>
            </w:pPr>
            <w:r w:rsidRPr="007D1E1D">
              <w:t>DIFF</w:t>
            </w:r>
          </w:p>
        </w:tc>
        <w:tc>
          <w:tcPr>
            <w:tcW w:w="728" w:type="dxa"/>
          </w:tcPr>
          <w:p w14:paraId="7AB74AF0" w14:textId="77777777" w:rsidR="00864BA1" w:rsidRPr="007D1E1D" w:rsidRDefault="00864BA1" w:rsidP="002D48B7">
            <w:pPr>
              <w:pStyle w:val="TAH"/>
            </w:pPr>
            <w:r w:rsidRPr="007D1E1D">
              <w:t>FR1-FR2</w:t>
            </w:r>
          </w:p>
          <w:p w14:paraId="64C2E347" w14:textId="77777777" w:rsidR="00864BA1" w:rsidRPr="007D1E1D" w:rsidRDefault="00864BA1" w:rsidP="002D48B7">
            <w:pPr>
              <w:pStyle w:val="TAH"/>
            </w:pPr>
            <w:r w:rsidRPr="007D1E1D">
              <w:t>DIFF</w:t>
            </w:r>
          </w:p>
        </w:tc>
      </w:tr>
      <w:tr w:rsidR="004C488D" w:rsidRPr="007D1E1D" w14:paraId="09B0CF04" w14:textId="77777777" w:rsidTr="002D48B7">
        <w:trPr>
          <w:cantSplit/>
          <w:tblHeader/>
        </w:trPr>
        <w:tc>
          <w:tcPr>
            <w:tcW w:w="6917" w:type="dxa"/>
          </w:tcPr>
          <w:p w14:paraId="5F9A6D90" w14:textId="77777777" w:rsidR="004C488D" w:rsidRPr="007D1E1D" w:rsidRDefault="004C488D" w:rsidP="002D48B7">
            <w:pPr>
              <w:pStyle w:val="TAL"/>
              <w:rPr>
                <w:b/>
                <w:i/>
                <w:lang w:eastAsia="zh-CN"/>
              </w:rPr>
            </w:pPr>
            <w:r w:rsidRPr="007D1E1D">
              <w:rPr>
                <w:b/>
                <w:i/>
                <w:lang w:eastAsia="zh-CN"/>
              </w:rPr>
              <w:t>maxUplinkDutyCycle-interBandCA-PC2-r17</w:t>
            </w:r>
          </w:p>
          <w:p w14:paraId="426A067A" w14:textId="77777777" w:rsidR="004C488D" w:rsidRPr="007D1E1D" w:rsidRDefault="004C488D" w:rsidP="002D48B7">
            <w:pPr>
              <w:pStyle w:val="TAL"/>
              <w:rPr>
                <w:bCs/>
                <w:iCs/>
                <w:lang w:eastAsia="zh-CN"/>
              </w:rPr>
            </w:pPr>
            <w:r w:rsidRPr="007D1E1D">
              <w:rPr>
                <w:rFonts w:cs="Arial"/>
                <w:bCs/>
                <w:iCs/>
                <w:lang w:eastAsia="zh-CN"/>
              </w:rPr>
              <w:t>I</w:t>
            </w:r>
            <w:r w:rsidRPr="007D1E1D">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7D1E1D">
              <w:rPr>
                <w:rFonts w:cs="Arial"/>
                <w:bCs/>
                <w:iCs/>
              </w:rPr>
              <w:t>bodies</w:t>
            </w:r>
            <w:r w:rsidRPr="007D1E1D">
              <w:rPr>
                <w:rFonts w:cs="Arial"/>
                <w:bCs/>
                <w:iCs/>
                <w:lang w:eastAsia="zh-CN"/>
              </w:rPr>
              <w:t>.</w:t>
            </w:r>
            <w:r w:rsidRPr="007D1E1D">
              <w:rPr>
                <w:rFonts w:cs="Arial"/>
              </w:rPr>
              <w:t xml:space="preserve"> </w:t>
            </w:r>
            <w:r w:rsidRPr="007D1E1D">
              <w:rPr>
                <w:rFonts w:cs="Arial"/>
                <w:bCs/>
                <w:iCs/>
              </w:rPr>
              <w:t>The</w:t>
            </w:r>
            <w:r w:rsidRPr="007D1E1D">
              <w:rPr>
                <w:bCs/>
                <w:iCs/>
              </w:rPr>
              <w:t xml:space="preserve"> average percentage of uplink symbols is specified in 6.2A.1.3 in TS 38101-1[2] and the capability applies to the CA combinations listed in table 6.2A.1.3-1 in TS 38101-1[2]. </w:t>
            </w:r>
            <w:r w:rsidRPr="007D1E1D">
              <w:rPr>
                <w:lang w:eastAsia="zh-CN"/>
              </w:rPr>
              <w:t xml:space="preserve">If the </w:t>
            </w:r>
            <w:r w:rsidRPr="007D1E1D">
              <w:rPr>
                <w:bCs/>
                <w:iCs/>
              </w:rPr>
              <w:t xml:space="preserve">field is absent, </w:t>
            </w:r>
            <w:r w:rsidRPr="007D1E1D">
              <w:rPr>
                <w:bCs/>
                <w:iCs/>
                <w:lang w:eastAsia="zh-CN"/>
              </w:rPr>
              <w:t>UE shall work on power class 2 regardless of UL duty cycle and may use P-</w:t>
            </w:r>
            <w:proofErr w:type="spellStart"/>
            <w:r w:rsidRPr="007D1E1D">
              <w:rPr>
                <w:bCs/>
                <w:iCs/>
                <w:lang w:eastAsia="zh-CN"/>
              </w:rPr>
              <w:t>MPR</w:t>
            </w:r>
            <w:r w:rsidRPr="007D1E1D">
              <w:rPr>
                <w:bCs/>
                <w:iCs/>
                <w:vertAlign w:val="subscript"/>
                <w:lang w:eastAsia="zh-CN"/>
              </w:rPr>
              <w:t>c</w:t>
            </w:r>
            <w:proofErr w:type="spellEnd"/>
            <w:r w:rsidRPr="007D1E1D">
              <w:rPr>
                <w:bCs/>
                <w:iCs/>
                <w:lang w:eastAsia="zh-CN"/>
              </w:rPr>
              <w:t xml:space="preserve"> as defined in 6.2.4 in TS 38101-1[2] if necessary.</w:t>
            </w:r>
          </w:p>
          <w:p w14:paraId="78875600" w14:textId="77777777" w:rsidR="004C488D" w:rsidRPr="007D1E1D" w:rsidRDefault="004C488D" w:rsidP="002D48B7">
            <w:pPr>
              <w:keepNext/>
              <w:keepLines/>
              <w:spacing w:after="0"/>
              <w:rPr>
                <w:rFonts w:ascii="Arial" w:hAnsi="Arial" w:cs="Arial"/>
                <w:bCs/>
                <w:iCs/>
                <w:sz w:val="18"/>
                <w:szCs w:val="18"/>
                <w:lang w:eastAsia="zh-CN"/>
              </w:rPr>
            </w:pPr>
            <w:r w:rsidRPr="007D1E1D">
              <w:rPr>
                <w:rFonts w:ascii="Arial" w:hAnsi="Arial" w:cs="Arial"/>
                <w:bCs/>
                <w:iCs/>
                <w:sz w:val="18"/>
                <w:szCs w:val="18"/>
                <w:lang w:eastAsia="zh-CN"/>
              </w:rPr>
              <w:t>Value n50 corresponds to 50%, value n60 corresponds to 60% and so on.</w:t>
            </w:r>
          </w:p>
          <w:p w14:paraId="7AFB3C7A" w14:textId="77777777" w:rsidR="004C488D" w:rsidRPr="007D1E1D" w:rsidRDefault="004C488D" w:rsidP="002D48B7">
            <w:pPr>
              <w:keepNext/>
              <w:keepLines/>
              <w:spacing w:after="0"/>
              <w:rPr>
                <w:rFonts w:ascii="Arial" w:hAnsi="Arial" w:cs="Arial"/>
                <w:bCs/>
                <w:iCs/>
                <w:sz w:val="18"/>
                <w:szCs w:val="18"/>
                <w:lang w:eastAsia="zh-CN"/>
              </w:rPr>
            </w:pPr>
          </w:p>
          <w:p w14:paraId="134C058A" w14:textId="77777777" w:rsidR="004C488D" w:rsidRPr="007D1E1D" w:rsidRDefault="004C488D" w:rsidP="002D48B7">
            <w:pPr>
              <w:pStyle w:val="TAN"/>
              <w:rPr>
                <w:b/>
                <w:i/>
              </w:rPr>
            </w:pPr>
            <w:r w:rsidRPr="007D1E1D">
              <w:t>NOTE:</w:t>
            </w:r>
            <w:r w:rsidRPr="007D1E1D">
              <w:tab/>
              <w:t>Specific targeted UL duty cycle percentage is not assumed if the field is absent.</w:t>
            </w:r>
          </w:p>
        </w:tc>
        <w:tc>
          <w:tcPr>
            <w:tcW w:w="709" w:type="dxa"/>
          </w:tcPr>
          <w:p w14:paraId="667D444A" w14:textId="77777777" w:rsidR="004C488D" w:rsidRPr="007D1E1D" w:rsidRDefault="004C488D" w:rsidP="002D48B7">
            <w:pPr>
              <w:pStyle w:val="TAL"/>
              <w:jc w:val="center"/>
            </w:pPr>
            <w:r w:rsidRPr="007D1E1D">
              <w:rPr>
                <w:rFonts w:cs="Arial"/>
                <w:szCs w:val="18"/>
                <w:lang w:eastAsia="zh-CN"/>
              </w:rPr>
              <w:t>BC</w:t>
            </w:r>
          </w:p>
        </w:tc>
        <w:tc>
          <w:tcPr>
            <w:tcW w:w="567" w:type="dxa"/>
          </w:tcPr>
          <w:p w14:paraId="6EB1BDD2" w14:textId="77777777" w:rsidR="004C488D" w:rsidRPr="007D1E1D" w:rsidRDefault="004C488D" w:rsidP="002D48B7">
            <w:pPr>
              <w:pStyle w:val="TAL"/>
              <w:jc w:val="center"/>
            </w:pPr>
            <w:r w:rsidRPr="007D1E1D">
              <w:rPr>
                <w:rFonts w:cs="Arial"/>
                <w:szCs w:val="18"/>
                <w:lang w:eastAsia="zh-CN"/>
              </w:rPr>
              <w:t>No</w:t>
            </w:r>
          </w:p>
        </w:tc>
        <w:tc>
          <w:tcPr>
            <w:tcW w:w="709" w:type="dxa"/>
          </w:tcPr>
          <w:p w14:paraId="33CC138E" w14:textId="77777777" w:rsidR="004C488D" w:rsidRPr="007D1E1D" w:rsidRDefault="004C488D" w:rsidP="002D48B7">
            <w:pPr>
              <w:pStyle w:val="TAL"/>
              <w:jc w:val="center"/>
              <w:rPr>
                <w:bCs/>
                <w:iCs/>
              </w:rPr>
            </w:pPr>
            <w:r w:rsidRPr="007D1E1D">
              <w:rPr>
                <w:rFonts w:cs="Arial"/>
                <w:szCs w:val="18"/>
                <w:lang w:eastAsia="zh-CN"/>
              </w:rPr>
              <w:t>N/A</w:t>
            </w:r>
          </w:p>
        </w:tc>
        <w:tc>
          <w:tcPr>
            <w:tcW w:w="728" w:type="dxa"/>
          </w:tcPr>
          <w:p w14:paraId="37170893" w14:textId="77777777" w:rsidR="004C488D" w:rsidRPr="007D1E1D" w:rsidRDefault="004C488D" w:rsidP="002D48B7">
            <w:pPr>
              <w:pStyle w:val="TAL"/>
              <w:jc w:val="center"/>
              <w:rPr>
                <w:bCs/>
                <w:iCs/>
              </w:rPr>
            </w:pPr>
            <w:r w:rsidRPr="007D1E1D">
              <w:rPr>
                <w:rFonts w:cs="Arial"/>
                <w:szCs w:val="18"/>
                <w:lang w:eastAsia="zh-CN"/>
              </w:rPr>
              <w:t>FR1 only</w:t>
            </w:r>
          </w:p>
        </w:tc>
      </w:tr>
      <w:tr w:rsidR="004C488D" w:rsidRPr="007D1E1D" w14:paraId="59D4F409" w14:textId="77777777" w:rsidTr="002D48B7">
        <w:trPr>
          <w:cantSplit/>
          <w:tblHeader/>
        </w:trPr>
        <w:tc>
          <w:tcPr>
            <w:tcW w:w="6917" w:type="dxa"/>
          </w:tcPr>
          <w:p w14:paraId="5F02773C" w14:textId="77777777" w:rsidR="004C488D" w:rsidRPr="007D1E1D" w:rsidRDefault="004C488D" w:rsidP="002D48B7">
            <w:pPr>
              <w:pStyle w:val="TAL"/>
              <w:rPr>
                <w:b/>
                <w:i/>
                <w:lang w:eastAsia="zh-CN"/>
              </w:rPr>
            </w:pPr>
            <w:r w:rsidRPr="007D1E1D">
              <w:rPr>
                <w:b/>
                <w:i/>
              </w:rPr>
              <w:t>maxUplinkDutyCycle-</w:t>
            </w:r>
            <w:r w:rsidRPr="007D1E1D">
              <w:rPr>
                <w:b/>
                <w:i/>
                <w:lang w:eastAsia="zh-CN"/>
              </w:rPr>
              <w:t>SULcombination</w:t>
            </w:r>
            <w:r w:rsidRPr="007D1E1D">
              <w:rPr>
                <w:b/>
                <w:i/>
              </w:rPr>
              <w:t>-PC2-r17</w:t>
            </w:r>
          </w:p>
          <w:p w14:paraId="7CA52E22" w14:textId="77777777" w:rsidR="004C488D" w:rsidRPr="007D1E1D" w:rsidRDefault="004C488D" w:rsidP="002D48B7">
            <w:pPr>
              <w:pStyle w:val="TAL"/>
              <w:rPr>
                <w:i/>
                <w:lang w:eastAsia="zh-CN"/>
              </w:rPr>
            </w:pPr>
            <w:r w:rsidRPr="007D1E1D">
              <w:rPr>
                <w:lang w:eastAsia="zh-CN"/>
              </w:rPr>
              <w:t xml:space="preserve">Indicates </w:t>
            </w:r>
            <w:r w:rsidRPr="007D1E1D">
              <w:rPr>
                <w:bCs/>
                <w:iCs/>
              </w:rPr>
              <w:t xml:space="preserve">the maximum </w:t>
            </w:r>
            <w:r w:rsidRPr="007D1E1D">
              <w:rPr>
                <w:bCs/>
                <w:iCs/>
                <w:lang w:eastAsia="zh-CN"/>
              </w:rPr>
              <w:t xml:space="preserve">average </w:t>
            </w:r>
            <w:r w:rsidRPr="007D1E1D">
              <w:rPr>
                <w:bCs/>
                <w:iCs/>
              </w:rPr>
              <w:t>percentage of symbols during a certain evaluation period that can be scheduled for uplink transmission so as to ensure compliance with applicable electromagnetic energy absorption requirements provided by regulatory bodies</w:t>
            </w:r>
            <w:r w:rsidRPr="007D1E1D">
              <w:rPr>
                <w:bCs/>
                <w:iCs/>
                <w:lang w:eastAsia="zh-CN"/>
              </w:rPr>
              <w:t xml:space="preserve">. The </w:t>
            </w:r>
            <w:r w:rsidRPr="007D1E1D">
              <w:rPr>
                <w:rFonts w:eastAsia="SimSun"/>
                <w:szCs w:val="22"/>
                <w:lang w:eastAsia="zh-CN"/>
              </w:rPr>
              <w:t>average percentage of uplink symbols is</w:t>
            </w:r>
            <w:r w:rsidRPr="007D1E1D">
              <w:rPr>
                <w:bCs/>
                <w:iCs/>
                <w:lang w:eastAsia="zh-CN"/>
              </w:rPr>
              <w:t xml:space="preserve"> specified in 6.2C.1 in TS 38101-1[2] and the capability applies to all the SUL configurations with 1 SUL band + 1 TDD band.</w:t>
            </w:r>
          </w:p>
          <w:p w14:paraId="67E7B96C" w14:textId="77777777" w:rsidR="004C488D" w:rsidRPr="007D1E1D" w:rsidRDefault="004C488D" w:rsidP="002D48B7">
            <w:pPr>
              <w:pStyle w:val="TAL"/>
              <w:rPr>
                <w:bCs/>
                <w:iCs/>
                <w:lang w:eastAsia="zh-CN"/>
              </w:rPr>
            </w:pPr>
            <w:r w:rsidRPr="007D1E1D">
              <w:rPr>
                <w:lang w:eastAsia="zh-CN"/>
              </w:rPr>
              <w:t xml:space="preserve">If the </w:t>
            </w:r>
            <w:r w:rsidRPr="007D1E1D">
              <w:rPr>
                <w:bCs/>
                <w:iCs/>
              </w:rPr>
              <w:t xml:space="preserve">field is absent, </w:t>
            </w:r>
            <w:r w:rsidRPr="007D1E1D">
              <w:rPr>
                <w:bCs/>
                <w:iCs/>
                <w:lang w:eastAsia="zh-CN"/>
              </w:rPr>
              <w:t>UE shall work on power class 2 regardless of UL duty cycle and may use P-</w:t>
            </w:r>
            <w:proofErr w:type="spellStart"/>
            <w:r w:rsidRPr="007D1E1D">
              <w:rPr>
                <w:bCs/>
                <w:iCs/>
                <w:lang w:eastAsia="zh-CN"/>
              </w:rPr>
              <w:t>MPR</w:t>
            </w:r>
            <w:r w:rsidRPr="007D1E1D">
              <w:rPr>
                <w:bCs/>
                <w:iCs/>
                <w:vertAlign w:val="subscript"/>
                <w:lang w:eastAsia="zh-CN"/>
              </w:rPr>
              <w:t>c</w:t>
            </w:r>
            <w:proofErr w:type="spellEnd"/>
            <w:r w:rsidRPr="007D1E1D">
              <w:rPr>
                <w:bCs/>
                <w:iCs/>
                <w:lang w:eastAsia="zh-CN"/>
              </w:rPr>
              <w:t xml:space="preserve"> as defined in 6.2.4 in TS 38101-1[2] if necessary.</w:t>
            </w:r>
          </w:p>
          <w:p w14:paraId="3FC153CE" w14:textId="77777777" w:rsidR="004C488D" w:rsidRPr="007D1E1D" w:rsidRDefault="004C488D" w:rsidP="002D48B7">
            <w:pPr>
              <w:pStyle w:val="TAL"/>
              <w:rPr>
                <w:rFonts w:cs="Arial"/>
                <w:bCs/>
                <w:iCs/>
                <w:szCs w:val="18"/>
                <w:lang w:eastAsia="zh-CN"/>
              </w:rPr>
            </w:pPr>
            <w:r w:rsidRPr="007D1E1D">
              <w:rPr>
                <w:rFonts w:cs="Arial"/>
                <w:bCs/>
                <w:iCs/>
                <w:szCs w:val="18"/>
                <w:lang w:eastAsia="zh-CN"/>
              </w:rPr>
              <w:t>Value n50 corresponds to 50%, value n60 corresponds to 60% and so on.</w:t>
            </w:r>
          </w:p>
          <w:p w14:paraId="76B8CB11" w14:textId="77777777" w:rsidR="004C488D" w:rsidRPr="007D1E1D" w:rsidRDefault="004C488D" w:rsidP="002D48B7">
            <w:pPr>
              <w:pStyle w:val="TAL"/>
              <w:rPr>
                <w:rFonts w:cs="Arial"/>
                <w:bCs/>
                <w:iCs/>
                <w:szCs w:val="18"/>
                <w:lang w:eastAsia="zh-CN"/>
              </w:rPr>
            </w:pPr>
          </w:p>
          <w:p w14:paraId="2A534516" w14:textId="77777777" w:rsidR="004C488D" w:rsidRPr="007D1E1D" w:rsidRDefault="004C488D" w:rsidP="002D48B7">
            <w:pPr>
              <w:pStyle w:val="TAN"/>
              <w:rPr>
                <w:b/>
                <w:i/>
              </w:rPr>
            </w:pPr>
            <w:r w:rsidRPr="007D1E1D">
              <w:t>NOTE:</w:t>
            </w:r>
            <w:r w:rsidRPr="007D1E1D">
              <w:tab/>
              <w:t>Specific targeted UL duty cycle percentage is not assumed if the field is absent.</w:t>
            </w:r>
          </w:p>
        </w:tc>
        <w:tc>
          <w:tcPr>
            <w:tcW w:w="709" w:type="dxa"/>
          </w:tcPr>
          <w:p w14:paraId="578E24D9" w14:textId="77777777" w:rsidR="004C488D" w:rsidRPr="007D1E1D" w:rsidRDefault="004C488D" w:rsidP="002D48B7">
            <w:pPr>
              <w:pStyle w:val="TAL"/>
              <w:jc w:val="center"/>
            </w:pPr>
            <w:r w:rsidRPr="007D1E1D">
              <w:rPr>
                <w:rFonts w:cs="Arial"/>
                <w:szCs w:val="18"/>
                <w:lang w:eastAsia="zh-CN"/>
              </w:rPr>
              <w:t>BC</w:t>
            </w:r>
          </w:p>
        </w:tc>
        <w:tc>
          <w:tcPr>
            <w:tcW w:w="567" w:type="dxa"/>
          </w:tcPr>
          <w:p w14:paraId="03287A18" w14:textId="77777777" w:rsidR="004C488D" w:rsidRPr="007D1E1D" w:rsidRDefault="004C488D" w:rsidP="002D48B7">
            <w:pPr>
              <w:pStyle w:val="TAL"/>
              <w:jc w:val="center"/>
            </w:pPr>
            <w:r w:rsidRPr="007D1E1D">
              <w:rPr>
                <w:rFonts w:cs="Arial"/>
                <w:szCs w:val="18"/>
                <w:lang w:eastAsia="zh-CN"/>
              </w:rPr>
              <w:t>No</w:t>
            </w:r>
          </w:p>
        </w:tc>
        <w:tc>
          <w:tcPr>
            <w:tcW w:w="709" w:type="dxa"/>
          </w:tcPr>
          <w:p w14:paraId="42E0955A" w14:textId="77777777" w:rsidR="004C488D" w:rsidRPr="007D1E1D" w:rsidRDefault="004C488D" w:rsidP="002D48B7">
            <w:pPr>
              <w:pStyle w:val="TAL"/>
              <w:jc w:val="center"/>
              <w:rPr>
                <w:bCs/>
                <w:iCs/>
              </w:rPr>
            </w:pPr>
            <w:r w:rsidRPr="007D1E1D">
              <w:rPr>
                <w:rFonts w:cs="Arial"/>
                <w:szCs w:val="18"/>
                <w:lang w:eastAsia="zh-CN"/>
              </w:rPr>
              <w:t>N/A</w:t>
            </w:r>
          </w:p>
        </w:tc>
        <w:tc>
          <w:tcPr>
            <w:tcW w:w="728" w:type="dxa"/>
          </w:tcPr>
          <w:p w14:paraId="3CCE8519" w14:textId="77777777" w:rsidR="004C488D" w:rsidRPr="007D1E1D" w:rsidRDefault="004C488D" w:rsidP="002D48B7">
            <w:pPr>
              <w:pStyle w:val="TAL"/>
              <w:jc w:val="center"/>
              <w:rPr>
                <w:bCs/>
                <w:iCs/>
              </w:rPr>
            </w:pPr>
            <w:r w:rsidRPr="007D1E1D">
              <w:rPr>
                <w:rFonts w:cs="Arial"/>
                <w:szCs w:val="18"/>
                <w:lang w:eastAsia="zh-CN"/>
              </w:rPr>
              <w:t>FR1 only</w:t>
            </w:r>
          </w:p>
        </w:tc>
      </w:tr>
    </w:tbl>
    <w:p w14:paraId="58127CFE" w14:textId="77777777" w:rsidR="004C488D" w:rsidRPr="00A1121C" w:rsidRDefault="004C488D" w:rsidP="005E68FD">
      <w:pPr>
        <w:rPr>
          <w:lang w:val="en-US"/>
        </w:rPr>
      </w:pPr>
    </w:p>
    <w:p w14:paraId="33AD6D87" w14:textId="62703276" w:rsidR="002F434E" w:rsidRDefault="00DD6826" w:rsidP="005E68FD">
      <w:pPr>
        <w:rPr>
          <w:lang w:val="en-US"/>
        </w:rPr>
      </w:pPr>
      <w:r>
        <w:rPr>
          <w:lang w:val="en-US"/>
        </w:rPr>
        <w:t>When the UE reports this capability information and if the network is aware of that there is no power headroom to 23dBm limit, the network is likely to consider to apply a restriction on UL scheduling for this UE such that the ratio of UL symbols becomes lower than the reported duty cycle</w:t>
      </w:r>
      <w:r w:rsidR="00315CE1">
        <w:rPr>
          <w:lang w:val="en-US"/>
        </w:rPr>
        <w:t>.</w:t>
      </w:r>
      <w:r>
        <w:rPr>
          <w:lang w:val="en-US"/>
        </w:rPr>
        <w:t xml:space="preserve"> This scheduling enables to use increased UL power limit for CA at the UE side</w:t>
      </w:r>
      <w:r w:rsidR="0099375E">
        <w:rPr>
          <w:lang w:val="en-US"/>
        </w:rPr>
        <w:t>, as shown in Figure 1</w:t>
      </w:r>
      <w:r>
        <w:rPr>
          <w:lang w:val="en-US"/>
        </w:rPr>
        <w:t>.</w:t>
      </w:r>
      <w:r w:rsidR="00965580">
        <w:rPr>
          <w:lang w:val="en-US"/>
        </w:rPr>
        <w:t xml:space="preserve"> This UL scheduling restriction should be exactly the intended network behavior. That is the reason why such new capability reports were introduced. When RAN1 considers enhancements to realize</w:t>
      </w:r>
      <w:r w:rsidR="00965580" w:rsidRPr="00965580">
        <w:rPr>
          <w:lang w:val="en-US"/>
        </w:rPr>
        <w:t xml:space="preserve"> </w:t>
      </w:r>
      <w:r w:rsidR="00965580">
        <w:rPr>
          <w:lang w:val="en-US"/>
        </w:rPr>
        <w:t>i</w:t>
      </w:r>
      <w:r w:rsidR="00965580" w:rsidRPr="00C357FF">
        <w:rPr>
          <w:lang w:val="en-US"/>
        </w:rPr>
        <w:t xml:space="preserve">ncreasing UE power high limit </w:t>
      </w:r>
      <w:r w:rsidR="00965580" w:rsidRPr="00C357FF">
        <w:rPr>
          <w:lang w:val="en-US"/>
        </w:rPr>
        <w:lastRenderedPageBreak/>
        <w:t>for CA and DC</w:t>
      </w:r>
      <w:r w:rsidR="00965580">
        <w:rPr>
          <w:lang w:val="en-US"/>
        </w:rPr>
        <w:t>, the performance according to this kind of scheduling restriction should be referred as a benchmark.</w:t>
      </w:r>
    </w:p>
    <w:p w14:paraId="64685911" w14:textId="2C1025CE" w:rsidR="009C1E76" w:rsidRDefault="009C1E76" w:rsidP="009C1E76">
      <w:pPr>
        <w:jc w:val="center"/>
        <w:rPr>
          <w:lang w:val="en-US"/>
        </w:rPr>
      </w:pPr>
      <w:r w:rsidRPr="009C1E76">
        <w:rPr>
          <w:noProof/>
        </w:rPr>
        <w:drawing>
          <wp:inline distT="0" distB="0" distL="0" distR="0" wp14:anchorId="32E6CB9C" wp14:editId="33966792">
            <wp:extent cx="5401080" cy="224676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1080" cy="2246760"/>
                    </a:xfrm>
                    <a:prstGeom prst="rect">
                      <a:avLst/>
                    </a:prstGeom>
                    <a:noFill/>
                    <a:ln>
                      <a:noFill/>
                    </a:ln>
                  </pic:spPr>
                </pic:pic>
              </a:graphicData>
            </a:graphic>
          </wp:inline>
        </w:drawing>
      </w:r>
    </w:p>
    <w:p w14:paraId="02871A8B" w14:textId="2840535A" w:rsidR="009C1E76" w:rsidRDefault="009C1E76" w:rsidP="009C1E76">
      <w:pPr>
        <w:jc w:val="center"/>
        <w:rPr>
          <w:lang w:val="en-US"/>
        </w:rPr>
      </w:pPr>
      <w:r>
        <w:rPr>
          <w:rFonts w:hint="eastAsia"/>
          <w:lang w:val="en-US"/>
        </w:rPr>
        <w:t>F</w:t>
      </w:r>
      <w:r>
        <w:rPr>
          <w:lang w:val="en-US"/>
        </w:rPr>
        <w:t>igure 1: An example of UL scheduling to comply regulatory SAR requirement</w:t>
      </w:r>
    </w:p>
    <w:p w14:paraId="01F03D29" w14:textId="7866FE85" w:rsidR="009C1E76" w:rsidRDefault="009C1E76" w:rsidP="005E68FD">
      <w:pPr>
        <w:rPr>
          <w:lang w:val="en-US"/>
        </w:rPr>
      </w:pPr>
    </w:p>
    <w:p w14:paraId="4B085C98" w14:textId="38FC64B0" w:rsidR="00000317" w:rsidRDefault="00315CE1" w:rsidP="005E68FD">
      <w:pPr>
        <w:rPr>
          <w:iCs/>
          <w:lang w:val="en-US"/>
        </w:rPr>
      </w:pPr>
      <w:r>
        <w:rPr>
          <w:b/>
          <w:bCs/>
          <w:u w:val="single"/>
          <w:lang w:val="en-US"/>
        </w:rPr>
        <w:t>Observation</w:t>
      </w:r>
      <w:r w:rsidR="00F67BB8">
        <w:rPr>
          <w:b/>
          <w:bCs/>
          <w:u w:val="single"/>
          <w:lang w:val="en-US"/>
        </w:rPr>
        <w:t xml:space="preserve"> 1</w:t>
      </w:r>
      <w:r w:rsidR="00620532" w:rsidRPr="00620532">
        <w:rPr>
          <w:b/>
          <w:bCs/>
          <w:u w:val="single"/>
          <w:lang w:val="en-US"/>
        </w:rPr>
        <w:t>:</w:t>
      </w:r>
      <w:r w:rsidR="00620532">
        <w:rPr>
          <w:lang w:val="en-US"/>
        </w:rPr>
        <w:t xml:space="preserve"> </w:t>
      </w:r>
      <w:r w:rsidR="00965580" w:rsidRPr="00965580">
        <w:rPr>
          <w:iCs/>
          <w:lang w:val="en-US"/>
        </w:rPr>
        <w:t>When the UE reports this capability information and if the network is aware of that there is no power headroom to 23dBm limit, the network is likely to consider to apply a restriction on UL scheduling for this UE such that the ratio of UL symbols becomes lower than the reported duty cycle.</w:t>
      </w:r>
      <w:r w:rsidR="00000317">
        <w:rPr>
          <w:iCs/>
          <w:lang w:val="en-US"/>
        </w:rPr>
        <w:t xml:space="preserve"> </w:t>
      </w:r>
    </w:p>
    <w:p w14:paraId="47760A68" w14:textId="2444EAA2" w:rsidR="00122CD3" w:rsidRDefault="00122CD3" w:rsidP="005E68FD">
      <w:pPr>
        <w:rPr>
          <w:iCs/>
          <w:lang w:val="en-US"/>
        </w:rPr>
      </w:pPr>
    </w:p>
    <w:p w14:paraId="68F74C5A" w14:textId="44FC8390" w:rsidR="00AB498D" w:rsidRDefault="00AB498D" w:rsidP="00AB498D">
      <w:pPr>
        <w:pStyle w:val="20"/>
        <w:rPr>
          <w:lang w:val="en-US"/>
        </w:rPr>
      </w:pPr>
      <w:r w:rsidRPr="00AB498D">
        <w:rPr>
          <w:lang w:val="en-US"/>
        </w:rPr>
        <w:t>Enhancements to reduce MPR/PAR</w:t>
      </w:r>
    </w:p>
    <w:p w14:paraId="72660DAE" w14:textId="747F5B38" w:rsidR="00F05ED2" w:rsidRDefault="00F05ED2" w:rsidP="00AB498D">
      <w:pPr>
        <w:rPr>
          <w:lang w:val="en-US"/>
        </w:rPr>
      </w:pPr>
      <w:r>
        <w:rPr>
          <w:lang w:val="en-US"/>
        </w:rPr>
        <w:t xml:space="preserve">In RAN1#110bis-e meeting, the following agreements were made </w:t>
      </w:r>
      <w:r w:rsidR="00022777">
        <w:rPr>
          <w:lang w:val="en-US"/>
        </w:rPr>
        <w:t>in terms of the</w:t>
      </w:r>
      <w:r w:rsidR="00BC410E">
        <w:rPr>
          <w:lang w:val="en-US"/>
        </w:rPr>
        <w:t xml:space="preserve"> candidate options </w:t>
      </w:r>
      <w:r>
        <w:rPr>
          <w:lang w:val="en-US"/>
        </w:rPr>
        <w:t xml:space="preserve">for the </w:t>
      </w:r>
      <w:r w:rsidR="00BC410E">
        <w:rPr>
          <w:lang w:val="en-US"/>
        </w:rPr>
        <w:t>e</w:t>
      </w:r>
      <w:r w:rsidRPr="00F05ED2">
        <w:rPr>
          <w:lang w:val="en-US"/>
        </w:rPr>
        <w:t>nhancements to reduce MPR/PAR, including frequency domain spectrum shaping with and without spectrum extension for DFT-S-OFDM and tone reservation</w:t>
      </w:r>
      <w:r>
        <w:rPr>
          <w:lang w:val="en-US"/>
        </w:rPr>
        <w:t>.</w:t>
      </w:r>
    </w:p>
    <w:tbl>
      <w:tblPr>
        <w:tblStyle w:val="af2"/>
        <w:tblW w:w="0" w:type="auto"/>
        <w:tblLook w:val="04A0" w:firstRow="1" w:lastRow="0" w:firstColumn="1" w:lastColumn="0" w:noHBand="0" w:noVBand="1"/>
      </w:tblPr>
      <w:tblGrid>
        <w:gridCol w:w="9954"/>
      </w:tblGrid>
      <w:tr w:rsidR="00BC410E" w14:paraId="658C2893" w14:textId="77777777" w:rsidTr="00BC410E">
        <w:tc>
          <w:tcPr>
            <w:tcW w:w="9954" w:type="dxa"/>
          </w:tcPr>
          <w:p w14:paraId="21A5FF4B" w14:textId="77777777" w:rsidR="00BC410E" w:rsidRPr="00A34D2C" w:rsidRDefault="00BC410E" w:rsidP="00BC410E">
            <w:pPr>
              <w:shd w:val="clear" w:color="auto" w:fill="FFFFFF"/>
              <w:rPr>
                <w:highlight w:val="green"/>
                <w:lang w:eastAsia="x-none"/>
              </w:rPr>
            </w:pPr>
            <w:r w:rsidRPr="00A34D2C">
              <w:rPr>
                <w:rFonts w:hint="eastAsia"/>
                <w:highlight w:val="green"/>
                <w:lang w:eastAsia="x-none"/>
              </w:rPr>
              <w:t>Agreement</w:t>
            </w:r>
          </w:p>
          <w:p w14:paraId="783FAFBE" w14:textId="77777777" w:rsidR="00BC410E" w:rsidRPr="00C450F9" w:rsidRDefault="00BC410E" w:rsidP="00BC410E">
            <w:pPr>
              <w:shd w:val="clear" w:color="auto" w:fill="FFFFFF"/>
              <w:rPr>
                <w:lang w:eastAsia="x-none"/>
              </w:rPr>
            </w:pPr>
            <w:r w:rsidRPr="00C450F9">
              <w:rPr>
                <w:lang w:eastAsia="x-none"/>
              </w:rPr>
              <w:t>The following spectrum extension options for frequency domain spectrum shaping with spectrum extension (FDSS-SE), are considered for studying MPR/PAR reduction enhancements in Rel-18:</w:t>
            </w:r>
          </w:p>
          <w:p w14:paraId="3E460183" w14:textId="77777777" w:rsidR="00BC410E" w:rsidRPr="00C450F9" w:rsidRDefault="00BC410E" w:rsidP="00BC410E">
            <w:pPr>
              <w:numPr>
                <w:ilvl w:val="0"/>
                <w:numId w:val="36"/>
              </w:numPr>
              <w:shd w:val="clear" w:color="auto" w:fill="FFFFFF"/>
              <w:tabs>
                <w:tab w:val="clear" w:pos="720"/>
                <w:tab w:val="num" w:pos="420"/>
              </w:tabs>
              <w:ind w:leftChars="105" w:left="612"/>
              <w:rPr>
                <w:lang w:eastAsia="x-none"/>
              </w:rPr>
            </w:pPr>
            <w:r w:rsidRPr="00C450F9">
              <w:rPr>
                <w:lang w:eastAsia="x-none"/>
              </w:rPr>
              <w:t>Option 1: Symmetric extension</w:t>
            </w:r>
          </w:p>
          <w:p w14:paraId="1EB4D13D" w14:textId="77777777" w:rsidR="00BC410E" w:rsidRPr="00C450F9" w:rsidRDefault="00BC410E" w:rsidP="00BC410E">
            <w:pPr>
              <w:numPr>
                <w:ilvl w:val="0"/>
                <w:numId w:val="36"/>
              </w:numPr>
              <w:shd w:val="clear" w:color="auto" w:fill="FFFFFF"/>
              <w:tabs>
                <w:tab w:val="clear" w:pos="720"/>
                <w:tab w:val="num" w:pos="420"/>
              </w:tabs>
              <w:ind w:leftChars="105" w:left="612"/>
              <w:rPr>
                <w:lang w:eastAsia="x-none"/>
              </w:rPr>
            </w:pPr>
            <w:r w:rsidRPr="00C450F9">
              <w:rPr>
                <w:lang w:eastAsia="x-none"/>
              </w:rPr>
              <w:t>Option 2: Cyclic extension</w:t>
            </w:r>
          </w:p>
          <w:p w14:paraId="19CBD20D" w14:textId="77777777" w:rsidR="00BC410E" w:rsidRPr="00C450F9" w:rsidRDefault="00BC410E" w:rsidP="00BC410E">
            <w:pPr>
              <w:numPr>
                <w:ilvl w:val="0"/>
                <w:numId w:val="36"/>
              </w:numPr>
              <w:shd w:val="clear" w:color="auto" w:fill="FFFFFF"/>
              <w:tabs>
                <w:tab w:val="clear" w:pos="720"/>
                <w:tab w:val="num" w:pos="420"/>
              </w:tabs>
              <w:ind w:leftChars="105" w:left="612"/>
              <w:rPr>
                <w:lang w:eastAsia="x-none"/>
              </w:rPr>
            </w:pPr>
            <w:r w:rsidRPr="00C450F9">
              <w:rPr>
                <w:lang w:eastAsia="x-none"/>
              </w:rPr>
              <w:t>Option 3: Cyclic shift plus symmetric extension.</w:t>
            </w:r>
          </w:p>
          <w:p w14:paraId="6D990FE3" w14:textId="77777777" w:rsidR="00BC410E" w:rsidRPr="008A45A7" w:rsidRDefault="00BC410E" w:rsidP="00BC410E">
            <w:pPr>
              <w:shd w:val="clear" w:color="auto" w:fill="FFFFFF"/>
              <w:rPr>
                <w:rFonts w:ascii="Calibri" w:eastAsia="SimSun" w:hAnsi="Calibri" w:cs="Calibri"/>
                <w:color w:val="000000"/>
                <w:sz w:val="22"/>
                <w:szCs w:val="22"/>
                <w:highlight w:val="green"/>
                <w:lang w:val="en-US" w:eastAsia="zh-CN"/>
              </w:rPr>
            </w:pPr>
            <w:r w:rsidRPr="008A45A7">
              <w:rPr>
                <w:rFonts w:eastAsia="DengXian"/>
                <w:highlight w:val="green"/>
                <w:lang w:eastAsia="zh-CN"/>
              </w:rPr>
              <w:t>Agreement</w:t>
            </w:r>
          </w:p>
          <w:p w14:paraId="240357AD" w14:textId="77777777" w:rsidR="00BC410E" w:rsidRPr="008A45A7" w:rsidRDefault="00BC410E" w:rsidP="00BC410E">
            <w:pPr>
              <w:shd w:val="clear" w:color="auto" w:fill="FFFFFF"/>
              <w:rPr>
                <w:rFonts w:eastAsia="DengXian"/>
                <w:lang w:eastAsia="zh-CN"/>
              </w:rPr>
            </w:pPr>
            <w:r w:rsidRPr="008A45A7">
              <w:rPr>
                <w:rFonts w:eastAsia="DengXian"/>
                <w:lang w:eastAsia="zh-CN"/>
              </w:rPr>
              <w:t>At least the following candidate solutions for MPR/PAR reduction will be studied in RAN1.</w:t>
            </w:r>
          </w:p>
          <w:p w14:paraId="2F474404" w14:textId="77777777" w:rsidR="00BC410E" w:rsidRPr="008A45A7" w:rsidRDefault="00BC410E" w:rsidP="00BC410E">
            <w:pPr>
              <w:numPr>
                <w:ilvl w:val="0"/>
                <w:numId w:val="37"/>
              </w:numPr>
              <w:shd w:val="clear" w:color="auto" w:fill="FFFFFF"/>
              <w:rPr>
                <w:rFonts w:eastAsia="DengXian"/>
                <w:lang w:eastAsia="zh-CN"/>
              </w:rPr>
            </w:pPr>
            <w:r w:rsidRPr="008A45A7">
              <w:rPr>
                <w:rFonts w:eastAsia="DengXian"/>
                <w:lang w:eastAsia="zh-CN"/>
              </w:rPr>
              <w:t>Frequency domain spectrum shaping w/ spectrum extension</w:t>
            </w:r>
          </w:p>
          <w:p w14:paraId="5C0921D2" w14:textId="77777777" w:rsidR="00BC410E" w:rsidRPr="008A45A7" w:rsidRDefault="00BC410E" w:rsidP="00BC410E">
            <w:pPr>
              <w:numPr>
                <w:ilvl w:val="0"/>
                <w:numId w:val="37"/>
              </w:numPr>
              <w:shd w:val="clear" w:color="auto" w:fill="FFFFFF"/>
              <w:rPr>
                <w:rFonts w:eastAsia="DengXian"/>
                <w:lang w:eastAsia="zh-CN"/>
              </w:rPr>
            </w:pPr>
            <w:r w:rsidRPr="008A45A7">
              <w:rPr>
                <w:rFonts w:eastAsia="DengXian"/>
                <w:lang w:eastAsia="zh-CN"/>
              </w:rPr>
              <w:lastRenderedPageBreak/>
              <w:t>Frequency domain spectrum shaping w/o spectrum extension</w:t>
            </w:r>
          </w:p>
          <w:p w14:paraId="4476876D" w14:textId="77777777" w:rsidR="00BC410E" w:rsidRDefault="00BC410E" w:rsidP="00AB498D">
            <w:pPr>
              <w:numPr>
                <w:ilvl w:val="0"/>
                <w:numId w:val="37"/>
              </w:numPr>
              <w:shd w:val="clear" w:color="auto" w:fill="FFFFFF"/>
              <w:spacing w:before="100" w:beforeAutospacing="1"/>
              <w:rPr>
                <w:rFonts w:eastAsia="DengXian"/>
                <w:lang w:eastAsia="zh-CN"/>
              </w:rPr>
            </w:pPr>
            <w:r w:rsidRPr="008A45A7">
              <w:rPr>
                <w:rFonts w:eastAsia="DengXian"/>
                <w:lang w:eastAsia="zh-CN"/>
              </w:rPr>
              <w:t>Tone reservation (which can only be w/ spectrum extension)</w:t>
            </w:r>
          </w:p>
          <w:p w14:paraId="7D29C483" w14:textId="77777777" w:rsidR="00753D28" w:rsidRPr="008A45A7" w:rsidRDefault="00753D28" w:rsidP="00753D28">
            <w:pPr>
              <w:shd w:val="clear" w:color="auto" w:fill="FFFFFF"/>
              <w:rPr>
                <w:rFonts w:eastAsia="DengXian"/>
                <w:highlight w:val="green"/>
                <w:lang w:eastAsia="zh-CN"/>
              </w:rPr>
            </w:pPr>
            <w:r w:rsidRPr="003150BE">
              <w:rPr>
                <w:rFonts w:eastAsia="DengXian"/>
                <w:highlight w:val="green"/>
                <w:lang w:eastAsia="zh-CN"/>
              </w:rPr>
              <w:t>Agreement</w:t>
            </w:r>
          </w:p>
          <w:p w14:paraId="4664C4DC" w14:textId="77777777" w:rsidR="00753D28" w:rsidRPr="008A45A7" w:rsidRDefault="00753D28" w:rsidP="00753D28">
            <w:pPr>
              <w:shd w:val="clear" w:color="auto" w:fill="FFFFFF"/>
              <w:rPr>
                <w:rFonts w:eastAsia="DengXian"/>
                <w:lang w:eastAsia="zh-CN"/>
              </w:rPr>
            </w:pPr>
            <w:r w:rsidRPr="008A45A7">
              <w:rPr>
                <w:rFonts w:eastAsia="DengXian"/>
                <w:lang w:eastAsia="zh-CN"/>
              </w:rPr>
              <w:t>The following design aspects of frequency domain spectrum shaping with spectrum extension (FDSS-SE), are considered for studying MPR/PAR reduction enhancements in Rel-18:</w:t>
            </w:r>
          </w:p>
          <w:p w14:paraId="22E0FBB9" w14:textId="77777777" w:rsidR="00753D28" w:rsidRPr="008A45A7" w:rsidRDefault="00753D28" w:rsidP="00753D28">
            <w:pPr>
              <w:numPr>
                <w:ilvl w:val="0"/>
                <w:numId w:val="37"/>
              </w:numPr>
              <w:shd w:val="clear" w:color="auto" w:fill="FFFFFF"/>
              <w:rPr>
                <w:rFonts w:eastAsia="DengXian"/>
                <w:lang w:eastAsia="zh-CN"/>
              </w:rPr>
            </w:pPr>
            <w:r w:rsidRPr="008A45A7">
              <w:rPr>
                <w:rFonts w:eastAsia="DengXian"/>
                <w:lang w:eastAsia="zh-CN"/>
              </w:rPr>
              <w:t>Spectrum extension size is expressed in integer units of RBs.</w:t>
            </w:r>
          </w:p>
          <w:p w14:paraId="2C25ACD8" w14:textId="77777777" w:rsidR="00753D28" w:rsidRPr="008A45A7" w:rsidRDefault="00753D28" w:rsidP="00753D28">
            <w:pPr>
              <w:numPr>
                <w:ilvl w:val="0"/>
                <w:numId w:val="37"/>
              </w:numPr>
              <w:shd w:val="clear" w:color="auto" w:fill="FFFFFF"/>
              <w:rPr>
                <w:rFonts w:eastAsia="DengXian"/>
                <w:lang w:eastAsia="zh-CN"/>
              </w:rPr>
            </w:pPr>
            <w:r w:rsidRPr="008A45A7">
              <w:rPr>
                <w:rFonts w:eastAsia="DengXian"/>
                <w:lang w:eastAsia="zh-CN"/>
              </w:rPr>
              <w:t>Both DMRS and data symbols undergo spectrum shaping</w:t>
            </w:r>
          </w:p>
          <w:p w14:paraId="3C649CA2" w14:textId="77777777" w:rsidR="00753D28" w:rsidRPr="008A45A7" w:rsidRDefault="00753D28" w:rsidP="00753D28">
            <w:pPr>
              <w:numPr>
                <w:ilvl w:val="0"/>
                <w:numId w:val="37"/>
              </w:numPr>
              <w:shd w:val="clear" w:color="auto" w:fill="FFFFFF"/>
              <w:rPr>
                <w:rFonts w:eastAsia="DengXian"/>
                <w:lang w:eastAsia="zh-CN"/>
              </w:rPr>
            </w:pPr>
            <w:r w:rsidRPr="008A45A7">
              <w:rPr>
                <w:rFonts w:eastAsia="DengXian"/>
                <w:lang w:eastAsia="zh-CN"/>
              </w:rPr>
              <w:t>FFS:</w:t>
            </w:r>
          </w:p>
          <w:p w14:paraId="7AD9B53C" w14:textId="77777777" w:rsidR="00753D28" w:rsidRPr="008A45A7" w:rsidRDefault="00753D28" w:rsidP="00753D28">
            <w:pPr>
              <w:numPr>
                <w:ilvl w:val="1"/>
                <w:numId w:val="37"/>
              </w:numPr>
              <w:shd w:val="clear" w:color="auto" w:fill="FFFFFF"/>
              <w:rPr>
                <w:rFonts w:eastAsia="DengXian"/>
                <w:lang w:eastAsia="zh-CN"/>
              </w:rPr>
            </w:pPr>
            <w:r w:rsidRPr="008A45A7">
              <w:rPr>
                <w:rFonts w:eastAsia="DengXian"/>
                <w:lang w:eastAsia="zh-CN"/>
              </w:rPr>
              <w:t>Which extensions factor(s) to consider, where extension factor (α) is given by spectrum extension size / Total allocation size.</w:t>
            </w:r>
          </w:p>
          <w:p w14:paraId="0D0ABC74" w14:textId="77777777" w:rsidR="00753D28" w:rsidRPr="008A45A7" w:rsidRDefault="00753D28" w:rsidP="00753D28">
            <w:pPr>
              <w:numPr>
                <w:ilvl w:val="1"/>
                <w:numId w:val="37"/>
              </w:numPr>
              <w:shd w:val="clear" w:color="auto" w:fill="FFFFFF"/>
              <w:rPr>
                <w:rFonts w:eastAsia="DengXian"/>
                <w:lang w:eastAsia="zh-CN"/>
              </w:rPr>
            </w:pPr>
            <w:r w:rsidRPr="008A45A7">
              <w:rPr>
                <w:rFonts w:eastAsia="DengXian"/>
                <w:lang w:eastAsia="zh-CN"/>
              </w:rPr>
              <w:t>Impact of shaping filter on FDSS-SE performance</w:t>
            </w:r>
          </w:p>
          <w:p w14:paraId="6FEC7924" w14:textId="77777777" w:rsidR="00753D28" w:rsidRPr="008A45A7" w:rsidRDefault="00753D28" w:rsidP="00753D28">
            <w:pPr>
              <w:numPr>
                <w:ilvl w:val="1"/>
                <w:numId w:val="37"/>
              </w:numPr>
              <w:shd w:val="clear" w:color="auto" w:fill="FFFFFF"/>
              <w:rPr>
                <w:rFonts w:eastAsia="DengXian"/>
                <w:lang w:eastAsia="zh-CN"/>
              </w:rPr>
            </w:pPr>
            <w:r w:rsidRPr="008A45A7">
              <w:rPr>
                <w:rFonts w:eastAsia="DengXian"/>
                <w:lang w:eastAsia="zh-CN"/>
              </w:rPr>
              <w:t>How to extend DMRS sequence to spectrum extensions, based on either the existing ZC-sequence DMRS or low-PAPR DMRS for PUSCH (FG 16-6c)</w:t>
            </w:r>
          </w:p>
          <w:p w14:paraId="1EA61BFB" w14:textId="77EF788A" w:rsidR="00753D28" w:rsidRPr="00753D28" w:rsidRDefault="00753D28" w:rsidP="00753D28">
            <w:pPr>
              <w:numPr>
                <w:ilvl w:val="1"/>
                <w:numId w:val="37"/>
              </w:numPr>
              <w:shd w:val="clear" w:color="auto" w:fill="FFFFFF"/>
              <w:rPr>
                <w:rFonts w:eastAsia="DengXian"/>
                <w:lang w:eastAsia="zh-CN"/>
              </w:rPr>
            </w:pPr>
            <w:r w:rsidRPr="008A45A7">
              <w:rPr>
                <w:rFonts w:eastAsia="DengXian"/>
                <w:lang w:eastAsia="zh-CN"/>
              </w:rPr>
              <w:t>How extension size is determined</w:t>
            </w:r>
          </w:p>
        </w:tc>
      </w:tr>
    </w:tbl>
    <w:p w14:paraId="1A68BD24" w14:textId="77777777" w:rsidR="00BC410E" w:rsidRDefault="00BC410E" w:rsidP="00AB498D">
      <w:pPr>
        <w:rPr>
          <w:lang w:val="en-US"/>
        </w:rPr>
      </w:pPr>
    </w:p>
    <w:p w14:paraId="02EA1369" w14:textId="1F8D20AF" w:rsidR="00AB498D" w:rsidRDefault="00AB498D" w:rsidP="00AB498D">
      <w:pPr>
        <w:rPr>
          <w:lang w:val="en-US"/>
        </w:rPr>
      </w:pPr>
      <w:r>
        <w:rPr>
          <w:lang w:val="en-US"/>
        </w:rPr>
        <w:t xml:space="preserve">In the study </w:t>
      </w:r>
      <w:r w:rsidR="00C33F1D">
        <w:rPr>
          <w:lang w:val="en-US"/>
        </w:rPr>
        <w:t>of “</w:t>
      </w:r>
      <w:r w:rsidR="00C33F1D" w:rsidRPr="00C33F1D">
        <w:rPr>
          <w:lang w:val="en-US"/>
        </w:rPr>
        <w:t>Study on optimizations of pi/2 BPSK uplink power in NR</w:t>
      </w:r>
      <w:r w:rsidR="00C33F1D">
        <w:rPr>
          <w:lang w:val="en-US"/>
        </w:rPr>
        <w:t xml:space="preserve">”, </w:t>
      </w:r>
      <w:r w:rsidR="00753D28" w:rsidRPr="00753D28">
        <w:rPr>
          <w:lang w:val="en-US"/>
        </w:rPr>
        <w:t>the feasibility of</w:t>
      </w:r>
      <w:r w:rsidR="00753D28">
        <w:rPr>
          <w:lang w:val="en-US"/>
        </w:rPr>
        <w:t xml:space="preserve"> power boosting for pi/2 BPSK modulation was studied, the study also covered filter characteristics for the new power capability. The conclusion of the study was described in TS38.868</w:t>
      </w:r>
      <w:r w:rsidR="0037610F">
        <w:rPr>
          <w:lang w:val="en-US"/>
        </w:rPr>
        <w:t xml:space="preserve"> [5]</w:t>
      </w:r>
      <w:r w:rsidR="00753D28">
        <w:rPr>
          <w:lang w:val="en-US"/>
        </w:rPr>
        <w:t xml:space="preserve">, in which it was captured that </w:t>
      </w:r>
      <w:r w:rsidR="00753D28" w:rsidRPr="00753D28">
        <w:rPr>
          <w:lang w:val="en-US"/>
        </w:rPr>
        <w:t>the choice of filter is up to UE implementation and transparent to the network as it was in Rel-16.</w:t>
      </w:r>
      <w:r w:rsidR="00753D28">
        <w:rPr>
          <w:lang w:val="en-US"/>
        </w:rPr>
        <w:t xml:space="preserve"> The same principle can also apply to the second candidate solution, i.e., </w:t>
      </w:r>
      <w:r w:rsidR="00753D28" w:rsidRPr="00753D28">
        <w:rPr>
          <w:lang w:val="en-US"/>
        </w:rPr>
        <w:t>Frequency domain spectrum shaping w/o spectrum extension</w:t>
      </w:r>
      <w:r w:rsidR="00852169">
        <w:rPr>
          <w:lang w:val="en-US"/>
        </w:rPr>
        <w:t>.</w:t>
      </w:r>
      <w:r w:rsidR="00171003">
        <w:rPr>
          <w:lang w:val="en-US"/>
        </w:rPr>
        <w:t xml:space="preserve"> On the other hand, the first and the third candidate solutions would lead to spectrum extension, where the signal in the extended spectrum would not contribute to carry information bits. This is a quite new concept and requires RAN1 specification change.</w:t>
      </w:r>
    </w:p>
    <w:p w14:paraId="0B8677A1" w14:textId="3EBCD957" w:rsidR="004B21AC" w:rsidRDefault="004B21AC" w:rsidP="00AB498D">
      <w:pPr>
        <w:rPr>
          <w:iCs/>
          <w:lang w:val="en-US"/>
        </w:rPr>
      </w:pPr>
      <w:r>
        <w:rPr>
          <w:rFonts w:hint="eastAsia"/>
          <w:iCs/>
          <w:lang w:val="en-US"/>
        </w:rPr>
        <w:t>For</w:t>
      </w:r>
      <w:r>
        <w:rPr>
          <w:iCs/>
          <w:lang w:val="en-US"/>
        </w:rPr>
        <w:t xml:space="preserve"> the relationship between the frequency resources allocated by FDRA and the spectrum extension, there are two alternatives.</w:t>
      </w:r>
    </w:p>
    <w:p w14:paraId="736D4F10" w14:textId="36598F4F" w:rsidR="004B21AC" w:rsidRDefault="004B21AC" w:rsidP="004B21AC">
      <w:pPr>
        <w:pStyle w:val="aff9"/>
        <w:numPr>
          <w:ilvl w:val="0"/>
          <w:numId w:val="38"/>
        </w:numPr>
        <w:ind w:firstLineChars="0"/>
        <w:rPr>
          <w:iCs/>
          <w:lang w:val="en-US"/>
        </w:rPr>
      </w:pPr>
      <w:r>
        <w:rPr>
          <w:rFonts w:hint="eastAsia"/>
          <w:iCs/>
          <w:lang w:val="en-US"/>
        </w:rPr>
        <w:t>A</w:t>
      </w:r>
      <w:r>
        <w:rPr>
          <w:iCs/>
          <w:lang w:val="en-US"/>
        </w:rPr>
        <w:t>lt 1: The spectrum extension is defined outside of the frequency resources allocated by FDRA.</w:t>
      </w:r>
    </w:p>
    <w:p w14:paraId="24DB99BA" w14:textId="64A40D24" w:rsidR="004B21AC" w:rsidRPr="004B21AC" w:rsidRDefault="004B21AC" w:rsidP="004B21AC">
      <w:pPr>
        <w:pStyle w:val="aff9"/>
        <w:numPr>
          <w:ilvl w:val="0"/>
          <w:numId w:val="38"/>
        </w:numPr>
        <w:ind w:firstLineChars="0"/>
        <w:rPr>
          <w:iCs/>
          <w:lang w:val="en-US"/>
        </w:rPr>
      </w:pPr>
      <w:r>
        <w:rPr>
          <w:rFonts w:hint="eastAsia"/>
          <w:iCs/>
          <w:lang w:val="en-US"/>
        </w:rPr>
        <w:t>A</w:t>
      </w:r>
      <w:r>
        <w:rPr>
          <w:iCs/>
          <w:lang w:val="en-US"/>
        </w:rPr>
        <w:t>lt 2: The spectrum extension is defined within the frequency resources allocated by FDRA.</w:t>
      </w:r>
    </w:p>
    <w:p w14:paraId="7EA3068E" w14:textId="168C1925" w:rsidR="004B21AC" w:rsidRDefault="004B21AC" w:rsidP="00122CD3">
      <w:pPr>
        <w:rPr>
          <w:b/>
          <w:bCs/>
          <w:u w:val="single"/>
          <w:lang w:val="en-US"/>
        </w:rPr>
      </w:pPr>
      <w:r>
        <w:rPr>
          <w:lang w:val="en-US"/>
        </w:rPr>
        <w:t xml:space="preserve">The existing uplink resource allocation schemes have several restrictions, e.g., RBG size (the unit of uplink resource allocation) and total number of allocated RBs (fulfilling </w:t>
      </w:r>
      <w:r w:rsidRPr="000A2377">
        <w:rPr>
          <w:noProof/>
          <w:position w:val="-10"/>
          <w:lang w:eastAsia="en-GB"/>
        </w:rPr>
        <w:drawing>
          <wp:inline distT="0" distB="0" distL="0" distR="0" wp14:anchorId="6CE5716E" wp14:editId="393D7708">
            <wp:extent cx="1266825" cy="22860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66825" cy="228600"/>
                    </a:xfrm>
                    <a:prstGeom prst="rect">
                      <a:avLst/>
                    </a:prstGeom>
                    <a:noFill/>
                    <a:ln>
                      <a:noFill/>
                    </a:ln>
                  </pic:spPr>
                </pic:pic>
              </a:graphicData>
            </a:graphic>
          </wp:inline>
        </w:drawing>
      </w:r>
      <w:r>
        <w:rPr>
          <w:lang w:val="en-US"/>
        </w:rPr>
        <w:t xml:space="preserve"> limitation). With Alt 1, PUSCH encoding/decoding procedures including TBS determination based on the FDRA value remain unchanged from the legacy behaviors, while Alt 2 causes </w:t>
      </w:r>
      <w:r w:rsidR="00FB55C9">
        <w:rPr>
          <w:lang w:val="en-US"/>
        </w:rPr>
        <w:t xml:space="preserve">different PUSCH encoding/decoding procedures depending on whether the spectrum extension is applied or not. As for the RF process perspective, Alt 1 would lead to different spectrum masking for w/ and w/o the spectrum extension, since the total bandwidth for the uplink transmission depends on the presence of the spectrum extension in addition to the FDRA information. In contrast, the total bandwidth with Alt 2 is determined only by FDRA. It is seen that Alt 1 would have some impact on the spectrum masking, but FDSS would anyway requires some enhanced filtering. Therefore, we propose taking Alt 1, i.e., </w:t>
      </w:r>
      <w:r w:rsidR="00FB55C9">
        <w:rPr>
          <w:iCs/>
          <w:lang w:val="en-US"/>
        </w:rPr>
        <w:t>the spectrum extension is defined outside of the frequency resources allocated by FDRA.</w:t>
      </w:r>
    </w:p>
    <w:p w14:paraId="40BC5489" w14:textId="295BB4B8" w:rsidR="00122CD3" w:rsidRDefault="00122CD3" w:rsidP="00122CD3">
      <w:pPr>
        <w:rPr>
          <w:iCs/>
          <w:lang w:val="en-US"/>
        </w:rPr>
      </w:pPr>
      <w:r w:rsidRPr="00620532">
        <w:rPr>
          <w:b/>
          <w:bCs/>
          <w:u w:val="single"/>
          <w:lang w:val="en-US"/>
        </w:rPr>
        <w:lastRenderedPageBreak/>
        <w:t>Proposal</w:t>
      </w:r>
      <w:r>
        <w:rPr>
          <w:b/>
          <w:bCs/>
          <w:u w:val="single"/>
          <w:lang w:val="en-US"/>
        </w:rPr>
        <w:t xml:space="preserve"> </w:t>
      </w:r>
      <w:r w:rsidR="00315CE1">
        <w:rPr>
          <w:b/>
          <w:bCs/>
          <w:u w:val="single"/>
          <w:lang w:val="en-US"/>
        </w:rPr>
        <w:t>1</w:t>
      </w:r>
      <w:r w:rsidRPr="00620532">
        <w:rPr>
          <w:b/>
          <w:bCs/>
          <w:u w:val="single"/>
          <w:lang w:val="en-US"/>
        </w:rPr>
        <w:t>:</w:t>
      </w:r>
      <w:r>
        <w:rPr>
          <w:lang w:val="en-US"/>
        </w:rPr>
        <w:t xml:space="preserve"> </w:t>
      </w:r>
      <w:r w:rsidR="001C0C03" w:rsidRPr="001C0C03">
        <w:rPr>
          <w:iCs/>
          <w:lang w:val="en-US"/>
        </w:rPr>
        <w:t>The spectrum extension is defined outside of the frequency resources allocated by FDRA.</w:t>
      </w:r>
      <w:r>
        <w:rPr>
          <w:iCs/>
          <w:lang w:val="en-US"/>
        </w:rPr>
        <w:t xml:space="preserve"> </w:t>
      </w:r>
    </w:p>
    <w:p w14:paraId="24EA44C5" w14:textId="77777777" w:rsidR="00000317" w:rsidRDefault="00000317" w:rsidP="005E68FD">
      <w:pPr>
        <w:rPr>
          <w:lang w:val="en-US"/>
        </w:rPr>
      </w:pPr>
    </w:p>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t>Conclusion</w:t>
      </w:r>
    </w:p>
    <w:p w14:paraId="33C957BF" w14:textId="07E57BAB" w:rsidR="004407D4" w:rsidRDefault="004407D4" w:rsidP="004407D4">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 xml:space="preserve">n this contribution, we have the following </w:t>
      </w:r>
      <w:r w:rsidR="00780395">
        <w:rPr>
          <w:rFonts w:eastAsiaTheme="minorEastAsia" w:hint="eastAsia"/>
          <w:color w:val="000000" w:themeColor="text1"/>
        </w:rPr>
        <w:t>o</w:t>
      </w:r>
      <w:r w:rsidR="00780395">
        <w:rPr>
          <w:rFonts w:eastAsiaTheme="minorEastAsia"/>
          <w:color w:val="000000" w:themeColor="text1"/>
        </w:rPr>
        <w:t xml:space="preserve">bservation and </w:t>
      </w:r>
      <w:r w:rsidRPr="00006ABC">
        <w:rPr>
          <w:rFonts w:eastAsiaTheme="minorEastAsia"/>
          <w:color w:val="000000" w:themeColor="text1"/>
        </w:rPr>
        <w:t>proposal:</w:t>
      </w:r>
    </w:p>
    <w:p w14:paraId="0FD8ED67" w14:textId="77777777" w:rsidR="009B702F" w:rsidRDefault="009B702F" w:rsidP="009B702F">
      <w:pPr>
        <w:rPr>
          <w:iCs/>
          <w:lang w:val="en-US"/>
        </w:rPr>
      </w:pPr>
      <w:r>
        <w:rPr>
          <w:b/>
          <w:bCs/>
          <w:u w:val="single"/>
          <w:lang w:val="en-US"/>
        </w:rPr>
        <w:t>Observation 1</w:t>
      </w:r>
      <w:r w:rsidRPr="00620532">
        <w:rPr>
          <w:b/>
          <w:bCs/>
          <w:u w:val="single"/>
          <w:lang w:val="en-US"/>
        </w:rPr>
        <w:t>:</w:t>
      </w:r>
      <w:r>
        <w:rPr>
          <w:lang w:val="en-US"/>
        </w:rPr>
        <w:t xml:space="preserve"> </w:t>
      </w:r>
      <w:r w:rsidRPr="00965580">
        <w:rPr>
          <w:iCs/>
          <w:lang w:val="en-US"/>
        </w:rPr>
        <w:t>When the UE reports this capability information and if the network is aware of that there is no power headroom to 23dBm limit, the network is likely to consider to apply a restriction on UL scheduling for this UE such that the ratio of UL symbols becomes lower than the reported duty cycle.</w:t>
      </w:r>
      <w:r>
        <w:rPr>
          <w:iCs/>
          <w:lang w:val="en-US"/>
        </w:rPr>
        <w:t xml:space="preserve"> </w:t>
      </w:r>
    </w:p>
    <w:p w14:paraId="7D892520" w14:textId="77777777" w:rsidR="009B702F" w:rsidRDefault="009B702F" w:rsidP="009B702F">
      <w:pPr>
        <w:rPr>
          <w:iCs/>
          <w:lang w:val="en-US"/>
        </w:rPr>
      </w:pPr>
      <w:r w:rsidRPr="00620532">
        <w:rPr>
          <w:b/>
          <w:bCs/>
          <w:u w:val="single"/>
          <w:lang w:val="en-US"/>
        </w:rPr>
        <w:t>Proposal</w:t>
      </w:r>
      <w:r>
        <w:rPr>
          <w:b/>
          <w:bCs/>
          <w:u w:val="single"/>
          <w:lang w:val="en-US"/>
        </w:rPr>
        <w:t xml:space="preserve"> 1</w:t>
      </w:r>
      <w:r w:rsidRPr="00620532">
        <w:rPr>
          <w:b/>
          <w:bCs/>
          <w:u w:val="single"/>
          <w:lang w:val="en-US"/>
        </w:rPr>
        <w:t>:</w:t>
      </w:r>
      <w:r>
        <w:rPr>
          <w:lang w:val="en-US"/>
        </w:rPr>
        <w:t xml:space="preserve"> </w:t>
      </w:r>
      <w:r w:rsidRPr="001C0C03">
        <w:rPr>
          <w:iCs/>
          <w:lang w:val="en-US"/>
        </w:rPr>
        <w:t>The spectrum extension is defined outside of the frequency resources allocated by FDRA.</w:t>
      </w:r>
      <w:r>
        <w:rPr>
          <w:iCs/>
          <w:lang w:val="en-US"/>
        </w:rPr>
        <w:t xml:space="preserve"> </w:t>
      </w:r>
    </w:p>
    <w:p w14:paraId="47C48270" w14:textId="77777777" w:rsidR="0007475C" w:rsidRPr="009B702F" w:rsidRDefault="0007475C" w:rsidP="004407D4">
      <w:pPr>
        <w:rPr>
          <w:rFonts w:eastAsiaTheme="minorEastAsia"/>
          <w:color w:val="000000" w:themeColor="text1"/>
          <w:highlight w:val="yellow"/>
          <w:lang w:val="en-US"/>
        </w:rPr>
      </w:pPr>
    </w:p>
    <w:bookmarkEnd w:id="4"/>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1B5EC7D1" w14:textId="2EA5B55C" w:rsidR="00F67A3B" w:rsidRPr="004C25B0" w:rsidRDefault="00411F89" w:rsidP="002E4229">
      <w:pPr>
        <w:pStyle w:val="textintend2"/>
        <w:rPr>
          <w:color w:val="000000" w:themeColor="text1"/>
          <w:szCs w:val="24"/>
        </w:rPr>
      </w:pPr>
      <w:r w:rsidRPr="00411F89">
        <w:rPr>
          <w:color w:val="000000" w:themeColor="text1"/>
          <w:szCs w:val="24"/>
          <w:lang w:eastAsia="ja-JP"/>
        </w:rPr>
        <w:t>RP-221858</w:t>
      </w:r>
      <w:r>
        <w:rPr>
          <w:color w:val="000000" w:themeColor="text1"/>
          <w:szCs w:val="24"/>
          <w:lang w:eastAsia="ja-JP"/>
        </w:rPr>
        <w:t xml:space="preserve">, </w:t>
      </w:r>
      <w:r w:rsidR="004C25B0">
        <w:rPr>
          <w:color w:val="000000" w:themeColor="text1"/>
          <w:szCs w:val="24"/>
          <w:lang w:eastAsia="ja-JP"/>
        </w:rPr>
        <w:t>“</w:t>
      </w:r>
      <w:r w:rsidRPr="00411F89">
        <w:rPr>
          <w:color w:val="000000" w:themeColor="text1"/>
          <w:szCs w:val="24"/>
          <w:lang w:eastAsia="ja-JP"/>
        </w:rPr>
        <w:t>Revised WID on Further NR coverage enhancements</w:t>
      </w:r>
      <w:r w:rsidR="002E4229" w:rsidRPr="00006ABC">
        <w:rPr>
          <w:color w:val="000000" w:themeColor="text1"/>
          <w:szCs w:val="24"/>
          <w:lang w:eastAsia="ja-JP"/>
        </w:rPr>
        <w:t xml:space="preserve">,” </w:t>
      </w:r>
      <w:r w:rsidRPr="00411F89">
        <w:rPr>
          <w:color w:val="000000" w:themeColor="text1"/>
          <w:szCs w:val="24"/>
          <w:lang w:eastAsia="ja-JP"/>
        </w:rPr>
        <w:t>China Telecom</w:t>
      </w:r>
      <w:r>
        <w:rPr>
          <w:color w:val="000000" w:themeColor="text1"/>
          <w:szCs w:val="24"/>
          <w:lang w:eastAsia="ja-JP"/>
        </w:rPr>
        <w:t>,</w:t>
      </w:r>
      <w:r w:rsidRPr="00411F89">
        <w:rPr>
          <w:color w:val="000000" w:themeColor="text1"/>
          <w:szCs w:val="24"/>
          <w:lang w:eastAsia="ja-JP"/>
        </w:rPr>
        <w:t xml:space="preserve"> </w:t>
      </w:r>
      <w:r w:rsidR="002E4229" w:rsidRPr="00006ABC">
        <w:t>RAN#</w:t>
      </w:r>
      <w:r>
        <w:t>96</w:t>
      </w:r>
      <w:r w:rsidR="002E4229" w:rsidRPr="00006ABC">
        <w:rPr>
          <w:rFonts w:eastAsiaTheme="minorEastAsia" w:hint="eastAsia"/>
          <w:lang w:eastAsia="zh-CN"/>
        </w:rPr>
        <w:t xml:space="preserve">, </w:t>
      </w:r>
      <w:r>
        <w:rPr>
          <w:rFonts w:eastAsiaTheme="minorEastAsia"/>
          <w:lang w:eastAsia="zh-CN"/>
        </w:rPr>
        <w:t>June</w:t>
      </w:r>
      <w:r w:rsidR="002E4229" w:rsidRPr="00006ABC">
        <w:t xml:space="preserve"> 202</w:t>
      </w:r>
      <w:r w:rsidR="002E4229">
        <w:t>2</w:t>
      </w:r>
      <w:r w:rsidR="002E4229" w:rsidRPr="00006ABC">
        <w:rPr>
          <w:rFonts w:eastAsiaTheme="minorEastAsia" w:hint="eastAsia"/>
          <w:lang w:eastAsia="zh-CN"/>
        </w:rPr>
        <w:t>.</w:t>
      </w:r>
    </w:p>
    <w:p w14:paraId="159DAC3E" w14:textId="003A8592" w:rsidR="00DC1108" w:rsidRDefault="00DC1108" w:rsidP="002E4229">
      <w:pPr>
        <w:pStyle w:val="textintend2"/>
        <w:rPr>
          <w:color w:val="000000" w:themeColor="text1"/>
          <w:szCs w:val="24"/>
        </w:rPr>
      </w:pPr>
      <w:r w:rsidRPr="00DC1108">
        <w:rPr>
          <w:color w:val="000000" w:themeColor="text1"/>
          <w:szCs w:val="24"/>
        </w:rPr>
        <w:t>RP-212622</w:t>
      </w:r>
      <w:r>
        <w:rPr>
          <w:color w:val="000000" w:themeColor="text1"/>
          <w:szCs w:val="24"/>
        </w:rPr>
        <w:t>, “</w:t>
      </w:r>
      <w:r w:rsidRPr="00DC1108">
        <w:rPr>
          <w:color w:val="000000" w:themeColor="text1"/>
          <w:szCs w:val="24"/>
        </w:rPr>
        <w:t>Increasing UE power high limit for CA and DC</w:t>
      </w:r>
      <w:r>
        <w:rPr>
          <w:color w:val="000000" w:themeColor="text1"/>
          <w:szCs w:val="24"/>
        </w:rPr>
        <w:t xml:space="preserve">”, </w:t>
      </w:r>
      <w:r w:rsidRPr="00DC1108">
        <w:rPr>
          <w:color w:val="000000" w:themeColor="text1"/>
          <w:szCs w:val="24"/>
        </w:rPr>
        <w:t>China Telecom, Qualcomm</w:t>
      </w:r>
      <w:r>
        <w:rPr>
          <w:color w:val="000000" w:themeColor="text1"/>
          <w:szCs w:val="24"/>
        </w:rPr>
        <w:t>, RAN#93e, September 2021.</w:t>
      </w:r>
    </w:p>
    <w:p w14:paraId="6022EC42" w14:textId="47B9D754" w:rsidR="00DC1108" w:rsidRDefault="00DC1108" w:rsidP="002E4229">
      <w:pPr>
        <w:pStyle w:val="textintend2"/>
        <w:rPr>
          <w:color w:val="000000" w:themeColor="text1"/>
          <w:szCs w:val="24"/>
        </w:rPr>
      </w:pPr>
      <w:r w:rsidRPr="00DC1108">
        <w:rPr>
          <w:color w:val="000000" w:themeColor="text1"/>
          <w:szCs w:val="24"/>
        </w:rPr>
        <w:t>R4-2210767</w:t>
      </w:r>
      <w:r>
        <w:rPr>
          <w:color w:val="000000" w:themeColor="text1"/>
          <w:szCs w:val="24"/>
        </w:rPr>
        <w:t>, “</w:t>
      </w:r>
      <w:r>
        <w:t>Increasing the maximum power limit for inter-band UL CA</w:t>
      </w:r>
      <w:r>
        <w:rPr>
          <w:color w:val="000000" w:themeColor="text1"/>
          <w:szCs w:val="24"/>
        </w:rPr>
        <w:t xml:space="preserve">”, </w:t>
      </w:r>
      <w:r w:rsidRPr="00DC1108">
        <w:rPr>
          <w:color w:val="000000" w:themeColor="text1"/>
          <w:szCs w:val="24"/>
        </w:rPr>
        <w:t xml:space="preserve">Qualcomm Incorporated, </w:t>
      </w:r>
      <w:r>
        <w:rPr>
          <w:color w:val="000000" w:themeColor="text1"/>
          <w:szCs w:val="24"/>
        </w:rPr>
        <w:t>etc.,</w:t>
      </w:r>
      <w:r w:rsidR="00315CE1">
        <w:rPr>
          <w:color w:val="000000" w:themeColor="text1"/>
          <w:szCs w:val="24"/>
        </w:rPr>
        <w:t xml:space="preserve"> RAN4#103e, May 2022.</w:t>
      </w:r>
    </w:p>
    <w:p w14:paraId="3F868E81" w14:textId="3E44CB7C" w:rsidR="00315CE1" w:rsidRDefault="00315CE1" w:rsidP="002E4229">
      <w:pPr>
        <w:pStyle w:val="textintend2"/>
        <w:rPr>
          <w:color w:val="000000" w:themeColor="text1"/>
          <w:szCs w:val="24"/>
        </w:rPr>
      </w:pPr>
      <w:r w:rsidRPr="00315CE1">
        <w:rPr>
          <w:color w:val="000000" w:themeColor="text1"/>
          <w:szCs w:val="24"/>
        </w:rPr>
        <w:t>R4-2210768</w:t>
      </w:r>
      <w:r>
        <w:rPr>
          <w:color w:val="000000" w:themeColor="text1"/>
          <w:szCs w:val="24"/>
        </w:rPr>
        <w:t>, “</w:t>
      </w:r>
      <w:r>
        <w:t>Increasing the maximum power limit for inter-band UL CA</w:t>
      </w:r>
      <w:r>
        <w:rPr>
          <w:color w:val="000000" w:themeColor="text1"/>
          <w:szCs w:val="24"/>
        </w:rPr>
        <w:t xml:space="preserve">”, </w:t>
      </w:r>
      <w:r w:rsidRPr="00DC1108">
        <w:rPr>
          <w:color w:val="000000" w:themeColor="text1"/>
          <w:szCs w:val="24"/>
        </w:rPr>
        <w:t xml:space="preserve">Qualcomm Incorporated, </w:t>
      </w:r>
      <w:r>
        <w:rPr>
          <w:color w:val="000000" w:themeColor="text1"/>
          <w:szCs w:val="24"/>
        </w:rPr>
        <w:t>etc., RAN4#103e, May 2022.</w:t>
      </w:r>
    </w:p>
    <w:p w14:paraId="05DA3102" w14:textId="49AD4E18" w:rsidR="004C25B0" w:rsidRPr="0037610F" w:rsidRDefault="004C25B0" w:rsidP="00E84927">
      <w:pPr>
        <w:pStyle w:val="textintend2"/>
        <w:rPr>
          <w:color w:val="000000" w:themeColor="text1"/>
          <w:szCs w:val="24"/>
        </w:rPr>
      </w:pPr>
      <w:r w:rsidRPr="0037610F">
        <w:rPr>
          <w:color w:val="000000" w:themeColor="text1"/>
          <w:szCs w:val="24"/>
        </w:rPr>
        <w:t>TR 38.8</w:t>
      </w:r>
      <w:r w:rsidR="005D0FD4">
        <w:rPr>
          <w:color w:val="000000" w:themeColor="text1"/>
          <w:szCs w:val="24"/>
        </w:rPr>
        <w:t>68</w:t>
      </w:r>
      <w:r w:rsidRPr="0037610F">
        <w:rPr>
          <w:color w:val="000000" w:themeColor="text1"/>
          <w:szCs w:val="24"/>
        </w:rPr>
        <w:t xml:space="preserve"> V17.0.0 “</w:t>
      </w:r>
      <w:r w:rsidR="0037610F" w:rsidRPr="0037610F">
        <w:rPr>
          <w:color w:val="000000" w:themeColor="text1"/>
          <w:szCs w:val="24"/>
        </w:rPr>
        <w:t>Optimizations of pi/2 BPSK uplink power in NR; User Equipment (UE) radio transmission and reception;</w:t>
      </w:r>
      <w:r w:rsidR="0037610F">
        <w:rPr>
          <w:color w:val="000000" w:themeColor="text1"/>
          <w:szCs w:val="24"/>
        </w:rPr>
        <w:t xml:space="preserve"> </w:t>
      </w:r>
      <w:r w:rsidR="0037610F" w:rsidRPr="0037610F">
        <w:rPr>
          <w:color w:val="000000" w:themeColor="text1"/>
          <w:szCs w:val="24"/>
        </w:rPr>
        <w:t>(Release 17)</w:t>
      </w:r>
      <w:r w:rsidRPr="0037610F">
        <w:rPr>
          <w:color w:val="000000" w:themeColor="text1"/>
          <w:szCs w:val="24"/>
        </w:rPr>
        <w:t xml:space="preserve">”, </w:t>
      </w:r>
      <w:r w:rsidR="0037610F">
        <w:rPr>
          <w:color w:val="000000" w:themeColor="text1"/>
          <w:szCs w:val="24"/>
        </w:rPr>
        <w:t>March</w:t>
      </w:r>
      <w:r w:rsidRPr="0037610F">
        <w:rPr>
          <w:color w:val="000000" w:themeColor="text1"/>
          <w:szCs w:val="24"/>
        </w:rPr>
        <w:t xml:space="preserve"> 202</w:t>
      </w:r>
      <w:r w:rsidR="0037610F">
        <w:rPr>
          <w:color w:val="000000" w:themeColor="text1"/>
          <w:szCs w:val="24"/>
        </w:rPr>
        <w:t>2</w:t>
      </w:r>
      <w:r w:rsidRPr="0037610F">
        <w:rPr>
          <w:color w:val="000000" w:themeColor="text1"/>
          <w:szCs w:val="24"/>
        </w:rPr>
        <w:t>.</w:t>
      </w:r>
    </w:p>
    <w:sectPr w:rsidR="004C25B0" w:rsidRPr="0037610F" w:rsidSect="00F542AD">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6662A" w14:textId="77777777" w:rsidR="00E10CED" w:rsidRDefault="00E10CED">
      <w:r>
        <w:separator/>
      </w:r>
    </w:p>
  </w:endnote>
  <w:endnote w:type="continuationSeparator" w:id="0">
    <w:p w14:paraId="2721D024" w14:textId="77777777" w:rsidR="00E10CED" w:rsidRDefault="00E10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882D1" w14:textId="77777777" w:rsidR="00E10CED" w:rsidRDefault="00E10CED">
      <w:r>
        <w:separator/>
      </w:r>
    </w:p>
  </w:footnote>
  <w:footnote w:type="continuationSeparator" w:id="0">
    <w:p w14:paraId="73EA17BA" w14:textId="77777777" w:rsidR="00E10CED" w:rsidRDefault="00E10C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21D2D"/>
    <w:multiLevelType w:val="hybridMultilevel"/>
    <w:tmpl w:val="1364353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A600F6A"/>
    <w:multiLevelType w:val="hybridMultilevel"/>
    <w:tmpl w:val="04DA7C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C8B30F7"/>
    <w:multiLevelType w:val="hybridMultilevel"/>
    <w:tmpl w:val="BF581B88"/>
    <w:lvl w:ilvl="0" w:tplc="041D0001">
      <w:start w:val="1"/>
      <w:numFmt w:val="bullet"/>
      <w:lvlText w:val=""/>
      <w:lvlJc w:val="left"/>
      <w:pPr>
        <w:ind w:left="840" w:hanging="420"/>
      </w:pPr>
      <w:rPr>
        <w:rFonts w:ascii="Symbol" w:hAnsi="Symbol" w:hint="default"/>
      </w:rPr>
    </w:lvl>
    <w:lvl w:ilvl="1" w:tplc="041D0003">
      <w:start w:val="1"/>
      <w:numFmt w:val="bullet"/>
      <w:lvlText w:val="o"/>
      <w:lvlJc w:val="left"/>
      <w:pPr>
        <w:ind w:left="1260" w:hanging="420"/>
      </w:pPr>
      <w:rPr>
        <w:rFonts w:ascii="Courier New" w:hAnsi="Courier New" w:cs="Courier New"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203FF1"/>
    <w:multiLevelType w:val="hybridMultilevel"/>
    <w:tmpl w:val="6DC81C18"/>
    <w:lvl w:ilvl="0" w:tplc="8E06F930">
      <w:start w:val="3"/>
      <w:numFmt w:val="bullet"/>
      <w:lvlText w:val="-"/>
      <w:lvlJc w:val="left"/>
      <w:pPr>
        <w:ind w:left="1284" w:hanging="420"/>
      </w:pPr>
      <w:rPr>
        <w:rFonts w:ascii="Calibri" w:eastAsia="SimSun" w:hAnsi="Calibri" w:cs="Calibri" w:hint="default"/>
      </w:rPr>
    </w:lvl>
    <w:lvl w:ilvl="1" w:tplc="0409000B" w:tentative="1">
      <w:start w:val="1"/>
      <w:numFmt w:val="bullet"/>
      <w:lvlText w:val=""/>
      <w:lvlJc w:val="left"/>
      <w:pPr>
        <w:ind w:left="1704" w:hanging="420"/>
      </w:pPr>
      <w:rPr>
        <w:rFonts w:ascii="Wingdings" w:hAnsi="Wingdings" w:hint="default"/>
      </w:rPr>
    </w:lvl>
    <w:lvl w:ilvl="2" w:tplc="0409000D"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B" w:tentative="1">
      <w:start w:val="1"/>
      <w:numFmt w:val="bullet"/>
      <w:lvlText w:val=""/>
      <w:lvlJc w:val="left"/>
      <w:pPr>
        <w:ind w:left="2964" w:hanging="420"/>
      </w:pPr>
      <w:rPr>
        <w:rFonts w:ascii="Wingdings" w:hAnsi="Wingdings" w:hint="default"/>
      </w:rPr>
    </w:lvl>
    <w:lvl w:ilvl="5" w:tplc="0409000D"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B" w:tentative="1">
      <w:start w:val="1"/>
      <w:numFmt w:val="bullet"/>
      <w:lvlText w:val=""/>
      <w:lvlJc w:val="left"/>
      <w:pPr>
        <w:ind w:left="4224" w:hanging="420"/>
      </w:pPr>
      <w:rPr>
        <w:rFonts w:ascii="Wingdings" w:hAnsi="Wingdings" w:hint="default"/>
      </w:rPr>
    </w:lvl>
    <w:lvl w:ilvl="8" w:tplc="0409000D" w:tentative="1">
      <w:start w:val="1"/>
      <w:numFmt w:val="bullet"/>
      <w:lvlText w:val=""/>
      <w:lvlJc w:val="left"/>
      <w:pPr>
        <w:ind w:left="4644" w:hanging="420"/>
      </w:pPr>
      <w:rPr>
        <w:rFonts w:ascii="Wingdings" w:hAnsi="Wingdings" w:hint="default"/>
      </w:rPr>
    </w:lvl>
  </w:abstractNum>
  <w:abstractNum w:abstractNumId="11" w15:restartNumberingAfterBreak="0">
    <w:nsid w:val="364A6752"/>
    <w:multiLevelType w:val="multilevel"/>
    <w:tmpl w:val="2D9C2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ＭＳ 明朝"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ＭＳ 明朝"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3"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4"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ＭＳ 明朝"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39B5D0F"/>
    <w:multiLevelType w:val="hybridMultilevel"/>
    <w:tmpl w:val="D0749218"/>
    <w:lvl w:ilvl="0" w:tplc="6E0AF71E">
      <w:start w:val="1"/>
      <w:numFmt w:val="bullet"/>
      <w:lvlText w:val=""/>
      <w:lvlJc w:val="left"/>
      <w:pPr>
        <w:ind w:left="800" w:hanging="400"/>
      </w:pPr>
      <w:rPr>
        <w:rFonts w:ascii="Wingdings" w:hAnsi="Wingdings"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48EE05BE"/>
    <w:multiLevelType w:val="hybridMultilevel"/>
    <w:tmpl w:val="D5EAFAF4"/>
    <w:lvl w:ilvl="0" w:tplc="5E2894B2">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4E6C3C"/>
    <w:multiLevelType w:val="hybridMultilevel"/>
    <w:tmpl w:val="3468FDE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730031D"/>
    <w:multiLevelType w:val="multilevel"/>
    <w:tmpl w:val="547235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C4A30A4"/>
    <w:multiLevelType w:val="multilevel"/>
    <w:tmpl w:val="6CA0AD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FAE4563"/>
    <w:multiLevelType w:val="multilevel"/>
    <w:tmpl w:val="6FAE4563"/>
    <w:lvl w:ilvl="0">
      <w:start w:val="1"/>
      <w:numFmt w:val="bullet"/>
      <w:lvlText w:val=""/>
      <w:lvlJc w:val="left"/>
      <w:pPr>
        <w:ind w:left="420" w:hanging="420"/>
      </w:pPr>
      <w:rPr>
        <w:rFonts w:ascii="Symbol" w:eastAsia="ＭＳ 明朝"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03157D4"/>
    <w:multiLevelType w:val="multilevel"/>
    <w:tmpl w:val="61266378"/>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3"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4"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6"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04555600">
    <w:abstractNumId w:val="31"/>
  </w:num>
  <w:num w:numId="2" w16cid:durableId="2020236821">
    <w:abstractNumId w:val="4"/>
  </w:num>
  <w:num w:numId="3" w16cid:durableId="1155535935">
    <w:abstractNumId w:val="8"/>
  </w:num>
  <w:num w:numId="4" w16cid:durableId="1607229080">
    <w:abstractNumId w:val="32"/>
  </w:num>
  <w:num w:numId="5" w16cid:durableId="416950970">
    <w:abstractNumId w:val="21"/>
  </w:num>
  <w:num w:numId="6" w16cid:durableId="1602450161">
    <w:abstractNumId w:val="22"/>
  </w:num>
  <w:num w:numId="7" w16cid:durableId="928076117">
    <w:abstractNumId w:val="18"/>
  </w:num>
  <w:num w:numId="8" w16cid:durableId="731779076">
    <w:abstractNumId w:val="2"/>
  </w:num>
  <w:num w:numId="9" w16cid:durableId="126318576">
    <w:abstractNumId w:val="35"/>
  </w:num>
  <w:num w:numId="10" w16cid:durableId="1924946264">
    <w:abstractNumId w:val="15"/>
  </w:num>
  <w:num w:numId="11" w16cid:durableId="1196038620">
    <w:abstractNumId w:val="27"/>
  </w:num>
  <w:num w:numId="12" w16cid:durableId="101075070">
    <w:abstractNumId w:val="6"/>
  </w:num>
  <w:num w:numId="13" w16cid:durableId="203254192">
    <w:abstractNumId w:val="11"/>
  </w:num>
  <w:num w:numId="14" w16cid:durableId="763770240">
    <w:abstractNumId w:val="6"/>
  </w:num>
  <w:num w:numId="15" w16cid:durableId="1949387606">
    <w:abstractNumId w:val="28"/>
  </w:num>
  <w:num w:numId="16" w16cid:durableId="728696478">
    <w:abstractNumId w:val="7"/>
  </w:num>
  <w:num w:numId="17" w16cid:durableId="31343903">
    <w:abstractNumId w:val="10"/>
  </w:num>
  <w:num w:numId="18" w16cid:durableId="1781413610">
    <w:abstractNumId w:val="19"/>
  </w:num>
  <w:num w:numId="19" w16cid:durableId="685250036">
    <w:abstractNumId w:val="16"/>
  </w:num>
  <w:num w:numId="20" w16cid:durableId="1295334361">
    <w:abstractNumId w:val="5"/>
  </w:num>
  <w:num w:numId="21" w16cid:durableId="644512413">
    <w:abstractNumId w:val="24"/>
  </w:num>
  <w:num w:numId="22" w16cid:durableId="383453179">
    <w:abstractNumId w:val="26"/>
  </w:num>
  <w:num w:numId="23" w16cid:durableId="458686948">
    <w:abstractNumId w:val="1"/>
  </w:num>
  <w:num w:numId="24" w16cid:durableId="472455601">
    <w:abstractNumId w:val="20"/>
  </w:num>
  <w:num w:numId="25" w16cid:durableId="679698432">
    <w:abstractNumId w:val="33"/>
  </w:num>
  <w:num w:numId="26" w16cid:durableId="557134748">
    <w:abstractNumId w:val="14"/>
  </w:num>
  <w:num w:numId="27" w16cid:durableId="2022197730">
    <w:abstractNumId w:val="34"/>
  </w:num>
  <w:num w:numId="28" w16cid:durableId="1392466446">
    <w:abstractNumId w:val="30"/>
  </w:num>
  <w:num w:numId="29" w16cid:durableId="1751805425">
    <w:abstractNumId w:val="12"/>
  </w:num>
  <w:num w:numId="30" w16cid:durableId="719204330">
    <w:abstractNumId w:val="23"/>
  </w:num>
  <w:num w:numId="31" w16cid:durableId="1910264873">
    <w:abstractNumId w:val="13"/>
  </w:num>
  <w:num w:numId="32" w16cid:durableId="700013453">
    <w:abstractNumId w:val="17"/>
  </w:num>
  <w:num w:numId="33" w16cid:durableId="462700641">
    <w:abstractNumId w:val="3"/>
  </w:num>
  <w:num w:numId="34" w16cid:durableId="472600621">
    <w:abstractNumId w:val="36"/>
  </w:num>
  <w:num w:numId="35" w16cid:durableId="1620261377">
    <w:abstractNumId w:val="9"/>
  </w:num>
  <w:num w:numId="36" w16cid:durableId="110714458">
    <w:abstractNumId w:val="25"/>
  </w:num>
  <w:num w:numId="37" w16cid:durableId="1654211263">
    <w:abstractNumId w:val="29"/>
  </w:num>
  <w:num w:numId="38" w16cid:durableId="190133162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317"/>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777"/>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29"/>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649"/>
    <w:rsid w:val="0007475C"/>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2DE"/>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905C2"/>
    <w:rsid w:val="00090A03"/>
    <w:rsid w:val="0009105B"/>
    <w:rsid w:val="000914B6"/>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985"/>
    <w:rsid w:val="000A2990"/>
    <w:rsid w:val="000A2A93"/>
    <w:rsid w:val="000A3906"/>
    <w:rsid w:val="000A3F92"/>
    <w:rsid w:val="000A45CD"/>
    <w:rsid w:val="000A4F1C"/>
    <w:rsid w:val="000A531C"/>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DB9"/>
    <w:rsid w:val="000E0349"/>
    <w:rsid w:val="000E0581"/>
    <w:rsid w:val="000E167A"/>
    <w:rsid w:val="000E2107"/>
    <w:rsid w:val="000E229C"/>
    <w:rsid w:val="000E25A0"/>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CD3"/>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BFD"/>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0BC0"/>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003"/>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C2E"/>
    <w:rsid w:val="0017437C"/>
    <w:rsid w:val="001745DE"/>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C03"/>
    <w:rsid w:val="001C0D3C"/>
    <w:rsid w:val="001C0F77"/>
    <w:rsid w:val="001C1134"/>
    <w:rsid w:val="001C21AF"/>
    <w:rsid w:val="001C2406"/>
    <w:rsid w:val="001C2DCA"/>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0A15"/>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C04"/>
    <w:rsid w:val="001F2C90"/>
    <w:rsid w:val="001F3858"/>
    <w:rsid w:val="001F3EB5"/>
    <w:rsid w:val="001F41CD"/>
    <w:rsid w:val="001F4A7E"/>
    <w:rsid w:val="001F50CE"/>
    <w:rsid w:val="001F55E0"/>
    <w:rsid w:val="001F60F3"/>
    <w:rsid w:val="001F6944"/>
    <w:rsid w:val="001F735A"/>
    <w:rsid w:val="001F7AA9"/>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6C2"/>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DD9"/>
    <w:rsid w:val="00254FE2"/>
    <w:rsid w:val="00254FFA"/>
    <w:rsid w:val="0025513F"/>
    <w:rsid w:val="00255B35"/>
    <w:rsid w:val="0025679A"/>
    <w:rsid w:val="0025714F"/>
    <w:rsid w:val="002601E5"/>
    <w:rsid w:val="002603A0"/>
    <w:rsid w:val="00260555"/>
    <w:rsid w:val="00260AA1"/>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77A"/>
    <w:rsid w:val="00295FE7"/>
    <w:rsid w:val="00296485"/>
    <w:rsid w:val="00296E15"/>
    <w:rsid w:val="0029712D"/>
    <w:rsid w:val="0029739B"/>
    <w:rsid w:val="00297D4C"/>
    <w:rsid w:val="00297DCE"/>
    <w:rsid w:val="002A01B3"/>
    <w:rsid w:val="002A03DC"/>
    <w:rsid w:val="002A0A42"/>
    <w:rsid w:val="002A17FB"/>
    <w:rsid w:val="002A1A1C"/>
    <w:rsid w:val="002A1DE6"/>
    <w:rsid w:val="002A2E99"/>
    <w:rsid w:val="002A308E"/>
    <w:rsid w:val="002A34A1"/>
    <w:rsid w:val="002A36E4"/>
    <w:rsid w:val="002A3956"/>
    <w:rsid w:val="002A441B"/>
    <w:rsid w:val="002A4EA5"/>
    <w:rsid w:val="002A503B"/>
    <w:rsid w:val="002A5269"/>
    <w:rsid w:val="002A56CF"/>
    <w:rsid w:val="002A6300"/>
    <w:rsid w:val="002A63B1"/>
    <w:rsid w:val="002A6995"/>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74D"/>
    <w:rsid w:val="002C7ED2"/>
    <w:rsid w:val="002D05CF"/>
    <w:rsid w:val="002D0666"/>
    <w:rsid w:val="002D18BA"/>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229"/>
    <w:rsid w:val="002E43EB"/>
    <w:rsid w:val="002E47CA"/>
    <w:rsid w:val="002E49A9"/>
    <w:rsid w:val="002E51ED"/>
    <w:rsid w:val="002E53A2"/>
    <w:rsid w:val="002E5575"/>
    <w:rsid w:val="002E5C88"/>
    <w:rsid w:val="002E71AB"/>
    <w:rsid w:val="002E7664"/>
    <w:rsid w:val="002E7724"/>
    <w:rsid w:val="002E7B0A"/>
    <w:rsid w:val="002E7DD4"/>
    <w:rsid w:val="002F06BC"/>
    <w:rsid w:val="002F0958"/>
    <w:rsid w:val="002F0966"/>
    <w:rsid w:val="002F0CAA"/>
    <w:rsid w:val="002F0EDB"/>
    <w:rsid w:val="002F10D3"/>
    <w:rsid w:val="002F18C2"/>
    <w:rsid w:val="002F1AF9"/>
    <w:rsid w:val="002F1E64"/>
    <w:rsid w:val="002F223F"/>
    <w:rsid w:val="002F23F6"/>
    <w:rsid w:val="002F28F0"/>
    <w:rsid w:val="002F2A26"/>
    <w:rsid w:val="002F3156"/>
    <w:rsid w:val="002F31B1"/>
    <w:rsid w:val="002F3974"/>
    <w:rsid w:val="002F3D1A"/>
    <w:rsid w:val="002F434E"/>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43FE"/>
    <w:rsid w:val="00314C60"/>
    <w:rsid w:val="00315087"/>
    <w:rsid w:val="00315346"/>
    <w:rsid w:val="003156F1"/>
    <w:rsid w:val="00315878"/>
    <w:rsid w:val="00315CE1"/>
    <w:rsid w:val="00315FAA"/>
    <w:rsid w:val="0031613D"/>
    <w:rsid w:val="003161AF"/>
    <w:rsid w:val="00316986"/>
    <w:rsid w:val="00317118"/>
    <w:rsid w:val="003174D2"/>
    <w:rsid w:val="003176AD"/>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AD2"/>
    <w:rsid w:val="00346C66"/>
    <w:rsid w:val="003471CA"/>
    <w:rsid w:val="003473F2"/>
    <w:rsid w:val="0034753E"/>
    <w:rsid w:val="003476FD"/>
    <w:rsid w:val="00347837"/>
    <w:rsid w:val="0034789B"/>
    <w:rsid w:val="00347A6B"/>
    <w:rsid w:val="00347C2C"/>
    <w:rsid w:val="00347D9A"/>
    <w:rsid w:val="0035008B"/>
    <w:rsid w:val="003507A4"/>
    <w:rsid w:val="00350D04"/>
    <w:rsid w:val="00350FBE"/>
    <w:rsid w:val="0035122B"/>
    <w:rsid w:val="00351289"/>
    <w:rsid w:val="00351360"/>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724"/>
    <w:rsid w:val="0036284B"/>
    <w:rsid w:val="00362A00"/>
    <w:rsid w:val="00362AC9"/>
    <w:rsid w:val="003631D8"/>
    <w:rsid w:val="003633A8"/>
    <w:rsid w:val="003633C7"/>
    <w:rsid w:val="0036344B"/>
    <w:rsid w:val="003635DE"/>
    <w:rsid w:val="003640B8"/>
    <w:rsid w:val="00364359"/>
    <w:rsid w:val="003643D9"/>
    <w:rsid w:val="00364B75"/>
    <w:rsid w:val="00365452"/>
    <w:rsid w:val="0036567C"/>
    <w:rsid w:val="00366395"/>
    <w:rsid w:val="0036674B"/>
    <w:rsid w:val="00366810"/>
    <w:rsid w:val="0036713B"/>
    <w:rsid w:val="003674CF"/>
    <w:rsid w:val="00367EA7"/>
    <w:rsid w:val="00367FD9"/>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0F"/>
    <w:rsid w:val="0037617F"/>
    <w:rsid w:val="00376880"/>
    <w:rsid w:val="00376D76"/>
    <w:rsid w:val="00376DAC"/>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5F5"/>
    <w:rsid w:val="003B4E69"/>
    <w:rsid w:val="003B5A05"/>
    <w:rsid w:val="003B612B"/>
    <w:rsid w:val="003B634A"/>
    <w:rsid w:val="003B6442"/>
    <w:rsid w:val="003B76E4"/>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51DD"/>
    <w:rsid w:val="003C53A5"/>
    <w:rsid w:val="003C5A02"/>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593"/>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62D"/>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1F89"/>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148"/>
    <w:rsid w:val="004407D4"/>
    <w:rsid w:val="00440A5E"/>
    <w:rsid w:val="00440BE1"/>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2942"/>
    <w:rsid w:val="00483B0F"/>
    <w:rsid w:val="00483C3A"/>
    <w:rsid w:val="00483CDC"/>
    <w:rsid w:val="00483D3F"/>
    <w:rsid w:val="0048401C"/>
    <w:rsid w:val="0048420D"/>
    <w:rsid w:val="0048490A"/>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1AC"/>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5B0"/>
    <w:rsid w:val="004C27C8"/>
    <w:rsid w:val="004C2ACB"/>
    <w:rsid w:val="004C3606"/>
    <w:rsid w:val="004C364F"/>
    <w:rsid w:val="004C4374"/>
    <w:rsid w:val="004C4643"/>
    <w:rsid w:val="004C488D"/>
    <w:rsid w:val="004C4C7E"/>
    <w:rsid w:val="004C60FA"/>
    <w:rsid w:val="004C7697"/>
    <w:rsid w:val="004C7877"/>
    <w:rsid w:val="004D0853"/>
    <w:rsid w:val="004D0B71"/>
    <w:rsid w:val="004D149D"/>
    <w:rsid w:val="004D14B4"/>
    <w:rsid w:val="004D14DF"/>
    <w:rsid w:val="004D1552"/>
    <w:rsid w:val="004D1A9D"/>
    <w:rsid w:val="004D1C92"/>
    <w:rsid w:val="004D1CA1"/>
    <w:rsid w:val="004D28E7"/>
    <w:rsid w:val="004D2BFC"/>
    <w:rsid w:val="004D3B15"/>
    <w:rsid w:val="004D3EB8"/>
    <w:rsid w:val="004D4547"/>
    <w:rsid w:val="004D48AE"/>
    <w:rsid w:val="004D4927"/>
    <w:rsid w:val="004D49C1"/>
    <w:rsid w:val="004D50DA"/>
    <w:rsid w:val="004D5876"/>
    <w:rsid w:val="004D58BF"/>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8CE"/>
    <w:rsid w:val="00520FAC"/>
    <w:rsid w:val="00521A75"/>
    <w:rsid w:val="00521C35"/>
    <w:rsid w:val="00521C73"/>
    <w:rsid w:val="00521D5D"/>
    <w:rsid w:val="005220C5"/>
    <w:rsid w:val="00522491"/>
    <w:rsid w:val="00522CFA"/>
    <w:rsid w:val="005233B3"/>
    <w:rsid w:val="005239C0"/>
    <w:rsid w:val="0052448B"/>
    <w:rsid w:val="005245D6"/>
    <w:rsid w:val="00524909"/>
    <w:rsid w:val="00525489"/>
    <w:rsid w:val="00525614"/>
    <w:rsid w:val="0052568C"/>
    <w:rsid w:val="00525A48"/>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3AB6"/>
    <w:rsid w:val="00574024"/>
    <w:rsid w:val="0057576A"/>
    <w:rsid w:val="00576873"/>
    <w:rsid w:val="00576875"/>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4E44"/>
    <w:rsid w:val="00585205"/>
    <w:rsid w:val="00585BD8"/>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482"/>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C7DE1"/>
    <w:rsid w:val="005D0241"/>
    <w:rsid w:val="005D02FF"/>
    <w:rsid w:val="005D0E70"/>
    <w:rsid w:val="005D0FD4"/>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5C1C"/>
    <w:rsid w:val="005F6852"/>
    <w:rsid w:val="005F78BC"/>
    <w:rsid w:val="005F796E"/>
    <w:rsid w:val="005F7B61"/>
    <w:rsid w:val="006002C1"/>
    <w:rsid w:val="00600D47"/>
    <w:rsid w:val="0060163B"/>
    <w:rsid w:val="00602426"/>
    <w:rsid w:val="00602457"/>
    <w:rsid w:val="00602956"/>
    <w:rsid w:val="00602B7B"/>
    <w:rsid w:val="00602DD2"/>
    <w:rsid w:val="006032A9"/>
    <w:rsid w:val="00603CAE"/>
    <w:rsid w:val="00603F94"/>
    <w:rsid w:val="0060441A"/>
    <w:rsid w:val="006044D5"/>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532"/>
    <w:rsid w:val="00620CFE"/>
    <w:rsid w:val="00620E2A"/>
    <w:rsid w:val="00620F2E"/>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33"/>
    <w:rsid w:val="00691660"/>
    <w:rsid w:val="00691D19"/>
    <w:rsid w:val="006920D5"/>
    <w:rsid w:val="00692231"/>
    <w:rsid w:val="00694253"/>
    <w:rsid w:val="0069566E"/>
    <w:rsid w:val="006958AA"/>
    <w:rsid w:val="00695E1A"/>
    <w:rsid w:val="00695E83"/>
    <w:rsid w:val="006964EA"/>
    <w:rsid w:val="00696634"/>
    <w:rsid w:val="00697023"/>
    <w:rsid w:val="0069718D"/>
    <w:rsid w:val="006A0627"/>
    <w:rsid w:val="006A11D9"/>
    <w:rsid w:val="006A145C"/>
    <w:rsid w:val="006A260F"/>
    <w:rsid w:val="006A30CC"/>
    <w:rsid w:val="006A32EA"/>
    <w:rsid w:val="006A3859"/>
    <w:rsid w:val="006A46DF"/>
    <w:rsid w:val="006A4C0E"/>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247"/>
    <w:rsid w:val="006B476D"/>
    <w:rsid w:val="006B47AF"/>
    <w:rsid w:val="006B4823"/>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8F5"/>
    <w:rsid w:val="006D11C3"/>
    <w:rsid w:val="006D12DA"/>
    <w:rsid w:val="006D1B1C"/>
    <w:rsid w:val="006D1D36"/>
    <w:rsid w:val="006D2024"/>
    <w:rsid w:val="006D228F"/>
    <w:rsid w:val="006D2F35"/>
    <w:rsid w:val="006D321F"/>
    <w:rsid w:val="006D3952"/>
    <w:rsid w:val="006D3A37"/>
    <w:rsid w:val="006D42E4"/>
    <w:rsid w:val="006D4360"/>
    <w:rsid w:val="006D4EB6"/>
    <w:rsid w:val="006D5233"/>
    <w:rsid w:val="006D533E"/>
    <w:rsid w:val="006D600D"/>
    <w:rsid w:val="006D6138"/>
    <w:rsid w:val="006D6171"/>
    <w:rsid w:val="006D630C"/>
    <w:rsid w:val="006D6504"/>
    <w:rsid w:val="006D661D"/>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2"/>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11"/>
    <w:rsid w:val="006F5282"/>
    <w:rsid w:val="006F5441"/>
    <w:rsid w:val="006F55E0"/>
    <w:rsid w:val="006F5B91"/>
    <w:rsid w:val="006F5FB3"/>
    <w:rsid w:val="006F661D"/>
    <w:rsid w:val="006F667A"/>
    <w:rsid w:val="006F6768"/>
    <w:rsid w:val="006F6D50"/>
    <w:rsid w:val="006F6E4A"/>
    <w:rsid w:val="006F6EF3"/>
    <w:rsid w:val="006F706E"/>
    <w:rsid w:val="006F7F54"/>
    <w:rsid w:val="006F7FD6"/>
    <w:rsid w:val="00700265"/>
    <w:rsid w:val="007003DE"/>
    <w:rsid w:val="007007B7"/>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98B"/>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17E4B"/>
    <w:rsid w:val="007213CB"/>
    <w:rsid w:val="007219BC"/>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D2D"/>
    <w:rsid w:val="00745F0E"/>
    <w:rsid w:val="00746887"/>
    <w:rsid w:val="00746919"/>
    <w:rsid w:val="00747528"/>
    <w:rsid w:val="00747B98"/>
    <w:rsid w:val="00747F79"/>
    <w:rsid w:val="0075048D"/>
    <w:rsid w:val="00750703"/>
    <w:rsid w:val="00750A29"/>
    <w:rsid w:val="00750A3C"/>
    <w:rsid w:val="00750A5B"/>
    <w:rsid w:val="00750E79"/>
    <w:rsid w:val="00751F1E"/>
    <w:rsid w:val="007524D3"/>
    <w:rsid w:val="00753CF4"/>
    <w:rsid w:val="00753D28"/>
    <w:rsid w:val="007540A6"/>
    <w:rsid w:val="00754802"/>
    <w:rsid w:val="007550DC"/>
    <w:rsid w:val="00755160"/>
    <w:rsid w:val="0075536E"/>
    <w:rsid w:val="00755545"/>
    <w:rsid w:val="007557C1"/>
    <w:rsid w:val="00755AB8"/>
    <w:rsid w:val="00755B3C"/>
    <w:rsid w:val="00755F60"/>
    <w:rsid w:val="007563AE"/>
    <w:rsid w:val="0075642D"/>
    <w:rsid w:val="007569DB"/>
    <w:rsid w:val="007569E4"/>
    <w:rsid w:val="00756ACF"/>
    <w:rsid w:val="0075782F"/>
    <w:rsid w:val="007579DF"/>
    <w:rsid w:val="00757E67"/>
    <w:rsid w:val="00760052"/>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70389"/>
    <w:rsid w:val="007711FC"/>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039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B64"/>
    <w:rsid w:val="00795CBF"/>
    <w:rsid w:val="007962AA"/>
    <w:rsid w:val="00796701"/>
    <w:rsid w:val="00796C57"/>
    <w:rsid w:val="00796C8D"/>
    <w:rsid w:val="00797573"/>
    <w:rsid w:val="007977B1"/>
    <w:rsid w:val="00797D72"/>
    <w:rsid w:val="007A0664"/>
    <w:rsid w:val="007A06A7"/>
    <w:rsid w:val="007A074C"/>
    <w:rsid w:val="007A0930"/>
    <w:rsid w:val="007A202C"/>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5BC5"/>
    <w:rsid w:val="007B6953"/>
    <w:rsid w:val="007B6C55"/>
    <w:rsid w:val="007B6E1F"/>
    <w:rsid w:val="007B7CE0"/>
    <w:rsid w:val="007C022F"/>
    <w:rsid w:val="007C030E"/>
    <w:rsid w:val="007C03F9"/>
    <w:rsid w:val="007C0445"/>
    <w:rsid w:val="007C163B"/>
    <w:rsid w:val="007C1BFF"/>
    <w:rsid w:val="007C202F"/>
    <w:rsid w:val="007C28A4"/>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6DC"/>
    <w:rsid w:val="008320B9"/>
    <w:rsid w:val="008322B3"/>
    <w:rsid w:val="00832B6F"/>
    <w:rsid w:val="00832CBD"/>
    <w:rsid w:val="00834781"/>
    <w:rsid w:val="00835188"/>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016"/>
    <w:rsid w:val="00850B9B"/>
    <w:rsid w:val="00850CCF"/>
    <w:rsid w:val="00850D28"/>
    <w:rsid w:val="00850FFD"/>
    <w:rsid w:val="0085170F"/>
    <w:rsid w:val="0085171A"/>
    <w:rsid w:val="00851790"/>
    <w:rsid w:val="008517C8"/>
    <w:rsid w:val="008518A8"/>
    <w:rsid w:val="00851959"/>
    <w:rsid w:val="0085216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605A"/>
    <w:rsid w:val="00856C22"/>
    <w:rsid w:val="00856E46"/>
    <w:rsid w:val="008572B8"/>
    <w:rsid w:val="008577FA"/>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BA1"/>
    <w:rsid w:val="00864C4C"/>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318B"/>
    <w:rsid w:val="0089399F"/>
    <w:rsid w:val="0089402F"/>
    <w:rsid w:val="00894406"/>
    <w:rsid w:val="00894D9A"/>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B7D"/>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06"/>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B3D"/>
    <w:rsid w:val="008D4FFA"/>
    <w:rsid w:val="008D58F8"/>
    <w:rsid w:val="008D608A"/>
    <w:rsid w:val="008D63A1"/>
    <w:rsid w:val="008D68F4"/>
    <w:rsid w:val="008D6CC9"/>
    <w:rsid w:val="008D75DA"/>
    <w:rsid w:val="008D791A"/>
    <w:rsid w:val="008D7B8A"/>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424"/>
    <w:rsid w:val="008E45A2"/>
    <w:rsid w:val="008E45CA"/>
    <w:rsid w:val="008E497A"/>
    <w:rsid w:val="008E4EF2"/>
    <w:rsid w:val="008E4F62"/>
    <w:rsid w:val="008E54C5"/>
    <w:rsid w:val="008E54DD"/>
    <w:rsid w:val="008E58C1"/>
    <w:rsid w:val="008E58D6"/>
    <w:rsid w:val="008E58F4"/>
    <w:rsid w:val="008E5B73"/>
    <w:rsid w:val="008E6559"/>
    <w:rsid w:val="008E6876"/>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31"/>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580"/>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349"/>
    <w:rsid w:val="009754BC"/>
    <w:rsid w:val="00975642"/>
    <w:rsid w:val="00975665"/>
    <w:rsid w:val="00975967"/>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B3"/>
    <w:rsid w:val="00990D85"/>
    <w:rsid w:val="0099127C"/>
    <w:rsid w:val="0099218B"/>
    <w:rsid w:val="00992724"/>
    <w:rsid w:val="00992911"/>
    <w:rsid w:val="00992A09"/>
    <w:rsid w:val="00993190"/>
    <w:rsid w:val="009934D0"/>
    <w:rsid w:val="0099375E"/>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7FF"/>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2F"/>
    <w:rsid w:val="009B70E1"/>
    <w:rsid w:val="009B7DEA"/>
    <w:rsid w:val="009B7EA8"/>
    <w:rsid w:val="009B7FEC"/>
    <w:rsid w:val="009C0025"/>
    <w:rsid w:val="009C00A8"/>
    <w:rsid w:val="009C02BD"/>
    <w:rsid w:val="009C0350"/>
    <w:rsid w:val="009C081B"/>
    <w:rsid w:val="009C1D33"/>
    <w:rsid w:val="009C1E76"/>
    <w:rsid w:val="009C20C7"/>
    <w:rsid w:val="009C22A8"/>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78BF"/>
    <w:rsid w:val="009C7E91"/>
    <w:rsid w:val="009C7FD3"/>
    <w:rsid w:val="009D0110"/>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2EE"/>
    <w:rsid w:val="009E3B93"/>
    <w:rsid w:val="009E3D97"/>
    <w:rsid w:val="009E40A4"/>
    <w:rsid w:val="009E4D3A"/>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BE0"/>
    <w:rsid w:val="009F6EC0"/>
    <w:rsid w:val="009F792D"/>
    <w:rsid w:val="009F7E25"/>
    <w:rsid w:val="00A002D8"/>
    <w:rsid w:val="00A01126"/>
    <w:rsid w:val="00A01C0F"/>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21C"/>
    <w:rsid w:val="00A11E82"/>
    <w:rsid w:val="00A12271"/>
    <w:rsid w:val="00A12AA4"/>
    <w:rsid w:val="00A12D94"/>
    <w:rsid w:val="00A12DAB"/>
    <w:rsid w:val="00A12E43"/>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A40"/>
    <w:rsid w:val="00A43C48"/>
    <w:rsid w:val="00A43E56"/>
    <w:rsid w:val="00A43F34"/>
    <w:rsid w:val="00A44065"/>
    <w:rsid w:val="00A44098"/>
    <w:rsid w:val="00A4425E"/>
    <w:rsid w:val="00A445B4"/>
    <w:rsid w:val="00A44EB9"/>
    <w:rsid w:val="00A451F9"/>
    <w:rsid w:val="00A452B9"/>
    <w:rsid w:val="00A4535F"/>
    <w:rsid w:val="00A458B4"/>
    <w:rsid w:val="00A45F68"/>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5A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51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91B"/>
    <w:rsid w:val="00AB3C06"/>
    <w:rsid w:val="00AB4479"/>
    <w:rsid w:val="00AB45F9"/>
    <w:rsid w:val="00AB47D8"/>
    <w:rsid w:val="00AB488E"/>
    <w:rsid w:val="00AB498D"/>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8"/>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A2E"/>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BB"/>
    <w:rsid w:val="00B02BFD"/>
    <w:rsid w:val="00B031C8"/>
    <w:rsid w:val="00B03C2D"/>
    <w:rsid w:val="00B04797"/>
    <w:rsid w:val="00B04C84"/>
    <w:rsid w:val="00B052C4"/>
    <w:rsid w:val="00B05536"/>
    <w:rsid w:val="00B05940"/>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3A8"/>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619B"/>
    <w:rsid w:val="00B3680A"/>
    <w:rsid w:val="00B400B6"/>
    <w:rsid w:val="00B403FA"/>
    <w:rsid w:val="00B4165D"/>
    <w:rsid w:val="00B416C6"/>
    <w:rsid w:val="00B41E54"/>
    <w:rsid w:val="00B42AC4"/>
    <w:rsid w:val="00B42B98"/>
    <w:rsid w:val="00B433D1"/>
    <w:rsid w:val="00B437F0"/>
    <w:rsid w:val="00B43960"/>
    <w:rsid w:val="00B439BF"/>
    <w:rsid w:val="00B43B6E"/>
    <w:rsid w:val="00B44021"/>
    <w:rsid w:val="00B441EA"/>
    <w:rsid w:val="00B454CF"/>
    <w:rsid w:val="00B4585B"/>
    <w:rsid w:val="00B45C0A"/>
    <w:rsid w:val="00B46088"/>
    <w:rsid w:val="00B460E6"/>
    <w:rsid w:val="00B4673D"/>
    <w:rsid w:val="00B46979"/>
    <w:rsid w:val="00B4754F"/>
    <w:rsid w:val="00B502AC"/>
    <w:rsid w:val="00B50350"/>
    <w:rsid w:val="00B51D7E"/>
    <w:rsid w:val="00B531C0"/>
    <w:rsid w:val="00B5400E"/>
    <w:rsid w:val="00B54254"/>
    <w:rsid w:val="00B542D6"/>
    <w:rsid w:val="00B54756"/>
    <w:rsid w:val="00B548AA"/>
    <w:rsid w:val="00B5523C"/>
    <w:rsid w:val="00B5545E"/>
    <w:rsid w:val="00B554A5"/>
    <w:rsid w:val="00B554EA"/>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1CC2"/>
    <w:rsid w:val="00B72980"/>
    <w:rsid w:val="00B72A7E"/>
    <w:rsid w:val="00B72DA0"/>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15BD"/>
    <w:rsid w:val="00BB19C5"/>
    <w:rsid w:val="00BB221B"/>
    <w:rsid w:val="00BB2509"/>
    <w:rsid w:val="00BB282D"/>
    <w:rsid w:val="00BB2DC7"/>
    <w:rsid w:val="00BB3041"/>
    <w:rsid w:val="00BB30F7"/>
    <w:rsid w:val="00BB3410"/>
    <w:rsid w:val="00BB3A1E"/>
    <w:rsid w:val="00BB3EAE"/>
    <w:rsid w:val="00BB4507"/>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10E"/>
    <w:rsid w:val="00BC4399"/>
    <w:rsid w:val="00BC45BD"/>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554"/>
    <w:rsid w:val="00C00781"/>
    <w:rsid w:val="00C00ECA"/>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0B4"/>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332"/>
    <w:rsid w:val="00C32465"/>
    <w:rsid w:val="00C32840"/>
    <w:rsid w:val="00C328D3"/>
    <w:rsid w:val="00C33130"/>
    <w:rsid w:val="00C33BDA"/>
    <w:rsid w:val="00C33F1D"/>
    <w:rsid w:val="00C33FB4"/>
    <w:rsid w:val="00C340FD"/>
    <w:rsid w:val="00C34178"/>
    <w:rsid w:val="00C34B2A"/>
    <w:rsid w:val="00C34C08"/>
    <w:rsid w:val="00C34FC7"/>
    <w:rsid w:val="00C351FD"/>
    <w:rsid w:val="00C35380"/>
    <w:rsid w:val="00C357A1"/>
    <w:rsid w:val="00C357FF"/>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46D"/>
    <w:rsid w:val="00C83510"/>
    <w:rsid w:val="00C83CB0"/>
    <w:rsid w:val="00C83EAC"/>
    <w:rsid w:val="00C8458B"/>
    <w:rsid w:val="00C84B33"/>
    <w:rsid w:val="00C85541"/>
    <w:rsid w:val="00C85C72"/>
    <w:rsid w:val="00C8605A"/>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3631"/>
    <w:rsid w:val="00CA42E4"/>
    <w:rsid w:val="00CA50DA"/>
    <w:rsid w:val="00CA64A0"/>
    <w:rsid w:val="00CA6559"/>
    <w:rsid w:val="00CA6779"/>
    <w:rsid w:val="00CA6A7B"/>
    <w:rsid w:val="00CA6FAC"/>
    <w:rsid w:val="00CA72C4"/>
    <w:rsid w:val="00CB0200"/>
    <w:rsid w:val="00CB0296"/>
    <w:rsid w:val="00CB0616"/>
    <w:rsid w:val="00CB08CA"/>
    <w:rsid w:val="00CB0990"/>
    <w:rsid w:val="00CB1353"/>
    <w:rsid w:val="00CB1A83"/>
    <w:rsid w:val="00CB28C4"/>
    <w:rsid w:val="00CB2A64"/>
    <w:rsid w:val="00CB3D0D"/>
    <w:rsid w:val="00CB3E6D"/>
    <w:rsid w:val="00CB45E4"/>
    <w:rsid w:val="00CB4736"/>
    <w:rsid w:val="00CB498E"/>
    <w:rsid w:val="00CB49F5"/>
    <w:rsid w:val="00CB5ABC"/>
    <w:rsid w:val="00CB69D3"/>
    <w:rsid w:val="00CB6F1E"/>
    <w:rsid w:val="00CB6FA4"/>
    <w:rsid w:val="00CB7D1A"/>
    <w:rsid w:val="00CC072E"/>
    <w:rsid w:val="00CC07E4"/>
    <w:rsid w:val="00CC0A60"/>
    <w:rsid w:val="00CC0EC9"/>
    <w:rsid w:val="00CC1901"/>
    <w:rsid w:val="00CC19ED"/>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623A"/>
    <w:rsid w:val="00CE73F2"/>
    <w:rsid w:val="00CE74F5"/>
    <w:rsid w:val="00CE7DD2"/>
    <w:rsid w:val="00CF0444"/>
    <w:rsid w:val="00CF0744"/>
    <w:rsid w:val="00CF0C4E"/>
    <w:rsid w:val="00CF0EC0"/>
    <w:rsid w:val="00CF12F8"/>
    <w:rsid w:val="00CF1AC9"/>
    <w:rsid w:val="00CF1C75"/>
    <w:rsid w:val="00CF2DE7"/>
    <w:rsid w:val="00CF302F"/>
    <w:rsid w:val="00CF4514"/>
    <w:rsid w:val="00CF4CC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6C1"/>
    <w:rsid w:val="00D02F75"/>
    <w:rsid w:val="00D03438"/>
    <w:rsid w:val="00D034FD"/>
    <w:rsid w:val="00D0419E"/>
    <w:rsid w:val="00D04AB3"/>
    <w:rsid w:val="00D04C4A"/>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D98"/>
    <w:rsid w:val="00D16F48"/>
    <w:rsid w:val="00D1791D"/>
    <w:rsid w:val="00D179B4"/>
    <w:rsid w:val="00D17E85"/>
    <w:rsid w:val="00D20287"/>
    <w:rsid w:val="00D204EB"/>
    <w:rsid w:val="00D218FA"/>
    <w:rsid w:val="00D22F5D"/>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141"/>
    <w:rsid w:val="00D30D18"/>
    <w:rsid w:val="00D31067"/>
    <w:rsid w:val="00D319B2"/>
    <w:rsid w:val="00D31CC7"/>
    <w:rsid w:val="00D31E83"/>
    <w:rsid w:val="00D31EA9"/>
    <w:rsid w:val="00D322A4"/>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84B"/>
    <w:rsid w:val="00D46914"/>
    <w:rsid w:val="00D46C2C"/>
    <w:rsid w:val="00D470D7"/>
    <w:rsid w:val="00D4722C"/>
    <w:rsid w:val="00D47CCB"/>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46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7A2"/>
    <w:rsid w:val="00DA6B92"/>
    <w:rsid w:val="00DA6D9E"/>
    <w:rsid w:val="00DA70DE"/>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B7E49"/>
    <w:rsid w:val="00DC0339"/>
    <w:rsid w:val="00DC0A79"/>
    <w:rsid w:val="00DC0E1B"/>
    <w:rsid w:val="00DC0FEC"/>
    <w:rsid w:val="00DC1108"/>
    <w:rsid w:val="00DC11BF"/>
    <w:rsid w:val="00DC14D6"/>
    <w:rsid w:val="00DC14FA"/>
    <w:rsid w:val="00DC17FB"/>
    <w:rsid w:val="00DC1C0D"/>
    <w:rsid w:val="00DC21D1"/>
    <w:rsid w:val="00DC2565"/>
    <w:rsid w:val="00DC2586"/>
    <w:rsid w:val="00DC2679"/>
    <w:rsid w:val="00DC285F"/>
    <w:rsid w:val="00DC342B"/>
    <w:rsid w:val="00DC3C88"/>
    <w:rsid w:val="00DC423A"/>
    <w:rsid w:val="00DC45E7"/>
    <w:rsid w:val="00DC4999"/>
    <w:rsid w:val="00DC4C1D"/>
    <w:rsid w:val="00DC4D91"/>
    <w:rsid w:val="00DC55B2"/>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6826"/>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752"/>
    <w:rsid w:val="00E00B2E"/>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2F6"/>
    <w:rsid w:val="00E10CED"/>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19"/>
    <w:rsid w:val="00E15436"/>
    <w:rsid w:val="00E15476"/>
    <w:rsid w:val="00E15BAF"/>
    <w:rsid w:val="00E15F9D"/>
    <w:rsid w:val="00E166B8"/>
    <w:rsid w:val="00E17165"/>
    <w:rsid w:val="00E17FA0"/>
    <w:rsid w:val="00E2088D"/>
    <w:rsid w:val="00E208F8"/>
    <w:rsid w:val="00E209EC"/>
    <w:rsid w:val="00E21173"/>
    <w:rsid w:val="00E21764"/>
    <w:rsid w:val="00E21B4C"/>
    <w:rsid w:val="00E21C81"/>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7338"/>
    <w:rsid w:val="00E2751C"/>
    <w:rsid w:val="00E27BD9"/>
    <w:rsid w:val="00E27DBA"/>
    <w:rsid w:val="00E30323"/>
    <w:rsid w:val="00E30EB4"/>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23D"/>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2023"/>
    <w:rsid w:val="00E923F6"/>
    <w:rsid w:val="00E92540"/>
    <w:rsid w:val="00E925D2"/>
    <w:rsid w:val="00E92648"/>
    <w:rsid w:val="00E9295C"/>
    <w:rsid w:val="00E92F2F"/>
    <w:rsid w:val="00E93914"/>
    <w:rsid w:val="00E93EA5"/>
    <w:rsid w:val="00E94401"/>
    <w:rsid w:val="00E95CD7"/>
    <w:rsid w:val="00E95D39"/>
    <w:rsid w:val="00E95F34"/>
    <w:rsid w:val="00E9641E"/>
    <w:rsid w:val="00E968B6"/>
    <w:rsid w:val="00E968D0"/>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77E"/>
    <w:rsid w:val="00EB2D1D"/>
    <w:rsid w:val="00EB2DBC"/>
    <w:rsid w:val="00EB2FCF"/>
    <w:rsid w:val="00EB3388"/>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D7B"/>
    <w:rsid w:val="00ED2FCD"/>
    <w:rsid w:val="00ED362E"/>
    <w:rsid w:val="00ED369F"/>
    <w:rsid w:val="00ED3772"/>
    <w:rsid w:val="00ED3DF4"/>
    <w:rsid w:val="00ED4006"/>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D66"/>
    <w:rsid w:val="00EF4F61"/>
    <w:rsid w:val="00EF4F9D"/>
    <w:rsid w:val="00EF5623"/>
    <w:rsid w:val="00EF5DF9"/>
    <w:rsid w:val="00EF678A"/>
    <w:rsid w:val="00EF7DAE"/>
    <w:rsid w:val="00F005DA"/>
    <w:rsid w:val="00F00CA2"/>
    <w:rsid w:val="00F01F0C"/>
    <w:rsid w:val="00F01F78"/>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5ED2"/>
    <w:rsid w:val="00F06073"/>
    <w:rsid w:val="00F060A2"/>
    <w:rsid w:val="00F10841"/>
    <w:rsid w:val="00F1088E"/>
    <w:rsid w:val="00F109A4"/>
    <w:rsid w:val="00F1115B"/>
    <w:rsid w:val="00F11295"/>
    <w:rsid w:val="00F11582"/>
    <w:rsid w:val="00F11835"/>
    <w:rsid w:val="00F11906"/>
    <w:rsid w:val="00F119C7"/>
    <w:rsid w:val="00F126AB"/>
    <w:rsid w:val="00F126F7"/>
    <w:rsid w:val="00F128D6"/>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A0"/>
    <w:rsid w:val="00F22EE5"/>
    <w:rsid w:val="00F22F0D"/>
    <w:rsid w:val="00F24B63"/>
    <w:rsid w:val="00F24D5F"/>
    <w:rsid w:val="00F25652"/>
    <w:rsid w:val="00F256B0"/>
    <w:rsid w:val="00F25A5E"/>
    <w:rsid w:val="00F25C4F"/>
    <w:rsid w:val="00F2686E"/>
    <w:rsid w:val="00F27D00"/>
    <w:rsid w:val="00F27E06"/>
    <w:rsid w:val="00F30757"/>
    <w:rsid w:val="00F31D49"/>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A3B"/>
    <w:rsid w:val="00F67B00"/>
    <w:rsid w:val="00F67BB8"/>
    <w:rsid w:val="00F67F72"/>
    <w:rsid w:val="00F700DB"/>
    <w:rsid w:val="00F706D7"/>
    <w:rsid w:val="00F71573"/>
    <w:rsid w:val="00F7192A"/>
    <w:rsid w:val="00F71B92"/>
    <w:rsid w:val="00F71C9A"/>
    <w:rsid w:val="00F71FB6"/>
    <w:rsid w:val="00F7298B"/>
    <w:rsid w:val="00F72ED3"/>
    <w:rsid w:val="00F7300A"/>
    <w:rsid w:val="00F734C0"/>
    <w:rsid w:val="00F7374B"/>
    <w:rsid w:val="00F73C7C"/>
    <w:rsid w:val="00F73F2F"/>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5C9"/>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EDA"/>
    <w:rsid w:val="00FC5223"/>
    <w:rsid w:val="00FC52DE"/>
    <w:rsid w:val="00FC539B"/>
    <w:rsid w:val="00FC5ADB"/>
    <w:rsid w:val="00FC5F53"/>
    <w:rsid w:val="00FC6178"/>
    <w:rsid w:val="00FC61FD"/>
    <w:rsid w:val="00FC634E"/>
    <w:rsid w:val="00FC6F0A"/>
    <w:rsid w:val="00FD0132"/>
    <w:rsid w:val="00FD053F"/>
    <w:rsid w:val="00FD0B02"/>
    <w:rsid w:val="00FD0C0B"/>
    <w:rsid w:val="00FD10D2"/>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70C"/>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702F"/>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5E68FD"/>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5E68FD"/>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rsid w:val="00350FBE"/>
    <w:pPr>
      <w:numPr>
        <w:numId w:val="31"/>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qFormat/>
    <w:rsid w:val="00350FBE"/>
    <w:pPr>
      <w:numPr>
        <w:numId w:val="30"/>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TALCar">
    <w:name w:val="TAL Car"/>
    <w:link w:val="TAL"/>
    <w:qFormat/>
    <w:rsid w:val="004C488D"/>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545</TotalTime>
  <Pages>6</Pages>
  <Words>1484</Words>
  <Characters>8461</Characters>
  <Application>Microsoft Office Word</Application>
  <DocSecurity>0</DocSecurity>
  <Lines>70</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9926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47</cp:revision>
  <cp:lastPrinted>2019-02-13T08:31:00Z</cp:lastPrinted>
  <dcterms:created xsi:type="dcterms:W3CDTF">2022-09-05T13:01:00Z</dcterms:created>
  <dcterms:modified xsi:type="dcterms:W3CDTF">2022-11-07T06:25:00Z</dcterms:modified>
</cp:coreProperties>
</file>