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29ED2B7A"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A13911">
        <w:rPr>
          <w:rFonts w:eastAsia="SimSun"/>
          <w:sz w:val="22"/>
          <w:lang w:eastAsia="zh-CN"/>
        </w:rPr>
        <w:t>111</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C36048">
        <w:rPr>
          <w:rFonts w:eastAsia="SimSun"/>
          <w:sz w:val="22"/>
          <w:lang w:eastAsia="zh-CN"/>
        </w:rPr>
        <w:t>11441</w:t>
      </w:r>
    </w:p>
    <w:p w14:paraId="6ED628F2" w14:textId="52E31F34" w:rsidR="003D3369" w:rsidRDefault="00A13911" w:rsidP="003D3369">
      <w:pPr>
        <w:pStyle w:val="Header"/>
        <w:tabs>
          <w:tab w:val="left" w:pos="1800"/>
        </w:tabs>
        <w:ind w:left="1800" w:hanging="1800"/>
        <w:rPr>
          <w:rFonts w:eastAsia="SimSun"/>
          <w:sz w:val="22"/>
          <w:lang w:eastAsia="zh-CN"/>
        </w:rPr>
      </w:pPr>
      <w:r>
        <w:rPr>
          <w:rFonts w:eastAsia="SimSun"/>
          <w:sz w:val="22"/>
          <w:lang w:eastAsia="zh-CN"/>
        </w:rPr>
        <w:t>Toulouse</w:t>
      </w:r>
      <w:r w:rsidR="001128F2">
        <w:rPr>
          <w:rFonts w:eastAsia="SimSun"/>
          <w:sz w:val="22"/>
          <w:lang w:eastAsia="zh-CN"/>
        </w:rPr>
        <w:t xml:space="preserve">, </w:t>
      </w:r>
      <w:r>
        <w:rPr>
          <w:rFonts w:eastAsia="SimSun"/>
          <w:sz w:val="22"/>
          <w:lang w:eastAsia="zh-CN"/>
        </w:rPr>
        <w:t>France, November</w:t>
      </w:r>
      <w:r w:rsidR="00EF129F">
        <w:rPr>
          <w:rFonts w:eastAsia="SimSun"/>
          <w:sz w:val="22"/>
          <w:lang w:eastAsia="zh-CN"/>
        </w:rPr>
        <w:t xml:space="preserve"> </w:t>
      </w:r>
      <w:r>
        <w:rPr>
          <w:rFonts w:eastAsia="SimSun"/>
          <w:sz w:val="22"/>
          <w:lang w:eastAsia="zh-CN"/>
        </w:rPr>
        <w:t>14</w:t>
      </w:r>
      <w:r w:rsidR="004E232F" w:rsidRPr="004E232F">
        <w:rPr>
          <w:rFonts w:eastAsia="SimSun"/>
          <w:sz w:val="22"/>
          <w:vertAlign w:val="superscript"/>
          <w:lang w:eastAsia="zh-CN"/>
        </w:rPr>
        <w:t>th</w:t>
      </w:r>
      <w:r w:rsidR="004E232F">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18</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083635C"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on</w:t>
      </w:r>
      <w:r w:rsidR="0028395C">
        <w:rPr>
          <w:sz w:val="22"/>
        </w:rPr>
        <w:t xml:space="preserve"> Timing Advance Management</w:t>
      </w:r>
    </w:p>
    <w:p w14:paraId="4D626EB5" w14:textId="79B2D593"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28395C">
        <w:rPr>
          <w:rFonts w:eastAsia="SimSun"/>
          <w:sz w:val="22"/>
          <w:lang w:eastAsia="zh-CN"/>
        </w:rPr>
        <w:t>1</w:t>
      </w:r>
      <w:r w:rsidR="00597289">
        <w:rPr>
          <w:rFonts w:eastAsia="SimSun"/>
          <w:sz w:val="22"/>
          <w:lang w:eastAsia="zh-CN"/>
        </w:rPr>
        <w:t>2</w:t>
      </w:r>
      <w:r>
        <w:rPr>
          <w:rFonts w:eastAsia="SimSun"/>
          <w:sz w:val="22"/>
          <w:lang w:eastAsia="zh-CN"/>
        </w:rPr>
        <w:t>.</w:t>
      </w:r>
      <w:r w:rsidR="00464789">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821AD0B" w14:textId="6C5F218B" w:rsidR="000D0CF6" w:rsidRDefault="00133F30" w:rsidP="00497AFF">
      <w:pPr>
        <w:pStyle w:val="00Text"/>
      </w:pPr>
      <w:bookmarkStart w:id="0" w:name="_Hlk30969022"/>
      <w:r>
        <w:t>The Rel-1</w:t>
      </w:r>
      <w:r w:rsidR="0097719B">
        <w:t>8</w:t>
      </w:r>
      <w:r>
        <w:t xml:space="preserve"> </w:t>
      </w:r>
      <w:r w:rsidR="001800BA">
        <w:t>W</w:t>
      </w:r>
      <w:r w:rsidR="004B777D">
        <w:t>ID</w:t>
      </w:r>
      <w:r w:rsidR="00DC485D">
        <w:t xml:space="preserve"> </w:t>
      </w:r>
      <w:r w:rsidR="003B510F">
        <w:t xml:space="preserve">on </w:t>
      </w:r>
      <w:r w:rsidR="001800BA">
        <w:t xml:space="preserve">further NR mobility enhancement </w:t>
      </w:r>
      <w:r w:rsidR="00E916F4">
        <w:rPr>
          <w:rFonts w:hint="eastAsia"/>
        </w:rPr>
        <w:t>[</w:t>
      </w:r>
      <w:r w:rsidR="00E916F4">
        <w:t>1]</w:t>
      </w:r>
      <w:r>
        <w:t xml:space="preserve"> </w:t>
      </w:r>
      <w:r w:rsidR="002B3587">
        <w:t>includ</w:t>
      </w:r>
      <w:r w:rsidR="00AC7C64">
        <w:t>es</w:t>
      </w:r>
      <w:r w:rsidR="002B3587">
        <w:t xml:space="preserve"> the </w:t>
      </w:r>
      <w:r w:rsidR="001800BA">
        <w:t xml:space="preserve">following </w:t>
      </w:r>
      <w:r>
        <w:t xml:space="preserve">RAN1-centric </w:t>
      </w:r>
      <w:r w:rsidR="002B3587">
        <w:t>objective</w:t>
      </w:r>
      <w:r w:rsidR="001800BA">
        <w:t>s</w:t>
      </w:r>
      <w:bookmarkEnd w:id="0"/>
      <w:r w:rsidR="001800BA">
        <w:t>:</w:t>
      </w:r>
    </w:p>
    <w:tbl>
      <w:tblPr>
        <w:tblStyle w:val="TableGrid"/>
        <w:tblW w:w="0" w:type="auto"/>
        <w:tblLook w:val="04A0" w:firstRow="1" w:lastRow="0" w:firstColumn="1" w:lastColumn="0" w:noHBand="0" w:noVBand="1"/>
      </w:tblPr>
      <w:tblGrid>
        <w:gridCol w:w="9288"/>
      </w:tblGrid>
      <w:tr w:rsidR="001800BA" w14:paraId="2CC93530" w14:textId="77777777" w:rsidTr="001800BA">
        <w:tc>
          <w:tcPr>
            <w:tcW w:w="9288" w:type="dxa"/>
          </w:tcPr>
          <w:p w14:paraId="48B8D3B1" w14:textId="77777777" w:rsidR="001800BA" w:rsidRDefault="001800BA" w:rsidP="001800BA">
            <w:pPr>
              <w:numPr>
                <w:ilvl w:val="0"/>
                <w:numId w:val="43"/>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759E063D" w14:textId="77777777" w:rsidR="001800BA" w:rsidRPr="00F736B4" w:rsidRDefault="001800BA" w:rsidP="001800BA">
            <w:pPr>
              <w:numPr>
                <w:ilvl w:val="1"/>
                <w:numId w:val="43"/>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684150E4" w14:textId="0CA41BB2" w:rsidR="001800BA" w:rsidRDefault="001800BA" w:rsidP="001800BA">
            <w:pPr>
              <w:numPr>
                <w:ilvl w:val="0"/>
                <w:numId w:val="43"/>
              </w:numPr>
              <w:overflowPunct w:val="0"/>
              <w:autoSpaceDE w:val="0"/>
              <w:autoSpaceDN w:val="0"/>
              <w:adjustRightInd w:val="0"/>
              <w:jc w:val="both"/>
              <w:textAlignment w:val="baseline"/>
            </w:pPr>
            <w:r w:rsidRPr="00651822">
              <w:rPr>
                <w:bCs/>
              </w:rPr>
              <w:t>Timing Advance management [RAN1, RAN2]</w:t>
            </w:r>
          </w:p>
        </w:tc>
      </w:tr>
    </w:tbl>
    <w:p w14:paraId="7700E25D" w14:textId="1EB28B35" w:rsidR="002B621C" w:rsidRDefault="002B621C" w:rsidP="00497AFF">
      <w:pPr>
        <w:pStyle w:val="00Text"/>
      </w:pPr>
      <w:r>
        <w:t>Regarding the TA enhancement for mobility enhancement, the following pertinent agreements were made:</w:t>
      </w:r>
    </w:p>
    <w:tbl>
      <w:tblPr>
        <w:tblStyle w:val="TableGrid"/>
        <w:tblW w:w="0" w:type="auto"/>
        <w:tblLook w:val="04A0" w:firstRow="1" w:lastRow="0" w:firstColumn="1" w:lastColumn="0" w:noHBand="0" w:noVBand="1"/>
      </w:tblPr>
      <w:tblGrid>
        <w:gridCol w:w="9288"/>
      </w:tblGrid>
      <w:tr w:rsidR="002B621C" w14:paraId="3D7C35D5" w14:textId="77777777" w:rsidTr="002B621C">
        <w:tc>
          <w:tcPr>
            <w:tcW w:w="9288" w:type="dxa"/>
          </w:tcPr>
          <w:p w14:paraId="27B2F802" w14:textId="7E3D6317" w:rsidR="002B621C" w:rsidRPr="002B621C" w:rsidRDefault="002B621C" w:rsidP="002B621C">
            <w:pPr>
              <w:shd w:val="clear" w:color="auto" w:fill="FFFFFF"/>
              <w:rPr>
                <w:rFonts w:eastAsia="MS PGothic"/>
                <w:color w:val="242424"/>
                <w:sz w:val="18"/>
                <w:szCs w:val="18"/>
                <w:highlight w:val="green"/>
                <w:shd w:val="clear" w:color="auto" w:fill="FFFFFF"/>
                <w:lang w:eastAsia="zh-CN"/>
              </w:rPr>
            </w:pPr>
            <w:r>
              <w:t xml:space="preserve"> </w:t>
            </w:r>
            <w:r w:rsidRPr="002B621C">
              <w:rPr>
                <w:rFonts w:eastAsia="MS PGothic"/>
                <w:b/>
                <w:bCs/>
                <w:color w:val="000000"/>
                <w:sz w:val="18"/>
                <w:szCs w:val="18"/>
                <w:highlight w:val="green"/>
                <w:shd w:val="clear" w:color="auto" w:fill="FFFF00"/>
                <w:lang w:eastAsia="zh-CN"/>
              </w:rPr>
              <w:t>Agreement</w:t>
            </w:r>
            <w:r w:rsidRPr="002B621C">
              <w:rPr>
                <w:rFonts w:eastAsia="MS PGothic"/>
                <w:color w:val="242424"/>
                <w:sz w:val="18"/>
                <w:szCs w:val="18"/>
                <w:highlight w:val="green"/>
                <w:shd w:val="clear" w:color="auto" w:fill="FFFFFF"/>
                <w:lang w:eastAsia="zh-CN"/>
              </w:rPr>
              <w:t> </w:t>
            </w:r>
          </w:p>
          <w:p w14:paraId="17E12ED5" w14:textId="77777777" w:rsidR="002B621C" w:rsidRPr="002B621C" w:rsidRDefault="002B621C" w:rsidP="002B621C">
            <w:pPr>
              <w:shd w:val="clear" w:color="auto" w:fill="FFFFFF"/>
              <w:rPr>
                <w:rFonts w:ascii="MS PGothic" w:eastAsia="MS PGothic" w:hAnsi="MS PGothic" w:cs="SimSun"/>
                <w:color w:val="000000"/>
                <w:szCs w:val="20"/>
                <w:lang w:eastAsia="zh-CN"/>
              </w:rPr>
            </w:pPr>
            <w:r w:rsidRPr="002B621C">
              <w:rPr>
                <w:rFonts w:eastAsia="MS PGothic"/>
                <w:color w:val="000000"/>
                <w:sz w:val="18"/>
                <w:szCs w:val="18"/>
                <w:lang w:eastAsia="zh-CN"/>
              </w:rPr>
              <w:t>Support TA acquisition of candidate cell(s) before cell switch command is received in L1/L2 based mobility.</w:t>
            </w:r>
          </w:p>
          <w:p w14:paraId="34CE6D82" w14:textId="77777777" w:rsidR="002B621C" w:rsidRPr="002B621C" w:rsidRDefault="002B621C" w:rsidP="002B621C">
            <w:pPr>
              <w:numPr>
                <w:ilvl w:val="0"/>
                <w:numId w:val="44"/>
              </w:numPr>
              <w:shd w:val="clear" w:color="auto" w:fill="FFFFFF"/>
              <w:rPr>
                <w:rFonts w:ascii="MS PGothic" w:eastAsia="MS PGothic" w:hAnsi="MS PGothic" w:cs="SimSun"/>
                <w:szCs w:val="20"/>
                <w:lang w:eastAsia="zh-CN"/>
              </w:rPr>
            </w:pPr>
            <w:r w:rsidRPr="002B621C">
              <w:rPr>
                <w:rFonts w:eastAsia="MS PGothic"/>
                <w:sz w:val="18"/>
                <w:szCs w:val="18"/>
                <w:lang w:eastAsia="zh-CN"/>
              </w:rPr>
              <w:t>FFS: whether this can be applied to candidate cell when it is deactivated SCell (if defined in RAN2)</w:t>
            </w:r>
          </w:p>
          <w:p w14:paraId="6E4BDCAE" w14:textId="77777777" w:rsidR="002B621C" w:rsidRPr="002B621C" w:rsidRDefault="002B621C" w:rsidP="002B621C">
            <w:pPr>
              <w:shd w:val="clear" w:color="auto" w:fill="FFFFFF"/>
              <w:rPr>
                <w:rFonts w:eastAsia="MS PGothic"/>
                <w:color w:val="1F497D"/>
                <w:sz w:val="18"/>
                <w:szCs w:val="18"/>
                <w:lang w:eastAsia="zh-CN"/>
              </w:rPr>
            </w:pPr>
            <w:r w:rsidRPr="002B621C">
              <w:rPr>
                <w:rFonts w:eastAsia="MS PGothic"/>
                <w:color w:val="1F497D"/>
                <w:sz w:val="18"/>
                <w:szCs w:val="18"/>
                <w:lang w:eastAsia="zh-CN"/>
              </w:rPr>
              <w:t> </w:t>
            </w:r>
          </w:p>
          <w:p w14:paraId="6F5DF1D9" w14:textId="77777777" w:rsidR="002B621C" w:rsidRPr="002B621C" w:rsidRDefault="002B621C" w:rsidP="002B621C">
            <w:pPr>
              <w:shd w:val="clear" w:color="auto" w:fill="FFFFFF"/>
              <w:rPr>
                <w:rFonts w:eastAsia="MS PGothic"/>
                <w:color w:val="000000"/>
                <w:sz w:val="18"/>
                <w:szCs w:val="18"/>
                <w:highlight w:val="green"/>
                <w:lang w:eastAsia="zh-CN"/>
              </w:rPr>
            </w:pPr>
            <w:r w:rsidRPr="002B621C">
              <w:rPr>
                <w:rFonts w:ascii="MS PGothic" w:eastAsia="MS PGothic" w:hAnsi="MS PGothic" w:cs="SimSun"/>
                <w:b/>
                <w:bCs/>
                <w:color w:val="000000"/>
                <w:sz w:val="18"/>
                <w:szCs w:val="18"/>
                <w:highlight w:val="green"/>
                <w:shd w:val="clear" w:color="auto" w:fill="FFFF00"/>
                <w:lang w:eastAsia="zh-CN"/>
              </w:rPr>
              <w:t>Agreement</w:t>
            </w:r>
          </w:p>
          <w:p w14:paraId="02140EBE" w14:textId="77777777" w:rsidR="002B621C" w:rsidRPr="002B621C" w:rsidRDefault="002B621C" w:rsidP="002B621C">
            <w:pPr>
              <w:shd w:val="clear" w:color="auto" w:fill="FFFFFF"/>
              <w:rPr>
                <w:rFonts w:ascii="MS PGothic" w:eastAsia="MS PGothic" w:hAnsi="MS PGothic" w:cs="SimSun"/>
                <w:color w:val="000000"/>
                <w:szCs w:val="20"/>
                <w:lang w:eastAsia="zh-CN"/>
              </w:rPr>
            </w:pPr>
            <w:r w:rsidRPr="002B621C">
              <w:rPr>
                <w:rFonts w:eastAsia="MS PGothic"/>
                <w:color w:val="000000"/>
                <w:sz w:val="18"/>
                <w:szCs w:val="18"/>
                <w:lang w:eastAsia="zh-CN"/>
              </w:rPr>
              <w:t>On mechanism to acquire TA of the candidate cells, the following solutions can be further studied:</w:t>
            </w:r>
          </w:p>
          <w:p w14:paraId="56863AB5" w14:textId="77777777" w:rsidR="002B621C" w:rsidRPr="002B621C" w:rsidRDefault="002B621C" w:rsidP="002B621C">
            <w:pPr>
              <w:shd w:val="clear" w:color="auto" w:fill="FFFFFF"/>
              <w:spacing w:before="100" w:beforeAutospacing="1" w:line="252" w:lineRule="atLeast"/>
              <w:ind w:left="420" w:hanging="420"/>
              <w:rPr>
                <w:rFonts w:ascii="Calibri" w:eastAsia="SimSun" w:hAnsi="Calibri" w:cs="Calibri"/>
                <w:color w:val="000000"/>
                <w:sz w:val="18"/>
                <w:szCs w:val="18"/>
                <w:lang w:eastAsia="zh-CN"/>
              </w:rPr>
            </w:pPr>
            <w:r w:rsidRPr="002B621C">
              <w:rPr>
                <w:rFonts w:eastAsia="SimSun"/>
                <w:color w:val="000000"/>
                <w:sz w:val="18"/>
                <w:szCs w:val="18"/>
                <w:lang w:eastAsia="zh-CN"/>
              </w:rPr>
              <w:t>•         RACH-based solutions</w:t>
            </w:r>
          </w:p>
          <w:p w14:paraId="7687079F" w14:textId="77777777" w:rsidR="002B621C" w:rsidRPr="002B621C" w:rsidRDefault="002B621C" w:rsidP="002B621C">
            <w:pPr>
              <w:shd w:val="clear" w:color="auto" w:fill="FFFFFF"/>
              <w:ind w:firstLine="660"/>
              <w:rPr>
                <w:rFonts w:ascii="MS PGothic" w:eastAsia="MS PGothic" w:hAnsi="MS PGothic" w:cs="SimSun"/>
                <w:color w:val="000000"/>
                <w:szCs w:val="20"/>
                <w:lang w:eastAsia="zh-CN"/>
              </w:rPr>
            </w:pPr>
            <w:r w:rsidRPr="002B621C">
              <w:rPr>
                <w:rFonts w:eastAsia="MS PGothic"/>
                <w:color w:val="000000"/>
                <w:sz w:val="18"/>
                <w:szCs w:val="18"/>
                <w:lang w:eastAsia="zh-CN"/>
              </w:rPr>
              <w:t>e.g., PDCCH ordered RACH, UE-triggered RACH, higher layer triggered RACH from NW other than L3 HO cmd</w:t>
            </w:r>
          </w:p>
          <w:p w14:paraId="353C55C0" w14:textId="77777777" w:rsidR="002B621C" w:rsidRPr="002B621C" w:rsidRDefault="002B621C" w:rsidP="002B621C">
            <w:pPr>
              <w:shd w:val="clear" w:color="auto" w:fill="FFFFFF"/>
              <w:spacing w:before="100" w:beforeAutospacing="1" w:line="252" w:lineRule="atLeast"/>
              <w:ind w:left="420" w:hanging="420"/>
              <w:rPr>
                <w:rFonts w:ascii="Calibri" w:eastAsia="SimSun" w:hAnsi="Calibri" w:cs="Calibri"/>
                <w:color w:val="000000"/>
                <w:sz w:val="18"/>
                <w:szCs w:val="18"/>
                <w:lang w:eastAsia="zh-CN"/>
              </w:rPr>
            </w:pPr>
            <w:r w:rsidRPr="002B621C">
              <w:rPr>
                <w:rFonts w:eastAsia="SimSun"/>
                <w:color w:val="000000"/>
                <w:sz w:val="18"/>
                <w:szCs w:val="18"/>
                <w:lang w:eastAsia="zh-CN"/>
              </w:rPr>
              <w:t>•         RACH-less solutions</w:t>
            </w:r>
          </w:p>
          <w:p w14:paraId="66B26B4F" w14:textId="77777777" w:rsidR="002B621C" w:rsidRPr="002B621C" w:rsidRDefault="002B621C" w:rsidP="002B621C">
            <w:pPr>
              <w:shd w:val="clear" w:color="auto" w:fill="FFFFFF"/>
              <w:ind w:firstLine="660"/>
              <w:rPr>
                <w:rFonts w:ascii="MS PGothic" w:eastAsia="MS PGothic" w:hAnsi="MS PGothic" w:cs="SimSun"/>
                <w:color w:val="000000"/>
                <w:szCs w:val="20"/>
                <w:lang w:eastAsia="zh-CN"/>
              </w:rPr>
            </w:pPr>
            <w:r w:rsidRPr="002B621C">
              <w:rPr>
                <w:rFonts w:eastAsia="MS PGothic"/>
                <w:color w:val="000000"/>
                <w:sz w:val="18"/>
                <w:szCs w:val="18"/>
                <w:lang w:eastAsia="zh-CN"/>
              </w:rPr>
              <w:t>e.g., SRS based TA acquisition, Rx timing difference based, RACH-less mechanism as in LTE, UE based TA measurement (including UE based TA measurement with one TAC from serving cell)</w:t>
            </w:r>
          </w:p>
          <w:p w14:paraId="65CB9741" w14:textId="77777777" w:rsidR="002B621C" w:rsidRPr="002B621C" w:rsidRDefault="002B621C" w:rsidP="002B621C">
            <w:pPr>
              <w:shd w:val="clear" w:color="auto" w:fill="FFFFFF"/>
              <w:rPr>
                <w:rFonts w:ascii="MS PGothic" w:eastAsia="MS PGothic" w:hAnsi="MS PGothic" w:cs="SimSun"/>
                <w:color w:val="000000"/>
                <w:szCs w:val="20"/>
                <w:lang w:eastAsia="zh-CN"/>
              </w:rPr>
            </w:pPr>
            <w:r w:rsidRPr="002B621C">
              <w:rPr>
                <w:rFonts w:eastAsia="MS PGothic"/>
                <w:color w:val="1F497D"/>
                <w:sz w:val="18"/>
                <w:szCs w:val="18"/>
                <w:lang w:eastAsia="zh-CN"/>
              </w:rPr>
              <w:t> </w:t>
            </w:r>
          </w:p>
          <w:p w14:paraId="4E76857C" w14:textId="77777777" w:rsidR="002B621C" w:rsidRPr="002B621C" w:rsidRDefault="002B621C" w:rsidP="002B621C">
            <w:pPr>
              <w:shd w:val="clear" w:color="auto" w:fill="FFFFFF"/>
              <w:rPr>
                <w:rFonts w:eastAsia="MS PGothic"/>
                <w:color w:val="000000"/>
                <w:sz w:val="18"/>
                <w:szCs w:val="18"/>
                <w:highlight w:val="green"/>
                <w:lang w:eastAsia="zh-CN"/>
              </w:rPr>
            </w:pPr>
            <w:r w:rsidRPr="002B621C">
              <w:rPr>
                <w:rFonts w:eastAsia="MS PGothic" w:hint="eastAsia"/>
                <w:color w:val="000000"/>
                <w:sz w:val="18"/>
                <w:szCs w:val="18"/>
                <w:highlight w:val="green"/>
                <w:lang w:eastAsia="zh-CN"/>
              </w:rPr>
              <w:t>Agreement</w:t>
            </w:r>
          </w:p>
          <w:p w14:paraId="33EBBCF7" w14:textId="77777777" w:rsidR="002B621C" w:rsidRPr="002B621C" w:rsidRDefault="002B621C" w:rsidP="002B621C">
            <w:pPr>
              <w:shd w:val="clear" w:color="auto" w:fill="FFFFFF"/>
              <w:rPr>
                <w:rFonts w:eastAsia="MS PGothic"/>
                <w:color w:val="000000"/>
                <w:sz w:val="18"/>
                <w:szCs w:val="18"/>
                <w:lang w:eastAsia="zh-CN"/>
              </w:rPr>
            </w:pPr>
            <w:r w:rsidRPr="002B621C">
              <w:rPr>
                <w:rFonts w:eastAsia="MS PGothic"/>
                <w:color w:val="000000"/>
                <w:sz w:val="18"/>
                <w:szCs w:val="18"/>
                <w:lang w:eastAsia="zh-CN"/>
              </w:rPr>
              <w:t>For TA acquisition of a candidate cell before cell switch command is received, study at least the following alternatives of associating TA/TAG to candidate cell:</w:t>
            </w:r>
          </w:p>
          <w:p w14:paraId="75BD1E2D" w14:textId="77777777" w:rsidR="002B621C" w:rsidRPr="002B621C" w:rsidRDefault="002B621C" w:rsidP="002B621C">
            <w:pPr>
              <w:numPr>
                <w:ilvl w:val="0"/>
                <w:numId w:val="46"/>
              </w:numPr>
              <w:shd w:val="clear" w:color="auto" w:fill="FFFFFF"/>
              <w:spacing w:line="252" w:lineRule="atLeast"/>
              <w:rPr>
                <w:rFonts w:ascii="MS PGothic" w:eastAsia="MS PGothic" w:hAnsi="MS PGothic" w:cs="SimSun"/>
                <w:color w:val="000000"/>
                <w:szCs w:val="20"/>
                <w:lang w:eastAsia="zh-CN"/>
              </w:rPr>
            </w:pPr>
            <w:r w:rsidRPr="002B621C">
              <w:rPr>
                <w:rFonts w:eastAsia="MS PGothic"/>
                <w:color w:val="000000"/>
                <w:sz w:val="18"/>
                <w:szCs w:val="18"/>
                <w:lang w:eastAsia="zh-CN"/>
              </w:rPr>
              <w:t>Alt1: Associate TA/TAG and candidate cell implicitly, e.g.,</w:t>
            </w:r>
          </w:p>
          <w:p w14:paraId="733BAB5E" w14:textId="77777777" w:rsidR="002B621C" w:rsidRPr="002B621C" w:rsidRDefault="002B621C" w:rsidP="002B621C">
            <w:pPr>
              <w:numPr>
                <w:ilvl w:val="0"/>
                <w:numId w:val="45"/>
              </w:numPr>
              <w:shd w:val="clear" w:color="auto" w:fill="FFFFFF"/>
              <w:rPr>
                <w:rFonts w:eastAsia="MS PGothic"/>
                <w:color w:val="000000"/>
                <w:sz w:val="18"/>
                <w:szCs w:val="18"/>
                <w:lang w:eastAsia="zh-CN"/>
              </w:rPr>
            </w:pPr>
            <w:r w:rsidRPr="002B621C">
              <w:rPr>
                <w:rFonts w:eastAsia="MS PGothic"/>
                <w:color w:val="000000"/>
                <w:sz w:val="18"/>
                <w:szCs w:val="18"/>
                <w:lang w:eastAsia="zh-CN"/>
              </w:rPr>
              <w:t>the association between TA/TAG and TCI states can be configured</w:t>
            </w:r>
          </w:p>
          <w:p w14:paraId="532A1B46" w14:textId="77777777" w:rsidR="002B621C" w:rsidRPr="002B621C" w:rsidRDefault="002B621C" w:rsidP="002B621C">
            <w:pPr>
              <w:numPr>
                <w:ilvl w:val="0"/>
                <w:numId w:val="46"/>
              </w:numPr>
              <w:shd w:val="clear" w:color="auto" w:fill="FFFFFF"/>
              <w:spacing w:line="252" w:lineRule="atLeast"/>
              <w:rPr>
                <w:rFonts w:ascii="MS PGothic" w:eastAsia="MS PGothic" w:hAnsi="MS PGothic" w:cs="SimSun"/>
                <w:color w:val="000000"/>
                <w:szCs w:val="20"/>
                <w:lang w:eastAsia="zh-CN"/>
              </w:rPr>
            </w:pPr>
            <w:r w:rsidRPr="002B621C">
              <w:rPr>
                <w:rFonts w:eastAsia="MS PGothic"/>
                <w:color w:val="000000"/>
                <w:sz w:val="18"/>
                <w:szCs w:val="18"/>
                <w:lang w:eastAsia="zh-CN"/>
              </w:rPr>
              <w:t>Alt2: Associate TA/TAG and candidate cell explicitly, e.g.,</w:t>
            </w:r>
          </w:p>
          <w:p w14:paraId="11653C73" w14:textId="77777777" w:rsidR="002B621C" w:rsidRPr="002B621C" w:rsidRDefault="002B621C" w:rsidP="002B621C">
            <w:pPr>
              <w:numPr>
                <w:ilvl w:val="0"/>
                <w:numId w:val="45"/>
              </w:numPr>
              <w:shd w:val="clear" w:color="auto" w:fill="FFFFFF"/>
              <w:rPr>
                <w:rFonts w:eastAsia="MS PGothic"/>
                <w:color w:val="000000"/>
                <w:sz w:val="18"/>
                <w:szCs w:val="18"/>
                <w:lang w:eastAsia="zh-CN"/>
              </w:rPr>
            </w:pPr>
            <w:r w:rsidRPr="002B621C">
              <w:rPr>
                <w:rFonts w:eastAsia="MS PGothic"/>
                <w:color w:val="000000"/>
                <w:sz w:val="18"/>
                <w:szCs w:val="18"/>
                <w:lang w:eastAsia="zh-CN"/>
              </w:rPr>
              <w:t>the association is provided as a part of candidate cell(s) configuration</w:t>
            </w:r>
          </w:p>
          <w:p w14:paraId="34A1C7D6" w14:textId="2A8920B8" w:rsidR="002B621C" w:rsidRDefault="002B621C" w:rsidP="002B621C">
            <w:pPr>
              <w:numPr>
                <w:ilvl w:val="0"/>
                <w:numId w:val="45"/>
              </w:numPr>
              <w:shd w:val="clear" w:color="auto" w:fill="FFFFFF"/>
            </w:pPr>
            <w:r w:rsidRPr="002B621C">
              <w:rPr>
                <w:rFonts w:eastAsia="MS PGothic"/>
                <w:color w:val="000000"/>
                <w:sz w:val="18"/>
                <w:szCs w:val="18"/>
                <w:lang w:eastAsia="zh-CN"/>
              </w:rPr>
              <w:t>the association between TA/TAG and SSB(s)/TRS(s) is provided as a part of candidate cell(s) configuration</w:t>
            </w:r>
          </w:p>
        </w:tc>
      </w:tr>
    </w:tbl>
    <w:p w14:paraId="0B3C2F85" w14:textId="7B5357F6" w:rsidR="001800BA" w:rsidRDefault="001800BA" w:rsidP="00497AFF">
      <w:pPr>
        <w:pStyle w:val="00Text"/>
      </w:pPr>
      <w:r>
        <w:t xml:space="preserve">In this contribution, we will discuss the potential issues of current timing advance mechanism for supporting L1/L2 based inter-cell mobility for mobility latency reduction and then identify the potential enhancements needed for timing advance management. </w:t>
      </w:r>
    </w:p>
    <w:p w14:paraId="6D8DADED" w14:textId="12F8ED6D" w:rsidR="00856939" w:rsidRDefault="00B063E9" w:rsidP="00413219">
      <w:pPr>
        <w:pStyle w:val="01"/>
        <w:numPr>
          <w:ilvl w:val="0"/>
          <w:numId w:val="1"/>
        </w:numPr>
        <w:ind w:left="562" w:hanging="562"/>
      </w:pPr>
      <w:r>
        <w:t>Discussion on Timing Advance</w:t>
      </w:r>
    </w:p>
    <w:p w14:paraId="72B935B4" w14:textId="1614F1E1" w:rsidR="00B063E9" w:rsidRDefault="00B063E9" w:rsidP="00B063E9">
      <w:pPr>
        <w:pStyle w:val="00Text"/>
      </w:pPr>
      <w:r>
        <w:t>Timing advance in NR is used to control the uplink signal transmission timing. The gNB can keep measuring the time difference between PUSCH/PUCCH/SRS reception and the uplink subframe timing and then send a Timing advance command to the UE that indicates the UE to adjust the PUSCH/PUCCH/SRS transmission so that they are better aligned with the uplink subframe timing at the gNB side.</w:t>
      </w:r>
    </w:p>
    <w:p w14:paraId="34850E0B" w14:textId="50040E29" w:rsidR="003277B5" w:rsidRDefault="003277B5" w:rsidP="00B063E9">
      <w:pPr>
        <w:pStyle w:val="00Text"/>
      </w:pPr>
      <w:r>
        <w:t xml:space="preserve">NR supports two mechanisms for delivering the timing advance information to the UE: the first mechanism is through RAR message during RACH and the second mechanism is a MAC CE message carrying a Timing advance command. </w:t>
      </w:r>
      <w:r w:rsidR="001D37E4">
        <w:t xml:space="preserve">The method of RAR is appliable during the initial attaching to a cell. When the UE switches to a new cell, the UE can start a random RACH procedure and the system can provide an initial timing advance </w:t>
      </w:r>
      <w:r w:rsidR="001D37E4">
        <w:lastRenderedPageBreak/>
        <w:t>command to the UE in the RAR message. Once the initial access is completed, the UE can adjust the UL transmission based on MAC CE Timing advance command.</w:t>
      </w:r>
    </w:p>
    <w:p w14:paraId="46A012EF" w14:textId="606DA008" w:rsidR="007D3F6E" w:rsidRDefault="007D3F6E" w:rsidP="00B063E9">
      <w:pPr>
        <w:pStyle w:val="00Text"/>
      </w:pPr>
      <w:r>
        <w:t>If the current mechanisms are applied to L1/L2 based inter-cell mobility, large latency could be caused and thus the performance of L1/L2 based inter-cell mobility would be impaired significantly.</w:t>
      </w:r>
    </w:p>
    <w:p w14:paraId="17294BED" w14:textId="77777777" w:rsidR="001D37E4" w:rsidRDefault="001D37E4" w:rsidP="00B063E9">
      <w:pPr>
        <w:pStyle w:val="00Text"/>
      </w:pPr>
    </w:p>
    <w:p w14:paraId="2EAB27A2" w14:textId="5CF08FD7" w:rsidR="00423BF7" w:rsidRDefault="007D3F6E" w:rsidP="007D3F6E">
      <w:pPr>
        <w:pStyle w:val="00Text"/>
        <w:jc w:val="center"/>
      </w:pPr>
      <w:r>
        <w:object w:dxaOrig="6990" w:dyaOrig="6120" w14:anchorId="5932B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1pt;height:176.8pt" o:ole="">
            <v:imagedata r:id="rId8" o:title=""/>
          </v:shape>
          <o:OLEObject Type="Embed" ProgID="Visio.Drawing.15" ShapeID="_x0000_i1025" DrawAspect="Content" ObjectID="_1729020198" r:id="rId9"/>
        </w:object>
      </w:r>
    </w:p>
    <w:p w14:paraId="13CB0DF0" w14:textId="74F23603" w:rsidR="007D3F6E" w:rsidRDefault="007D3F6E" w:rsidP="007D3F6E">
      <w:pPr>
        <w:pStyle w:val="00Text"/>
        <w:jc w:val="center"/>
        <w:rPr>
          <w:b/>
          <w:bCs/>
        </w:rPr>
      </w:pPr>
      <w:r w:rsidRPr="00F618D7">
        <w:rPr>
          <w:b/>
          <w:bCs/>
        </w:rPr>
        <w:t>Figure 1</w:t>
      </w:r>
    </w:p>
    <w:p w14:paraId="0B0EF7BF" w14:textId="4F3F33F9" w:rsidR="00F618D7" w:rsidRDefault="00F618D7" w:rsidP="00F618D7">
      <w:pPr>
        <w:pStyle w:val="00Text"/>
      </w:pPr>
      <w:r>
        <w:t xml:space="preserve">Take the example shown in Figure 1. A UE moves from cell 1 to cell 2. </w:t>
      </w:r>
      <w:r w:rsidR="00190A46">
        <w:t>If the current mechanism of TA is applied here, the procedure would be as shown in Figure 2.</w:t>
      </w:r>
    </w:p>
    <w:p w14:paraId="4E40C91C" w14:textId="2168FBF2" w:rsidR="00190A46" w:rsidRDefault="00265560" w:rsidP="00190A46">
      <w:pPr>
        <w:pStyle w:val="00Text"/>
        <w:jc w:val="center"/>
      </w:pPr>
      <w:r>
        <w:object w:dxaOrig="8836" w:dyaOrig="10906" w14:anchorId="07AD099B">
          <v:shape id="_x0000_i1026" type="#_x0000_t75" style="width:282.1pt;height:349.8pt" o:ole="">
            <v:imagedata r:id="rId10" o:title=""/>
          </v:shape>
          <o:OLEObject Type="Embed" ProgID="Visio.Drawing.15" ShapeID="_x0000_i1026" DrawAspect="Content" ObjectID="_1729020199" r:id="rId11"/>
        </w:object>
      </w:r>
    </w:p>
    <w:p w14:paraId="45A5D6D3" w14:textId="46B9BAE3" w:rsidR="00190A46" w:rsidRDefault="00190A46" w:rsidP="00190A46">
      <w:pPr>
        <w:pStyle w:val="00Text"/>
        <w:jc w:val="center"/>
        <w:rPr>
          <w:b/>
          <w:bCs/>
        </w:rPr>
      </w:pPr>
      <w:r w:rsidRPr="00190A46">
        <w:rPr>
          <w:b/>
          <w:bCs/>
        </w:rPr>
        <w:t>Figure 2</w:t>
      </w:r>
    </w:p>
    <w:p w14:paraId="5E4371BA" w14:textId="47347AAE" w:rsidR="00190A46" w:rsidRDefault="00190A46" w:rsidP="00190A46">
      <w:pPr>
        <w:pStyle w:val="00Text"/>
      </w:pPr>
      <w:r>
        <w:lastRenderedPageBreak/>
        <w:t>As shown in Figure 2, to obtain the UL synchronization to the cell 2, the UE has to conduct RACH procedure to the cell 2 and receives the initial TA command in the RAR message. Then after the connection with cell 2 is completed, the cell 2 can send MAC CE TA command to adjust the uplink timing.</w:t>
      </w:r>
    </w:p>
    <w:p w14:paraId="43534EC9" w14:textId="0734AA06" w:rsidR="00364D9A" w:rsidRPr="00190A46" w:rsidRDefault="00364D9A" w:rsidP="0034425D">
      <w:pPr>
        <w:pStyle w:val="000proposal"/>
      </w:pPr>
      <w:r>
        <w:t xml:space="preserve">Observation 1: </w:t>
      </w:r>
      <w:r w:rsidR="0034425D">
        <w:t xml:space="preserve">The current TA mechanism could cause large latency </w:t>
      </w:r>
      <w:r w:rsidR="00861898">
        <w:t>in</w:t>
      </w:r>
      <w:r w:rsidR="0034425D">
        <w:t xml:space="preserve"> L1/L2-based inter-cell mobility.</w:t>
      </w:r>
    </w:p>
    <w:p w14:paraId="624F367C" w14:textId="3EBDB4A3" w:rsidR="00856939" w:rsidRDefault="00CE6DD9" w:rsidP="00413219">
      <w:pPr>
        <w:pStyle w:val="01"/>
        <w:numPr>
          <w:ilvl w:val="0"/>
          <w:numId w:val="1"/>
        </w:numPr>
        <w:ind w:left="562" w:hanging="562"/>
      </w:pPr>
      <w:r>
        <w:t xml:space="preserve">Enhancements </w:t>
      </w:r>
      <w:r w:rsidR="00D4102E">
        <w:t>of</w:t>
      </w:r>
      <w:r>
        <w:t xml:space="preserve"> Timing Advance</w:t>
      </w:r>
    </w:p>
    <w:p w14:paraId="464DCDD5" w14:textId="0EACCBF6" w:rsidR="00265560" w:rsidRDefault="0059207B" w:rsidP="00CE6DD9">
      <w:pPr>
        <w:pStyle w:val="00Text"/>
      </w:pPr>
      <w:r>
        <w:t xml:space="preserve">It was agreed to support TA acquisition of candidate cells before cell switch command. </w:t>
      </w:r>
      <w:r w:rsidR="00C74D5C">
        <w:t>As discussed in previous section, the current mechanism of TA could cause large latency to inter-cell mobility due to that the UE has to conduct RACH to obtain the initial TA towards the target cell. Therefore, t</w:t>
      </w:r>
      <w:r w:rsidR="00265560">
        <w:t xml:space="preserve">o improve the latency of L1/L2 based inter-cell mobility, one enhancement is to enable the system to obtain the TA towards the target cell before the HO procedure is started. </w:t>
      </w:r>
      <w:r w:rsidR="00F578E0">
        <w:t xml:space="preserve">In other word, we need to support mechanism to enable the system to obtain TA of non-serving cell. </w:t>
      </w:r>
      <w:r>
        <w:t xml:space="preserve">One FFS point is whether this can be applied to a candidate cell when the candidate cell is a deactivated SCell. In our view, </w:t>
      </w:r>
      <w:r w:rsidR="004F65D0">
        <w:t xml:space="preserve">this shall be applied to such cells and </w:t>
      </w:r>
      <w:r>
        <w:t xml:space="preserve">it is needed to differential a deactivated SCell. The specification just </w:t>
      </w:r>
      <w:r w:rsidR="004F65D0">
        <w:t>provides</w:t>
      </w:r>
      <w:r>
        <w:t xml:space="preserve"> </w:t>
      </w:r>
      <w:r w:rsidR="004F65D0">
        <w:t xml:space="preserve">technical features for the system to obtain TA of candidate cells and it is up to system implementation to obtain the TA of a non-serving cell. </w:t>
      </w:r>
    </w:p>
    <w:p w14:paraId="3DE6BC51" w14:textId="3A572335" w:rsidR="003A475C" w:rsidRPr="003A475C" w:rsidRDefault="003A475C" w:rsidP="00CE6DD9">
      <w:pPr>
        <w:pStyle w:val="00Text"/>
        <w:rPr>
          <w:b/>
          <w:bCs/>
          <w:i/>
          <w:iCs/>
        </w:rPr>
      </w:pPr>
      <w:r w:rsidRPr="003A475C">
        <w:rPr>
          <w:b/>
          <w:bCs/>
          <w:i/>
          <w:iCs/>
        </w:rPr>
        <w:t xml:space="preserve">Proposal 1: </w:t>
      </w:r>
      <w:r w:rsidR="004F65D0">
        <w:rPr>
          <w:b/>
          <w:bCs/>
          <w:i/>
          <w:iCs/>
        </w:rPr>
        <w:t>The TA acquisition of candidate cell shall be applied to a deactivated cell if this cell is a candidate cell</w:t>
      </w:r>
      <w:r w:rsidRPr="003A475C">
        <w:rPr>
          <w:b/>
          <w:bCs/>
          <w:i/>
          <w:iCs/>
        </w:rPr>
        <w:t xml:space="preserve">. </w:t>
      </w:r>
    </w:p>
    <w:p w14:paraId="50367EF8" w14:textId="1614911B" w:rsidR="00F578E0" w:rsidRDefault="00F53D8B" w:rsidP="00CE6DD9">
      <w:pPr>
        <w:pStyle w:val="00Text"/>
      </w:pPr>
      <w:r>
        <w:t>As agreed, the solutions to obtain TA of the candidate cells can be further studied. In our view, o</w:t>
      </w:r>
      <w:r w:rsidR="003A475C">
        <w:t>ne way to ob</w:t>
      </w:r>
      <w:r w:rsidR="003A475C">
        <w:rPr>
          <w:rFonts w:hint="eastAsia"/>
        </w:rPr>
        <w:t>t</w:t>
      </w:r>
      <w:r w:rsidR="003A475C">
        <w:t xml:space="preserve">ain TA of a non-serving cell is PDCCH order RACH. In current specification, the system can trigger RACH through PDCCI order. But, the current PDCCH order RACH can only be associated with SSB of serving cell. To support measuring the TA of a non-serving cell, the PDCCH order RACH shall be associated with SSB of a non-serving cell. </w:t>
      </w:r>
      <w:r w:rsidR="00BD3BB7">
        <w:t>With that, the serving cell gNB can trigger the UE to send a RACH towards an non-serving cell so that the system can measure and obtain the TA for that UE towards the non-serving cell.</w:t>
      </w:r>
    </w:p>
    <w:p w14:paraId="18DAC654" w14:textId="7F9995BD" w:rsidR="00840DB1" w:rsidRDefault="00840DB1" w:rsidP="00BD3BB7">
      <w:pPr>
        <w:pStyle w:val="000proposal"/>
      </w:pPr>
      <w:r>
        <w:t xml:space="preserve">Proposal 2: Support </w:t>
      </w:r>
      <w:r w:rsidR="00BD3BB7">
        <w:t>to enhance PDCCH order RACH to associate with SSB of a non-serving cell</w:t>
      </w:r>
      <w:r w:rsidR="004E4ECA">
        <w:t>.</w:t>
      </w:r>
    </w:p>
    <w:p w14:paraId="550779C1" w14:textId="4BA2184D" w:rsidR="00BD3BB7" w:rsidRDefault="004E2FEC" w:rsidP="00CE6DD9">
      <w:pPr>
        <w:pStyle w:val="00Text"/>
      </w:pPr>
      <w:r>
        <w:t xml:space="preserve">Another method to obtain the TA of one non-serving cell is to send SRS towards a non-serving cell. The gNB of the non-serving cell can receive and then measure the arrival timing of that SRS, which can then be used to calculate the TA of that non-serving cell. </w:t>
      </w:r>
      <w:r w:rsidR="00861898">
        <w:t xml:space="preserve">One thing to be noted is that NR positioning supports SRS resource for positioning, where the spatial relation info of one SRS resource for positioning can be </w:t>
      </w:r>
      <w:r w:rsidR="00235647">
        <w:t xml:space="preserve">SSB or PRS of a non-serving cell. The same mechanism can be utilized here. </w:t>
      </w:r>
      <w:r w:rsidR="00577AA6">
        <w:t>The gNB can configure a joint TCI state or UL TCI state with a SSB or CSI-RS resource of a non-serving cell to a SRS resource. That SRS resource can be measured by the non-serving cell to obtain the TA.</w:t>
      </w:r>
    </w:p>
    <w:p w14:paraId="2DA0C5D8" w14:textId="32D6C0A5" w:rsidR="004E2FEC" w:rsidRPr="00364D9A" w:rsidRDefault="004E2FEC" w:rsidP="00CE6DD9">
      <w:pPr>
        <w:pStyle w:val="00Text"/>
        <w:rPr>
          <w:b/>
          <w:bCs/>
          <w:i/>
          <w:iCs/>
        </w:rPr>
      </w:pPr>
      <w:r w:rsidRPr="00364D9A">
        <w:rPr>
          <w:b/>
          <w:bCs/>
          <w:i/>
          <w:iCs/>
        </w:rPr>
        <w:t xml:space="preserve">Proposal 3: Support transmitting SRS to </w:t>
      </w:r>
      <w:r w:rsidR="00364D9A" w:rsidRPr="00364D9A">
        <w:rPr>
          <w:b/>
          <w:bCs/>
          <w:i/>
          <w:iCs/>
        </w:rPr>
        <w:t>a non-serving cell</w:t>
      </w:r>
      <w:r w:rsidR="007F25C8">
        <w:rPr>
          <w:b/>
          <w:bCs/>
          <w:i/>
          <w:iCs/>
        </w:rPr>
        <w:t xml:space="preserve"> for measuring TA of non-serving cell</w:t>
      </w:r>
      <w:r w:rsidR="00364D9A" w:rsidRPr="00364D9A">
        <w:rPr>
          <w:b/>
          <w:bCs/>
          <w:i/>
          <w:iCs/>
        </w:rPr>
        <w:t>.</w:t>
      </w:r>
    </w:p>
    <w:p w14:paraId="2C236493" w14:textId="56D90992" w:rsidR="006B5A3C" w:rsidRDefault="006B5A3C" w:rsidP="00CE6DD9">
      <w:pPr>
        <w:pStyle w:val="00Text"/>
      </w:pPr>
      <w:r>
        <w:t>Regarding how to associate TA to a candidate cell, in our view, the most preferred way is to associate the TA with a candidate explicitly. Each TA can be explicitly provided in configuration of each candidate cell.</w:t>
      </w:r>
      <w:r w:rsidR="003353E7">
        <w:t xml:space="preserve"> Other alternatives discussed in last meeting would cause unnecessary system complexity. For example, about the alt of associating TA with TCI state, the drawback is each cell would have multiple TCI states but the cell has only </w:t>
      </w:r>
      <w:r w:rsidR="0062047B">
        <w:t>had</w:t>
      </w:r>
      <w:r w:rsidR="003353E7">
        <w:t xml:space="preserve"> one TA, configuring the same TA in each TCI state would definitely complicate the system and increase the configuration overhead. Another alternative of associating TA with SSB/TRS has the similar issue.</w:t>
      </w:r>
    </w:p>
    <w:p w14:paraId="7215C08A" w14:textId="5479A73A" w:rsidR="003353E7" w:rsidRDefault="003353E7" w:rsidP="00CE6DD9">
      <w:pPr>
        <w:pStyle w:val="00Text"/>
      </w:pPr>
      <w:r w:rsidRPr="00364D9A">
        <w:rPr>
          <w:b/>
          <w:bCs/>
          <w:i/>
          <w:iCs/>
        </w:rPr>
        <w:t xml:space="preserve">Proposal </w:t>
      </w:r>
      <w:r>
        <w:rPr>
          <w:b/>
          <w:bCs/>
          <w:i/>
          <w:iCs/>
        </w:rPr>
        <w:t>4</w:t>
      </w:r>
      <w:r w:rsidRPr="00364D9A">
        <w:rPr>
          <w:b/>
          <w:bCs/>
          <w:i/>
          <w:iCs/>
        </w:rPr>
        <w:t>:</w:t>
      </w:r>
      <w:r>
        <w:rPr>
          <w:b/>
          <w:bCs/>
          <w:i/>
          <w:iCs/>
        </w:rPr>
        <w:t xml:space="preserve"> The association between TA and candidate cell is provided explicitly.</w:t>
      </w:r>
    </w:p>
    <w:p w14:paraId="3EA54C5A" w14:textId="09B97DFF" w:rsidR="008606A2" w:rsidRDefault="008606A2" w:rsidP="00CE6DD9">
      <w:pPr>
        <w:pStyle w:val="00Text"/>
      </w:pPr>
      <w:r>
        <w:t xml:space="preserve">Another necessary enhancement is to indicate the TA value of the target cell before the UE starts the HO procedure. </w:t>
      </w:r>
      <w:r w:rsidR="0016458B">
        <w:t>In current specification, the earliest TA is delivered in RAR message and other TA values are delivered in MAC CE after the RRC connection is completed. To improve the latency of L1</w:t>
      </w:r>
      <w:r w:rsidR="0016458B">
        <w:rPr>
          <w:rFonts w:hint="eastAsia"/>
        </w:rPr>
        <w:t>/</w:t>
      </w:r>
      <w:r w:rsidR="0016458B">
        <w:t xml:space="preserve">L2-based inter-cell mobility, it is necessary to indicate the TA of a non-serving cell before the UE handovers to the target cell. </w:t>
      </w:r>
      <w:r w:rsidR="00D47B3B">
        <w:t xml:space="preserve">The best way to indicate the TA of non-serving cell is to indicate the TA along with the handover command. </w:t>
      </w:r>
    </w:p>
    <w:p w14:paraId="4B4803F1" w14:textId="31DEAFF4" w:rsidR="005D10E4" w:rsidRPr="005D10E4" w:rsidRDefault="005D10E4" w:rsidP="00CE6DD9">
      <w:pPr>
        <w:pStyle w:val="00Text"/>
        <w:rPr>
          <w:b/>
          <w:bCs/>
          <w:i/>
          <w:iCs/>
        </w:rPr>
      </w:pPr>
      <w:r w:rsidRPr="005D10E4">
        <w:rPr>
          <w:b/>
          <w:bCs/>
          <w:i/>
          <w:iCs/>
        </w:rPr>
        <w:t xml:space="preserve">Proposal </w:t>
      </w:r>
      <w:r w:rsidR="00865075">
        <w:rPr>
          <w:b/>
          <w:bCs/>
          <w:i/>
          <w:iCs/>
        </w:rPr>
        <w:t>5</w:t>
      </w:r>
      <w:r w:rsidRPr="005D10E4">
        <w:rPr>
          <w:b/>
          <w:bCs/>
          <w:i/>
          <w:iCs/>
        </w:rPr>
        <w:t>: Support to indicate the TA of non-serving cell</w:t>
      </w:r>
      <w:r w:rsidR="008E5825">
        <w:rPr>
          <w:b/>
          <w:bCs/>
          <w:i/>
          <w:iCs/>
        </w:rPr>
        <w:t xml:space="preserve"> in the handover command</w:t>
      </w:r>
      <w:r w:rsidRPr="005D10E4">
        <w:rPr>
          <w:b/>
          <w:bCs/>
          <w:i/>
          <w:iCs/>
        </w:rPr>
        <w:t>.</w:t>
      </w:r>
    </w:p>
    <w:p w14:paraId="3882022D" w14:textId="66465B2A" w:rsidR="00071427" w:rsidRDefault="00071427" w:rsidP="00071427">
      <w:pPr>
        <w:pStyle w:val="01"/>
        <w:numPr>
          <w:ilvl w:val="0"/>
          <w:numId w:val="1"/>
        </w:numPr>
        <w:ind w:left="562" w:hanging="562"/>
      </w:pPr>
      <w:r>
        <w:t>Conclusions</w:t>
      </w:r>
    </w:p>
    <w:p w14:paraId="6AC6073E" w14:textId="15120499" w:rsidR="00CD79A3" w:rsidRDefault="00262BCE" w:rsidP="00D870D2">
      <w:pPr>
        <w:pStyle w:val="00Text"/>
      </w:pPr>
      <w:r w:rsidRPr="00D870D2">
        <w:t xml:space="preserve">In this contribution, we investigate </w:t>
      </w:r>
      <w:r w:rsidR="00EA13E0" w:rsidRPr="00D870D2">
        <w:t xml:space="preserve">the </w:t>
      </w:r>
      <w:r w:rsidR="0016458B">
        <w:t>issues of TA management for</w:t>
      </w:r>
      <w:r w:rsidR="00413219" w:rsidRPr="00D870D2">
        <w:t xml:space="preserve"> </w:t>
      </w:r>
      <w:r w:rsidR="0016458B">
        <w:rPr>
          <w:rFonts w:hint="eastAsia"/>
        </w:rPr>
        <w:t>L1</w:t>
      </w:r>
      <w:r w:rsidR="0016458B">
        <w:t>/L2-based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1164E63B" w14:textId="77777777" w:rsidR="00180B47" w:rsidRPr="00190A46" w:rsidRDefault="00180B47" w:rsidP="00180B47">
      <w:pPr>
        <w:pStyle w:val="000proposal"/>
      </w:pPr>
      <w:r>
        <w:lastRenderedPageBreak/>
        <w:t>Observation 1: The current TA mechanism could cause large latency in L1/L2-based inter-cell mobility.</w:t>
      </w:r>
    </w:p>
    <w:p w14:paraId="66E11576" w14:textId="77777777" w:rsidR="00180B47" w:rsidRPr="003A475C" w:rsidRDefault="00180B47" w:rsidP="00180B47">
      <w:pPr>
        <w:pStyle w:val="00Text"/>
        <w:rPr>
          <w:b/>
          <w:bCs/>
          <w:i/>
          <w:iCs/>
        </w:rPr>
      </w:pPr>
      <w:r w:rsidRPr="003A475C">
        <w:rPr>
          <w:b/>
          <w:bCs/>
          <w:i/>
          <w:iCs/>
        </w:rPr>
        <w:t xml:space="preserve">Proposal 1: </w:t>
      </w:r>
      <w:r>
        <w:rPr>
          <w:b/>
          <w:bCs/>
          <w:i/>
          <w:iCs/>
        </w:rPr>
        <w:t>The TA acquisition of candidate cell shall be applied to a deactivated cell if this cell is a candidate cell</w:t>
      </w:r>
      <w:r w:rsidRPr="003A475C">
        <w:rPr>
          <w:b/>
          <w:bCs/>
          <w:i/>
          <w:iCs/>
        </w:rPr>
        <w:t xml:space="preserve">. </w:t>
      </w:r>
    </w:p>
    <w:p w14:paraId="64013A43" w14:textId="77777777" w:rsidR="00180B47" w:rsidRDefault="00180B47" w:rsidP="00180B47">
      <w:pPr>
        <w:pStyle w:val="000proposal"/>
      </w:pPr>
      <w:r>
        <w:t>Proposal 2: Support to enhance PDCCH order RACH to associate with SSB of a non-serving cell.</w:t>
      </w:r>
    </w:p>
    <w:p w14:paraId="1E2519D9" w14:textId="77777777" w:rsidR="00180B47" w:rsidRPr="00364D9A" w:rsidRDefault="00180B47" w:rsidP="00180B47">
      <w:pPr>
        <w:pStyle w:val="00Text"/>
        <w:rPr>
          <w:b/>
          <w:bCs/>
          <w:i/>
          <w:iCs/>
        </w:rPr>
      </w:pPr>
      <w:r w:rsidRPr="00364D9A">
        <w:rPr>
          <w:b/>
          <w:bCs/>
          <w:i/>
          <w:iCs/>
        </w:rPr>
        <w:t>Proposal 3: Support transmitting SRS to a non-serving cell</w:t>
      </w:r>
      <w:r>
        <w:rPr>
          <w:b/>
          <w:bCs/>
          <w:i/>
          <w:iCs/>
        </w:rPr>
        <w:t xml:space="preserve"> for measuring TA of non-serving cell</w:t>
      </w:r>
      <w:r w:rsidRPr="00364D9A">
        <w:rPr>
          <w:b/>
          <w:bCs/>
          <w:i/>
          <w:iCs/>
        </w:rPr>
        <w:t>.</w:t>
      </w:r>
    </w:p>
    <w:p w14:paraId="105D56D4" w14:textId="77777777" w:rsidR="00180B47" w:rsidRDefault="00180B47" w:rsidP="00180B47">
      <w:pPr>
        <w:pStyle w:val="00Text"/>
      </w:pPr>
      <w:r w:rsidRPr="00364D9A">
        <w:rPr>
          <w:b/>
          <w:bCs/>
          <w:i/>
          <w:iCs/>
        </w:rPr>
        <w:t xml:space="preserve">Proposal </w:t>
      </w:r>
      <w:r>
        <w:rPr>
          <w:b/>
          <w:bCs/>
          <w:i/>
          <w:iCs/>
        </w:rPr>
        <w:t>4</w:t>
      </w:r>
      <w:r w:rsidRPr="00364D9A">
        <w:rPr>
          <w:b/>
          <w:bCs/>
          <w:i/>
          <w:iCs/>
        </w:rPr>
        <w:t>:</w:t>
      </w:r>
      <w:r>
        <w:rPr>
          <w:b/>
          <w:bCs/>
          <w:i/>
          <w:iCs/>
        </w:rPr>
        <w:t xml:space="preserve"> The association between TA and candidate cell is provided explicitly.</w:t>
      </w:r>
    </w:p>
    <w:p w14:paraId="67D8B0F2" w14:textId="77777777" w:rsidR="00180B47" w:rsidRPr="005D10E4" w:rsidRDefault="00180B47" w:rsidP="00180B47">
      <w:pPr>
        <w:pStyle w:val="00Text"/>
        <w:rPr>
          <w:b/>
          <w:bCs/>
          <w:i/>
          <w:iCs/>
        </w:rPr>
      </w:pPr>
      <w:r w:rsidRPr="005D10E4">
        <w:rPr>
          <w:b/>
          <w:bCs/>
          <w:i/>
          <w:iCs/>
        </w:rPr>
        <w:t xml:space="preserve">Proposal </w:t>
      </w:r>
      <w:r>
        <w:rPr>
          <w:b/>
          <w:bCs/>
          <w:i/>
          <w:iCs/>
        </w:rPr>
        <w:t>5</w:t>
      </w:r>
      <w:r w:rsidRPr="005D10E4">
        <w:rPr>
          <w:b/>
          <w:bCs/>
          <w:i/>
          <w:iCs/>
        </w:rPr>
        <w:t>: Support to indicate the TA of non-serving cell</w:t>
      </w:r>
      <w:r>
        <w:rPr>
          <w:b/>
          <w:bCs/>
          <w:i/>
          <w:iCs/>
        </w:rPr>
        <w:t xml:space="preserve"> in the handover command</w:t>
      </w:r>
      <w:r w:rsidRPr="005D10E4">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8178133" w:rsidR="002B3587" w:rsidRDefault="002B3587" w:rsidP="002328B0">
      <w:pPr>
        <w:pStyle w:val="05reference"/>
        <w:rPr>
          <w:szCs w:val="20"/>
          <w:lang w:val="it-IT"/>
        </w:rPr>
      </w:pPr>
      <w:r>
        <w:rPr>
          <w:szCs w:val="20"/>
          <w:lang w:val="it-IT"/>
        </w:rPr>
        <w:t>RP-</w:t>
      </w:r>
      <w:r w:rsidR="00A43007">
        <w:rPr>
          <w:szCs w:val="20"/>
          <w:lang w:val="it-IT"/>
        </w:rPr>
        <w:t>2</w:t>
      </w:r>
      <w:r w:rsidR="00B50382">
        <w:rPr>
          <w:szCs w:val="20"/>
          <w:lang w:val="it-IT"/>
        </w:rPr>
        <w:t>22332</w:t>
      </w:r>
      <w:r>
        <w:rPr>
          <w:szCs w:val="20"/>
          <w:lang w:val="it-IT"/>
        </w:rPr>
        <w:t xml:space="preserve"> </w:t>
      </w:r>
      <w:r w:rsidR="00B50382" w:rsidRPr="00B50382">
        <w:rPr>
          <w:szCs w:val="20"/>
          <w:lang w:val="it-IT"/>
        </w:rPr>
        <w:t xml:space="preserve">Further NR Mobility Enhancements  </w:t>
      </w:r>
    </w:p>
    <w:sectPr w:rsidR="002B358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E40D6" w14:textId="77777777" w:rsidR="00573908" w:rsidRDefault="00573908">
      <w:r>
        <w:separator/>
      </w:r>
    </w:p>
  </w:endnote>
  <w:endnote w:type="continuationSeparator" w:id="0">
    <w:p w14:paraId="5CE4A386" w14:textId="77777777" w:rsidR="00573908" w:rsidRDefault="0057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57A21" w14:textId="77777777" w:rsidR="00573908" w:rsidRDefault="00573908">
      <w:r>
        <w:separator/>
      </w:r>
    </w:p>
  </w:footnote>
  <w:footnote w:type="continuationSeparator" w:id="0">
    <w:p w14:paraId="0F647CDD" w14:textId="77777777" w:rsidR="00573908" w:rsidRDefault="00573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3892"/>
    <w:multiLevelType w:val="hybridMultilevel"/>
    <w:tmpl w:val="E9061AD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0F9"/>
    <w:multiLevelType w:val="hybridMultilevel"/>
    <w:tmpl w:val="67AA494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A2BB4"/>
    <w:multiLevelType w:val="hybridMultilevel"/>
    <w:tmpl w:val="BA90C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97E41"/>
    <w:multiLevelType w:val="hybridMultilevel"/>
    <w:tmpl w:val="95DA567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23E66"/>
    <w:multiLevelType w:val="hybridMultilevel"/>
    <w:tmpl w:val="FAEE3F1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58E0B0A"/>
    <w:multiLevelType w:val="hybridMultilevel"/>
    <w:tmpl w:val="A0FA2C2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37E46"/>
    <w:multiLevelType w:val="hybridMultilevel"/>
    <w:tmpl w:val="444EED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A1372"/>
    <w:multiLevelType w:val="hybridMultilevel"/>
    <w:tmpl w:val="56C2C85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03314"/>
    <w:multiLevelType w:val="hybridMultilevel"/>
    <w:tmpl w:val="6A6AF14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454F7"/>
    <w:multiLevelType w:val="hybridMultilevel"/>
    <w:tmpl w:val="9C4C7B6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01D74"/>
    <w:multiLevelType w:val="hybridMultilevel"/>
    <w:tmpl w:val="578C1F8E"/>
    <w:lvl w:ilvl="0" w:tplc="E23CD13A">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1" w15:restartNumberingAfterBreak="0">
    <w:nsid w:val="5E9D7F08"/>
    <w:multiLevelType w:val="hybridMultilevel"/>
    <w:tmpl w:val="73AE522E"/>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424299"/>
    <w:multiLevelType w:val="hybridMultilevel"/>
    <w:tmpl w:val="424CC68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CB2DF2"/>
    <w:multiLevelType w:val="hybridMultilevel"/>
    <w:tmpl w:val="AAE8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F72112D"/>
    <w:multiLevelType w:val="hybridMultilevel"/>
    <w:tmpl w:val="4200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871331">
    <w:abstractNumId w:val="43"/>
  </w:num>
  <w:num w:numId="2" w16cid:durableId="88620007">
    <w:abstractNumId w:val="13"/>
  </w:num>
  <w:num w:numId="3" w16cid:durableId="123159343">
    <w:abstractNumId w:val="32"/>
  </w:num>
  <w:num w:numId="4" w16cid:durableId="1426074486">
    <w:abstractNumId w:val="20"/>
  </w:num>
  <w:num w:numId="5" w16cid:durableId="703559797">
    <w:abstractNumId w:val="28"/>
  </w:num>
  <w:num w:numId="6" w16cid:durableId="112092419">
    <w:abstractNumId w:val="21"/>
  </w:num>
  <w:num w:numId="7" w16cid:durableId="1271552158">
    <w:abstractNumId w:val="38"/>
  </w:num>
  <w:num w:numId="8" w16cid:durableId="233708592">
    <w:abstractNumId w:val="0"/>
  </w:num>
  <w:num w:numId="9" w16cid:durableId="1352874171">
    <w:abstractNumId w:val="14"/>
  </w:num>
  <w:num w:numId="10" w16cid:durableId="365764863">
    <w:abstractNumId w:val="40"/>
  </w:num>
  <w:num w:numId="11" w16cid:durableId="1639072784">
    <w:abstractNumId w:val="15"/>
  </w:num>
  <w:num w:numId="12" w16cid:durableId="945691879">
    <w:abstractNumId w:val="9"/>
  </w:num>
  <w:num w:numId="13" w16cid:durableId="1192303458">
    <w:abstractNumId w:val="16"/>
  </w:num>
  <w:num w:numId="14" w16cid:durableId="172376015">
    <w:abstractNumId w:val="35"/>
  </w:num>
  <w:num w:numId="15" w16cid:durableId="135343909">
    <w:abstractNumId w:val="36"/>
  </w:num>
  <w:num w:numId="16" w16cid:durableId="5207534">
    <w:abstractNumId w:val="12"/>
  </w:num>
  <w:num w:numId="17" w16cid:durableId="1407803358">
    <w:abstractNumId w:val="19"/>
  </w:num>
  <w:num w:numId="18" w16cid:durableId="399251927">
    <w:abstractNumId w:val="19"/>
  </w:num>
  <w:num w:numId="19" w16cid:durableId="1674185686">
    <w:abstractNumId w:val="8"/>
  </w:num>
  <w:num w:numId="20" w16cid:durableId="2120295073">
    <w:abstractNumId w:val="2"/>
  </w:num>
  <w:num w:numId="21" w16cid:durableId="156775428">
    <w:abstractNumId w:val="10"/>
  </w:num>
  <w:num w:numId="22" w16cid:durableId="211304972">
    <w:abstractNumId w:val="6"/>
  </w:num>
  <w:num w:numId="23" w16cid:durableId="862089793">
    <w:abstractNumId w:val="41"/>
  </w:num>
  <w:num w:numId="24" w16cid:durableId="643583176">
    <w:abstractNumId w:val="24"/>
  </w:num>
  <w:num w:numId="25" w16cid:durableId="681206366">
    <w:abstractNumId w:val="3"/>
  </w:num>
  <w:num w:numId="26" w16cid:durableId="1911111632">
    <w:abstractNumId w:val="23"/>
  </w:num>
  <w:num w:numId="27" w16cid:durableId="1350135857">
    <w:abstractNumId w:val="26"/>
  </w:num>
  <w:num w:numId="28" w16cid:durableId="639192972">
    <w:abstractNumId w:val="7"/>
  </w:num>
  <w:num w:numId="29" w16cid:durableId="495851559">
    <w:abstractNumId w:val="37"/>
  </w:num>
  <w:num w:numId="30" w16cid:durableId="1207715431">
    <w:abstractNumId w:val="34"/>
  </w:num>
  <w:num w:numId="31" w16cid:durableId="573396183">
    <w:abstractNumId w:val="17"/>
  </w:num>
  <w:num w:numId="32" w16cid:durableId="517354791">
    <w:abstractNumId w:val="27"/>
  </w:num>
  <w:num w:numId="33" w16cid:durableId="389810328">
    <w:abstractNumId w:val="30"/>
  </w:num>
  <w:num w:numId="34" w16cid:durableId="1250307504">
    <w:abstractNumId w:val="1"/>
  </w:num>
  <w:num w:numId="35" w16cid:durableId="1927305394">
    <w:abstractNumId w:val="33"/>
  </w:num>
  <w:num w:numId="36" w16cid:durableId="1876232983">
    <w:abstractNumId w:val="11"/>
  </w:num>
  <w:num w:numId="37" w16cid:durableId="1387216041">
    <w:abstractNumId w:val="31"/>
  </w:num>
  <w:num w:numId="38" w16cid:durableId="1374695965">
    <w:abstractNumId w:val="25"/>
  </w:num>
  <w:num w:numId="39" w16cid:durableId="1650985669">
    <w:abstractNumId w:val="42"/>
  </w:num>
  <w:num w:numId="40" w16cid:durableId="535433729">
    <w:abstractNumId w:val="39"/>
  </w:num>
  <w:num w:numId="41" w16cid:durableId="1475365579">
    <w:abstractNumId w:val="4"/>
  </w:num>
  <w:num w:numId="42" w16cid:durableId="301545508">
    <w:abstractNumId w:val="44"/>
  </w:num>
  <w:num w:numId="43" w16cid:durableId="1477646324">
    <w:abstractNumId w:val="5"/>
  </w:num>
  <w:num w:numId="44" w16cid:durableId="1837185020">
    <w:abstractNumId w:val="18"/>
  </w:num>
  <w:num w:numId="45" w16cid:durableId="1984506608">
    <w:abstractNumId w:val="22"/>
  </w:num>
  <w:num w:numId="46" w16cid:durableId="1710760367">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202D5"/>
    <w:rsid w:val="000227D6"/>
    <w:rsid w:val="0002517B"/>
    <w:rsid w:val="00036C04"/>
    <w:rsid w:val="000516CE"/>
    <w:rsid w:val="00052A3E"/>
    <w:rsid w:val="00054753"/>
    <w:rsid w:val="00067024"/>
    <w:rsid w:val="000670C1"/>
    <w:rsid w:val="00071427"/>
    <w:rsid w:val="00071993"/>
    <w:rsid w:val="00071BE6"/>
    <w:rsid w:val="00074E36"/>
    <w:rsid w:val="00075805"/>
    <w:rsid w:val="00080DFA"/>
    <w:rsid w:val="00080ED5"/>
    <w:rsid w:val="00085AAA"/>
    <w:rsid w:val="000939D7"/>
    <w:rsid w:val="00095038"/>
    <w:rsid w:val="00096D44"/>
    <w:rsid w:val="000A0A59"/>
    <w:rsid w:val="000B368E"/>
    <w:rsid w:val="000B5E34"/>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D90"/>
    <w:rsid w:val="0016458B"/>
    <w:rsid w:val="00165271"/>
    <w:rsid w:val="00171FCE"/>
    <w:rsid w:val="0017679D"/>
    <w:rsid w:val="00176D71"/>
    <w:rsid w:val="001800BA"/>
    <w:rsid w:val="00180B47"/>
    <w:rsid w:val="001821C0"/>
    <w:rsid w:val="00190A46"/>
    <w:rsid w:val="0019326C"/>
    <w:rsid w:val="00193464"/>
    <w:rsid w:val="001935D9"/>
    <w:rsid w:val="00194DDE"/>
    <w:rsid w:val="00195BE5"/>
    <w:rsid w:val="001964DE"/>
    <w:rsid w:val="001967B4"/>
    <w:rsid w:val="001A157B"/>
    <w:rsid w:val="001A512D"/>
    <w:rsid w:val="001B0B07"/>
    <w:rsid w:val="001B4183"/>
    <w:rsid w:val="001B6B98"/>
    <w:rsid w:val="001C300D"/>
    <w:rsid w:val="001C4F3E"/>
    <w:rsid w:val="001C5007"/>
    <w:rsid w:val="001D28AA"/>
    <w:rsid w:val="001D3566"/>
    <w:rsid w:val="001D37E4"/>
    <w:rsid w:val="001E15DC"/>
    <w:rsid w:val="001E34E2"/>
    <w:rsid w:val="001E59C5"/>
    <w:rsid w:val="001E70FE"/>
    <w:rsid w:val="001F28A8"/>
    <w:rsid w:val="001F3936"/>
    <w:rsid w:val="001F4B67"/>
    <w:rsid w:val="001F558D"/>
    <w:rsid w:val="00201ACD"/>
    <w:rsid w:val="00216CDC"/>
    <w:rsid w:val="002206ED"/>
    <w:rsid w:val="00223B55"/>
    <w:rsid w:val="00224ADF"/>
    <w:rsid w:val="002268AD"/>
    <w:rsid w:val="002275CA"/>
    <w:rsid w:val="0023177B"/>
    <w:rsid w:val="002328B0"/>
    <w:rsid w:val="00235647"/>
    <w:rsid w:val="002360B6"/>
    <w:rsid w:val="00236764"/>
    <w:rsid w:val="00236ED8"/>
    <w:rsid w:val="0024376A"/>
    <w:rsid w:val="00250EF8"/>
    <w:rsid w:val="00255B8B"/>
    <w:rsid w:val="00255EFE"/>
    <w:rsid w:val="002563C3"/>
    <w:rsid w:val="00256423"/>
    <w:rsid w:val="00262BCE"/>
    <w:rsid w:val="00265560"/>
    <w:rsid w:val="0027047C"/>
    <w:rsid w:val="00274CE7"/>
    <w:rsid w:val="00275AC4"/>
    <w:rsid w:val="00276093"/>
    <w:rsid w:val="00282B71"/>
    <w:rsid w:val="00282C00"/>
    <w:rsid w:val="00282F2A"/>
    <w:rsid w:val="0028395C"/>
    <w:rsid w:val="00286683"/>
    <w:rsid w:val="00290459"/>
    <w:rsid w:val="00291C16"/>
    <w:rsid w:val="002A1F70"/>
    <w:rsid w:val="002A2D10"/>
    <w:rsid w:val="002B3587"/>
    <w:rsid w:val="002B39D3"/>
    <w:rsid w:val="002B621C"/>
    <w:rsid w:val="002C09EE"/>
    <w:rsid w:val="002C3012"/>
    <w:rsid w:val="002D0F0E"/>
    <w:rsid w:val="002D12C4"/>
    <w:rsid w:val="002D3F3F"/>
    <w:rsid w:val="002D5916"/>
    <w:rsid w:val="002D6287"/>
    <w:rsid w:val="002F46B5"/>
    <w:rsid w:val="002F5E03"/>
    <w:rsid w:val="00311DA8"/>
    <w:rsid w:val="003144C9"/>
    <w:rsid w:val="0031751C"/>
    <w:rsid w:val="00321588"/>
    <w:rsid w:val="003218CE"/>
    <w:rsid w:val="00324CC1"/>
    <w:rsid w:val="00325686"/>
    <w:rsid w:val="00325DF4"/>
    <w:rsid w:val="003277B5"/>
    <w:rsid w:val="00327ABE"/>
    <w:rsid w:val="0033138F"/>
    <w:rsid w:val="00332738"/>
    <w:rsid w:val="00333D52"/>
    <w:rsid w:val="003353E7"/>
    <w:rsid w:val="003370C7"/>
    <w:rsid w:val="003417EF"/>
    <w:rsid w:val="00341F72"/>
    <w:rsid w:val="00342E65"/>
    <w:rsid w:val="0034425D"/>
    <w:rsid w:val="00345366"/>
    <w:rsid w:val="0036243F"/>
    <w:rsid w:val="00364D9A"/>
    <w:rsid w:val="00366776"/>
    <w:rsid w:val="00380901"/>
    <w:rsid w:val="003845A5"/>
    <w:rsid w:val="00392764"/>
    <w:rsid w:val="0039491B"/>
    <w:rsid w:val="00395AFD"/>
    <w:rsid w:val="003A475C"/>
    <w:rsid w:val="003A6D5C"/>
    <w:rsid w:val="003A6DA8"/>
    <w:rsid w:val="003B1FD4"/>
    <w:rsid w:val="003B2B21"/>
    <w:rsid w:val="003B43DA"/>
    <w:rsid w:val="003B510F"/>
    <w:rsid w:val="003C22BE"/>
    <w:rsid w:val="003C265D"/>
    <w:rsid w:val="003C2E5C"/>
    <w:rsid w:val="003C4B23"/>
    <w:rsid w:val="003C6F44"/>
    <w:rsid w:val="003C70E5"/>
    <w:rsid w:val="003D2528"/>
    <w:rsid w:val="003D3369"/>
    <w:rsid w:val="003D64CB"/>
    <w:rsid w:val="003E11C2"/>
    <w:rsid w:val="003F1D1A"/>
    <w:rsid w:val="003F3A31"/>
    <w:rsid w:val="003F538F"/>
    <w:rsid w:val="004018E5"/>
    <w:rsid w:val="00403380"/>
    <w:rsid w:val="00407B81"/>
    <w:rsid w:val="004105EF"/>
    <w:rsid w:val="00413219"/>
    <w:rsid w:val="00416940"/>
    <w:rsid w:val="00421816"/>
    <w:rsid w:val="00423BF7"/>
    <w:rsid w:val="004244C4"/>
    <w:rsid w:val="00424536"/>
    <w:rsid w:val="004258B1"/>
    <w:rsid w:val="00426B04"/>
    <w:rsid w:val="0043602A"/>
    <w:rsid w:val="004373B1"/>
    <w:rsid w:val="0044067E"/>
    <w:rsid w:val="0044100E"/>
    <w:rsid w:val="00443D47"/>
    <w:rsid w:val="00450CEA"/>
    <w:rsid w:val="0045636D"/>
    <w:rsid w:val="00461818"/>
    <w:rsid w:val="00463E2B"/>
    <w:rsid w:val="0046418B"/>
    <w:rsid w:val="00464789"/>
    <w:rsid w:val="0046537A"/>
    <w:rsid w:val="0046567E"/>
    <w:rsid w:val="004656BA"/>
    <w:rsid w:val="004732EC"/>
    <w:rsid w:val="00475234"/>
    <w:rsid w:val="00475CB0"/>
    <w:rsid w:val="00482190"/>
    <w:rsid w:val="004850E2"/>
    <w:rsid w:val="00486D78"/>
    <w:rsid w:val="0049601E"/>
    <w:rsid w:val="00497AFF"/>
    <w:rsid w:val="004A1FB4"/>
    <w:rsid w:val="004A2884"/>
    <w:rsid w:val="004A7A50"/>
    <w:rsid w:val="004B777D"/>
    <w:rsid w:val="004B78F8"/>
    <w:rsid w:val="004C02D2"/>
    <w:rsid w:val="004C2021"/>
    <w:rsid w:val="004C4318"/>
    <w:rsid w:val="004C641B"/>
    <w:rsid w:val="004D0D0E"/>
    <w:rsid w:val="004D237A"/>
    <w:rsid w:val="004E0289"/>
    <w:rsid w:val="004E232F"/>
    <w:rsid w:val="004E2FEC"/>
    <w:rsid w:val="004E4ECA"/>
    <w:rsid w:val="004E5035"/>
    <w:rsid w:val="004E5A0F"/>
    <w:rsid w:val="004F3A79"/>
    <w:rsid w:val="004F3D86"/>
    <w:rsid w:val="004F65D0"/>
    <w:rsid w:val="0050117A"/>
    <w:rsid w:val="00502E93"/>
    <w:rsid w:val="00503242"/>
    <w:rsid w:val="00507A08"/>
    <w:rsid w:val="00507FFE"/>
    <w:rsid w:val="00512E8E"/>
    <w:rsid w:val="00514197"/>
    <w:rsid w:val="0052307E"/>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3908"/>
    <w:rsid w:val="00576532"/>
    <w:rsid w:val="00577AA6"/>
    <w:rsid w:val="005806EF"/>
    <w:rsid w:val="005809A8"/>
    <w:rsid w:val="00582C25"/>
    <w:rsid w:val="0058647E"/>
    <w:rsid w:val="0059207B"/>
    <w:rsid w:val="00597289"/>
    <w:rsid w:val="005A09CE"/>
    <w:rsid w:val="005A1361"/>
    <w:rsid w:val="005A7BEB"/>
    <w:rsid w:val="005B0252"/>
    <w:rsid w:val="005B1ABC"/>
    <w:rsid w:val="005B2B52"/>
    <w:rsid w:val="005B4E6D"/>
    <w:rsid w:val="005B6691"/>
    <w:rsid w:val="005B6F08"/>
    <w:rsid w:val="005C01D6"/>
    <w:rsid w:val="005C5EB6"/>
    <w:rsid w:val="005D0425"/>
    <w:rsid w:val="005D10E4"/>
    <w:rsid w:val="005D3063"/>
    <w:rsid w:val="005D5DDE"/>
    <w:rsid w:val="005D7F02"/>
    <w:rsid w:val="005E4884"/>
    <w:rsid w:val="005E5784"/>
    <w:rsid w:val="005E6930"/>
    <w:rsid w:val="005F0162"/>
    <w:rsid w:val="005F47B2"/>
    <w:rsid w:val="00602598"/>
    <w:rsid w:val="00602F41"/>
    <w:rsid w:val="00605D5C"/>
    <w:rsid w:val="0061067B"/>
    <w:rsid w:val="0061366B"/>
    <w:rsid w:val="006139B3"/>
    <w:rsid w:val="006157FC"/>
    <w:rsid w:val="0062047B"/>
    <w:rsid w:val="00630FE7"/>
    <w:rsid w:val="00633674"/>
    <w:rsid w:val="00635687"/>
    <w:rsid w:val="00640DF0"/>
    <w:rsid w:val="00647000"/>
    <w:rsid w:val="00651D6F"/>
    <w:rsid w:val="00670287"/>
    <w:rsid w:val="00673294"/>
    <w:rsid w:val="00673326"/>
    <w:rsid w:val="00677BEC"/>
    <w:rsid w:val="006804FC"/>
    <w:rsid w:val="00692500"/>
    <w:rsid w:val="006951D6"/>
    <w:rsid w:val="006A5C1B"/>
    <w:rsid w:val="006B0E04"/>
    <w:rsid w:val="006B10E7"/>
    <w:rsid w:val="006B1876"/>
    <w:rsid w:val="006B2BED"/>
    <w:rsid w:val="006B5A3C"/>
    <w:rsid w:val="006B6981"/>
    <w:rsid w:val="006C15F8"/>
    <w:rsid w:val="006C2EAF"/>
    <w:rsid w:val="006C4D97"/>
    <w:rsid w:val="006D0253"/>
    <w:rsid w:val="006D348C"/>
    <w:rsid w:val="006D4A84"/>
    <w:rsid w:val="006D5AEF"/>
    <w:rsid w:val="006F05A0"/>
    <w:rsid w:val="006F2513"/>
    <w:rsid w:val="006F28B6"/>
    <w:rsid w:val="006F293F"/>
    <w:rsid w:val="006F2C29"/>
    <w:rsid w:val="006F2D57"/>
    <w:rsid w:val="006F6446"/>
    <w:rsid w:val="0070130C"/>
    <w:rsid w:val="00710CF6"/>
    <w:rsid w:val="00712835"/>
    <w:rsid w:val="00723203"/>
    <w:rsid w:val="007255EB"/>
    <w:rsid w:val="007265DC"/>
    <w:rsid w:val="0073145F"/>
    <w:rsid w:val="00732244"/>
    <w:rsid w:val="00736C30"/>
    <w:rsid w:val="007466AE"/>
    <w:rsid w:val="00752231"/>
    <w:rsid w:val="00753C87"/>
    <w:rsid w:val="007540DA"/>
    <w:rsid w:val="00754921"/>
    <w:rsid w:val="00756067"/>
    <w:rsid w:val="007704E0"/>
    <w:rsid w:val="00771AD0"/>
    <w:rsid w:val="0078463D"/>
    <w:rsid w:val="00786832"/>
    <w:rsid w:val="007869AD"/>
    <w:rsid w:val="007904D1"/>
    <w:rsid w:val="00791CE2"/>
    <w:rsid w:val="007A197E"/>
    <w:rsid w:val="007A2AD5"/>
    <w:rsid w:val="007A3841"/>
    <w:rsid w:val="007A4CB7"/>
    <w:rsid w:val="007A66BC"/>
    <w:rsid w:val="007B18E9"/>
    <w:rsid w:val="007C1686"/>
    <w:rsid w:val="007C7102"/>
    <w:rsid w:val="007D3F6E"/>
    <w:rsid w:val="007D4E67"/>
    <w:rsid w:val="007F25C8"/>
    <w:rsid w:val="00801370"/>
    <w:rsid w:val="008071CE"/>
    <w:rsid w:val="00814298"/>
    <w:rsid w:val="00820AEF"/>
    <w:rsid w:val="008218C0"/>
    <w:rsid w:val="008220EC"/>
    <w:rsid w:val="008300E2"/>
    <w:rsid w:val="00830508"/>
    <w:rsid w:val="00830DDF"/>
    <w:rsid w:val="00840DB1"/>
    <w:rsid w:val="00841CAA"/>
    <w:rsid w:val="00843D4C"/>
    <w:rsid w:val="0084419C"/>
    <w:rsid w:val="00846181"/>
    <w:rsid w:val="00850645"/>
    <w:rsid w:val="00856385"/>
    <w:rsid w:val="00856939"/>
    <w:rsid w:val="008606A2"/>
    <w:rsid w:val="00861898"/>
    <w:rsid w:val="00863576"/>
    <w:rsid w:val="00865075"/>
    <w:rsid w:val="008677D2"/>
    <w:rsid w:val="00870B5C"/>
    <w:rsid w:val="00872002"/>
    <w:rsid w:val="008822C9"/>
    <w:rsid w:val="00882742"/>
    <w:rsid w:val="008831B4"/>
    <w:rsid w:val="00890DA5"/>
    <w:rsid w:val="00892024"/>
    <w:rsid w:val="008927FE"/>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5825"/>
    <w:rsid w:val="008E5C7B"/>
    <w:rsid w:val="008F7641"/>
    <w:rsid w:val="009018DC"/>
    <w:rsid w:val="0090627F"/>
    <w:rsid w:val="00911AE1"/>
    <w:rsid w:val="00913B68"/>
    <w:rsid w:val="00917F09"/>
    <w:rsid w:val="00925859"/>
    <w:rsid w:val="00926FA8"/>
    <w:rsid w:val="009273DC"/>
    <w:rsid w:val="00927978"/>
    <w:rsid w:val="009355ED"/>
    <w:rsid w:val="0094132E"/>
    <w:rsid w:val="0094294A"/>
    <w:rsid w:val="00944E79"/>
    <w:rsid w:val="009477E9"/>
    <w:rsid w:val="00952C0B"/>
    <w:rsid w:val="00960CDA"/>
    <w:rsid w:val="00963ED0"/>
    <w:rsid w:val="009678A0"/>
    <w:rsid w:val="00972954"/>
    <w:rsid w:val="009753EA"/>
    <w:rsid w:val="0097719B"/>
    <w:rsid w:val="00982C04"/>
    <w:rsid w:val="00985FE4"/>
    <w:rsid w:val="00994211"/>
    <w:rsid w:val="009A1083"/>
    <w:rsid w:val="009A478C"/>
    <w:rsid w:val="009A5B4B"/>
    <w:rsid w:val="009B2043"/>
    <w:rsid w:val="009B3C49"/>
    <w:rsid w:val="009C0237"/>
    <w:rsid w:val="009C0248"/>
    <w:rsid w:val="009D14E0"/>
    <w:rsid w:val="009D1A67"/>
    <w:rsid w:val="009E240D"/>
    <w:rsid w:val="009E3901"/>
    <w:rsid w:val="009E5BDD"/>
    <w:rsid w:val="009E6DF8"/>
    <w:rsid w:val="009E7068"/>
    <w:rsid w:val="009F32AB"/>
    <w:rsid w:val="009F3DFF"/>
    <w:rsid w:val="009F5037"/>
    <w:rsid w:val="009F721C"/>
    <w:rsid w:val="00A02203"/>
    <w:rsid w:val="00A06008"/>
    <w:rsid w:val="00A071D2"/>
    <w:rsid w:val="00A1097F"/>
    <w:rsid w:val="00A130A8"/>
    <w:rsid w:val="00A13911"/>
    <w:rsid w:val="00A16EB4"/>
    <w:rsid w:val="00A21A2E"/>
    <w:rsid w:val="00A2600B"/>
    <w:rsid w:val="00A27485"/>
    <w:rsid w:val="00A27A77"/>
    <w:rsid w:val="00A27E90"/>
    <w:rsid w:val="00A30697"/>
    <w:rsid w:val="00A306AA"/>
    <w:rsid w:val="00A401F0"/>
    <w:rsid w:val="00A43007"/>
    <w:rsid w:val="00A44D01"/>
    <w:rsid w:val="00A460E2"/>
    <w:rsid w:val="00A47341"/>
    <w:rsid w:val="00A50090"/>
    <w:rsid w:val="00A51087"/>
    <w:rsid w:val="00A61311"/>
    <w:rsid w:val="00A64700"/>
    <w:rsid w:val="00A64E7C"/>
    <w:rsid w:val="00A65061"/>
    <w:rsid w:val="00A72987"/>
    <w:rsid w:val="00A72B75"/>
    <w:rsid w:val="00A74472"/>
    <w:rsid w:val="00A77025"/>
    <w:rsid w:val="00A81411"/>
    <w:rsid w:val="00A849CF"/>
    <w:rsid w:val="00A84D85"/>
    <w:rsid w:val="00A8700D"/>
    <w:rsid w:val="00A94539"/>
    <w:rsid w:val="00A94FDF"/>
    <w:rsid w:val="00A96017"/>
    <w:rsid w:val="00A979F1"/>
    <w:rsid w:val="00AA1989"/>
    <w:rsid w:val="00AA5768"/>
    <w:rsid w:val="00AB27E5"/>
    <w:rsid w:val="00AB6FDF"/>
    <w:rsid w:val="00AC6794"/>
    <w:rsid w:val="00AC7C64"/>
    <w:rsid w:val="00AD1E50"/>
    <w:rsid w:val="00AD516E"/>
    <w:rsid w:val="00AD682A"/>
    <w:rsid w:val="00AD7A83"/>
    <w:rsid w:val="00AE2E6F"/>
    <w:rsid w:val="00AE300B"/>
    <w:rsid w:val="00AE36F0"/>
    <w:rsid w:val="00AF545D"/>
    <w:rsid w:val="00B011FB"/>
    <w:rsid w:val="00B03F4F"/>
    <w:rsid w:val="00B063E9"/>
    <w:rsid w:val="00B063FA"/>
    <w:rsid w:val="00B1447C"/>
    <w:rsid w:val="00B16457"/>
    <w:rsid w:val="00B21B4F"/>
    <w:rsid w:val="00B225C0"/>
    <w:rsid w:val="00B27537"/>
    <w:rsid w:val="00B30B2A"/>
    <w:rsid w:val="00B355FE"/>
    <w:rsid w:val="00B35C83"/>
    <w:rsid w:val="00B41147"/>
    <w:rsid w:val="00B50382"/>
    <w:rsid w:val="00B50BD8"/>
    <w:rsid w:val="00B53C89"/>
    <w:rsid w:val="00B5642A"/>
    <w:rsid w:val="00B60F85"/>
    <w:rsid w:val="00B62BEF"/>
    <w:rsid w:val="00B64570"/>
    <w:rsid w:val="00B645FD"/>
    <w:rsid w:val="00B64EB0"/>
    <w:rsid w:val="00B6633C"/>
    <w:rsid w:val="00B71542"/>
    <w:rsid w:val="00B721B8"/>
    <w:rsid w:val="00B72AA5"/>
    <w:rsid w:val="00B72D87"/>
    <w:rsid w:val="00B73243"/>
    <w:rsid w:val="00B774DC"/>
    <w:rsid w:val="00B77557"/>
    <w:rsid w:val="00B8297C"/>
    <w:rsid w:val="00B84A75"/>
    <w:rsid w:val="00B96F94"/>
    <w:rsid w:val="00B97330"/>
    <w:rsid w:val="00BA4F95"/>
    <w:rsid w:val="00BA758E"/>
    <w:rsid w:val="00BB0F8A"/>
    <w:rsid w:val="00BB2146"/>
    <w:rsid w:val="00BB3F72"/>
    <w:rsid w:val="00BB413B"/>
    <w:rsid w:val="00BB745D"/>
    <w:rsid w:val="00BC000C"/>
    <w:rsid w:val="00BC0128"/>
    <w:rsid w:val="00BC36B4"/>
    <w:rsid w:val="00BC6B32"/>
    <w:rsid w:val="00BD3BB7"/>
    <w:rsid w:val="00BD5AC0"/>
    <w:rsid w:val="00BE12D4"/>
    <w:rsid w:val="00BF3168"/>
    <w:rsid w:val="00BF4622"/>
    <w:rsid w:val="00C00C5A"/>
    <w:rsid w:val="00C025EF"/>
    <w:rsid w:val="00C02C30"/>
    <w:rsid w:val="00C06752"/>
    <w:rsid w:val="00C074C1"/>
    <w:rsid w:val="00C1450F"/>
    <w:rsid w:val="00C15998"/>
    <w:rsid w:val="00C20B64"/>
    <w:rsid w:val="00C20C44"/>
    <w:rsid w:val="00C21B1B"/>
    <w:rsid w:val="00C2212C"/>
    <w:rsid w:val="00C35DF2"/>
    <w:rsid w:val="00C36048"/>
    <w:rsid w:val="00C40635"/>
    <w:rsid w:val="00C453B0"/>
    <w:rsid w:val="00C4799D"/>
    <w:rsid w:val="00C47E0E"/>
    <w:rsid w:val="00C5162A"/>
    <w:rsid w:val="00C55B7E"/>
    <w:rsid w:val="00C5701A"/>
    <w:rsid w:val="00C6336A"/>
    <w:rsid w:val="00C655D3"/>
    <w:rsid w:val="00C74D5C"/>
    <w:rsid w:val="00C76BB1"/>
    <w:rsid w:val="00C80592"/>
    <w:rsid w:val="00C82759"/>
    <w:rsid w:val="00C858B7"/>
    <w:rsid w:val="00C8780A"/>
    <w:rsid w:val="00C878A6"/>
    <w:rsid w:val="00C9409C"/>
    <w:rsid w:val="00C95656"/>
    <w:rsid w:val="00C9748A"/>
    <w:rsid w:val="00CA1456"/>
    <w:rsid w:val="00CA2EB9"/>
    <w:rsid w:val="00CA4000"/>
    <w:rsid w:val="00CA5685"/>
    <w:rsid w:val="00CB3A35"/>
    <w:rsid w:val="00CB5F06"/>
    <w:rsid w:val="00CB7679"/>
    <w:rsid w:val="00CC328B"/>
    <w:rsid w:val="00CC51B7"/>
    <w:rsid w:val="00CC6044"/>
    <w:rsid w:val="00CC6462"/>
    <w:rsid w:val="00CD42D0"/>
    <w:rsid w:val="00CD79A3"/>
    <w:rsid w:val="00CD7A19"/>
    <w:rsid w:val="00CE07AE"/>
    <w:rsid w:val="00CE6DD9"/>
    <w:rsid w:val="00CF1473"/>
    <w:rsid w:val="00D00BA1"/>
    <w:rsid w:val="00D03D19"/>
    <w:rsid w:val="00D07BBF"/>
    <w:rsid w:val="00D07D9F"/>
    <w:rsid w:val="00D1006B"/>
    <w:rsid w:val="00D101AD"/>
    <w:rsid w:val="00D11D24"/>
    <w:rsid w:val="00D12551"/>
    <w:rsid w:val="00D12FF4"/>
    <w:rsid w:val="00D1684A"/>
    <w:rsid w:val="00D336A3"/>
    <w:rsid w:val="00D4102E"/>
    <w:rsid w:val="00D4266A"/>
    <w:rsid w:val="00D42AEA"/>
    <w:rsid w:val="00D4775D"/>
    <w:rsid w:val="00D47B3B"/>
    <w:rsid w:val="00D51602"/>
    <w:rsid w:val="00D53F5F"/>
    <w:rsid w:val="00D547FB"/>
    <w:rsid w:val="00D54CA7"/>
    <w:rsid w:val="00D61B20"/>
    <w:rsid w:val="00D64C85"/>
    <w:rsid w:val="00D676A2"/>
    <w:rsid w:val="00D712F0"/>
    <w:rsid w:val="00D724DA"/>
    <w:rsid w:val="00D72C80"/>
    <w:rsid w:val="00D73BF8"/>
    <w:rsid w:val="00D821CF"/>
    <w:rsid w:val="00D870D2"/>
    <w:rsid w:val="00D9313C"/>
    <w:rsid w:val="00D97151"/>
    <w:rsid w:val="00DA0CB1"/>
    <w:rsid w:val="00DA21A5"/>
    <w:rsid w:val="00DB2858"/>
    <w:rsid w:val="00DC485D"/>
    <w:rsid w:val="00DC728B"/>
    <w:rsid w:val="00DD231E"/>
    <w:rsid w:val="00DE09A3"/>
    <w:rsid w:val="00DE2915"/>
    <w:rsid w:val="00DE7A2F"/>
    <w:rsid w:val="00DF0C5C"/>
    <w:rsid w:val="00DF4F8F"/>
    <w:rsid w:val="00DF6151"/>
    <w:rsid w:val="00DF7E27"/>
    <w:rsid w:val="00E00E06"/>
    <w:rsid w:val="00E01A4F"/>
    <w:rsid w:val="00E01BE2"/>
    <w:rsid w:val="00E035BA"/>
    <w:rsid w:val="00E03946"/>
    <w:rsid w:val="00E04EA6"/>
    <w:rsid w:val="00E1309B"/>
    <w:rsid w:val="00E17EB8"/>
    <w:rsid w:val="00E200FA"/>
    <w:rsid w:val="00E20C98"/>
    <w:rsid w:val="00E237B2"/>
    <w:rsid w:val="00E24F03"/>
    <w:rsid w:val="00E26758"/>
    <w:rsid w:val="00E30CE6"/>
    <w:rsid w:val="00E41BF7"/>
    <w:rsid w:val="00E47088"/>
    <w:rsid w:val="00E6074A"/>
    <w:rsid w:val="00E673D8"/>
    <w:rsid w:val="00E73CE9"/>
    <w:rsid w:val="00E74AE3"/>
    <w:rsid w:val="00E816D0"/>
    <w:rsid w:val="00E84804"/>
    <w:rsid w:val="00E916F4"/>
    <w:rsid w:val="00E923B4"/>
    <w:rsid w:val="00E94059"/>
    <w:rsid w:val="00E943EF"/>
    <w:rsid w:val="00EA13E0"/>
    <w:rsid w:val="00EA50D3"/>
    <w:rsid w:val="00EB770D"/>
    <w:rsid w:val="00EC11E8"/>
    <w:rsid w:val="00EC34C1"/>
    <w:rsid w:val="00ED350C"/>
    <w:rsid w:val="00ED738F"/>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53D8B"/>
    <w:rsid w:val="00F578E0"/>
    <w:rsid w:val="00F60E1F"/>
    <w:rsid w:val="00F618D7"/>
    <w:rsid w:val="00F65FEA"/>
    <w:rsid w:val="00F66501"/>
    <w:rsid w:val="00F723DC"/>
    <w:rsid w:val="00F75389"/>
    <w:rsid w:val="00F755A4"/>
    <w:rsid w:val="00F818B3"/>
    <w:rsid w:val="00F81D1B"/>
    <w:rsid w:val="00F82028"/>
    <w:rsid w:val="00F868DA"/>
    <w:rsid w:val="00F873A7"/>
    <w:rsid w:val="00F95DAE"/>
    <w:rsid w:val="00FA1500"/>
    <w:rsid w:val="00FA3A4C"/>
    <w:rsid w:val="00FA7086"/>
    <w:rsid w:val="00FA7F9F"/>
    <w:rsid w:val="00FB1E82"/>
    <w:rsid w:val="00FB4118"/>
    <w:rsid w:val="00FB578D"/>
    <w:rsid w:val="00FB585E"/>
    <w:rsid w:val="00FB621D"/>
    <w:rsid w:val="00FC3B45"/>
    <w:rsid w:val="00FC471E"/>
    <w:rsid w:val="00FC743C"/>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SimSun"/>
      <w:lang w:eastAsia="zh-CN"/>
    </w:rPr>
  </w:style>
  <w:style w:type="character" w:customStyle="1" w:styleId="00TextChar">
    <w:name w:val="00_Text Char"/>
    <w:basedOn w:val="DefaultParagraphFont"/>
    <w:link w:val="00Text"/>
    <w:rsid w:val="000A0A59"/>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2022-11-04T03:09:00Z</dcterms:modified>
</cp:coreProperties>
</file>