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B2B86" w14:textId="1812D438" w:rsidR="00B01B10" w:rsidRPr="0052548E" w:rsidRDefault="00B01B10" w:rsidP="00B01B1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#111                                                                </w:t>
      </w:r>
      <w:r w:rsidRPr="007D69A2">
        <w:rPr>
          <w:rFonts w:ascii="Arial" w:hAnsi="Arial" w:cs="Arial"/>
          <w:b/>
          <w:bCs/>
          <w:sz w:val="28"/>
        </w:rPr>
        <w:t>R1-2211</w:t>
      </w:r>
      <w:r w:rsidR="00293A60">
        <w:rPr>
          <w:rFonts w:ascii="Arial" w:hAnsi="Arial" w:cs="Arial"/>
          <w:b/>
          <w:bCs/>
          <w:sz w:val="28"/>
        </w:rPr>
        <w:t>418</w:t>
      </w:r>
      <w:r w:rsidRPr="007D69A2" w:rsidDel="007D69A2">
        <w:rPr>
          <w:rFonts w:ascii="Arial" w:hAnsi="Arial" w:cs="Arial"/>
          <w:b/>
          <w:bCs/>
          <w:sz w:val="28"/>
        </w:rPr>
        <w:t xml:space="preserve"> </w:t>
      </w:r>
    </w:p>
    <w:p w14:paraId="6D520B03" w14:textId="04E19551" w:rsidR="0024235B" w:rsidRPr="00A44DC8" w:rsidRDefault="00B01B10" w:rsidP="00B01B10">
      <w:pPr>
        <w:tabs>
          <w:tab w:val="left" w:pos="1701"/>
          <w:tab w:val="right" w:pos="9072"/>
          <w:tab w:val="right" w:pos="10206"/>
        </w:tabs>
        <w:rPr>
          <w:rFonts w:ascii="Arial" w:hAnsi="Arial"/>
          <w:b/>
          <w:sz w:val="18"/>
        </w:rPr>
      </w:pPr>
      <w:r>
        <w:rPr>
          <w:rFonts w:ascii="Arial" w:eastAsia="MS Mincho" w:hAnsi="Arial" w:cs="Arial"/>
          <w:b/>
          <w:bCs/>
          <w:sz w:val="28"/>
          <w:lang w:eastAsia="ja-JP"/>
        </w:rPr>
        <w:t>Toulouse, France, November 14</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06C711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2B01">
        <w:rPr>
          <w:rFonts w:ascii="Arial" w:eastAsia="Malgun Gothic" w:hAnsi="Arial" w:cs="Arial"/>
          <w:b/>
          <w:sz w:val="24"/>
          <w:lang w:val="en-US" w:eastAsia="ko-KR"/>
        </w:rPr>
        <w:t xml:space="preserve">L1 Enhancements for Inter-cell Beam Management </w:t>
      </w:r>
    </w:p>
    <w:p w14:paraId="442797E2" w14:textId="7D2A9F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47E1C">
        <w:rPr>
          <w:rFonts w:ascii="Arial" w:hAnsi="Arial" w:cs="Arial"/>
          <w:b/>
          <w:sz w:val="24"/>
          <w:lang w:val="en-US"/>
        </w:rPr>
        <w:t>2</w:t>
      </w:r>
      <w:r w:rsidR="00425DFD">
        <w:rPr>
          <w:rFonts w:ascii="Arial" w:hAnsi="Arial" w:cs="Arial"/>
          <w:b/>
          <w:sz w:val="24"/>
          <w:lang w:val="en-US"/>
        </w:rPr>
        <w:t>.</w:t>
      </w:r>
      <w:r w:rsidR="00492B01">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90853B1"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737426">
        <w:rPr>
          <w:rFonts w:eastAsiaTheme="minorHAnsi"/>
          <w:lang w:eastAsia="zh-CN"/>
        </w:rPr>
        <w:t xml:space="preserve">unified TCI framework based inter-cell beam management enhancements </w:t>
      </w:r>
      <w:r w:rsidR="00425DFD">
        <w:rPr>
          <w:rFonts w:eastAsiaTheme="minorHAnsi"/>
          <w:lang w:eastAsia="zh-CN"/>
        </w:rPr>
        <w:t xml:space="preserve">for Rel-18 </w:t>
      </w:r>
      <w:r w:rsidR="00CB29D7">
        <w:rPr>
          <w:rFonts w:eastAsiaTheme="minorHAnsi"/>
          <w:lang w:eastAsia="zh-CN"/>
        </w:rPr>
        <w:t>mobility enhancement</w:t>
      </w:r>
      <w:r w:rsidR="00425DFD">
        <w:rPr>
          <w:rFonts w:eastAsiaTheme="minorHAnsi"/>
          <w:lang w:eastAsia="zh-CN"/>
        </w:rPr>
        <w:t xml:space="preserve">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547D63B2" w14:textId="77777777" w:rsidR="00B5785A" w:rsidRDefault="00B5785A" w:rsidP="00B5785A">
            <w:pPr>
              <w:numPr>
                <w:ilvl w:val="0"/>
                <w:numId w:val="21"/>
              </w:numPr>
              <w:overflowPunct/>
              <w:autoSpaceDE/>
              <w:autoSpaceDN/>
              <w:adjustRightInd/>
              <w:spacing w:before="0" w:after="0" w:line="240" w:lineRule="auto"/>
              <w:textAlignment w:val="auto"/>
              <w:rPr>
                <w:bCs/>
                <w:lang w:val="en-US"/>
              </w:rPr>
            </w:pPr>
            <w:r>
              <w:rPr>
                <w:bCs/>
              </w:rPr>
              <w:t>To specify mechanism and procedures of L1/L2 based inter-cell mobility for mobility latency reduction:</w:t>
            </w:r>
          </w:p>
          <w:p w14:paraId="1CFAA340"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Dynamic switch mechanism among candidate serving cells (including SpCell and SCell) for the potential applicable scenarios based on L1/L2 signalling [RAN2, RAN1]</w:t>
            </w:r>
          </w:p>
          <w:p w14:paraId="56559FC5"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L1 enhancements for inter-cell beam management, including L1 measurement and reporting, and beam indication [RAN1, RAN2]</w:t>
            </w:r>
          </w:p>
          <w:p w14:paraId="2DDF3A62" w14:textId="77777777" w:rsidR="00B5785A" w:rsidRDefault="00B5785A" w:rsidP="00B5785A">
            <w:pPr>
              <w:numPr>
                <w:ilvl w:val="1"/>
                <w:numId w:val="22"/>
              </w:numPr>
              <w:overflowPunct/>
              <w:autoSpaceDE/>
              <w:autoSpaceDN/>
              <w:adjustRightInd/>
              <w:spacing w:before="0" w:after="0" w:line="240" w:lineRule="auto"/>
              <w:textAlignment w:val="auto"/>
              <w:rPr>
                <w:bCs/>
                <w:i/>
              </w:rPr>
            </w:pPr>
            <w:r>
              <w:rPr>
                <w:bCs/>
                <w:i/>
              </w:rPr>
              <w:t>Note 1: Early RAN2 involvement is necessary, including the possibility of further clarifying the interaction between this bullet with the previous bullet</w:t>
            </w:r>
          </w:p>
          <w:p w14:paraId="69866884" w14:textId="77777777" w:rsidR="00B5785A" w:rsidRDefault="00B5785A" w:rsidP="00B5785A">
            <w:pPr>
              <w:spacing w:before="0" w:after="0" w:line="240" w:lineRule="auto"/>
              <w:rPr>
                <w:bCs/>
              </w:rPr>
            </w:pPr>
          </w:p>
          <w:p w14:paraId="646473AE" w14:textId="77777777" w:rsidR="00B5785A" w:rsidRDefault="00B5785A" w:rsidP="00B5785A">
            <w:pPr>
              <w:spacing w:before="0" w:after="0" w:line="240" w:lineRule="auto"/>
              <w:ind w:left="720"/>
              <w:rPr>
                <w:bCs/>
                <w:i/>
              </w:rPr>
            </w:pPr>
            <w:r>
              <w:rPr>
                <w:bCs/>
                <w:i/>
              </w:rPr>
              <w:t>Note 2: FR2 specific enhancements are not precluded, if any.</w:t>
            </w:r>
          </w:p>
          <w:p w14:paraId="7CB6D158" w14:textId="77777777" w:rsidR="00B5785A" w:rsidRDefault="00B5785A" w:rsidP="00B5785A">
            <w:pPr>
              <w:spacing w:before="0" w:after="0" w:line="240" w:lineRule="auto"/>
              <w:ind w:left="720"/>
              <w:rPr>
                <w:bCs/>
                <w:i/>
              </w:rPr>
            </w:pPr>
            <w:r>
              <w:rPr>
                <w:bCs/>
                <w:i/>
              </w:rPr>
              <w:t>Note 3: The procedure of L1/L2 based inter-cell mobility are applicable to the following scenarios:</w:t>
            </w:r>
          </w:p>
          <w:p w14:paraId="0C8A15D5"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Standalone, CA and NR-DC case with serving cell change within one CG</w:t>
            </w:r>
          </w:p>
          <w:p w14:paraId="28743F68"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Intra-DU case and intra-CU inter-DU case (applicable for Standalone and CA: no new RAN interfaces are expected)</w:t>
            </w:r>
          </w:p>
          <w:p w14:paraId="0EB14702"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Both intra-frequency and inter-frequency</w:t>
            </w:r>
          </w:p>
          <w:p w14:paraId="41FDE37B"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Both FR1 and FR2</w:t>
            </w:r>
          </w:p>
          <w:p w14:paraId="440CB1A9" w14:textId="77777777" w:rsidR="00B5785A" w:rsidRDefault="00B5785A" w:rsidP="00B5785A">
            <w:pPr>
              <w:numPr>
                <w:ilvl w:val="2"/>
                <w:numId w:val="23"/>
              </w:numPr>
              <w:overflowPunct/>
              <w:autoSpaceDE/>
              <w:autoSpaceDN/>
              <w:adjustRightInd/>
              <w:spacing w:before="0" w:after="0" w:line="240" w:lineRule="auto"/>
              <w:ind w:left="1443"/>
              <w:textAlignment w:val="auto"/>
              <w:rPr>
                <w:bCs/>
                <w:i/>
              </w:rPr>
            </w:pPr>
            <w:r>
              <w:rPr>
                <w:bCs/>
                <w:i/>
              </w:rPr>
              <w:t>Source and target cells may be synchronized or non-synchronized</w:t>
            </w:r>
          </w:p>
          <w:p w14:paraId="12AEE1A9" w14:textId="6B8D98BD" w:rsidR="00173CF4" w:rsidRPr="00887798" w:rsidRDefault="00173CF4" w:rsidP="008F52B9">
            <w:pPr>
              <w:spacing w:before="0" w:after="0"/>
              <w:rPr>
                <w:bCs/>
                <w:i/>
                <w:lang w:val="en-US"/>
              </w:rPr>
            </w:pPr>
          </w:p>
        </w:tc>
      </w:tr>
    </w:tbl>
    <w:p w14:paraId="2D642F8C" w14:textId="0ED2ABC9" w:rsidR="001E555E" w:rsidRDefault="001E555E" w:rsidP="001E555E">
      <w:pPr>
        <w:spacing w:after="0"/>
        <w:rPr>
          <w:rFonts w:eastAsia="Times New Roman"/>
          <w:szCs w:val="24"/>
        </w:rPr>
      </w:pPr>
      <w:bookmarkStart w:id="0" w:name="_Hlk47732020"/>
    </w:p>
    <w:p w14:paraId="14F1AD47" w14:textId="09B6A0FB" w:rsidR="006830FF" w:rsidRDefault="006B742F" w:rsidP="006830FF">
      <w:pPr>
        <w:pStyle w:val="Heading1"/>
        <w:spacing w:before="120" w:after="60"/>
        <w:jc w:val="both"/>
        <w:rPr>
          <w:rFonts w:cs="Arial"/>
          <w:sz w:val="32"/>
          <w:szCs w:val="18"/>
          <w:lang w:val="en-US"/>
        </w:rPr>
      </w:pPr>
      <w:r>
        <w:rPr>
          <w:rFonts w:cs="Arial"/>
          <w:sz w:val="32"/>
          <w:szCs w:val="18"/>
          <w:lang w:val="en-US"/>
        </w:rPr>
        <w:t xml:space="preserve">L1/L2 based </w:t>
      </w:r>
      <w:r w:rsidR="00C423E9">
        <w:rPr>
          <w:rFonts w:cs="Arial"/>
          <w:sz w:val="32"/>
          <w:szCs w:val="18"/>
          <w:lang w:val="en-US"/>
        </w:rPr>
        <w:t>mobility framework</w:t>
      </w:r>
    </w:p>
    <w:p w14:paraId="4314EDC0" w14:textId="49635736" w:rsidR="006830FF" w:rsidRDefault="006830FF" w:rsidP="001E555E">
      <w:pPr>
        <w:spacing w:after="0"/>
        <w:rPr>
          <w:rFonts w:eastAsia="Times New Roman"/>
          <w:szCs w:val="24"/>
        </w:rPr>
      </w:pPr>
    </w:p>
    <w:p w14:paraId="4E92A816" w14:textId="3F7F7AC7" w:rsidR="00522D80" w:rsidRDefault="0097783D" w:rsidP="00D37279">
      <w:pPr>
        <w:spacing w:after="0"/>
        <w:jc w:val="both"/>
        <w:rPr>
          <w:rFonts w:eastAsia="Times New Roman"/>
          <w:szCs w:val="24"/>
        </w:rPr>
      </w:pPr>
      <w:r>
        <w:rPr>
          <w:rFonts w:eastAsia="Times New Roman"/>
          <w:szCs w:val="24"/>
        </w:rPr>
        <w:t xml:space="preserve">The goal of L1/L2 based mobility is to </w:t>
      </w:r>
      <w:r w:rsidR="000F7C3E">
        <w:rPr>
          <w:rFonts w:eastAsia="Times New Roman"/>
          <w:szCs w:val="24"/>
        </w:rPr>
        <w:t xml:space="preserve">allow a serving cell change based on </w:t>
      </w:r>
      <w:r w:rsidR="003F226C">
        <w:rPr>
          <w:rFonts w:eastAsia="Times New Roman"/>
          <w:szCs w:val="24"/>
        </w:rPr>
        <w:t xml:space="preserve">L1/L2 signalling without </w:t>
      </w:r>
      <w:r w:rsidR="001D7A17">
        <w:rPr>
          <w:rFonts w:eastAsia="Times New Roman"/>
          <w:szCs w:val="24"/>
        </w:rPr>
        <w:t xml:space="preserve">a trigger from </w:t>
      </w:r>
      <w:r w:rsidR="00A01292">
        <w:rPr>
          <w:rFonts w:eastAsia="Times New Roman"/>
          <w:szCs w:val="24"/>
        </w:rPr>
        <w:t>RRC</w:t>
      </w:r>
      <w:r w:rsidR="001C16F9">
        <w:rPr>
          <w:rFonts w:eastAsia="Times New Roman"/>
          <w:szCs w:val="24"/>
        </w:rPr>
        <w:t>-Reconfiguration</w:t>
      </w:r>
      <w:r w:rsidR="004C3F39">
        <w:rPr>
          <w:rFonts w:eastAsia="Times New Roman"/>
          <w:szCs w:val="24"/>
        </w:rPr>
        <w:t xml:space="preserve"> </w:t>
      </w:r>
      <w:r w:rsidR="00703BF6">
        <w:rPr>
          <w:rFonts w:eastAsia="Times New Roman"/>
          <w:szCs w:val="24"/>
        </w:rPr>
        <w:t xml:space="preserve">(reconfiguration with sync) </w:t>
      </w:r>
      <w:r w:rsidR="001D7A17">
        <w:rPr>
          <w:rFonts w:eastAsia="Times New Roman"/>
          <w:szCs w:val="24"/>
        </w:rPr>
        <w:t xml:space="preserve">message </w:t>
      </w:r>
      <w:r w:rsidR="00B71716">
        <w:rPr>
          <w:rFonts w:eastAsia="Times New Roman"/>
          <w:szCs w:val="24"/>
        </w:rPr>
        <w:t xml:space="preserve">used to perform </w:t>
      </w:r>
      <w:r w:rsidR="004137CD">
        <w:rPr>
          <w:rFonts w:eastAsia="Times New Roman"/>
          <w:szCs w:val="24"/>
        </w:rPr>
        <w:t>handover. The</w:t>
      </w:r>
      <w:r w:rsidR="00636FB2">
        <w:rPr>
          <w:rFonts w:eastAsia="Times New Roman"/>
          <w:szCs w:val="24"/>
        </w:rPr>
        <w:t xml:space="preserve"> motivation is to reduce the latency, overhead and interruption time. </w:t>
      </w:r>
      <w:r w:rsidR="00D16AD7">
        <w:rPr>
          <w:rFonts w:eastAsia="Times New Roman"/>
          <w:szCs w:val="24"/>
        </w:rPr>
        <w:t xml:space="preserve">A high-level signal flow </w:t>
      </w:r>
      <w:r w:rsidR="00FD3DD5">
        <w:rPr>
          <w:rFonts w:eastAsia="Times New Roman"/>
          <w:szCs w:val="24"/>
        </w:rPr>
        <w:t xml:space="preserve">over the air-interface </w:t>
      </w:r>
      <w:r w:rsidR="00D16AD7">
        <w:rPr>
          <w:rFonts w:eastAsia="Times New Roman"/>
          <w:szCs w:val="24"/>
        </w:rPr>
        <w:t>for L1/L2 based mobility is shown below:</w:t>
      </w:r>
    </w:p>
    <w:p w14:paraId="5ACDDFCF" w14:textId="77777777" w:rsidR="00A943A9" w:rsidRDefault="00A943A9" w:rsidP="008E37B5">
      <w:pPr>
        <w:rPr>
          <w:b/>
          <w:bCs/>
          <w:i/>
          <w:iCs/>
        </w:rPr>
      </w:pPr>
    </w:p>
    <w:p w14:paraId="2E66B720" w14:textId="46FEB647" w:rsidR="00D16AD7" w:rsidRDefault="000912F7" w:rsidP="00D16AD7">
      <w:pPr>
        <w:keepNext/>
        <w:jc w:val="center"/>
      </w:pPr>
      <w:r w:rsidRPr="000912F7">
        <w:rPr>
          <w:noProof/>
        </w:rPr>
        <w:lastRenderedPageBreak/>
        <w:drawing>
          <wp:inline distT="0" distB="0" distL="0" distR="0" wp14:anchorId="34A396B0" wp14:editId="2D4D1C9B">
            <wp:extent cx="3648456" cy="21671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48456" cy="2167128"/>
                    </a:xfrm>
                    <a:prstGeom prst="rect">
                      <a:avLst/>
                    </a:prstGeom>
                  </pic:spPr>
                </pic:pic>
              </a:graphicData>
            </a:graphic>
          </wp:inline>
        </w:drawing>
      </w:r>
    </w:p>
    <w:p w14:paraId="26F23039" w14:textId="591D98E0" w:rsidR="00A943A9" w:rsidRPr="00A943A9" w:rsidRDefault="00D16AD7" w:rsidP="00D16AD7">
      <w:pPr>
        <w:pStyle w:val="Caption"/>
        <w:jc w:val="center"/>
        <w:rPr>
          <w:b w:val="0"/>
          <w:bCs w:val="0"/>
        </w:rPr>
      </w:pPr>
      <w:r>
        <w:t xml:space="preserve">Figure </w:t>
      </w:r>
      <w:r>
        <w:fldChar w:fldCharType="begin"/>
      </w:r>
      <w:r>
        <w:instrText xml:space="preserve"> SEQ Figure \* ARABIC </w:instrText>
      </w:r>
      <w:r>
        <w:fldChar w:fldCharType="separate"/>
      </w:r>
      <w:r w:rsidR="00904CC0">
        <w:rPr>
          <w:noProof/>
        </w:rPr>
        <w:t>1</w:t>
      </w:r>
      <w:r>
        <w:fldChar w:fldCharType="end"/>
      </w:r>
      <w:r>
        <w:t>: High level signal flow for L1/L2 based mobility</w:t>
      </w:r>
    </w:p>
    <w:p w14:paraId="4AFE8E17" w14:textId="77777777" w:rsidR="00A943A9" w:rsidRDefault="00A943A9" w:rsidP="008E37B5">
      <w:pPr>
        <w:rPr>
          <w:b/>
          <w:bCs/>
          <w:i/>
          <w:iCs/>
        </w:rPr>
      </w:pPr>
    </w:p>
    <w:p w14:paraId="1EADA1D2" w14:textId="11948B7A" w:rsidR="00A943A9" w:rsidRDefault="007811D0" w:rsidP="008E37B5">
      <w:r w:rsidRPr="007811D0">
        <w:t>As shown</w:t>
      </w:r>
      <w:r>
        <w:t xml:space="preserve"> above, </w:t>
      </w:r>
      <w:r w:rsidR="003A291A">
        <w:t>a</w:t>
      </w:r>
      <w:r>
        <w:t xml:space="preserve"> f</w:t>
      </w:r>
      <w:r w:rsidR="003F4E2C">
        <w:t xml:space="preserve">ramework for L1/L2 based mobility </w:t>
      </w:r>
      <w:r w:rsidR="003A291A">
        <w:t xml:space="preserve">may </w:t>
      </w:r>
      <w:r w:rsidR="003F4E2C">
        <w:t xml:space="preserve">comprise of the following </w:t>
      </w:r>
      <w:r w:rsidR="00D75826">
        <w:t>signal-flows</w:t>
      </w:r>
      <w:r w:rsidR="003F4E2C">
        <w:t>:</w:t>
      </w:r>
    </w:p>
    <w:p w14:paraId="4C8D9393" w14:textId="07F3933F" w:rsidR="003F4E2C" w:rsidRPr="00F50E1A" w:rsidRDefault="003F4E2C" w:rsidP="003F4E2C">
      <w:pPr>
        <w:pStyle w:val="ListParagraph"/>
        <w:numPr>
          <w:ilvl w:val="0"/>
          <w:numId w:val="20"/>
        </w:numPr>
      </w:pPr>
      <w:r w:rsidRPr="00F50E1A">
        <w:t>RRC configuration for multiple candidate target cells</w:t>
      </w:r>
      <w:r>
        <w:rPr>
          <w:i w:val="0"/>
          <w:iCs w:val="0"/>
        </w:rPr>
        <w:t xml:space="preserve">: </w:t>
      </w:r>
      <w:r w:rsidR="006729E6">
        <w:rPr>
          <w:i w:val="0"/>
          <w:iCs w:val="0"/>
        </w:rPr>
        <w:t xml:space="preserve">In order to </w:t>
      </w:r>
      <w:r w:rsidR="00471FBC">
        <w:rPr>
          <w:i w:val="0"/>
          <w:iCs w:val="0"/>
        </w:rPr>
        <w:t>enable</w:t>
      </w:r>
      <w:r w:rsidR="006729E6">
        <w:rPr>
          <w:i w:val="0"/>
          <w:iCs w:val="0"/>
        </w:rPr>
        <w:t xml:space="preserve"> a low-overhead L1/L2 based mobility, a significant portion of the </w:t>
      </w:r>
      <w:r w:rsidR="00471FBC">
        <w:rPr>
          <w:i w:val="0"/>
          <w:iCs w:val="0"/>
        </w:rPr>
        <w:t xml:space="preserve">target cell </w:t>
      </w:r>
      <w:r w:rsidR="00F50E1A">
        <w:rPr>
          <w:i w:val="0"/>
          <w:iCs w:val="0"/>
        </w:rPr>
        <w:t>information</w:t>
      </w:r>
      <w:r w:rsidR="00471FBC">
        <w:rPr>
          <w:i w:val="0"/>
          <w:iCs w:val="0"/>
        </w:rPr>
        <w:t xml:space="preserve"> </w:t>
      </w:r>
      <w:r w:rsidR="00603CBC">
        <w:rPr>
          <w:i w:val="0"/>
          <w:iCs w:val="0"/>
        </w:rPr>
        <w:t>(</w:t>
      </w:r>
      <w:r w:rsidR="00672B0E">
        <w:rPr>
          <w:i w:val="0"/>
          <w:iCs w:val="0"/>
        </w:rPr>
        <w:t xml:space="preserve">SpCellConfig) </w:t>
      </w:r>
      <w:r w:rsidR="00A07CBE">
        <w:rPr>
          <w:i w:val="0"/>
          <w:iCs w:val="0"/>
        </w:rPr>
        <w:t>can be</w:t>
      </w:r>
      <w:r w:rsidR="00471FBC">
        <w:rPr>
          <w:i w:val="0"/>
          <w:iCs w:val="0"/>
        </w:rPr>
        <w:t xml:space="preserve"> pre-configured </w:t>
      </w:r>
      <w:r w:rsidR="004B3C0D">
        <w:rPr>
          <w:i w:val="0"/>
          <w:iCs w:val="0"/>
        </w:rPr>
        <w:t xml:space="preserve">to a UE </w:t>
      </w:r>
      <w:r w:rsidR="00471FBC">
        <w:rPr>
          <w:i w:val="0"/>
          <w:iCs w:val="0"/>
        </w:rPr>
        <w:t xml:space="preserve">via RRC. This </w:t>
      </w:r>
      <w:r w:rsidR="004B3C0D">
        <w:rPr>
          <w:i w:val="0"/>
          <w:iCs w:val="0"/>
        </w:rPr>
        <w:t xml:space="preserve">can be done for </w:t>
      </w:r>
      <w:r w:rsidR="00591A62">
        <w:rPr>
          <w:i w:val="0"/>
          <w:iCs w:val="0"/>
        </w:rPr>
        <w:t>one or more</w:t>
      </w:r>
      <w:r w:rsidR="004B3C0D">
        <w:rPr>
          <w:i w:val="0"/>
          <w:iCs w:val="0"/>
        </w:rPr>
        <w:t xml:space="preserve"> target cells. This </w:t>
      </w:r>
      <w:r w:rsidR="00453634">
        <w:rPr>
          <w:i w:val="0"/>
          <w:iCs w:val="0"/>
        </w:rPr>
        <w:t>includes RACH configuration</w:t>
      </w:r>
      <w:r w:rsidR="00D272E3">
        <w:rPr>
          <w:i w:val="0"/>
          <w:iCs w:val="0"/>
        </w:rPr>
        <w:t xml:space="preserve"> </w:t>
      </w:r>
      <w:r w:rsidR="000D71A9">
        <w:rPr>
          <w:i w:val="0"/>
          <w:iCs w:val="0"/>
        </w:rPr>
        <w:t xml:space="preserve">and </w:t>
      </w:r>
      <w:r w:rsidR="00AD0B20">
        <w:rPr>
          <w:i w:val="0"/>
          <w:iCs w:val="0"/>
        </w:rPr>
        <w:t xml:space="preserve">a </w:t>
      </w:r>
      <w:r w:rsidR="005840F0">
        <w:rPr>
          <w:i w:val="0"/>
          <w:iCs w:val="0"/>
        </w:rPr>
        <w:t xml:space="preserve">type of RACH </w:t>
      </w:r>
      <w:r w:rsidR="00AD0B20">
        <w:rPr>
          <w:i w:val="0"/>
          <w:iCs w:val="0"/>
        </w:rPr>
        <w:t>procedure (</w:t>
      </w:r>
      <w:r w:rsidR="005840F0">
        <w:rPr>
          <w:i w:val="0"/>
          <w:iCs w:val="0"/>
        </w:rPr>
        <w:t>including full-RACH, 2-step RACH or RACH-less</w:t>
      </w:r>
      <w:r w:rsidR="00AD0B20">
        <w:rPr>
          <w:i w:val="0"/>
          <w:iCs w:val="0"/>
        </w:rPr>
        <w:t>)</w:t>
      </w:r>
      <w:r w:rsidR="005840F0">
        <w:rPr>
          <w:i w:val="0"/>
          <w:iCs w:val="0"/>
        </w:rPr>
        <w:t xml:space="preserve"> </w:t>
      </w:r>
      <w:r w:rsidR="00687593">
        <w:rPr>
          <w:i w:val="0"/>
          <w:iCs w:val="0"/>
        </w:rPr>
        <w:t xml:space="preserve">associated with a target cell </w:t>
      </w:r>
    </w:p>
    <w:p w14:paraId="018761FB" w14:textId="77777777" w:rsidR="00F50E1A" w:rsidRPr="00F50E1A" w:rsidRDefault="00F50E1A" w:rsidP="00F50E1A">
      <w:pPr>
        <w:pStyle w:val="ListParagraph"/>
        <w:numPr>
          <w:ilvl w:val="0"/>
          <w:numId w:val="0"/>
        </w:numPr>
        <w:ind w:left="360"/>
      </w:pPr>
    </w:p>
    <w:p w14:paraId="33D0610D" w14:textId="5119A604" w:rsidR="00F50E1A" w:rsidRPr="00D938CB" w:rsidRDefault="00F50E1A" w:rsidP="003F4E2C">
      <w:pPr>
        <w:pStyle w:val="ListParagraph"/>
        <w:numPr>
          <w:ilvl w:val="0"/>
          <w:numId w:val="20"/>
        </w:numPr>
      </w:pPr>
      <w:r>
        <w:t>L1 measurement reporting</w:t>
      </w:r>
      <w:r>
        <w:rPr>
          <w:i w:val="0"/>
          <w:iCs w:val="0"/>
        </w:rPr>
        <w:t xml:space="preserve">: </w:t>
      </w:r>
      <w:r w:rsidR="00AF39BE">
        <w:rPr>
          <w:i w:val="0"/>
          <w:iCs w:val="0"/>
        </w:rPr>
        <w:t xml:space="preserve">L1 measurement and </w:t>
      </w:r>
      <w:r w:rsidR="00D272E3">
        <w:rPr>
          <w:i w:val="0"/>
          <w:iCs w:val="0"/>
        </w:rPr>
        <w:t xml:space="preserve">reporting </w:t>
      </w:r>
      <w:r w:rsidR="00D938CB">
        <w:rPr>
          <w:i w:val="0"/>
          <w:iCs w:val="0"/>
        </w:rPr>
        <w:t xml:space="preserve">for multiple candidate target cells can be faster </w:t>
      </w:r>
      <w:r w:rsidR="00B90EDF">
        <w:rPr>
          <w:i w:val="0"/>
          <w:iCs w:val="0"/>
        </w:rPr>
        <w:t>than</w:t>
      </w:r>
      <w:r w:rsidR="00D938CB">
        <w:rPr>
          <w:i w:val="0"/>
          <w:iCs w:val="0"/>
        </w:rPr>
        <w:t xml:space="preserve"> L3 measurement and reporting</w:t>
      </w:r>
      <w:r w:rsidR="00E770AA">
        <w:rPr>
          <w:i w:val="0"/>
          <w:iCs w:val="0"/>
        </w:rPr>
        <w:t xml:space="preserve">. This is addressed in our </w:t>
      </w:r>
      <w:r w:rsidR="00D938CB">
        <w:rPr>
          <w:i w:val="0"/>
          <w:iCs w:val="0"/>
        </w:rPr>
        <w:t>companion contribution in [XXX]</w:t>
      </w:r>
    </w:p>
    <w:p w14:paraId="3119AA29" w14:textId="77777777" w:rsidR="00D938CB" w:rsidRDefault="00D938CB" w:rsidP="00D938CB">
      <w:pPr>
        <w:pStyle w:val="ListParagraph"/>
        <w:numPr>
          <w:ilvl w:val="0"/>
          <w:numId w:val="0"/>
        </w:numPr>
        <w:ind w:left="720"/>
      </w:pPr>
    </w:p>
    <w:p w14:paraId="716454E4" w14:textId="35C8C781" w:rsidR="00D938CB" w:rsidRPr="00173F92" w:rsidRDefault="00194FCF" w:rsidP="003F4E2C">
      <w:pPr>
        <w:pStyle w:val="ListParagraph"/>
        <w:numPr>
          <w:ilvl w:val="0"/>
          <w:numId w:val="20"/>
        </w:numPr>
      </w:pPr>
      <w:r>
        <w:t xml:space="preserve">RRC configuration for </w:t>
      </w:r>
      <w:r w:rsidR="00FD7078">
        <w:t xml:space="preserve">the </w:t>
      </w:r>
      <w:r>
        <w:t xml:space="preserve">target cell: </w:t>
      </w:r>
      <w:r>
        <w:rPr>
          <w:i w:val="0"/>
          <w:iCs w:val="0"/>
        </w:rPr>
        <w:t xml:space="preserve">Further RRC configuration specifically </w:t>
      </w:r>
      <w:r w:rsidR="00FD7078">
        <w:rPr>
          <w:i w:val="0"/>
          <w:iCs w:val="0"/>
        </w:rPr>
        <w:t xml:space="preserve">associated </w:t>
      </w:r>
      <w:r>
        <w:rPr>
          <w:i w:val="0"/>
          <w:iCs w:val="0"/>
        </w:rPr>
        <w:t xml:space="preserve">for the target cell </w:t>
      </w:r>
      <w:r w:rsidR="00173F92">
        <w:rPr>
          <w:i w:val="0"/>
          <w:iCs w:val="0"/>
        </w:rPr>
        <w:t xml:space="preserve">can be used to provide </w:t>
      </w:r>
      <w:r w:rsidR="00853B96">
        <w:rPr>
          <w:i w:val="0"/>
          <w:iCs w:val="0"/>
        </w:rPr>
        <w:t>more</w:t>
      </w:r>
      <w:r w:rsidR="00173F92">
        <w:rPr>
          <w:i w:val="0"/>
          <w:iCs w:val="0"/>
        </w:rPr>
        <w:t xml:space="preserve"> information needed for </w:t>
      </w:r>
      <w:r w:rsidR="00E271C3">
        <w:rPr>
          <w:i w:val="0"/>
          <w:iCs w:val="0"/>
        </w:rPr>
        <w:t xml:space="preserve">connecting to </w:t>
      </w:r>
      <w:r w:rsidR="00173F92">
        <w:rPr>
          <w:i w:val="0"/>
          <w:iCs w:val="0"/>
        </w:rPr>
        <w:t>the target cell</w:t>
      </w:r>
    </w:p>
    <w:p w14:paraId="0D3E9C64" w14:textId="77777777" w:rsidR="00173F92" w:rsidRDefault="00173F92" w:rsidP="00173F92">
      <w:pPr>
        <w:pStyle w:val="ListParagraph"/>
        <w:numPr>
          <w:ilvl w:val="0"/>
          <w:numId w:val="0"/>
        </w:numPr>
        <w:ind w:left="720"/>
      </w:pPr>
    </w:p>
    <w:p w14:paraId="2D897447" w14:textId="0B8E9289" w:rsidR="00173F92" w:rsidRPr="00640FF9" w:rsidRDefault="00173F92" w:rsidP="003F4E2C">
      <w:pPr>
        <w:pStyle w:val="ListParagraph"/>
        <w:numPr>
          <w:ilvl w:val="0"/>
          <w:numId w:val="20"/>
        </w:numPr>
      </w:pPr>
      <w:r>
        <w:t>L1/L2 mobility trigger</w:t>
      </w:r>
      <w:r>
        <w:rPr>
          <w:i w:val="0"/>
          <w:iCs w:val="0"/>
        </w:rPr>
        <w:t xml:space="preserve">: A L1/L2 mobility trigger </w:t>
      </w:r>
      <w:r w:rsidR="00640FF9">
        <w:rPr>
          <w:i w:val="0"/>
          <w:iCs w:val="0"/>
        </w:rPr>
        <w:t>indicates to a UE a particular target cell for handover</w:t>
      </w:r>
    </w:p>
    <w:p w14:paraId="2A03B44E" w14:textId="77777777" w:rsidR="00640FF9" w:rsidRDefault="00640FF9" w:rsidP="00640FF9">
      <w:pPr>
        <w:pStyle w:val="ListParagraph"/>
        <w:numPr>
          <w:ilvl w:val="0"/>
          <w:numId w:val="0"/>
        </w:numPr>
        <w:ind w:left="720"/>
      </w:pPr>
    </w:p>
    <w:p w14:paraId="27DED0F9" w14:textId="4A6655DE" w:rsidR="00640FF9" w:rsidRPr="001E0589" w:rsidRDefault="00DA69B2" w:rsidP="003F4E2C">
      <w:pPr>
        <w:pStyle w:val="ListParagraph"/>
        <w:numPr>
          <w:ilvl w:val="0"/>
          <w:numId w:val="20"/>
        </w:numPr>
      </w:pPr>
      <w:r>
        <w:t>RACH procedure/UL Transmission</w:t>
      </w:r>
      <w:r w:rsidR="00640FF9">
        <w:rPr>
          <w:i w:val="0"/>
          <w:iCs w:val="0"/>
        </w:rPr>
        <w:t xml:space="preserve">: Upon receiving a L1/L2 mobility trigger </w:t>
      </w:r>
      <w:r w:rsidR="00A94CC9">
        <w:rPr>
          <w:i w:val="0"/>
          <w:iCs w:val="0"/>
        </w:rPr>
        <w:t>and if a new TA for the target cell is desired, a UE initiates a RACH procedure</w:t>
      </w:r>
      <w:r>
        <w:rPr>
          <w:i w:val="0"/>
          <w:iCs w:val="0"/>
        </w:rPr>
        <w:t xml:space="preserve">. If TA is known, then UE initiates an UL transmission </w:t>
      </w:r>
      <w:r w:rsidR="00040FC2">
        <w:rPr>
          <w:i w:val="0"/>
          <w:iCs w:val="0"/>
        </w:rPr>
        <w:t>to the target cell.</w:t>
      </w:r>
    </w:p>
    <w:p w14:paraId="4F90997B" w14:textId="77777777" w:rsidR="008D44BD" w:rsidRDefault="008D44BD" w:rsidP="008E37B5"/>
    <w:p w14:paraId="7077F1FB" w14:textId="2BBEBE20" w:rsidR="00A86CAC" w:rsidRPr="008E37B5" w:rsidRDefault="00A86CAC" w:rsidP="008E37B5">
      <w:r>
        <w:t xml:space="preserve">Within the purview of this framework, we discuss enhancements to inter-cell beam management including measurement and reporting framework. </w:t>
      </w:r>
    </w:p>
    <w:bookmarkEnd w:id="0"/>
    <w:p w14:paraId="310A732A" w14:textId="76CBA132" w:rsidR="00D14DBF" w:rsidRDefault="006B290B" w:rsidP="00B0480A">
      <w:pPr>
        <w:pStyle w:val="Heading2"/>
        <w:rPr>
          <w:lang w:val="en-US"/>
        </w:rPr>
      </w:pPr>
      <w:r>
        <w:rPr>
          <w:rFonts w:cs="Arial"/>
          <w:szCs w:val="18"/>
          <w:lang w:val="en-US"/>
        </w:rPr>
        <w:t>L1 Measurement and Reporting</w:t>
      </w:r>
    </w:p>
    <w:p w14:paraId="5128B896" w14:textId="6CB46196" w:rsidR="004B483F" w:rsidRDefault="00A21705" w:rsidP="00E233A7">
      <w:pPr>
        <w:spacing w:before="240"/>
        <w:rPr>
          <w:lang w:val="en-US"/>
        </w:rPr>
      </w:pPr>
      <w:r>
        <w:rPr>
          <w:lang w:val="en-US"/>
        </w:rPr>
        <w:t>In Release 17 Unified TCI framework design</w:t>
      </w:r>
      <w:r w:rsidR="002A1A9F">
        <w:rPr>
          <w:lang w:val="en-US"/>
        </w:rPr>
        <w:t xml:space="preserve"> for inter-cell beam </w:t>
      </w:r>
      <w:r w:rsidR="00E233A7">
        <w:rPr>
          <w:lang w:val="en-US"/>
        </w:rPr>
        <w:t>management,</w:t>
      </w:r>
      <w:r w:rsidR="002A1A9F">
        <w:rPr>
          <w:lang w:val="en-US"/>
        </w:rPr>
        <w:t xml:space="preserve"> it is already possible for the UE to perform measurements on SSB from neighbor cells and include </w:t>
      </w:r>
      <w:r w:rsidR="00E639FD">
        <w:rPr>
          <w:lang w:val="en-US"/>
        </w:rPr>
        <w:t>information about non-serving cells in the L1-RSRP report. However, CSI-RS for BM is currently not included in the list of RS</w:t>
      </w:r>
      <w:r w:rsidR="00D0396E">
        <w:rPr>
          <w:lang w:val="en-US"/>
        </w:rPr>
        <w:t>s</w:t>
      </w:r>
      <w:r w:rsidR="00E639FD">
        <w:rPr>
          <w:lang w:val="en-US"/>
        </w:rPr>
        <w:t xml:space="preserve"> that can be measured from the non-serving cell. Therefore, to enable more accurate L1 measurements for </w:t>
      </w:r>
      <w:r w:rsidR="00FF47AD">
        <w:rPr>
          <w:lang w:val="en-US"/>
        </w:rPr>
        <w:t>performing handover (which was precluded in Rel-17) CSI-RS for BM should be enabled for non-serving cell measurements.</w:t>
      </w:r>
    </w:p>
    <w:p w14:paraId="318E2567" w14:textId="31EF00FB" w:rsidR="00D316E1" w:rsidRDefault="00D316E1" w:rsidP="00D316E1">
      <w:pPr>
        <w:pStyle w:val="ListParagraph"/>
        <w:numPr>
          <w:ilvl w:val="0"/>
          <w:numId w:val="24"/>
        </w:numPr>
        <w:rPr>
          <w:b/>
          <w:bCs/>
        </w:rPr>
      </w:pPr>
      <w:r w:rsidRPr="00D316E1">
        <w:rPr>
          <w:b/>
          <w:bCs/>
        </w:rPr>
        <w:t>CSI-RS for BM associated with non-serving cells can be used for L1 measurements in addition to non-serving cell SSBs</w:t>
      </w:r>
    </w:p>
    <w:p w14:paraId="1BA1C664" w14:textId="77777777" w:rsidR="00FD1454" w:rsidRDefault="00FD1454" w:rsidP="00FD1454">
      <w:pPr>
        <w:pStyle w:val="ListParagraph"/>
        <w:numPr>
          <w:ilvl w:val="0"/>
          <w:numId w:val="0"/>
        </w:numPr>
        <w:ind w:left="720"/>
        <w:rPr>
          <w:b/>
          <w:bCs/>
        </w:rPr>
      </w:pPr>
    </w:p>
    <w:p w14:paraId="6C412FAD" w14:textId="38A7ECE4" w:rsidR="00FD1454" w:rsidRPr="00D11E8F" w:rsidRDefault="00D11E8F" w:rsidP="00D11E8F">
      <w:r>
        <w:t>For candidate cell measurement, the following was agreed in RAN1</w:t>
      </w:r>
    </w:p>
    <w:tbl>
      <w:tblPr>
        <w:tblStyle w:val="TableGrid"/>
        <w:tblW w:w="0" w:type="auto"/>
        <w:tblLook w:val="04A0" w:firstRow="1" w:lastRow="0" w:firstColumn="1" w:lastColumn="0" w:noHBand="0" w:noVBand="1"/>
      </w:tblPr>
      <w:tblGrid>
        <w:gridCol w:w="10160"/>
      </w:tblGrid>
      <w:tr w:rsidR="00E74C49" w14:paraId="3A3926DC" w14:textId="77777777" w:rsidTr="00E74C49">
        <w:tc>
          <w:tcPr>
            <w:tcW w:w="10160" w:type="dxa"/>
          </w:tcPr>
          <w:p w14:paraId="45AB9AC7" w14:textId="77777777" w:rsidR="00FD1454" w:rsidRPr="00FD1454" w:rsidRDefault="00FD1454" w:rsidP="00FD1454">
            <w:pPr>
              <w:spacing w:before="240" w:after="0" w:line="240" w:lineRule="auto"/>
              <w:rPr>
                <w:b/>
                <w:bCs/>
                <w:sz w:val="18"/>
                <w:szCs w:val="18"/>
                <w:highlight w:val="green"/>
                <w:lang w:eastAsia="x-none"/>
              </w:rPr>
            </w:pPr>
            <w:r w:rsidRPr="00FD1454">
              <w:rPr>
                <w:b/>
                <w:bCs/>
                <w:sz w:val="18"/>
                <w:szCs w:val="18"/>
                <w:highlight w:val="green"/>
                <w:lang w:eastAsia="x-none"/>
              </w:rPr>
              <w:t>Agreement</w:t>
            </w:r>
          </w:p>
          <w:p w14:paraId="635DA9AB" w14:textId="77777777" w:rsidR="00FD1454" w:rsidRPr="00FD1454" w:rsidRDefault="00FD1454" w:rsidP="00FD1454">
            <w:pPr>
              <w:pStyle w:val="ListParagraph"/>
              <w:numPr>
                <w:ilvl w:val="0"/>
                <w:numId w:val="29"/>
              </w:numPr>
              <w:snapToGrid w:val="0"/>
              <w:spacing w:before="0" w:line="240" w:lineRule="auto"/>
              <w:rPr>
                <w:i w:val="0"/>
                <w:iCs w:val="0"/>
                <w:sz w:val="18"/>
                <w:szCs w:val="18"/>
              </w:rPr>
            </w:pPr>
            <w:r w:rsidRPr="00FD1454">
              <w:rPr>
                <w:i w:val="0"/>
                <w:iCs w:val="0"/>
                <w:sz w:val="18"/>
                <w:szCs w:val="18"/>
              </w:rPr>
              <w:t xml:space="preserve">For candidate cell measurement for Rel-18 L1/L2 mobility, </w:t>
            </w:r>
          </w:p>
          <w:p w14:paraId="1B42FC1C" w14:textId="77777777" w:rsidR="00FD1454" w:rsidRPr="00FD1454" w:rsidRDefault="00FD1454" w:rsidP="00FD1454">
            <w:pPr>
              <w:pStyle w:val="ListParagraph"/>
              <w:numPr>
                <w:ilvl w:val="1"/>
                <w:numId w:val="29"/>
              </w:numPr>
              <w:snapToGrid w:val="0"/>
              <w:spacing w:before="0" w:line="240" w:lineRule="auto"/>
              <w:rPr>
                <w:i w:val="0"/>
                <w:iCs w:val="0"/>
                <w:sz w:val="18"/>
                <w:szCs w:val="18"/>
              </w:rPr>
            </w:pPr>
            <w:r w:rsidRPr="00FD1454">
              <w:rPr>
                <w:i w:val="0"/>
                <w:iCs w:val="0"/>
                <w:sz w:val="18"/>
                <w:szCs w:val="18"/>
              </w:rPr>
              <w:t>L1-RSRP is supported for intra-frequency candidate cell measurement.</w:t>
            </w:r>
          </w:p>
          <w:p w14:paraId="73CE82BA" w14:textId="77777777" w:rsidR="00FD1454" w:rsidRPr="00FD1454" w:rsidRDefault="00FD1454" w:rsidP="00FD1454">
            <w:pPr>
              <w:pStyle w:val="ListParagraph"/>
              <w:numPr>
                <w:ilvl w:val="1"/>
                <w:numId w:val="29"/>
              </w:numPr>
              <w:snapToGrid w:val="0"/>
              <w:spacing w:before="0" w:line="240" w:lineRule="auto"/>
              <w:rPr>
                <w:i w:val="0"/>
                <w:iCs w:val="0"/>
                <w:sz w:val="18"/>
                <w:szCs w:val="18"/>
              </w:rPr>
            </w:pPr>
            <w:r w:rsidRPr="00FD1454">
              <w:rPr>
                <w:i w:val="0"/>
                <w:iCs w:val="0"/>
                <w:sz w:val="18"/>
                <w:szCs w:val="18"/>
              </w:rPr>
              <w:lastRenderedPageBreak/>
              <w:t>Further study the following measurement quantities for candidate cell measurement</w:t>
            </w:r>
          </w:p>
          <w:p w14:paraId="547A217D" w14:textId="77777777" w:rsidR="00FD1454" w:rsidRPr="00FD1454" w:rsidRDefault="00FD1454" w:rsidP="00FD1454">
            <w:pPr>
              <w:pStyle w:val="ListParagraph"/>
              <w:numPr>
                <w:ilvl w:val="2"/>
                <w:numId w:val="29"/>
              </w:numPr>
              <w:snapToGrid w:val="0"/>
              <w:spacing w:before="0" w:line="240" w:lineRule="auto"/>
              <w:rPr>
                <w:i w:val="0"/>
                <w:iCs w:val="0"/>
                <w:sz w:val="18"/>
                <w:szCs w:val="18"/>
              </w:rPr>
            </w:pPr>
            <w:r w:rsidRPr="00FD1454">
              <w:rPr>
                <w:i w:val="0"/>
                <w:iCs w:val="0"/>
                <w:sz w:val="18"/>
                <w:szCs w:val="18"/>
              </w:rPr>
              <w:t>L1-RSRP for inter-frequency (if supported)</w:t>
            </w:r>
          </w:p>
          <w:p w14:paraId="6C63A56E" w14:textId="77777777" w:rsidR="00FD1454" w:rsidRPr="00FD1454" w:rsidRDefault="00FD1454" w:rsidP="00FD1454">
            <w:pPr>
              <w:pStyle w:val="ListParagraph"/>
              <w:numPr>
                <w:ilvl w:val="2"/>
                <w:numId w:val="29"/>
              </w:numPr>
              <w:snapToGrid w:val="0"/>
              <w:spacing w:before="0" w:line="240" w:lineRule="auto"/>
              <w:rPr>
                <w:i w:val="0"/>
                <w:iCs w:val="0"/>
                <w:sz w:val="18"/>
                <w:szCs w:val="18"/>
              </w:rPr>
            </w:pPr>
            <w:r w:rsidRPr="00FD1454">
              <w:rPr>
                <w:i w:val="0"/>
                <w:iCs w:val="0"/>
                <w:sz w:val="18"/>
                <w:szCs w:val="18"/>
              </w:rPr>
              <w:t>L1-SINR for intra-frequency and inter-frequency (if supported)</w:t>
            </w:r>
          </w:p>
          <w:p w14:paraId="45CE51D0" w14:textId="77777777" w:rsidR="00FD1454" w:rsidRPr="00FD1454" w:rsidRDefault="00FD1454" w:rsidP="00FD1454">
            <w:pPr>
              <w:pStyle w:val="ListParagraph"/>
              <w:numPr>
                <w:ilvl w:val="0"/>
                <w:numId w:val="29"/>
              </w:numPr>
              <w:snapToGrid w:val="0"/>
              <w:spacing w:before="0" w:line="240" w:lineRule="auto"/>
              <w:rPr>
                <w:i w:val="0"/>
                <w:iCs w:val="0"/>
                <w:color w:val="000000"/>
                <w:sz w:val="18"/>
                <w:szCs w:val="18"/>
              </w:rPr>
            </w:pPr>
            <w:r w:rsidRPr="00FD1454">
              <w:rPr>
                <w:i w:val="0"/>
                <w:iCs w:val="0"/>
                <w:color w:val="000000"/>
                <w:sz w:val="18"/>
                <w:szCs w:val="18"/>
              </w:rPr>
              <w:t>FFS: to assess the use case and the benefit of UL measurement instead of/in addition to DL L1 measurement, which includes:</w:t>
            </w:r>
          </w:p>
          <w:p w14:paraId="17258549" w14:textId="77777777" w:rsidR="00FD1454" w:rsidRPr="00FD1454" w:rsidRDefault="00FD1454" w:rsidP="00FD1454">
            <w:pPr>
              <w:pStyle w:val="ListParagraph"/>
              <w:numPr>
                <w:ilvl w:val="1"/>
                <w:numId w:val="29"/>
              </w:numPr>
              <w:snapToGrid w:val="0"/>
              <w:spacing w:before="0" w:line="240" w:lineRule="auto"/>
              <w:rPr>
                <w:i w:val="0"/>
                <w:iCs w:val="0"/>
                <w:color w:val="000000"/>
                <w:sz w:val="18"/>
                <w:szCs w:val="18"/>
              </w:rPr>
            </w:pPr>
            <w:r w:rsidRPr="00FD1454">
              <w:rPr>
                <w:rFonts w:hint="eastAsia"/>
                <w:i w:val="0"/>
                <w:iCs w:val="0"/>
                <w:color w:val="000000"/>
                <w:sz w:val="18"/>
                <w:szCs w:val="18"/>
              </w:rPr>
              <w:t>H</w:t>
            </w:r>
            <w:r w:rsidRPr="00FD1454">
              <w:rPr>
                <w:i w:val="0"/>
                <w:iCs w:val="0"/>
                <w:color w:val="000000"/>
                <w:sz w:val="18"/>
                <w:szCs w:val="18"/>
              </w:rPr>
              <w:t>ow the UL measurement result is used, e.g. handover decision</w:t>
            </w:r>
          </w:p>
          <w:p w14:paraId="15770A81" w14:textId="77777777" w:rsidR="00FD1454" w:rsidRPr="00FD1454" w:rsidRDefault="00FD1454" w:rsidP="00FD1454">
            <w:pPr>
              <w:pStyle w:val="ListParagraph"/>
              <w:numPr>
                <w:ilvl w:val="1"/>
                <w:numId w:val="29"/>
              </w:numPr>
              <w:snapToGrid w:val="0"/>
              <w:spacing w:before="0" w:line="240" w:lineRule="auto"/>
              <w:rPr>
                <w:i w:val="0"/>
                <w:iCs w:val="0"/>
                <w:color w:val="000000"/>
                <w:sz w:val="18"/>
                <w:szCs w:val="18"/>
              </w:rPr>
            </w:pPr>
            <w:r w:rsidRPr="00FD1454">
              <w:rPr>
                <w:i w:val="0"/>
                <w:iCs w:val="0"/>
                <w:color w:val="000000"/>
                <w:sz w:val="18"/>
                <w:szCs w:val="18"/>
              </w:rPr>
              <w:t>Signals/channels used for UL measurement, e.g. SRS</w:t>
            </w:r>
          </w:p>
          <w:p w14:paraId="12DAA732" w14:textId="77777777" w:rsidR="00FD1454" w:rsidRPr="00FD1454" w:rsidRDefault="00FD1454" w:rsidP="00FD1454">
            <w:pPr>
              <w:pStyle w:val="ListParagraph"/>
              <w:numPr>
                <w:ilvl w:val="1"/>
                <w:numId w:val="29"/>
              </w:numPr>
              <w:snapToGrid w:val="0"/>
              <w:spacing w:before="0" w:line="240" w:lineRule="auto"/>
              <w:rPr>
                <w:i w:val="0"/>
                <w:iCs w:val="0"/>
                <w:color w:val="000000"/>
                <w:sz w:val="18"/>
                <w:szCs w:val="18"/>
              </w:rPr>
            </w:pPr>
            <w:r w:rsidRPr="00FD1454">
              <w:rPr>
                <w:i w:val="0"/>
                <w:iCs w:val="0"/>
                <w:color w:val="000000"/>
                <w:sz w:val="18"/>
                <w:szCs w:val="18"/>
              </w:rPr>
              <w:t>Spec impact including other WGs, e.g. definition of gNB measurement, interface to transfer RS configuration or measurement results</w:t>
            </w:r>
          </w:p>
          <w:p w14:paraId="54A432AE" w14:textId="3D18BD50" w:rsidR="00E74C49" w:rsidRPr="00FD1454" w:rsidRDefault="00FD1454" w:rsidP="00FD1454">
            <w:pPr>
              <w:pStyle w:val="ListParagraph"/>
              <w:numPr>
                <w:ilvl w:val="1"/>
                <w:numId w:val="29"/>
              </w:numPr>
              <w:snapToGrid w:val="0"/>
              <w:spacing w:before="0" w:after="240" w:line="240" w:lineRule="auto"/>
              <w:rPr>
                <w:i w:val="0"/>
                <w:iCs w:val="0"/>
                <w:color w:val="000000"/>
                <w:sz w:val="18"/>
                <w:szCs w:val="18"/>
              </w:rPr>
            </w:pPr>
            <w:r w:rsidRPr="00FD1454">
              <w:rPr>
                <w:rFonts w:hint="eastAsia"/>
                <w:i w:val="0"/>
                <w:iCs w:val="0"/>
                <w:color w:val="000000"/>
                <w:sz w:val="18"/>
                <w:szCs w:val="18"/>
              </w:rPr>
              <w:t>N</w:t>
            </w:r>
            <w:r w:rsidRPr="00FD1454">
              <w:rPr>
                <w:i w:val="0"/>
                <w:iCs w:val="0"/>
                <w:color w:val="000000"/>
                <w:sz w:val="18"/>
                <w:szCs w:val="18"/>
              </w:rPr>
              <w:t>ote: The next discussion will take place based on companies’ contribution in future meeting.</w:t>
            </w:r>
          </w:p>
        </w:tc>
      </w:tr>
    </w:tbl>
    <w:p w14:paraId="7E82915C" w14:textId="4DDD562F" w:rsidR="00406F6A" w:rsidRDefault="003D2F83" w:rsidP="00316B83">
      <w:pPr>
        <w:spacing w:before="240"/>
        <w:rPr>
          <w:lang w:val="en-US"/>
        </w:rPr>
      </w:pPr>
      <w:r>
        <w:rPr>
          <w:lang w:val="en-US"/>
        </w:rPr>
        <w:lastRenderedPageBreak/>
        <w:t>Based on the above agreement, it is to be studied whether L1-SINR can additionally be used as</w:t>
      </w:r>
      <w:r w:rsidR="006902EB">
        <w:rPr>
          <w:lang w:val="en-US"/>
        </w:rPr>
        <w:t xml:space="preserve"> a measurement quantity for intra- and inter-frequency measurement</w:t>
      </w:r>
      <w:r w:rsidR="00A6327E">
        <w:rPr>
          <w:lang w:val="en-US"/>
        </w:rPr>
        <w:t xml:space="preserve">s. From our viewpoint, L1-RSRP may be sufficient to </w:t>
      </w:r>
      <w:r w:rsidR="00F27ECD">
        <w:rPr>
          <w:lang w:val="en-US"/>
        </w:rPr>
        <w:t>facilitate inter-cell beam management for L1/L2 based mobility</w:t>
      </w:r>
      <w:r w:rsidR="0011062A">
        <w:rPr>
          <w:lang w:val="en-US"/>
        </w:rPr>
        <w:t xml:space="preserve">. Furthermore, the need for introducing UL measurements is not clear at this point and given the limited time, we prefer </w:t>
      </w:r>
      <w:r w:rsidR="005C1552">
        <w:rPr>
          <w:lang w:val="en-US"/>
        </w:rPr>
        <w:t xml:space="preserve">to limit the enhancements to DL measurements. </w:t>
      </w:r>
    </w:p>
    <w:p w14:paraId="1ABEF13A" w14:textId="70F2DED3" w:rsidR="005C1552" w:rsidRDefault="00712CF8" w:rsidP="005C1552">
      <w:pPr>
        <w:pStyle w:val="ListParagraph"/>
        <w:numPr>
          <w:ilvl w:val="0"/>
          <w:numId w:val="24"/>
        </w:numPr>
        <w:spacing w:before="240"/>
        <w:rPr>
          <w:b/>
          <w:bCs/>
        </w:rPr>
      </w:pPr>
      <w:r w:rsidRPr="006509C8">
        <w:rPr>
          <w:b/>
          <w:bCs/>
        </w:rPr>
        <w:t xml:space="preserve">L1-SINR as measurement quantity and UL measurements for </w:t>
      </w:r>
      <w:r w:rsidR="00341500" w:rsidRPr="006509C8">
        <w:rPr>
          <w:b/>
          <w:bCs/>
        </w:rPr>
        <w:t>L1/L2 mobility can be deprioritized</w:t>
      </w:r>
    </w:p>
    <w:p w14:paraId="1B910A55" w14:textId="7B1A3469" w:rsidR="00184C2E" w:rsidRDefault="00184C2E" w:rsidP="000D27DA">
      <w:pPr>
        <w:pStyle w:val="Heading2"/>
        <w:rPr>
          <w:lang w:val="en-US"/>
        </w:rPr>
      </w:pPr>
      <w:r>
        <w:rPr>
          <w:lang w:val="en-US"/>
        </w:rPr>
        <w:t>Beam Indication</w:t>
      </w:r>
    </w:p>
    <w:tbl>
      <w:tblPr>
        <w:tblStyle w:val="TableGrid"/>
        <w:tblW w:w="0" w:type="auto"/>
        <w:tblLook w:val="04A0" w:firstRow="1" w:lastRow="0" w:firstColumn="1" w:lastColumn="0" w:noHBand="0" w:noVBand="1"/>
      </w:tblPr>
      <w:tblGrid>
        <w:gridCol w:w="10160"/>
      </w:tblGrid>
      <w:tr w:rsidR="00A5011B" w14:paraId="77DC95DC" w14:textId="77777777" w:rsidTr="00A5011B">
        <w:tc>
          <w:tcPr>
            <w:tcW w:w="10160" w:type="dxa"/>
          </w:tcPr>
          <w:p w14:paraId="646E05A4" w14:textId="77777777" w:rsidR="00A5011B" w:rsidRPr="00A5011B" w:rsidRDefault="00A5011B" w:rsidP="00A5011B">
            <w:pPr>
              <w:spacing w:before="240" w:after="0" w:line="240" w:lineRule="auto"/>
              <w:rPr>
                <w:rFonts w:eastAsia="DengXian"/>
                <w:b/>
                <w:bCs/>
                <w:highlight w:val="green"/>
                <w:lang w:eastAsia="zh-CN"/>
              </w:rPr>
            </w:pPr>
            <w:r w:rsidRPr="00A5011B">
              <w:rPr>
                <w:rFonts w:eastAsia="DengXian"/>
                <w:b/>
                <w:bCs/>
                <w:highlight w:val="green"/>
                <w:lang w:eastAsia="zh-CN"/>
              </w:rPr>
              <w:t>Agreement</w:t>
            </w:r>
          </w:p>
          <w:p w14:paraId="6BDB53FF" w14:textId="77777777" w:rsidR="00A5011B" w:rsidRPr="00A5011B" w:rsidRDefault="00A5011B" w:rsidP="00A5011B">
            <w:pPr>
              <w:pStyle w:val="ListParagraph"/>
              <w:numPr>
                <w:ilvl w:val="0"/>
                <w:numId w:val="31"/>
              </w:numPr>
              <w:snapToGrid w:val="0"/>
              <w:spacing w:before="0" w:line="240" w:lineRule="auto"/>
              <w:rPr>
                <w:i w:val="0"/>
                <w:iCs w:val="0"/>
              </w:rPr>
            </w:pPr>
            <w:r w:rsidRPr="00A5011B">
              <w:rPr>
                <w:rFonts w:hint="eastAsia"/>
                <w:i w:val="0"/>
                <w:iCs w:val="0"/>
              </w:rPr>
              <w:t xml:space="preserve">RAN1 to further study if the beam indication of candidate cell(s) L1/L2 mobility should be designed for a specific TCI framework below, and their potential RAN1 spec impact. </w:t>
            </w:r>
          </w:p>
          <w:p w14:paraId="58323B4C"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Option A:</w:t>
            </w:r>
            <w:r w:rsidRPr="00A5011B">
              <w:rPr>
                <w:rFonts w:hint="eastAsia"/>
                <w:i w:val="0"/>
                <w:iCs w:val="0"/>
              </w:rPr>
              <w:t>  Beam indication for Rel-18 L1/L2 mobility is designed based on Rel-17 TCI framework mechanism</w:t>
            </w:r>
          </w:p>
          <w:p w14:paraId="21B69219"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 xml:space="preserve">Option B: </w:t>
            </w:r>
            <w:r w:rsidRPr="00A5011B">
              <w:rPr>
                <w:rFonts w:hint="eastAsia"/>
                <w:i w:val="0"/>
                <w:iCs w:val="0"/>
              </w:rPr>
              <w:t xml:space="preserve">Beam indication for Rel-18 L1/L2 mobility is designed based on Rel-15 TCI framework mechanism </w:t>
            </w:r>
          </w:p>
          <w:p w14:paraId="7A7F11D8" w14:textId="50352418" w:rsidR="00A5011B" w:rsidRDefault="00A5011B" w:rsidP="00A5011B">
            <w:pPr>
              <w:pStyle w:val="ListParagraph"/>
              <w:numPr>
                <w:ilvl w:val="1"/>
                <w:numId w:val="31"/>
              </w:numPr>
              <w:snapToGrid w:val="0"/>
              <w:spacing w:before="0" w:after="240" w:line="240" w:lineRule="auto"/>
            </w:pPr>
            <w:r w:rsidRPr="00A5011B">
              <w:rPr>
                <w:rFonts w:hint="eastAsia"/>
                <w:b/>
                <w:bCs/>
                <w:i w:val="0"/>
                <w:iCs w:val="0"/>
              </w:rPr>
              <w:t xml:space="preserve">Option C: </w:t>
            </w:r>
            <w:r w:rsidRPr="00A5011B">
              <w:rPr>
                <w:rFonts w:hint="eastAsia"/>
                <w:i w:val="0"/>
                <w:iCs w:val="0"/>
              </w:rPr>
              <w:t>Beam indication for Rel-18 L1/L2 mobility is designed based on both Rel-15 and Rel-17 TCI framework mechanisms</w:t>
            </w:r>
          </w:p>
        </w:tc>
      </w:tr>
    </w:tbl>
    <w:p w14:paraId="4410B3F0" w14:textId="682D8A2C" w:rsidR="00F44549" w:rsidRDefault="00F44549" w:rsidP="00F44549">
      <w:pPr>
        <w:spacing w:before="240"/>
        <w:rPr>
          <w:lang w:val="en-US"/>
        </w:rPr>
      </w:pPr>
      <w:r>
        <w:rPr>
          <w:lang w:val="en-US"/>
        </w:rPr>
        <w:t xml:space="preserve">In Rel-17 NR, unified TCI framework was introduced to simplify beam indication and make it more efficient. It introduced the concept of common beam and joint/DL/UL TCI which </w:t>
      </w:r>
      <w:r w:rsidR="00A848AE">
        <w:rPr>
          <w:lang w:val="en-US"/>
        </w:rPr>
        <w:t xml:space="preserve">unifies the signalling for beam indication in UL and DL. Additionally, inter-cell beam management with </w:t>
      </w:r>
      <w:r w:rsidR="005E4502">
        <w:rPr>
          <w:lang w:val="en-US"/>
        </w:rPr>
        <w:t xml:space="preserve">no serving cell change was also introduced. </w:t>
      </w:r>
      <w:r w:rsidR="00A848AE">
        <w:rPr>
          <w:lang w:val="en-US"/>
        </w:rPr>
        <w:t xml:space="preserve">Therefore, </w:t>
      </w:r>
      <w:r w:rsidR="005E4502">
        <w:rPr>
          <w:lang w:val="en-US"/>
        </w:rPr>
        <w:t xml:space="preserve">it is natural that the Rel-17 framework is used </w:t>
      </w:r>
      <w:r w:rsidR="00EB001B">
        <w:rPr>
          <w:lang w:val="en-US"/>
        </w:rPr>
        <w:t xml:space="preserve">as the starting point for Rel-18 inter-cell beam management for mobility. </w:t>
      </w:r>
    </w:p>
    <w:p w14:paraId="3A4BB646" w14:textId="57CC54C4" w:rsidR="00EB001B" w:rsidRDefault="00EB001B" w:rsidP="00EB001B">
      <w:pPr>
        <w:pStyle w:val="ListParagraph"/>
        <w:numPr>
          <w:ilvl w:val="0"/>
          <w:numId w:val="24"/>
        </w:numPr>
        <w:spacing w:before="240"/>
        <w:rPr>
          <w:b/>
          <w:bCs/>
        </w:rPr>
      </w:pPr>
      <w:r w:rsidRPr="00EB001B">
        <w:rPr>
          <w:b/>
          <w:bCs/>
        </w:rPr>
        <w:t>For beam indication of L1/L2 mobility support Option A (</w:t>
      </w:r>
      <w:r w:rsidRPr="00EB001B">
        <w:rPr>
          <w:rFonts w:hint="eastAsia"/>
          <w:b/>
          <w:bCs/>
        </w:rPr>
        <w:t>Beam indication for Rel-18 L1/L2 mobility is designed based on Rel-17 TCI framework mechanism</w:t>
      </w:r>
      <w:r w:rsidRPr="00EB001B">
        <w:rPr>
          <w:b/>
          <w:bCs/>
        </w:rPr>
        <w:t>)</w:t>
      </w:r>
    </w:p>
    <w:p w14:paraId="4E553495" w14:textId="77777777" w:rsidR="00EB001B" w:rsidRPr="00EB001B" w:rsidRDefault="00EB001B" w:rsidP="00EB001B">
      <w:pPr>
        <w:spacing w:before="240"/>
        <w:rPr>
          <w:b/>
          <w:bCs/>
        </w:rPr>
      </w:pPr>
    </w:p>
    <w:p w14:paraId="11DE9085" w14:textId="503BA761" w:rsidR="000D27DA" w:rsidRDefault="000D27DA" w:rsidP="000D27DA">
      <w:pPr>
        <w:pStyle w:val="Heading2"/>
        <w:rPr>
          <w:lang w:val="en-US"/>
        </w:rPr>
      </w:pPr>
      <w:r>
        <w:rPr>
          <w:rFonts w:cs="Arial"/>
          <w:szCs w:val="18"/>
          <w:lang w:val="en-US"/>
        </w:rPr>
        <w:t>L1</w:t>
      </w:r>
      <w:r>
        <w:rPr>
          <w:rFonts w:cs="Arial"/>
          <w:szCs w:val="18"/>
          <w:lang w:val="en-US"/>
        </w:rPr>
        <w:t>-RSRP</w:t>
      </w:r>
      <w:r>
        <w:rPr>
          <w:rFonts w:cs="Arial"/>
          <w:szCs w:val="18"/>
          <w:lang w:val="en-US"/>
        </w:rPr>
        <w:t xml:space="preserve"> </w:t>
      </w:r>
      <w:r>
        <w:rPr>
          <w:rFonts w:cs="Arial"/>
          <w:szCs w:val="18"/>
          <w:lang w:val="en-US"/>
        </w:rPr>
        <w:t xml:space="preserve">Filtering </w:t>
      </w:r>
    </w:p>
    <w:p w14:paraId="3D29B71A" w14:textId="22FA345E" w:rsidR="00E233A7" w:rsidRDefault="00E233A7" w:rsidP="00316B83">
      <w:pPr>
        <w:spacing w:before="240"/>
        <w:rPr>
          <w:lang w:val="en-US"/>
        </w:rPr>
      </w:pPr>
      <w:r>
        <w:rPr>
          <w:lang w:val="en-US"/>
        </w:rPr>
        <w:t>One issue for L1 measurement</w:t>
      </w:r>
      <w:r w:rsidR="00CC30A1">
        <w:rPr>
          <w:lang w:val="en-US"/>
        </w:rPr>
        <w:t>-</w:t>
      </w:r>
      <w:r w:rsidR="00EA3502">
        <w:rPr>
          <w:lang w:val="en-US"/>
        </w:rPr>
        <w:t>based</w:t>
      </w:r>
      <w:r>
        <w:rPr>
          <w:lang w:val="en-US"/>
        </w:rPr>
        <w:t xml:space="preserve"> mobility</w:t>
      </w:r>
      <w:r w:rsidR="00EA3502">
        <w:rPr>
          <w:lang w:val="en-US"/>
        </w:rPr>
        <w:t xml:space="preserve"> is the potential for ping pong effect</w:t>
      </w:r>
      <w:r w:rsidR="00D04463">
        <w:rPr>
          <w:lang w:val="en-US"/>
        </w:rPr>
        <w:t xml:space="preserve">. In the following figure, we present </w:t>
      </w:r>
      <w:r w:rsidR="001E6464">
        <w:rPr>
          <w:lang w:val="en-US"/>
        </w:rPr>
        <w:t xml:space="preserve">SLS evaluation results for inter-cell mobility based on the EVM agreed for Rel-17 MIMO </w:t>
      </w:r>
      <w:r w:rsidR="001E6464">
        <w:rPr>
          <w:lang w:val="en-US"/>
        </w:rPr>
        <w:fldChar w:fldCharType="begin"/>
      </w:r>
      <w:r w:rsidR="001E6464">
        <w:rPr>
          <w:lang w:val="en-US"/>
        </w:rPr>
        <w:instrText xml:space="preserve"> REF _Ref115448059 \r \h </w:instrText>
      </w:r>
      <w:r w:rsidR="001E6464">
        <w:rPr>
          <w:lang w:val="en-US"/>
        </w:rPr>
      </w:r>
      <w:r w:rsidR="001E6464">
        <w:rPr>
          <w:lang w:val="en-US"/>
        </w:rPr>
        <w:fldChar w:fldCharType="separate"/>
      </w:r>
      <w:r w:rsidR="001E6464">
        <w:rPr>
          <w:lang w:val="en-US"/>
        </w:rPr>
        <w:t>[2]</w:t>
      </w:r>
      <w:r w:rsidR="001E6464">
        <w:rPr>
          <w:lang w:val="en-US"/>
        </w:rPr>
        <w:fldChar w:fldCharType="end"/>
      </w:r>
      <w:r w:rsidR="001E6464">
        <w:rPr>
          <w:lang w:val="en-US"/>
        </w:rPr>
        <w:t>.</w:t>
      </w:r>
      <w:r w:rsidR="00784998">
        <w:rPr>
          <w:lang w:val="en-US"/>
        </w:rPr>
        <w:t xml:space="preserve"> We model the case of L1-handover modeled using a handover threshold of 3dB i.e., handover is assumed when the RSRP of a non-serving cell is 3dB higher than the RSRP of a serving cell. The UE has 3 panels with the front panel facing the direction of motion. </w:t>
      </w:r>
    </w:p>
    <w:p w14:paraId="6570AA37" w14:textId="77777777" w:rsidR="00D1022E" w:rsidRDefault="00D1022E" w:rsidP="00837927">
      <w:pPr>
        <w:rPr>
          <w:lang w:val="en-US"/>
        </w:rPr>
      </w:pPr>
    </w:p>
    <w:p w14:paraId="66EC65C4" w14:textId="77777777" w:rsidR="00904CC0" w:rsidRDefault="00904CC0" w:rsidP="00904CC0">
      <w:pPr>
        <w:keepNext/>
        <w:jc w:val="center"/>
      </w:pPr>
      <w:r>
        <w:rPr>
          <w:noProof/>
          <w:lang w:val="en-US"/>
        </w:rPr>
        <w:lastRenderedPageBreak/>
        <w:drawing>
          <wp:inline distT="0" distB="0" distL="0" distR="0" wp14:anchorId="30592947" wp14:editId="31B6B505">
            <wp:extent cx="447865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6932"/>
                    <a:stretch/>
                  </pic:blipFill>
                  <pic:spPr bwMode="auto">
                    <a:xfrm>
                      <a:off x="0" y="0"/>
                      <a:ext cx="4487428" cy="3257569"/>
                    </a:xfrm>
                    <a:prstGeom prst="rect">
                      <a:avLst/>
                    </a:prstGeom>
                    <a:noFill/>
                    <a:ln>
                      <a:noFill/>
                    </a:ln>
                    <a:extLst>
                      <a:ext uri="{53640926-AAD7-44D8-BBD7-CCE9431645EC}">
                        <a14:shadowObscured xmlns:a14="http://schemas.microsoft.com/office/drawing/2010/main"/>
                      </a:ext>
                    </a:extLst>
                  </pic:spPr>
                </pic:pic>
              </a:graphicData>
            </a:graphic>
          </wp:inline>
        </w:drawing>
      </w:r>
    </w:p>
    <w:p w14:paraId="3D0BD564" w14:textId="77FA4620" w:rsidR="00D1022E" w:rsidRDefault="00904CC0" w:rsidP="00904CC0">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Handover Locations for UE</w:t>
      </w:r>
      <w:r w:rsidR="006A409F">
        <w:t xml:space="preserve"> in FR2</w:t>
      </w:r>
      <w:r>
        <w:t xml:space="preserve"> with 1 RPM rotation</w:t>
      </w:r>
    </w:p>
    <w:p w14:paraId="3A5CAB4D" w14:textId="6EC31A23" w:rsidR="001E6464" w:rsidRDefault="00904CC0" w:rsidP="00837927">
      <w:pPr>
        <w:rPr>
          <w:lang w:val="en-US"/>
        </w:rPr>
      </w:pPr>
      <w:r>
        <w:rPr>
          <w:lang w:val="en-US"/>
        </w:rPr>
        <w:t>From Figure 2, it can be seen that</w:t>
      </w:r>
      <w:r w:rsidR="00784998">
        <w:rPr>
          <w:lang w:val="en-US"/>
        </w:rPr>
        <w:t>,</w:t>
      </w:r>
      <w:r>
        <w:rPr>
          <w:lang w:val="en-US"/>
        </w:rPr>
        <w:t xml:space="preserve"> even at very low UE rotation of 1 RPM, there is a potential for </w:t>
      </w:r>
      <w:r w:rsidR="00F53DA6">
        <w:rPr>
          <w:lang w:val="en-US"/>
        </w:rPr>
        <w:t xml:space="preserve">ping effect i.e., the UE changes cells at the switch-over point multiple times. In this evaluation no time-domain filtering was applied at the UE side. </w:t>
      </w:r>
      <w:r w:rsidR="008B6F1B">
        <w:rPr>
          <w:lang w:val="en-US"/>
        </w:rPr>
        <w:t>When rotation or impairments are increased, there is significant increase in ping-pong</w:t>
      </w:r>
      <w:r w:rsidR="00EC6335">
        <w:rPr>
          <w:lang w:val="en-US"/>
        </w:rPr>
        <w:t xml:space="preserve"> effects. </w:t>
      </w:r>
    </w:p>
    <w:p w14:paraId="73B1EE7C" w14:textId="6D630F3D" w:rsidR="006A409F" w:rsidRDefault="000B4C8B" w:rsidP="00837927">
      <w:pPr>
        <w:rPr>
          <w:lang w:val="en-US"/>
        </w:rPr>
      </w:pPr>
      <w:r w:rsidRPr="00C67842">
        <w:rPr>
          <w:noProof/>
          <w:lang w:val="en-US"/>
        </w:rPr>
        <w:drawing>
          <wp:inline distT="0" distB="0" distL="0" distR="0" wp14:anchorId="0C4C8DC6" wp14:editId="5B77C693">
            <wp:extent cx="3152851" cy="2656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4530" cy="2675128"/>
                    </a:xfrm>
                    <a:prstGeom prst="rect">
                      <a:avLst/>
                    </a:prstGeom>
                    <a:noFill/>
                    <a:ln>
                      <a:noFill/>
                    </a:ln>
                  </pic:spPr>
                </pic:pic>
              </a:graphicData>
            </a:graphic>
          </wp:inline>
        </w:drawing>
      </w:r>
      <w:r w:rsidRPr="000B4C8B">
        <w:rPr>
          <w:noProof/>
          <w:lang w:val="en-US"/>
        </w:rPr>
        <w:drawing>
          <wp:inline distT="0" distB="0" distL="0" distR="0" wp14:anchorId="6CD117B1" wp14:editId="11ABCADE">
            <wp:extent cx="3182112" cy="2673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2616" cy="2690998"/>
                    </a:xfrm>
                    <a:prstGeom prst="rect">
                      <a:avLst/>
                    </a:prstGeom>
                    <a:noFill/>
                    <a:ln>
                      <a:noFill/>
                    </a:ln>
                  </pic:spPr>
                </pic:pic>
              </a:graphicData>
            </a:graphic>
          </wp:inline>
        </w:drawing>
      </w:r>
    </w:p>
    <w:p w14:paraId="557BFDE6" w14:textId="0E66DAD6" w:rsidR="005B20A0" w:rsidRDefault="005B20A0" w:rsidP="005B20A0">
      <w:pPr>
        <w:pStyle w:val="Caption"/>
        <w:jc w:val="center"/>
        <w:rPr>
          <w:lang w:val="en-US"/>
        </w:rPr>
      </w:pPr>
      <w:r>
        <w:t xml:space="preserve">Figure </w:t>
      </w:r>
      <w:r>
        <w:fldChar w:fldCharType="begin"/>
      </w:r>
      <w:r>
        <w:instrText xml:space="preserve"> SEQ Figure \* ARABIC </w:instrText>
      </w:r>
      <w:r>
        <w:fldChar w:fldCharType="separate"/>
      </w:r>
      <w:r w:rsidR="00316B83">
        <w:rPr>
          <w:noProof/>
        </w:rPr>
        <w:t>3</w:t>
      </w:r>
      <w:r>
        <w:fldChar w:fldCharType="end"/>
      </w:r>
      <w:r>
        <w:t xml:space="preserve">: Handover Locations for UE in FR2 with </w:t>
      </w:r>
      <w:r>
        <w:t>50</w:t>
      </w:r>
      <w:r>
        <w:t xml:space="preserve"> RPM rotation</w:t>
      </w:r>
      <w:r>
        <w:t xml:space="preserve"> (a) without L1-RSRP Filtering showing heavy ping-pong effect and (b) with layer 1 filtering of L1-RSRP which reduced pin</w:t>
      </w:r>
      <w:r w:rsidR="00316B83">
        <w:t>g-pong effect</w:t>
      </w:r>
    </w:p>
    <w:p w14:paraId="1AFFC980" w14:textId="05ACFF43" w:rsidR="00781D95" w:rsidRDefault="00781D95" w:rsidP="00781D95">
      <w:r>
        <w:t>Based on the evaluation results there is a need for L1-RSRP averaging to be performed for L1 handover modelling to avoid ping</w:t>
      </w:r>
      <w:r w:rsidR="00306086">
        <w:t>-</w:t>
      </w:r>
      <w:r>
        <w:t xml:space="preserve">pong effect. This is similar to the L3 Handover case which uses a cell-level and a beam level metric. Additionally, spatial domain filtering across beams at the UE is also needed to smoothen the L1-RSRP. Such filtering needs to be accounted for before the L1-RSRP is reported back to the gNB. </w:t>
      </w:r>
    </w:p>
    <w:p w14:paraId="101EEE7F" w14:textId="6758BDCD" w:rsidR="00781D95" w:rsidRDefault="00781D95" w:rsidP="00781D95">
      <w:r>
        <w:t>For L1-handover modelling the spatial averaging can be performed at the UE and the UE can trigger can a handover event i.e., an event driven handover mechanism can be considered</w:t>
      </w:r>
      <w:r w:rsidR="00306086">
        <w:t xml:space="preserve"> as discussed in the next section</w:t>
      </w:r>
      <w:r>
        <w:t xml:space="preserve">. However, before pursuing normative work on this model, </w:t>
      </w:r>
      <w:r w:rsidR="00306086">
        <w:t xml:space="preserve">it needs to be clarified </w:t>
      </w:r>
      <w:r>
        <w:t>how L1 inter-cell mobility coexists with L3 handover framework</w:t>
      </w:r>
      <w:r w:rsidR="00306086">
        <w:t xml:space="preserve">. </w:t>
      </w:r>
    </w:p>
    <w:p w14:paraId="1B31CEA5" w14:textId="632A36A1" w:rsidR="00F27E40" w:rsidRPr="008D44BD" w:rsidRDefault="00F27E40" w:rsidP="00F27E40">
      <w:pPr>
        <w:spacing w:after="0"/>
        <w:rPr>
          <w:b/>
          <w:bCs/>
          <w:i/>
          <w:iCs/>
        </w:rPr>
      </w:pPr>
      <w:r w:rsidRPr="002472FF">
        <w:rPr>
          <w:b/>
          <w:bCs/>
          <w:i/>
          <w:iCs/>
        </w:rPr>
        <w:lastRenderedPageBreak/>
        <w:t xml:space="preserve">Observation </w:t>
      </w:r>
      <w:r>
        <w:rPr>
          <w:b/>
          <w:bCs/>
          <w:i/>
          <w:iCs/>
        </w:rPr>
        <w:t>1</w:t>
      </w:r>
      <w:r w:rsidRPr="002472FF">
        <w:rPr>
          <w:b/>
          <w:bCs/>
          <w:i/>
          <w:iCs/>
        </w:rPr>
        <w:t>: L1 based handover modelling suffers from ping-pong effect especially when impairments such as UE rotation is considered. To this end, time and spatial domain filtering for L1-RSRP reporting and UE triggered serving cell change event might need to be considered.</w:t>
      </w:r>
      <w:r>
        <w:rPr>
          <w:b/>
          <w:bCs/>
          <w:i/>
          <w:iCs/>
        </w:rPr>
        <w:t xml:space="preserve"> Additionally, it should be clarified how </w:t>
      </w:r>
      <w:r w:rsidR="008D44BD">
        <w:rPr>
          <w:b/>
          <w:bCs/>
          <w:i/>
          <w:iCs/>
        </w:rPr>
        <w:t>L1/L2 based</w:t>
      </w:r>
      <w:r w:rsidRPr="002472FF">
        <w:rPr>
          <w:b/>
          <w:bCs/>
        </w:rPr>
        <w:t xml:space="preserve"> </w:t>
      </w:r>
      <w:r w:rsidR="008D44BD" w:rsidRPr="008D44BD">
        <w:rPr>
          <w:b/>
          <w:bCs/>
          <w:i/>
          <w:iCs/>
        </w:rPr>
        <w:t xml:space="preserve">handover </w:t>
      </w:r>
      <w:r w:rsidRPr="008D44BD">
        <w:rPr>
          <w:b/>
          <w:bCs/>
          <w:i/>
          <w:iCs/>
        </w:rPr>
        <w:t>co-exists with current L3 handover framework?</w:t>
      </w:r>
    </w:p>
    <w:p w14:paraId="3E5D43D3" w14:textId="77777777" w:rsidR="00781D95" w:rsidRDefault="00781D95" w:rsidP="00837927">
      <w:pPr>
        <w:rPr>
          <w:lang w:val="en-US"/>
        </w:rPr>
      </w:pPr>
    </w:p>
    <w:p w14:paraId="0FCB4E08" w14:textId="22F45A79" w:rsidR="0043690E" w:rsidRPr="0076460D" w:rsidRDefault="0043690E" w:rsidP="00B0480A">
      <w:pPr>
        <w:pStyle w:val="Heading2"/>
        <w:rPr>
          <w:lang w:val="en-US"/>
        </w:rPr>
      </w:pPr>
      <w:r>
        <w:rPr>
          <w:lang w:val="en-US"/>
        </w:rPr>
        <w:t>UE Event Triggered L1/L2 Mobility</w:t>
      </w:r>
    </w:p>
    <w:p w14:paraId="057D36EB" w14:textId="0B1246EC" w:rsidR="0043690E" w:rsidRDefault="0043690E" w:rsidP="0043690E">
      <w:pPr>
        <w:spacing w:before="240"/>
      </w:pPr>
      <w:r>
        <w:t xml:space="preserve">An event triggered L1/L2 centric mobility approach may be efficient </w:t>
      </w:r>
      <w:r w:rsidR="00563113">
        <w:t xml:space="preserve">tool to reduce latency of L1/L2 based handover </w:t>
      </w:r>
      <w:r w:rsidR="001375A1">
        <w:t>triggering</w:t>
      </w:r>
      <w:r w:rsidR="00563113">
        <w:t xml:space="preserve">. A </w:t>
      </w:r>
      <w:r>
        <w:t xml:space="preserve">UE triggered L1-RSRP report </w:t>
      </w:r>
      <w:r w:rsidR="00563113">
        <w:t xml:space="preserve">can be used </w:t>
      </w:r>
      <w:r>
        <w:t xml:space="preserve">to enable TCI state switch to a non-serving cell. An example of such a methodology is provided in </w:t>
      </w:r>
      <w:r>
        <w:fldChar w:fldCharType="begin"/>
      </w:r>
      <w:r>
        <w:instrText xml:space="preserve"> REF _Ref79158811 \h </w:instrText>
      </w:r>
      <w:r>
        <w:fldChar w:fldCharType="separate"/>
      </w:r>
      <w:r>
        <w:t xml:space="preserve">Figure </w:t>
      </w:r>
      <w:r>
        <w:rPr>
          <w:noProof/>
        </w:rPr>
        <w:t>3</w:t>
      </w:r>
      <w:r>
        <w:fldChar w:fldCharType="end"/>
      </w:r>
      <w:r>
        <w:t>.</w:t>
      </w:r>
    </w:p>
    <w:p w14:paraId="2FB076B7" w14:textId="77777777" w:rsidR="0043690E" w:rsidRDefault="0043690E" w:rsidP="0043690E">
      <w:pPr>
        <w:keepNext/>
        <w:spacing w:before="240"/>
        <w:jc w:val="center"/>
      </w:pPr>
      <w:r>
        <w:object w:dxaOrig="10051" w:dyaOrig="8655" w14:anchorId="44A8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47.35pt" o:ole="">
            <v:imagedata r:id="rId16" o:title=""/>
          </v:shape>
          <o:OLEObject Type="Embed" ProgID="Visio.Drawing.15" ShapeID="_x0000_i1025" DrawAspect="Content" ObjectID="_1729266827" r:id="rId17"/>
        </w:object>
      </w:r>
    </w:p>
    <w:p w14:paraId="1FC71DCE" w14:textId="66AC7781" w:rsidR="0043690E" w:rsidRDefault="0043690E" w:rsidP="0043690E">
      <w:pPr>
        <w:pStyle w:val="Caption"/>
        <w:jc w:val="center"/>
      </w:pPr>
      <w:bookmarkStart w:id="1" w:name="_Ref79158811"/>
      <w:r>
        <w:t xml:space="preserve">Figure </w:t>
      </w:r>
      <w:r>
        <w:fldChar w:fldCharType="begin"/>
      </w:r>
      <w:r>
        <w:instrText xml:space="preserve"> SEQ Figure \* ARABIC </w:instrText>
      </w:r>
      <w:r>
        <w:fldChar w:fldCharType="separate"/>
      </w:r>
      <w:r w:rsidR="00904CC0">
        <w:rPr>
          <w:noProof/>
        </w:rPr>
        <w:t>3</w:t>
      </w:r>
      <w:r>
        <w:fldChar w:fldCharType="end"/>
      </w:r>
      <w:bookmarkEnd w:id="1"/>
      <w:r>
        <w:t>: UE Event Triggered L1/L2 Mobility</w:t>
      </w:r>
    </w:p>
    <w:p w14:paraId="34CF1AB7" w14:textId="397649E5" w:rsidR="0043690E" w:rsidRDefault="001375A1" w:rsidP="0043690E">
      <w:r>
        <w:t xml:space="preserve">The final step of the process may either correspond to a TCI state switch </w:t>
      </w:r>
      <w:r w:rsidR="00E50A25">
        <w:t xml:space="preserve">to non-serving cell or </w:t>
      </w:r>
      <w:r w:rsidR="00CC5A99">
        <w:t xml:space="preserve">may be replaced with an L1/L2 mobility event trigger from Figure 1. </w:t>
      </w:r>
    </w:p>
    <w:p w14:paraId="08409EC6" w14:textId="77777777" w:rsidR="0043690E" w:rsidRDefault="0043690E" w:rsidP="0043690E">
      <w:r>
        <w:t xml:space="preserve">To enable the UE to trigger an event, the gNB may configure a L1/L2 mobility specific periodic PUCCH resource for the UE. Using this PUCCH, the UE can transmit an SR like UCI which indicates to gNB that the UE has an L1-RSRP report related to non-serving cell beams which it wants to transmit. In response, the gNB can then trigger an aperiodic L1-RSRP report where the UE reports the measured RS index and the corresponding L1-RSRP for up to K non-serving cell beams. The event that triggers the PUCCH SR transmission could be the case when at least one of the periodically measured non-serving cell beams has an L1-RSRP which is higher than the current serving cell beam or any of the other tracked serving cell beams. The threshold of RSRP difference after which the UE triggers the PUCCH SR may be configured or pre-defined or up to UE implementation. </w:t>
      </w:r>
    </w:p>
    <w:p w14:paraId="3217BF90" w14:textId="2D4D0BB7" w:rsidR="0043690E" w:rsidRPr="007E6605" w:rsidRDefault="0043690E" w:rsidP="007E6605">
      <w:pPr>
        <w:pStyle w:val="ListParagraph"/>
        <w:numPr>
          <w:ilvl w:val="0"/>
          <w:numId w:val="24"/>
        </w:numPr>
        <w:rPr>
          <w:b/>
          <w:bCs/>
        </w:rPr>
      </w:pPr>
      <w:r w:rsidRPr="007E6605">
        <w:rPr>
          <w:b/>
          <w:bCs/>
        </w:rPr>
        <w:t>: UE event driven L1/L2 centric mobility</w:t>
      </w:r>
      <w:r w:rsidR="007E6605">
        <w:rPr>
          <w:b/>
          <w:bCs/>
        </w:rPr>
        <w:t xml:space="preserve"> </w:t>
      </w:r>
      <w:r w:rsidR="005B352D">
        <w:rPr>
          <w:b/>
          <w:bCs/>
        </w:rPr>
        <w:t>triggering should be considered</w:t>
      </w:r>
    </w:p>
    <w:p w14:paraId="541CC28A" w14:textId="77777777" w:rsidR="0043690E" w:rsidRPr="00095191" w:rsidRDefault="0043690E" w:rsidP="007E6605">
      <w:pPr>
        <w:pStyle w:val="ListParagraph"/>
        <w:numPr>
          <w:ilvl w:val="0"/>
          <w:numId w:val="25"/>
        </w:numPr>
        <w:ind w:left="2070" w:hanging="270"/>
        <w:rPr>
          <w:b/>
          <w:bCs/>
        </w:rPr>
      </w:pPr>
      <w:r w:rsidRPr="00095191">
        <w:rPr>
          <w:b/>
          <w:bCs/>
        </w:rPr>
        <w:lastRenderedPageBreak/>
        <w:t>Dedicated PUCCH resource can be configured where UE transmits an SR when L1-RSRP of at least one of the non-serving cell beams exceeds that of the serving cell beam(s) by a threshold</w:t>
      </w:r>
    </w:p>
    <w:p w14:paraId="6E60100E" w14:textId="77777777" w:rsidR="0043690E" w:rsidRDefault="0043690E" w:rsidP="007E6605">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47DE4BE2" w14:textId="77777777" w:rsidR="00D316E1" w:rsidRDefault="00D316E1" w:rsidP="007E6605">
      <w:pPr>
        <w:ind w:left="2070" w:hanging="270"/>
        <w:rPr>
          <w:lang w:val="en-US"/>
        </w:rPr>
      </w:pPr>
    </w:p>
    <w:p w14:paraId="779E0994" w14:textId="4F38C23A" w:rsidR="00B0480A" w:rsidRDefault="000C2D7F" w:rsidP="00A93254">
      <w:pPr>
        <w:pStyle w:val="Heading1"/>
        <w:pBdr>
          <w:top w:val="single" w:sz="12" w:space="4" w:color="auto"/>
        </w:pBdr>
        <w:ind w:left="0" w:firstLine="0"/>
        <w:rPr>
          <w:lang w:val="en-US"/>
        </w:rPr>
      </w:pPr>
      <w:r>
        <w:rPr>
          <w:lang w:val="en-US"/>
        </w:rPr>
        <w:t>Discussion on RAN-2 LS</w:t>
      </w:r>
    </w:p>
    <w:p w14:paraId="7BED5FF6" w14:textId="11410679" w:rsidR="000C2D7F" w:rsidRDefault="00A500F7" w:rsidP="000C2D7F">
      <w:pPr>
        <w:rPr>
          <w:lang w:val="en-US"/>
        </w:rPr>
      </w:pPr>
      <w:r>
        <w:rPr>
          <w:lang w:val="en-US"/>
        </w:rPr>
        <w:t>RAN2 has sent an LS</w:t>
      </w:r>
      <w:r w:rsidR="003506CD">
        <w:rPr>
          <w:lang w:val="en-US"/>
        </w:rPr>
        <w:t xml:space="preserve"> </w:t>
      </w:r>
      <w:r w:rsidR="003506CD">
        <w:rPr>
          <w:lang w:val="en-US"/>
        </w:rPr>
        <w:fldChar w:fldCharType="begin"/>
      </w:r>
      <w:r w:rsidR="003506CD">
        <w:rPr>
          <w:lang w:val="en-US"/>
        </w:rPr>
        <w:instrText xml:space="preserve"> REF _Ref118650051 \r \h </w:instrText>
      </w:r>
      <w:r w:rsidR="003506CD">
        <w:rPr>
          <w:lang w:val="en-US"/>
        </w:rPr>
      </w:r>
      <w:r w:rsidR="003506CD">
        <w:rPr>
          <w:lang w:val="en-US"/>
        </w:rPr>
        <w:fldChar w:fldCharType="separate"/>
      </w:r>
      <w:r w:rsidR="003506CD">
        <w:rPr>
          <w:lang w:val="en-US"/>
        </w:rPr>
        <w:t>[3]</w:t>
      </w:r>
      <w:r w:rsidR="003506CD">
        <w:rPr>
          <w:lang w:val="en-US"/>
        </w:rPr>
        <w:fldChar w:fldCharType="end"/>
      </w:r>
      <w:r w:rsidR="003506CD">
        <w:rPr>
          <w:lang w:val="en-US"/>
        </w:rPr>
        <w:t xml:space="preserve"> with </w:t>
      </w:r>
      <w:r w:rsidR="00232644">
        <w:rPr>
          <w:lang w:val="en-US"/>
        </w:rPr>
        <w:t>information which can further impact RAN1 discussions</w:t>
      </w:r>
    </w:p>
    <w:tbl>
      <w:tblPr>
        <w:tblStyle w:val="TableGrid"/>
        <w:tblW w:w="0" w:type="auto"/>
        <w:tblLook w:val="04A0" w:firstRow="1" w:lastRow="0" w:firstColumn="1" w:lastColumn="0" w:noHBand="0" w:noVBand="1"/>
      </w:tblPr>
      <w:tblGrid>
        <w:gridCol w:w="10160"/>
      </w:tblGrid>
      <w:tr w:rsidR="00232644" w14:paraId="4A6A730E" w14:textId="77777777" w:rsidTr="00232644">
        <w:tc>
          <w:tcPr>
            <w:tcW w:w="10160" w:type="dxa"/>
          </w:tcPr>
          <w:p w14:paraId="4D792E9A" w14:textId="77777777" w:rsidR="00D633DE" w:rsidRPr="00E1101E" w:rsidRDefault="00D633DE" w:rsidP="00D633DE">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30243853" w14:textId="77777777" w:rsidR="00D633DE" w:rsidRPr="00E1101E" w:rsidRDefault="00D633DE" w:rsidP="00D633DE">
            <w:pPr>
              <w:pStyle w:val="Agreement"/>
              <w:tabs>
                <w:tab w:val="left" w:pos="644"/>
              </w:tabs>
              <w:rPr>
                <w:rFonts w:cs="Arial"/>
              </w:rPr>
            </w:pPr>
            <w:r w:rsidRPr="00E1101E">
              <w:rPr>
                <w:rFonts w:cs="Arial"/>
              </w:rPr>
              <w:t xml:space="preserve">R2 assumes that the following items may be discussed by RAN1 and RAN4 (and may be scenario specific): </w:t>
            </w:r>
          </w:p>
          <w:p w14:paraId="7891A2AA" w14:textId="77777777" w:rsidR="00D633DE" w:rsidRPr="00E1101E" w:rsidRDefault="00D633DE" w:rsidP="00D633DE">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061A3DC9" w14:textId="77777777" w:rsidR="00D633DE" w:rsidRPr="00E1101E" w:rsidRDefault="00D633DE" w:rsidP="00D633DE">
            <w:pPr>
              <w:pStyle w:val="Agreement"/>
              <w:numPr>
                <w:ilvl w:val="0"/>
                <w:numId w:val="0"/>
              </w:numPr>
              <w:tabs>
                <w:tab w:val="left" w:pos="644"/>
              </w:tabs>
              <w:ind w:left="644"/>
              <w:rPr>
                <w:rFonts w:cs="Arial"/>
              </w:rPr>
            </w:pPr>
            <w:r w:rsidRPr="00E1101E">
              <w:rPr>
                <w:rFonts w:cs="Arial"/>
              </w:rPr>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37C0FC65" w14:textId="77777777" w:rsidR="00D633DE" w:rsidRPr="00E1101E" w:rsidRDefault="00D633DE" w:rsidP="00D633DE">
            <w:pPr>
              <w:pStyle w:val="Agreement"/>
              <w:tabs>
                <w:tab w:val="left" w:pos="644"/>
              </w:tabs>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019F8743" w14:textId="77777777" w:rsidR="00D633DE" w:rsidRPr="00E1101E" w:rsidRDefault="00D633DE" w:rsidP="00D633DE">
            <w:pPr>
              <w:pStyle w:val="Agreement"/>
              <w:numPr>
                <w:ilvl w:val="0"/>
                <w:numId w:val="0"/>
              </w:numPr>
              <w:tabs>
                <w:tab w:val="left" w:pos="644"/>
              </w:tabs>
              <w:ind w:left="644"/>
              <w:rPr>
                <w:rFonts w:cs="Arial"/>
              </w:rPr>
            </w:pPr>
            <w:r w:rsidRPr="00E1101E">
              <w:rPr>
                <w:rFonts w:cs="Arial" w:hint="eastAsia"/>
              </w:rPr>
              <w:t>PCell change without SCell change</w:t>
            </w:r>
          </w:p>
          <w:p w14:paraId="6E638052" w14:textId="77777777" w:rsidR="00232644" w:rsidRDefault="00D633DE" w:rsidP="00255AE3">
            <w:pPr>
              <w:pStyle w:val="Agreement"/>
              <w:numPr>
                <w:ilvl w:val="0"/>
                <w:numId w:val="0"/>
              </w:numPr>
              <w:tabs>
                <w:tab w:val="left" w:pos="644"/>
              </w:tabs>
              <w:spacing w:after="240"/>
              <w:ind w:left="644"/>
              <w:rPr>
                <w:rFonts w:cs="Arial"/>
              </w:rPr>
            </w:pPr>
            <w:r w:rsidRPr="00E1101E">
              <w:rPr>
                <w:rFonts w:cs="Arial" w:hint="eastAsia"/>
              </w:rPr>
              <w:t>PCell change with SCell change</w:t>
            </w:r>
          </w:p>
          <w:p w14:paraId="196371D2" w14:textId="77777777" w:rsidR="00DF6A81" w:rsidRPr="004C4F1C" w:rsidRDefault="00DF6A81" w:rsidP="00DF6A81">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171248A7" w14:textId="77777777" w:rsidR="00DF6A81" w:rsidRPr="004C4F1C" w:rsidRDefault="00DF6A81" w:rsidP="00DF6A81">
            <w:pPr>
              <w:pStyle w:val="Agreement"/>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3379ED75" w14:textId="77777777" w:rsidR="00DF6A81" w:rsidRPr="004C4F1C" w:rsidRDefault="00DF6A81" w:rsidP="00DF6A81">
            <w:pPr>
              <w:pStyle w:val="Agreement"/>
              <w:rPr>
                <w:rFonts w:cs="Arial"/>
              </w:rPr>
            </w:pPr>
            <w:r w:rsidRPr="004C4F1C">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78395" w14:textId="77777777" w:rsidR="00DF6A81" w:rsidRPr="004C4F1C" w:rsidRDefault="00DF6A81" w:rsidP="00DF6A81">
            <w:pPr>
              <w:pStyle w:val="Agreement"/>
              <w:rPr>
                <w:rFonts w:cs="Arial"/>
              </w:rPr>
            </w:pPr>
            <w:r w:rsidRPr="004C4F1C">
              <w:rPr>
                <w:rFonts w:cs="Arial"/>
              </w:rPr>
              <w:t xml:space="preserve">RAN2 assumes that whether to use the unified TCI framework as the baseline for beam indication for L1L2 mobility is up to RAN1 (RAN2 observes that L1/L2 mobility need to support inter-freq cases). </w:t>
            </w:r>
          </w:p>
          <w:p w14:paraId="168AB0B6" w14:textId="77777777" w:rsidR="00CB7895" w:rsidRPr="004C4F1C" w:rsidRDefault="00CB7895" w:rsidP="00CB7895">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61A9E76B" w14:textId="77777777" w:rsidR="00CB7895" w:rsidRPr="004C4F1C" w:rsidRDefault="00CB7895" w:rsidP="00CB7895">
            <w:pPr>
              <w:pStyle w:val="Agreement"/>
              <w:rPr>
                <w:rFonts w:cs="Arial"/>
              </w:rPr>
            </w:pPr>
            <w:r w:rsidRPr="004C4F1C">
              <w:rPr>
                <w:rFonts w:cs="Arial"/>
              </w:rPr>
              <w:t xml:space="preserve">RAN2 assumes L1/2 mobility trigger information is conveyed in a MAC CE, FFS if the MAC CE or a DCI is used for the actual triggering. </w:t>
            </w:r>
          </w:p>
          <w:p w14:paraId="4E1FE1A4" w14:textId="77777777" w:rsidR="00CB7895" w:rsidRPr="004C4F1C" w:rsidRDefault="00CB7895" w:rsidP="00CB7895">
            <w:pPr>
              <w:pStyle w:val="Agreement"/>
              <w:rPr>
                <w:rFonts w:cs="Arial"/>
              </w:rPr>
            </w:pPr>
            <w:r w:rsidRPr="004C4F1C">
              <w:rPr>
                <w:rFonts w:cs="Arial"/>
              </w:rPr>
              <w:t xml:space="preserve">RAN2 assumes the MAC CE for L1/2 mobility trigger contains at least a candidate configuration index. </w:t>
            </w:r>
          </w:p>
          <w:p w14:paraId="770D0AF6" w14:textId="2A85E9B5" w:rsidR="00DF6A81" w:rsidRPr="00DF6A81" w:rsidRDefault="00DF6A81" w:rsidP="00DF6A81">
            <w:pPr>
              <w:pStyle w:val="Doc-text2"/>
              <w:ind w:left="0" w:firstLine="0"/>
            </w:pPr>
          </w:p>
        </w:tc>
      </w:tr>
    </w:tbl>
    <w:p w14:paraId="5CE98314" w14:textId="77777777" w:rsidR="00232644" w:rsidRDefault="00232644" w:rsidP="000C2D7F">
      <w:pPr>
        <w:rPr>
          <w:lang w:val="en-US"/>
        </w:rPr>
      </w:pPr>
    </w:p>
    <w:p w14:paraId="6D20B6A1" w14:textId="414DBE6C" w:rsidR="003658B1" w:rsidRDefault="003658B1" w:rsidP="000C2D7F">
      <w:pPr>
        <w:rPr>
          <w:lang w:val="en-US"/>
        </w:rPr>
      </w:pPr>
      <w:r>
        <w:rPr>
          <w:lang w:val="en-US"/>
        </w:rPr>
        <w:t>From RAN1 perspective, RAN2’s assumption of</w:t>
      </w:r>
      <w:r w:rsidR="006D7196">
        <w:rPr>
          <w:lang w:val="en-US"/>
        </w:rPr>
        <w:t xml:space="preserve"> DL synchronization to candidate/target cell before cell switch command</w:t>
      </w:r>
      <w:r w:rsidR="001957A4">
        <w:rPr>
          <w:lang w:val="en-US"/>
        </w:rPr>
        <w:t xml:space="preserve"> for the case of an already active serving cell should be feasible and RAN1 can further discuss how this may be performed. </w:t>
      </w:r>
    </w:p>
    <w:p w14:paraId="32812F38" w14:textId="5E18D16F" w:rsidR="001957A4" w:rsidRDefault="00DF6A81" w:rsidP="000C2D7F">
      <w:pPr>
        <w:rPr>
          <w:lang w:val="en-US"/>
        </w:rPr>
      </w:pPr>
      <w:r>
        <w:rPr>
          <w:lang w:val="en-US"/>
        </w:rPr>
        <w:t>For L1 measurements</w:t>
      </w:r>
      <w:r w:rsidR="00FC198F">
        <w:rPr>
          <w:lang w:val="en-US"/>
        </w:rPr>
        <w:t xml:space="preserve"> and beam indication, as</w:t>
      </w:r>
      <w:r>
        <w:rPr>
          <w:lang w:val="en-US"/>
        </w:rPr>
        <w:t xml:space="preserve"> discussed before, there </w:t>
      </w:r>
      <w:r w:rsidR="00FC198F">
        <w:rPr>
          <w:lang w:val="en-US"/>
        </w:rPr>
        <w:t>may be the need to consider L1-filtering of measurement quantity to avoid ping-pong effects and based on RAN2’s LS, it should be a topic which is further discussed in RAN1. If any progress is made, we can inform RAN2</w:t>
      </w:r>
      <w:r w:rsidR="002763D3">
        <w:rPr>
          <w:lang w:val="en-US"/>
        </w:rPr>
        <w:t xml:space="preserve">. </w:t>
      </w:r>
    </w:p>
    <w:p w14:paraId="78EE96EF" w14:textId="1E5F59DA" w:rsidR="002763D3" w:rsidRDefault="00C66A5F" w:rsidP="000C2D7F">
      <w:pPr>
        <w:rPr>
          <w:lang w:val="en-US"/>
        </w:rPr>
      </w:pPr>
      <w:r>
        <w:rPr>
          <w:lang w:val="en-US"/>
        </w:rPr>
        <w:lastRenderedPageBreak/>
        <w:t>Based on</w:t>
      </w:r>
      <w:r w:rsidR="002763D3">
        <w:rPr>
          <w:lang w:val="en-US"/>
        </w:rPr>
        <w:t xml:space="preserve"> RAN2’s assumption that </w:t>
      </w:r>
      <w:r>
        <w:rPr>
          <w:lang w:val="en-US"/>
        </w:rPr>
        <w:t xml:space="preserve">whether </w:t>
      </w:r>
      <w:r w:rsidR="002763D3">
        <w:rPr>
          <w:lang w:val="en-US"/>
        </w:rPr>
        <w:t>unified TCI framework is used as the baselin</w:t>
      </w:r>
      <w:r>
        <w:rPr>
          <w:lang w:val="en-US"/>
        </w:rPr>
        <w:t>e for beam indication for L1/L2 mobility</w:t>
      </w:r>
      <w:r w:rsidR="004603CC">
        <w:rPr>
          <w:lang w:val="en-US"/>
        </w:rPr>
        <w:t xml:space="preserve">, we further refer to Proposal 3 and reasons therein. RAN2 can be informed of RAN1 decision. </w:t>
      </w:r>
    </w:p>
    <w:p w14:paraId="4183FD08" w14:textId="580A292C" w:rsidR="000C2D7F" w:rsidRPr="000C2D7F" w:rsidRDefault="00CB7895" w:rsidP="000C2D7F">
      <w:pPr>
        <w:rPr>
          <w:lang w:val="en-US"/>
        </w:rPr>
      </w:pPr>
      <w:r>
        <w:rPr>
          <w:lang w:val="en-US"/>
        </w:rPr>
        <w:t>For Dynamic Cell Switching, RAN2 assumes trigger information is conveyed in MAC-CE</w:t>
      </w:r>
      <w:r w:rsidR="00F7088D">
        <w:rPr>
          <w:lang w:val="en-US"/>
        </w:rPr>
        <w:t>. We think that use of DCI or MAC-CE for actual triggering should be a discussion led by RAN1.</w:t>
      </w:r>
      <w:r w:rsidR="00784CAF">
        <w:rPr>
          <w:lang w:val="en-US"/>
        </w:rPr>
        <w:t xml:space="preserve"> From our perspective, we prefer MAC-CE based triggering of cell</w:t>
      </w:r>
      <w:r w:rsidR="00C85E53">
        <w:rPr>
          <w:lang w:val="en-US"/>
        </w:rPr>
        <w:t>-switch.</w:t>
      </w:r>
    </w:p>
    <w:p w14:paraId="350A949A" w14:textId="792E130E" w:rsidR="00A93254" w:rsidRPr="009C2192" w:rsidRDefault="00A93254" w:rsidP="00A93254">
      <w:pPr>
        <w:pStyle w:val="Heading1"/>
        <w:pBdr>
          <w:top w:val="single" w:sz="12" w:space="4" w:color="auto"/>
        </w:pBdr>
        <w:ind w:left="0" w:firstLine="0"/>
        <w:rPr>
          <w:lang w:val="en-US"/>
        </w:rPr>
      </w:pPr>
      <w:r>
        <w:rPr>
          <w:rFonts w:cs="Arial"/>
          <w:sz w:val="32"/>
          <w:szCs w:val="18"/>
          <w:lang w:val="en-US"/>
        </w:rPr>
        <w:t>Conclusions</w:t>
      </w:r>
    </w:p>
    <w:p w14:paraId="4B015BA3" w14:textId="77777777" w:rsidR="007E6605" w:rsidRDefault="007E6605" w:rsidP="007E6605">
      <w:pPr>
        <w:pStyle w:val="ListParagraph"/>
        <w:numPr>
          <w:ilvl w:val="0"/>
          <w:numId w:val="27"/>
        </w:numPr>
        <w:rPr>
          <w:b/>
          <w:bCs/>
        </w:rPr>
      </w:pPr>
      <w:r w:rsidRPr="00D316E1">
        <w:rPr>
          <w:b/>
          <w:bCs/>
        </w:rPr>
        <w:t>CSI-RS for BM associated with non-serving cells can be used for L1 measurements in addition to non-serving cell SSBs</w:t>
      </w:r>
    </w:p>
    <w:p w14:paraId="79950C59" w14:textId="393CBA21" w:rsidR="0089201D" w:rsidRDefault="0089201D" w:rsidP="00D743DE">
      <w:pPr>
        <w:pStyle w:val="ListParagraph"/>
        <w:numPr>
          <w:ilvl w:val="0"/>
          <w:numId w:val="27"/>
        </w:numPr>
        <w:spacing w:before="240"/>
        <w:rPr>
          <w:b/>
          <w:bCs/>
        </w:rPr>
      </w:pPr>
      <w:r w:rsidRPr="006509C8">
        <w:rPr>
          <w:b/>
          <w:bCs/>
        </w:rPr>
        <w:t>L1-SINR as measurement quantity and UL measurements for L1/L2 mobility can be deprioritized</w:t>
      </w:r>
    </w:p>
    <w:p w14:paraId="75B5B666" w14:textId="77777777" w:rsidR="00D743DE" w:rsidRDefault="00D743DE" w:rsidP="00D743DE">
      <w:pPr>
        <w:pStyle w:val="ListParagraph"/>
        <w:numPr>
          <w:ilvl w:val="0"/>
          <w:numId w:val="27"/>
        </w:numPr>
        <w:spacing w:before="240"/>
        <w:rPr>
          <w:b/>
          <w:bCs/>
        </w:rPr>
      </w:pPr>
      <w:r w:rsidRPr="00EB001B">
        <w:rPr>
          <w:b/>
          <w:bCs/>
        </w:rPr>
        <w:t>For beam indication of L1/L2 mobility support Option A (</w:t>
      </w:r>
      <w:r w:rsidRPr="00EB001B">
        <w:rPr>
          <w:rFonts w:hint="eastAsia"/>
          <w:b/>
          <w:bCs/>
        </w:rPr>
        <w:t>Beam indication for Rel-18 L1/L2 mobility is designed based on Rel-17 TCI framework mechanism</w:t>
      </w:r>
      <w:r w:rsidRPr="00EB001B">
        <w:rPr>
          <w:b/>
          <w:bCs/>
        </w:rPr>
        <w:t>)</w:t>
      </w:r>
    </w:p>
    <w:p w14:paraId="5B6AB1E5" w14:textId="77777777" w:rsidR="005B352D" w:rsidRPr="00D316E1" w:rsidRDefault="005B352D" w:rsidP="005B352D">
      <w:pPr>
        <w:pStyle w:val="ListParagraph"/>
        <w:numPr>
          <w:ilvl w:val="0"/>
          <w:numId w:val="0"/>
        </w:numPr>
        <w:ind w:left="720"/>
        <w:rPr>
          <w:b/>
          <w:bCs/>
        </w:rPr>
      </w:pPr>
    </w:p>
    <w:p w14:paraId="139533F5" w14:textId="77777777" w:rsidR="005B352D" w:rsidRPr="007E6605" w:rsidRDefault="005B352D" w:rsidP="00D743DE">
      <w:pPr>
        <w:pStyle w:val="ListParagraph"/>
        <w:numPr>
          <w:ilvl w:val="0"/>
          <w:numId w:val="27"/>
        </w:numPr>
        <w:rPr>
          <w:b/>
          <w:bCs/>
        </w:rPr>
      </w:pPr>
      <w:r w:rsidRPr="007E6605">
        <w:rPr>
          <w:b/>
          <w:bCs/>
        </w:rPr>
        <w:t>UE event driven L1/L2 centric mobility</w:t>
      </w:r>
      <w:r>
        <w:rPr>
          <w:b/>
          <w:bCs/>
        </w:rPr>
        <w:t xml:space="preserve"> triggering should be considered</w:t>
      </w:r>
    </w:p>
    <w:p w14:paraId="5DF7021D" w14:textId="77777777" w:rsidR="005B352D" w:rsidRPr="00095191" w:rsidRDefault="005B352D" w:rsidP="005B352D">
      <w:pPr>
        <w:pStyle w:val="ListParagraph"/>
        <w:numPr>
          <w:ilvl w:val="0"/>
          <w:numId w:val="25"/>
        </w:numPr>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6818F0A5" w14:textId="77777777" w:rsidR="005B352D" w:rsidRDefault="005B352D" w:rsidP="005B352D">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10660641" w14:textId="77777777" w:rsidR="00A93254" w:rsidRDefault="00A93254"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4D98CA2" w14:textId="77777777" w:rsidR="00CC30A1" w:rsidRDefault="003E7E0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47732651"/>
      <w:bookmarkStart w:id="3" w:name="_Ref102134626"/>
      <w:bookmarkStart w:id="4" w:name="_Hlk47700964"/>
      <w:bookmarkStart w:id="5" w:name="_Ref47692869"/>
      <w:r w:rsidRPr="003E7E0B">
        <w:rPr>
          <w:rFonts w:ascii="Times New Roman" w:eastAsia="SimSun" w:hAnsi="Times New Roman" w:cs="Times New Roman"/>
          <w:color w:val="auto"/>
          <w:sz w:val="18"/>
          <w:szCs w:val="18"/>
          <w:lang w:eastAsia="zh-CN"/>
        </w:rPr>
        <w:t>RP-213565</w:t>
      </w:r>
      <w:r w:rsidR="00ED1975" w:rsidRPr="008D2E98">
        <w:rPr>
          <w:rFonts w:ascii="Times New Roman" w:eastAsia="SimSun" w:hAnsi="Times New Roman" w:cs="Times New Roman"/>
          <w:color w:val="auto"/>
          <w:sz w:val="18"/>
          <w:szCs w:val="18"/>
          <w:lang w:eastAsia="zh-CN"/>
        </w:rPr>
        <w:t xml:space="preserve">, </w:t>
      </w:r>
      <w:r w:rsidR="000B48AD" w:rsidRPr="000B48AD">
        <w:rPr>
          <w:rFonts w:ascii="Times New Roman" w:eastAsia="SimSun" w:hAnsi="Times New Roman" w:cs="Times New Roman"/>
          <w:color w:val="auto"/>
          <w:sz w:val="18"/>
          <w:szCs w:val="18"/>
          <w:lang w:eastAsia="zh-CN"/>
        </w:rPr>
        <w:t>New WID on Further NR mobility enhancements</w:t>
      </w:r>
      <w:r w:rsidR="00ED1975" w:rsidRPr="008D2E98">
        <w:rPr>
          <w:rFonts w:ascii="Times New Roman" w:eastAsia="SimSun" w:hAnsi="Times New Roman" w:cs="Times New Roman"/>
          <w:color w:val="auto"/>
          <w:sz w:val="18"/>
          <w:szCs w:val="18"/>
          <w:lang w:eastAsia="zh-CN"/>
        </w:rPr>
        <w:t xml:space="preserve">, </w:t>
      </w:r>
      <w:r w:rsidR="009C14DC">
        <w:rPr>
          <w:rFonts w:ascii="Times New Roman" w:eastAsia="SimSun" w:hAnsi="Times New Roman" w:cs="Times New Roman"/>
          <w:color w:val="auto"/>
          <w:sz w:val="18"/>
          <w:szCs w:val="18"/>
          <w:lang w:eastAsia="zh-CN"/>
        </w:rPr>
        <w:t>MediaTek</w:t>
      </w:r>
      <w:r w:rsidR="00ED1975" w:rsidRPr="008D2E98">
        <w:rPr>
          <w:rFonts w:ascii="Times New Roman" w:eastAsia="SimSun" w:hAnsi="Times New Roman" w:cs="Times New Roman"/>
          <w:color w:val="auto"/>
          <w:sz w:val="18"/>
          <w:szCs w:val="18"/>
          <w:lang w:eastAsia="zh-CN"/>
        </w:rPr>
        <w:t>,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2"/>
      <w:r w:rsidR="00CA2431" w:rsidRPr="00CA2431">
        <w:rPr>
          <w:rFonts w:ascii="Times New Roman" w:eastAsia="SimSun" w:hAnsi="Times New Roman" w:cs="Times New Roman"/>
          <w:color w:val="auto"/>
          <w:sz w:val="18"/>
          <w:szCs w:val="18"/>
          <w:lang w:eastAsia="zh-CN"/>
        </w:rPr>
        <w:t>Electronic Meeting, Dec. 6 - 17, 2021</w:t>
      </w:r>
      <w:bookmarkEnd w:id="3"/>
      <w:r w:rsidR="00ED1975" w:rsidRPr="008D2E98">
        <w:rPr>
          <w:rFonts w:ascii="Times New Roman" w:eastAsia="SimSun" w:hAnsi="Times New Roman" w:cs="Times New Roman"/>
          <w:color w:val="auto"/>
          <w:sz w:val="18"/>
          <w:szCs w:val="18"/>
          <w:lang w:eastAsia="zh-CN"/>
        </w:rPr>
        <w:t xml:space="preserve"> </w:t>
      </w:r>
      <w:bookmarkEnd w:id="4"/>
      <w:bookmarkEnd w:id="5"/>
    </w:p>
    <w:p w14:paraId="5D1183C1" w14:textId="7D76C979" w:rsidR="008D2E98" w:rsidRDefault="00CC30A1"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15448059"/>
      <w:r>
        <w:rPr>
          <w:rFonts w:ascii="Times New Roman" w:eastAsia="SimSun" w:hAnsi="Times New Roman" w:cs="Times New Roman"/>
          <w:color w:val="auto"/>
          <w:sz w:val="18"/>
          <w:szCs w:val="18"/>
          <w:lang w:eastAsia="zh-CN"/>
        </w:rPr>
        <w:t>R</w:t>
      </w:r>
      <w:r w:rsidRPr="00CC30A1">
        <w:rPr>
          <w:rFonts w:ascii="Times New Roman" w:eastAsia="SimSun" w:hAnsi="Times New Roman" w:cs="Times New Roman"/>
          <w:color w:val="auto"/>
          <w:sz w:val="18"/>
          <w:szCs w:val="18"/>
          <w:lang w:eastAsia="zh-CN"/>
        </w:rPr>
        <w:t>1-2007151, Moderator summary for multi-beam enhancement: EVM, Samsung, RAN1#102-e</w:t>
      </w:r>
      <w:bookmarkEnd w:id="6"/>
    </w:p>
    <w:p w14:paraId="5C891912" w14:textId="74C7341E" w:rsidR="00985F7B" w:rsidRPr="00CC30A1" w:rsidRDefault="00985F7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7" w:name="_Ref118650051"/>
      <w:r>
        <w:rPr>
          <w:rFonts w:ascii="Times New Roman" w:eastAsia="SimSun" w:hAnsi="Times New Roman" w:cs="Times New Roman"/>
          <w:color w:val="auto"/>
          <w:sz w:val="18"/>
          <w:szCs w:val="18"/>
          <w:lang w:eastAsia="zh-CN"/>
        </w:rPr>
        <w:t xml:space="preserve">R1-2210810, </w:t>
      </w:r>
      <w:r w:rsidR="00BD0639" w:rsidRPr="00BD0639">
        <w:rPr>
          <w:rFonts w:ascii="Times New Roman" w:eastAsia="SimSun" w:hAnsi="Times New Roman" w:cs="Times New Roman"/>
          <w:color w:val="auto"/>
          <w:sz w:val="18"/>
          <w:szCs w:val="18"/>
          <w:lang w:eastAsia="zh-CN"/>
        </w:rPr>
        <w:t>LS on RAN2 agreements about L1/L2-triggered mobility (LTM)</w:t>
      </w:r>
      <w:r w:rsidR="00BD0639">
        <w:rPr>
          <w:rFonts w:ascii="Times New Roman" w:eastAsia="SimSun" w:hAnsi="Times New Roman" w:cs="Times New Roman"/>
          <w:color w:val="auto"/>
          <w:sz w:val="18"/>
          <w:szCs w:val="18"/>
          <w:lang w:eastAsia="zh-CN"/>
        </w:rPr>
        <w:t>, RAN1#111, France, November 2022.</w:t>
      </w:r>
      <w:bookmarkEnd w:id="7"/>
      <w:r w:rsidR="00BD0639">
        <w:rPr>
          <w:rFonts w:ascii="Times New Roman" w:eastAsia="SimSun" w:hAnsi="Times New Roman" w:cs="Times New Roman"/>
          <w:color w:val="auto"/>
          <w:sz w:val="18"/>
          <w:szCs w:val="18"/>
          <w:lang w:eastAsia="zh-CN"/>
        </w:rPr>
        <w:t xml:space="preserve"> </w:t>
      </w:r>
    </w:p>
    <w:sectPr w:rsidR="00985F7B" w:rsidRPr="00CC30A1"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7C44" w14:textId="77777777" w:rsidR="00921D79" w:rsidRDefault="00921D79">
      <w:r>
        <w:separator/>
      </w:r>
    </w:p>
  </w:endnote>
  <w:endnote w:type="continuationSeparator" w:id="0">
    <w:p w14:paraId="0BB998CA" w14:textId="77777777" w:rsidR="00921D79" w:rsidRDefault="00921D79">
      <w:r>
        <w:continuationSeparator/>
      </w:r>
    </w:p>
  </w:endnote>
  <w:endnote w:type="continuationNotice" w:id="1">
    <w:p w14:paraId="7F9DD628" w14:textId="77777777" w:rsidR="00921D79" w:rsidRDefault="0092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0A53" w14:textId="77777777" w:rsidR="00921D79" w:rsidRDefault="00921D79">
      <w:r>
        <w:separator/>
      </w:r>
    </w:p>
  </w:footnote>
  <w:footnote w:type="continuationSeparator" w:id="0">
    <w:p w14:paraId="4AE7DE8B" w14:textId="77777777" w:rsidR="00921D79" w:rsidRDefault="00921D79">
      <w:r>
        <w:continuationSeparator/>
      </w:r>
    </w:p>
  </w:footnote>
  <w:footnote w:type="continuationNotice" w:id="1">
    <w:p w14:paraId="197E9D80" w14:textId="77777777" w:rsidR="00921D79" w:rsidRDefault="00921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0377A"/>
    <w:multiLevelType w:val="hybridMultilevel"/>
    <w:tmpl w:val="0B38BC1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254AE3"/>
    <w:multiLevelType w:val="hybridMultilevel"/>
    <w:tmpl w:val="C09A4AFE"/>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93544E"/>
    <w:multiLevelType w:val="hybridMultilevel"/>
    <w:tmpl w:val="E948F8E2"/>
    <w:lvl w:ilvl="0" w:tplc="C526C12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75F8F"/>
    <w:multiLevelType w:val="hybridMultilevel"/>
    <w:tmpl w:val="6D62BD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8D4630"/>
    <w:multiLevelType w:val="hybridMultilevel"/>
    <w:tmpl w:val="C14E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869AC"/>
    <w:multiLevelType w:val="hybridMultilevel"/>
    <w:tmpl w:val="A75879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num>
  <w:num w:numId="6">
    <w:abstractNumId w:val="25"/>
  </w:num>
  <w:num w:numId="7">
    <w:abstractNumId w:val="3"/>
  </w:num>
  <w:num w:numId="8">
    <w:abstractNumId w:val="20"/>
  </w:num>
  <w:num w:numId="9">
    <w:abstractNumId w:val="1"/>
  </w:num>
  <w:num w:numId="10">
    <w:abstractNumId w:val="24"/>
  </w:num>
  <w:num w:numId="11">
    <w:abstractNumId w:val="26"/>
  </w:num>
  <w:num w:numId="12">
    <w:abstractNumId w:val="9"/>
  </w:num>
  <w:num w:numId="13">
    <w:abstractNumId w:val="16"/>
  </w:num>
  <w:num w:numId="14">
    <w:abstractNumId w:val="5"/>
  </w:num>
  <w:num w:numId="15">
    <w:abstractNumId w:val="13"/>
  </w:num>
  <w:num w:numId="16">
    <w:abstractNumId w:val="22"/>
  </w:num>
  <w:num w:numId="17">
    <w:abstractNumId w:val="18"/>
  </w:num>
  <w:num w:numId="18">
    <w:abstractNumId w:val="23"/>
  </w:num>
  <w:num w:numId="19">
    <w:abstractNumId w:val="6"/>
  </w:num>
  <w:num w:numId="20">
    <w:abstractNumId w:val="27"/>
  </w:num>
  <w:num w:numId="21">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7"/>
  </w:num>
  <w:num w:numId="24">
    <w:abstractNumId w:val="4"/>
  </w:num>
  <w:num w:numId="25">
    <w:abstractNumId w:val="10"/>
  </w:num>
  <w:num w:numId="26">
    <w:abstractNumId w:val="14"/>
  </w:num>
  <w:num w:numId="27">
    <w:abstractNumId w:val="7"/>
  </w:num>
  <w:num w:numId="28">
    <w:abstractNumId w:val="8"/>
  </w:num>
  <w:num w:numId="29">
    <w:abstractNumId w:val="11"/>
  </w:num>
  <w:num w:numId="30">
    <w:abstractNumId w:val="15"/>
  </w:num>
  <w:num w:numId="31">
    <w:abstractNumId w:val="29"/>
  </w:num>
  <w:num w:numId="32">
    <w:abstractNumId w:val="19"/>
  </w:num>
  <w:num w:numId="3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4C8B"/>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7F"/>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7DA"/>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62A"/>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A1"/>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C2E"/>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4FCF"/>
    <w:rsid w:val="0019573B"/>
    <w:rsid w:val="001957A4"/>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6F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464"/>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644"/>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2FCB"/>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AE3"/>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D3"/>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3A60"/>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A9F"/>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AFD"/>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086"/>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B83"/>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3F"/>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500"/>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6CD"/>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8B1"/>
    <w:rsid w:val="00365D32"/>
    <w:rsid w:val="00365FB3"/>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79C"/>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83"/>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6A"/>
    <w:rsid w:val="00406FBD"/>
    <w:rsid w:val="004073B0"/>
    <w:rsid w:val="00407612"/>
    <w:rsid w:val="00407A66"/>
    <w:rsid w:val="00407C9E"/>
    <w:rsid w:val="0041029D"/>
    <w:rsid w:val="00410CC4"/>
    <w:rsid w:val="00410DEE"/>
    <w:rsid w:val="00411230"/>
    <w:rsid w:val="0041138F"/>
    <w:rsid w:val="004118C9"/>
    <w:rsid w:val="0041195D"/>
    <w:rsid w:val="00411B37"/>
    <w:rsid w:val="00411B58"/>
    <w:rsid w:val="00412437"/>
    <w:rsid w:val="00412697"/>
    <w:rsid w:val="00412B1D"/>
    <w:rsid w:val="00412DBE"/>
    <w:rsid w:val="00412F8D"/>
    <w:rsid w:val="00413369"/>
    <w:rsid w:val="00413501"/>
    <w:rsid w:val="004137CD"/>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90E"/>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3CC"/>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B01"/>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0D"/>
    <w:rsid w:val="004B3C3F"/>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21"/>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D80"/>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113"/>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0F0"/>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08"/>
    <w:rsid w:val="005A6A3A"/>
    <w:rsid w:val="005A6FA1"/>
    <w:rsid w:val="005A7E8A"/>
    <w:rsid w:val="005A7F72"/>
    <w:rsid w:val="005B030E"/>
    <w:rsid w:val="005B0604"/>
    <w:rsid w:val="005B08FF"/>
    <w:rsid w:val="005B1352"/>
    <w:rsid w:val="005B1F54"/>
    <w:rsid w:val="005B20A0"/>
    <w:rsid w:val="005B2D4D"/>
    <w:rsid w:val="005B2EB8"/>
    <w:rsid w:val="005B352D"/>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552"/>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02"/>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9C8"/>
    <w:rsid w:val="00650CF1"/>
    <w:rsid w:val="00650D1E"/>
    <w:rsid w:val="00650EB8"/>
    <w:rsid w:val="00650F7C"/>
    <w:rsid w:val="00650FBE"/>
    <w:rsid w:val="006513D5"/>
    <w:rsid w:val="0065147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2EB"/>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09F"/>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90B"/>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19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CF8"/>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7F3"/>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426"/>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95"/>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998"/>
    <w:rsid w:val="00784C31"/>
    <w:rsid w:val="00784CAF"/>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05"/>
    <w:rsid w:val="007E666B"/>
    <w:rsid w:val="007E6735"/>
    <w:rsid w:val="007E67F4"/>
    <w:rsid w:val="007E6EF1"/>
    <w:rsid w:val="007E70BE"/>
    <w:rsid w:val="007E7B2B"/>
    <w:rsid w:val="007E7CBA"/>
    <w:rsid w:val="007F05E0"/>
    <w:rsid w:val="007F089B"/>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01D"/>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6F1B"/>
    <w:rsid w:val="008B7394"/>
    <w:rsid w:val="008B75B0"/>
    <w:rsid w:val="008B766A"/>
    <w:rsid w:val="008B7893"/>
    <w:rsid w:val="008B7A0E"/>
    <w:rsid w:val="008C0192"/>
    <w:rsid w:val="008C0B9C"/>
    <w:rsid w:val="008C0BD6"/>
    <w:rsid w:val="008C0FB9"/>
    <w:rsid w:val="008C1106"/>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4BD"/>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9"/>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CC0"/>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D79"/>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5F7B"/>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705"/>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0F7"/>
    <w:rsid w:val="00A5011B"/>
    <w:rsid w:val="00A5044D"/>
    <w:rsid w:val="00A504EC"/>
    <w:rsid w:val="00A5081E"/>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27E"/>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8AE"/>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CAC"/>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10"/>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0A"/>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5A"/>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8A1"/>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63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462"/>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5F"/>
    <w:rsid w:val="00C66AC7"/>
    <w:rsid w:val="00C66B89"/>
    <w:rsid w:val="00C66C34"/>
    <w:rsid w:val="00C67231"/>
    <w:rsid w:val="00C67842"/>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E53"/>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895"/>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0A1"/>
    <w:rsid w:val="00CC3949"/>
    <w:rsid w:val="00CC3AC0"/>
    <w:rsid w:val="00CC3E8C"/>
    <w:rsid w:val="00CC400F"/>
    <w:rsid w:val="00CC4365"/>
    <w:rsid w:val="00CC488C"/>
    <w:rsid w:val="00CC4C5E"/>
    <w:rsid w:val="00CC4CCF"/>
    <w:rsid w:val="00CC4F58"/>
    <w:rsid w:val="00CC4FF9"/>
    <w:rsid w:val="00CC57AE"/>
    <w:rsid w:val="00CC5867"/>
    <w:rsid w:val="00CC5A3D"/>
    <w:rsid w:val="00CC5A99"/>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96E"/>
    <w:rsid w:val="00D03CD2"/>
    <w:rsid w:val="00D04463"/>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22E"/>
    <w:rsid w:val="00D105EB"/>
    <w:rsid w:val="00D1110D"/>
    <w:rsid w:val="00D11152"/>
    <w:rsid w:val="00D112DD"/>
    <w:rsid w:val="00D11873"/>
    <w:rsid w:val="00D11C73"/>
    <w:rsid w:val="00D11E89"/>
    <w:rsid w:val="00D11E8F"/>
    <w:rsid w:val="00D11EEE"/>
    <w:rsid w:val="00D11FAE"/>
    <w:rsid w:val="00D12440"/>
    <w:rsid w:val="00D12487"/>
    <w:rsid w:val="00D1249D"/>
    <w:rsid w:val="00D126E6"/>
    <w:rsid w:val="00D12A81"/>
    <w:rsid w:val="00D12B75"/>
    <w:rsid w:val="00D12EB0"/>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983"/>
    <w:rsid w:val="00D30C46"/>
    <w:rsid w:val="00D30FC7"/>
    <w:rsid w:val="00D316E1"/>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3DE"/>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1F"/>
    <w:rsid w:val="00D73CC9"/>
    <w:rsid w:val="00D73DAD"/>
    <w:rsid w:val="00D73E0D"/>
    <w:rsid w:val="00D73F76"/>
    <w:rsid w:val="00D743DE"/>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38CB"/>
    <w:rsid w:val="00D94064"/>
    <w:rsid w:val="00D943B0"/>
    <w:rsid w:val="00D9456D"/>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1"/>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3A7"/>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A25"/>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9FD"/>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49"/>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502"/>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1B"/>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5"/>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3EC"/>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27E40"/>
    <w:rsid w:val="00F27ECD"/>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D22"/>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549"/>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3DA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88D"/>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98F"/>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54"/>
    <w:rsid w:val="00FD14E4"/>
    <w:rsid w:val="00FD20D0"/>
    <w:rsid w:val="00FD2804"/>
    <w:rsid w:val="00FD282A"/>
    <w:rsid w:val="00FD2875"/>
    <w:rsid w:val="00FD2A71"/>
    <w:rsid w:val="00FD2B29"/>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7AD"/>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8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rsid w:val="00D633DE"/>
    <w:rPr>
      <w:rFonts w:ascii="Arial" w:eastAsia="MS Mincho" w:hAnsi="Arial"/>
      <w:szCs w:val="24"/>
      <w:lang w:val="en-GB" w:eastAsia="en-GB"/>
    </w:rPr>
  </w:style>
  <w:style w:type="paragraph" w:customStyle="1" w:styleId="Doc-text2">
    <w:name w:val="Doc-text2"/>
    <w:basedOn w:val="Normal"/>
    <w:link w:val="Doc-text2Char"/>
    <w:qFormat/>
    <w:rsid w:val="00D633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D633DE"/>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453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2174</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95</cp:revision>
  <cp:lastPrinted>2011-11-09T07:49:00Z</cp:lastPrinted>
  <dcterms:created xsi:type="dcterms:W3CDTF">2022-09-30T23:13:00Z</dcterms:created>
  <dcterms:modified xsi:type="dcterms:W3CDTF">2022-11-07T02:12:00Z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