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B3B25A" w14:textId="4C4E7396" w:rsidR="001232B7" w:rsidRPr="002B5509" w:rsidRDefault="001232B7"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00F66243">
        <w:rPr>
          <w:rFonts w:ascii="Arial" w:hAnsi="Arial" w:cs="Arial"/>
          <w:b/>
          <w:bCs/>
          <w:sz w:val="22"/>
          <w:szCs w:val="22"/>
        </w:rPr>
        <w:t>111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F66243" w:rsidRPr="00F66243">
        <w:t xml:space="preserve"> </w:t>
      </w:r>
      <w:r w:rsidR="00F66243" w:rsidRPr="00F66243">
        <w:rPr>
          <w:rFonts w:ascii="Arial" w:hAnsi="Arial" w:cs="Arial"/>
          <w:b/>
          <w:bCs/>
          <w:sz w:val="22"/>
          <w:szCs w:val="22"/>
        </w:rPr>
        <w:t>R1-2211157</w:t>
      </w:r>
    </w:p>
    <w:p w14:paraId="6D5856FC" w14:textId="77777777" w:rsidR="00F66243" w:rsidRPr="0043676A" w:rsidRDefault="00F66243" w:rsidP="00F66243">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E121358" w:rsidR="001E41F3" w:rsidRPr="002860BA" w:rsidRDefault="002860BA" w:rsidP="00B16FC6">
            <w:pPr>
              <w:pStyle w:val="CRCoverPage"/>
              <w:spacing w:after="0"/>
              <w:jc w:val="center"/>
              <w:rPr>
                <w:b/>
                <w:bCs/>
                <w:noProof/>
                <w:sz w:val="28"/>
                <w:szCs w:val="28"/>
              </w:rPr>
            </w:pPr>
            <w:r w:rsidRPr="002860BA">
              <w:rPr>
                <w:b/>
                <w:bCs/>
                <w:sz w:val="28"/>
                <w:szCs w:val="28"/>
              </w:rPr>
              <w:t>17.</w:t>
            </w:r>
            <w:r w:rsidR="00B16FC6">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B44CE" w:rsidR="001E41F3" w:rsidRPr="005B2751" w:rsidRDefault="005B2751" w:rsidP="00D279E0">
            <w:pPr>
              <w:pStyle w:val="af8"/>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D279E0">
              <w:rPr>
                <w:rFonts w:ascii="Arial" w:hAnsi="Arial" w:cs="Arial"/>
                <w:sz w:val="20"/>
                <w:szCs w:val="20"/>
              </w:rPr>
              <w:t>for PDCCH monitoring occasion for DCI format 2_1 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D382D" w:rsidR="001E41F3" w:rsidRDefault="00D5273B" w:rsidP="00F62DF9">
            <w:pPr>
              <w:pStyle w:val="CRCoverPage"/>
              <w:spacing w:after="0"/>
              <w:ind w:left="100"/>
              <w:rPr>
                <w:noProof/>
                <w:lang w:eastAsia="zh-CN"/>
              </w:rPr>
            </w:pPr>
            <w:r>
              <w:t>2022-</w:t>
            </w:r>
            <w:r w:rsidR="00F62DF9">
              <w:rPr>
                <w:rFonts w:hint="eastAsia"/>
                <w:lang w:eastAsia="zh-CN"/>
              </w:rPr>
              <w:t>11</w:t>
            </w:r>
            <w:r w:rsidR="002B5642">
              <w:t>-</w:t>
            </w:r>
            <w:r w:rsidR="00F62DF9">
              <w:rPr>
                <w:rFonts w:hint="eastAsia"/>
                <w:lang w:eastAsia="zh-CN"/>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67D83" w:rsidR="00884DEC" w:rsidRPr="00F66243" w:rsidRDefault="00F66243" w:rsidP="008F5BED">
            <w:pPr>
              <w:overflowPunct w:val="0"/>
              <w:autoSpaceDE w:val="0"/>
              <w:autoSpaceDN w:val="0"/>
              <w:adjustRightInd w:val="0"/>
              <w:textAlignment w:val="baseline"/>
              <w:rPr>
                <w:rFonts w:cs="Arial"/>
                <w:lang w:val="en-US"/>
              </w:rPr>
            </w:pPr>
            <w:r w:rsidRPr="00F66243">
              <w:rPr>
                <w:rFonts w:hint="eastAsia"/>
                <w:lang w:eastAsia="zh-CN"/>
              </w:rPr>
              <w:t>The DCI format 2_1 is used to indicate an i</w:t>
            </w:r>
            <w:r w:rsidRPr="00F66243">
              <w:rPr>
                <w:lang w:eastAsia="zh-CN"/>
              </w:rPr>
              <w:t>nterrupted transmission indication</w:t>
            </w:r>
            <w:r w:rsidRPr="00F66243">
              <w:rPr>
                <w:rFonts w:hint="eastAsia"/>
                <w:lang w:eastAsia="zh-CN"/>
              </w:rPr>
              <w:t xml:space="preserve"> for PDSCH reception</w:t>
            </w:r>
            <w:r w:rsidRPr="00F66243">
              <w:rPr>
                <w:lang w:eastAsia="zh-CN"/>
              </w:rPr>
              <w:t>. Since preemption is not occurred frequently, therefore</w:t>
            </w:r>
            <w:r w:rsidRPr="00F66243">
              <w:rPr>
                <w:rFonts w:hint="eastAsia"/>
                <w:lang w:eastAsia="zh-CN"/>
              </w:rPr>
              <w:t xml:space="preserve"> to reduce the work load of PDCCH </w:t>
            </w:r>
            <w:r w:rsidRPr="00F66243">
              <w:rPr>
                <w:lang w:eastAsia="zh-CN"/>
              </w:rPr>
              <w:t>monitoring</w:t>
            </w:r>
            <w:r w:rsidRPr="00F66243">
              <w:rPr>
                <w:rFonts w:hint="eastAsia"/>
                <w:lang w:eastAsia="zh-CN"/>
              </w:rPr>
              <w:t xml:space="preserve"> </w:t>
            </w:r>
            <w:r w:rsidRPr="00F66243">
              <w:rPr>
                <w:lang w:eastAsia="zh-CN"/>
              </w:rPr>
              <w:t>for DCI format 2_1</w:t>
            </w:r>
            <w:r w:rsidRPr="00F66243">
              <w:rPr>
                <w:rFonts w:hint="eastAsia"/>
                <w:lang w:eastAsia="zh-CN"/>
              </w:rPr>
              <w:t xml:space="preserve">, at most one PDCCH </w:t>
            </w:r>
            <w:r w:rsidRPr="00F66243">
              <w:rPr>
                <w:lang w:eastAsia="zh-CN"/>
              </w:rPr>
              <w:t>monitoring</w:t>
            </w:r>
            <w:r w:rsidRPr="00F66243">
              <w:rPr>
                <w:rFonts w:hint="eastAsia"/>
                <w:lang w:eastAsia="zh-CN"/>
              </w:rPr>
              <w:t xml:space="preserve"> occasion can be configured in a </w:t>
            </w:r>
            <w:r w:rsidRPr="00F66243">
              <w:rPr>
                <w:lang w:eastAsia="zh-CN"/>
              </w:rPr>
              <w:t>slot</w:t>
            </w:r>
            <w:r w:rsidRPr="00F66243">
              <w:rPr>
                <w:rFonts w:hint="eastAsia"/>
                <w:lang w:eastAsia="zh-CN"/>
              </w:rPr>
              <w:t xml:space="preserve"> for SCS=15/30/60/120 kHz</w:t>
            </w:r>
            <w:r w:rsidRPr="00F66243">
              <w:rPr>
                <w:lang w:eastAsia="zh-CN"/>
              </w:rPr>
              <w:t>. This legacy behavior monitoring relaxation should be followed in the features extending NR operation to 71 GHz.  Currently the PDCCH monitoring occasion limitation only applies with if (</w:t>
            </w:r>
            <w:proofErr w:type="spellStart"/>
            <w:r w:rsidRPr="00F66243">
              <w:rPr>
                <w:lang w:eastAsia="zh-CN"/>
              </w:rPr>
              <w:t>Xs</w:t>
            </w:r>
            <w:proofErr w:type="spellEnd"/>
            <w:r w:rsidRPr="00F66243">
              <w:rPr>
                <w:lang w:eastAsia="zh-CN"/>
              </w:rPr>
              <w:t>, Ys</w:t>
            </w:r>
            <w:proofErr w:type="gramStart"/>
            <w:r w:rsidRPr="00F66243">
              <w:rPr>
                <w:lang w:eastAsia="zh-CN"/>
              </w:rPr>
              <w:t>)=</w:t>
            </w:r>
            <w:proofErr w:type="gramEnd"/>
            <w:r w:rsidRPr="00F66243">
              <w:rPr>
                <w:lang w:eastAsia="zh-CN"/>
              </w:rPr>
              <w:t xml:space="preserve">(4 ,1) for 480KHz SCS. </w:t>
            </w:r>
            <w:r>
              <w:rPr>
                <w:lang w:eastAsia="zh-CN"/>
              </w:rPr>
              <w:t xml:space="preserve">However, when </w:t>
            </w:r>
            <w:r w:rsidRPr="00310AFC">
              <w:rPr>
                <w:lang w:eastAsia="zh-CN"/>
              </w:rPr>
              <w:t>(</w:t>
            </w:r>
            <w:proofErr w:type="spellStart"/>
            <w:r w:rsidRPr="00310AFC">
              <w:rPr>
                <w:lang w:eastAsia="zh-CN"/>
              </w:rPr>
              <w:t>Xs</w:t>
            </w:r>
            <w:proofErr w:type="spellEnd"/>
            <w:r w:rsidRPr="00310AFC">
              <w:rPr>
                <w:lang w:eastAsia="zh-CN"/>
              </w:rPr>
              <w:t>, Ys)=(8 ,4) and (</w:t>
            </w:r>
            <w:proofErr w:type="spellStart"/>
            <w:r w:rsidRPr="00310AFC">
              <w:rPr>
                <w:lang w:eastAsia="zh-CN"/>
              </w:rPr>
              <w:t>Xs</w:t>
            </w:r>
            <w:proofErr w:type="spellEnd"/>
            <w:r w:rsidRPr="00310AFC">
              <w:rPr>
                <w:lang w:eastAsia="zh-CN"/>
              </w:rPr>
              <w:t>, Ys)=(4 ,2)</w:t>
            </w:r>
            <w:r>
              <w:rPr>
                <w:lang w:eastAsia="zh-CN"/>
              </w:rPr>
              <w:t xml:space="preserve"> for 960KHz SCS</w:t>
            </w:r>
            <w:r w:rsidRPr="00F66243">
              <w:rPr>
                <w:lang w:eastAsia="zh-CN"/>
              </w:rPr>
              <w:t>, there is no relaxation.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1E7BF8CE" w:rsidR="005A3198" w:rsidRPr="00C15571" w:rsidRDefault="00F66243" w:rsidP="008655C8">
            <w:pPr>
              <w:pStyle w:val="CRCoverPage"/>
              <w:spacing w:after="0"/>
              <w:rPr>
                <w:rFonts w:ascii="Times New Roman" w:hAnsi="Times New Roman"/>
                <w:lang w:eastAsia="zh-CN"/>
              </w:rPr>
            </w:pPr>
            <w:r>
              <w:rPr>
                <w:rFonts w:ascii="Times New Roman" w:eastAsia="Calibri" w:hAnsi="Times New Roman"/>
                <w:noProof/>
                <w:szCs w:val="22"/>
                <w:lang w:val="en-US"/>
              </w:rPr>
              <w:t>Specify</w:t>
            </w:r>
            <w:r w:rsidR="008655C8" w:rsidRPr="005B7031">
              <w:rPr>
                <w:rFonts w:ascii="Times New Roman" w:eastAsia="Calibri" w:hAnsi="Times New Roman"/>
                <w:noProof/>
                <w:szCs w:val="22"/>
                <w:lang w:val="en-US"/>
              </w:rPr>
              <w:t xml:space="preserve"> </w:t>
            </w:r>
            <w:r w:rsidR="008655C8" w:rsidRPr="005B7031">
              <w:rPr>
                <w:rFonts w:ascii="Times New Roman" w:eastAsia="Calibri" w:hAnsi="Times New Roman" w:hint="eastAsia"/>
                <w:noProof/>
                <w:szCs w:val="22"/>
                <w:lang w:val="en-US"/>
              </w:rPr>
              <w:t xml:space="preserve">that </w:t>
            </w:r>
            <w:r w:rsidR="0085671A">
              <w:rPr>
                <w:rFonts w:ascii="Times New Roman" w:eastAsia="Calibri" w:hAnsi="Times New Roman"/>
                <w:noProof/>
                <w:szCs w:val="22"/>
                <w:lang w:val="en-US"/>
              </w:rPr>
              <w:t xml:space="preserve">the </w:t>
            </w:r>
            <w:r w:rsidR="008655C8" w:rsidRPr="005B7031">
              <w:rPr>
                <w:rFonts w:ascii="Times New Roman" w:eastAsia="Calibri" w:hAnsi="Times New Roman"/>
                <w:noProof/>
                <w:szCs w:val="22"/>
                <w:lang w:val="en-US"/>
              </w:rPr>
              <w:t xml:space="preserve">UE does not expect to be </w:t>
            </w:r>
            <w:r w:rsidR="008655C8" w:rsidRPr="005B7031">
              <w:rPr>
                <w:rFonts w:ascii="Times New Roman" w:eastAsia="Calibri" w:hAnsi="Times New Roman" w:hint="eastAsia"/>
                <w:noProof/>
                <w:szCs w:val="22"/>
                <w:lang w:val="en-US"/>
              </w:rPr>
              <w:t xml:space="preserve">configured with more than one PDCCH </w:t>
            </w:r>
            <w:r w:rsidR="008655C8" w:rsidRPr="005B7031">
              <w:rPr>
                <w:rFonts w:ascii="Times New Roman" w:eastAsia="Calibri" w:hAnsi="Times New Roman"/>
                <w:noProof/>
                <w:szCs w:val="22"/>
                <w:lang w:val="en-US"/>
              </w:rPr>
              <w:t>monitoring</w:t>
            </w:r>
            <w:r w:rsidR="008655C8" w:rsidRPr="005B7031">
              <w:rPr>
                <w:rFonts w:ascii="Times New Roman" w:eastAsia="Calibri" w:hAnsi="Times New Roman" w:hint="eastAsia"/>
                <w:noProof/>
                <w:szCs w:val="22"/>
                <w:lang w:val="en-US"/>
              </w:rPr>
              <w:t xml:space="preserve"> occasion</w:t>
            </w:r>
            <w:r w:rsidR="008655C8" w:rsidRPr="005B7031">
              <w:rPr>
                <w:rFonts w:ascii="Times New Roman" w:eastAsia="Calibri" w:hAnsi="Times New Roman"/>
                <w:noProof/>
                <w:szCs w:val="22"/>
                <w:lang w:val="en-US"/>
              </w:rPr>
              <w:t xml:space="preserve"> for DCI format 2_1</w:t>
            </w:r>
            <w:r w:rsidR="008655C8" w:rsidRPr="005B7031">
              <w:rPr>
                <w:rFonts w:ascii="Times New Roman" w:eastAsia="Calibri" w:hAnsi="Times New Roman" w:hint="eastAsia"/>
                <w:noProof/>
                <w:szCs w:val="22"/>
                <w:lang w:val="en-US"/>
              </w:rPr>
              <w:t xml:space="preserve"> </w:t>
            </w:r>
            <w:r w:rsidR="0085671A" w:rsidRPr="005B7031">
              <w:rPr>
                <w:rFonts w:ascii="Times New Roman" w:eastAsia="Calibri" w:hAnsi="Times New Roman" w:hint="eastAsia"/>
                <w:noProof/>
                <w:szCs w:val="22"/>
                <w:lang w:val="en-US"/>
              </w:rPr>
              <w:t xml:space="preserve">in </w:t>
            </w:r>
            <w:r w:rsidR="0085671A" w:rsidRPr="005B7031">
              <w:rPr>
                <w:rFonts w:ascii="Times New Roman" w:eastAsia="Calibri" w:hAnsi="Times New Roman"/>
                <w:noProof/>
                <w:szCs w:val="22"/>
                <w:lang w:val="en-US"/>
              </w:rPr>
              <w:t xml:space="preserve">a slot group of </w:t>
            </w:r>
            <m:oMath>
              <m:sSub>
                <m:sSubPr>
                  <m:ctrlPr>
                    <w:rPr>
                      <w:rFonts w:ascii="Cambria Math" w:eastAsia="Calibri" w:hAnsi="Cambria Math"/>
                      <w:noProof/>
                      <w:szCs w:val="22"/>
                      <w:lang w:val="en-US"/>
                    </w:rPr>
                  </m:ctrlPr>
                </m:sSubPr>
                <m:e>
                  <m:r>
                    <m:rPr>
                      <m:sty m:val="p"/>
                    </m:rPr>
                    <w:rPr>
                      <w:rFonts w:ascii="Cambria Math" w:eastAsia="Calibri" w:hAnsi="Cambria Math"/>
                      <w:noProof/>
                      <w:szCs w:val="22"/>
                      <w:lang w:val="en-US"/>
                    </w:rPr>
                    <m:t>X</m:t>
                  </m:r>
                </m:e>
                <m:sub>
                  <m:r>
                    <m:rPr>
                      <m:sty m:val="p"/>
                    </m:rPr>
                    <w:rPr>
                      <w:rFonts w:ascii="Cambria Math" w:eastAsia="Calibri" w:hAnsi="Cambria Math"/>
                      <w:noProof/>
                      <w:szCs w:val="22"/>
                      <w:lang w:val="en-US"/>
                    </w:rPr>
                    <m:t>s</m:t>
                  </m:r>
                </m:sub>
              </m:sSub>
            </m:oMath>
            <w:r w:rsidR="0085671A" w:rsidRPr="005B7031">
              <w:rPr>
                <w:rFonts w:ascii="Times New Roman" w:eastAsia="Calibri" w:hAnsi="Times New Roman"/>
                <w:noProof/>
                <w:szCs w:val="22"/>
                <w:lang w:val="en-US"/>
              </w:rPr>
              <w:t xml:space="preserve"> slots</w:t>
            </w:r>
            <w:r w:rsidR="0085671A" w:rsidRPr="00C15571">
              <w:rPr>
                <w:rFonts w:ascii="Times New Roman" w:hAnsi="Times New Roman"/>
                <w:lang w:eastAsia="zh-CN"/>
              </w:rPr>
              <w:t xml:space="preserve"> </w:t>
            </w:r>
            <w:r w:rsidR="0085671A">
              <w:rPr>
                <w:rFonts w:ascii="Times New Roman" w:eastAsia="Calibri" w:hAnsi="Times New Roman"/>
                <w:noProof/>
                <w:szCs w:val="22"/>
                <w:lang w:val="en-US"/>
              </w:rPr>
              <w:t xml:space="preserve">when configured with </w:t>
            </w:r>
            <w:r w:rsidR="0085671A" w:rsidRPr="0085671A">
              <w:rPr>
                <w:rFonts w:ascii="Times New Roman" w:eastAsia="Calibri" w:hAnsi="Times New Roman"/>
                <w:i/>
                <w:iCs/>
                <w:noProof/>
                <w:szCs w:val="22"/>
                <w:lang w:val="en-US"/>
              </w:rPr>
              <w:t>monitoringSlotsWithinSlotGroup</w:t>
            </w:r>
            <w:r w:rsidR="0085671A" w:rsidRPr="005B7031">
              <w:rPr>
                <w:rFonts w:ascii="Times New Roman" w:eastAsia="Calibri" w:hAnsi="Times New Roman" w:hint="eastAsia"/>
                <w:noProof/>
                <w:szCs w:val="22"/>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DE0F2" w:rsidR="001E41F3" w:rsidRPr="00F91DB8" w:rsidRDefault="00F66243" w:rsidP="00F62DF9">
            <w:pPr>
              <w:overflowPunct w:val="0"/>
              <w:autoSpaceDE w:val="0"/>
              <w:autoSpaceDN w:val="0"/>
              <w:adjustRightInd w:val="0"/>
              <w:textAlignment w:val="baseline"/>
              <w:rPr>
                <w:noProof/>
              </w:rPr>
            </w:pPr>
            <w:r>
              <w:rPr>
                <w:noProof/>
              </w:rPr>
              <w:t>Legacy UE behavior for pre-emption of URLLC is changed</w:t>
            </w:r>
            <w:r w:rsidRPr="00F66243">
              <w:rPr>
                <w:rFonts w:hint="eastAsia"/>
                <w:lang w:eastAsia="zh-CN"/>
              </w:rPr>
              <w:t xml:space="preserve">. </w:t>
            </w:r>
            <w:r w:rsidR="00DB1B37" w:rsidRPr="00F91D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16B5" w:rsidR="001E41F3" w:rsidRDefault="00F62DF9" w:rsidP="00051BCB">
            <w:pPr>
              <w:pStyle w:val="CRCoverPage"/>
              <w:spacing w:after="0"/>
              <w:ind w:left="100"/>
              <w:rPr>
                <w:rFonts w:hint="eastAsia"/>
                <w:noProof/>
                <w:lang w:eastAsia="zh-CN"/>
              </w:rPr>
            </w:pPr>
            <w:r>
              <w:rPr>
                <w:rFonts w:hint="eastAsia"/>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D68F45E" w14:textId="77777777" w:rsidR="00C003EB" w:rsidRPr="00ED3A03" w:rsidRDefault="00C003EB" w:rsidP="00C003EB"/>
    <w:p w14:paraId="121395A0" w14:textId="77777777" w:rsidR="00B6610F" w:rsidRPr="00B916EC" w:rsidRDefault="00B6610F" w:rsidP="00B6610F">
      <w:pPr>
        <w:pStyle w:val="2"/>
      </w:pPr>
      <w:bookmarkStart w:id="2" w:name="_Toc12021491"/>
      <w:bookmarkStart w:id="3" w:name="_Toc20311603"/>
      <w:bookmarkStart w:id="4" w:name="_Toc26719428"/>
      <w:bookmarkStart w:id="5" w:name="_Toc29894864"/>
      <w:bookmarkStart w:id="6" w:name="_Toc29899163"/>
      <w:bookmarkStart w:id="7" w:name="_Toc29899581"/>
      <w:bookmarkStart w:id="8" w:name="_Toc29917320"/>
      <w:bookmarkStart w:id="9" w:name="_Toc36498194"/>
      <w:bookmarkStart w:id="10" w:name="_Toc45699222"/>
      <w:bookmarkStart w:id="11" w:name="_Toc106629469"/>
      <w:r w:rsidRPr="00B916EC">
        <w:rPr>
          <w:lang w:eastAsia="zh-CN"/>
        </w:rPr>
        <w:t>11.2</w:t>
      </w:r>
      <w:r w:rsidRPr="00B916EC">
        <w:rPr>
          <w:lang w:eastAsia="zh-CN"/>
        </w:rPr>
        <w:tab/>
      </w:r>
      <w:r>
        <w:rPr>
          <w:lang w:eastAsia="zh-CN"/>
        </w:rPr>
        <w:t>Interrupted</w:t>
      </w:r>
      <w:r w:rsidRPr="00B916EC">
        <w:rPr>
          <w:lang w:eastAsia="zh-CN"/>
        </w:rPr>
        <w:t xml:space="preserve"> transmission indication</w:t>
      </w:r>
      <w:bookmarkEnd w:id="2"/>
      <w:bookmarkEnd w:id="3"/>
      <w:bookmarkEnd w:id="4"/>
      <w:bookmarkEnd w:id="5"/>
      <w:bookmarkEnd w:id="6"/>
      <w:bookmarkEnd w:id="7"/>
      <w:bookmarkEnd w:id="8"/>
      <w:bookmarkEnd w:id="9"/>
      <w:bookmarkEnd w:id="10"/>
      <w:bookmarkEnd w:id="11"/>
      <w:r w:rsidRPr="00B916EC">
        <w:t xml:space="preserve"> </w:t>
      </w:r>
    </w:p>
    <w:p w14:paraId="145FCC22" w14:textId="77777777" w:rsidR="00B6610F" w:rsidRPr="00B916EC" w:rsidRDefault="00B6610F" w:rsidP="00B6610F">
      <w:pPr>
        <w:rPr>
          <w:lang w:val="en-US"/>
        </w:rPr>
      </w:pPr>
      <w:r w:rsidRPr="00B916EC">
        <w:rPr>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3A26DFE3" w14:textId="77777777" w:rsidR="00B6610F" w:rsidRPr="00B916EC" w:rsidRDefault="00B6610F" w:rsidP="00B6610F">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14:paraId="0067CF66" w14:textId="77777777" w:rsidR="00B6610F" w:rsidRPr="00B916EC" w:rsidRDefault="00B6610F" w:rsidP="00B6610F">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14:paraId="298C3DEB" w14:textId="77777777" w:rsidR="00B6610F" w:rsidRPr="00B916EC" w:rsidRDefault="00B6610F" w:rsidP="00B6610F">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14:paraId="04302D41" w14:textId="77777777" w:rsidR="00B6610F" w:rsidRPr="00B916EC" w:rsidRDefault="00B6610F" w:rsidP="00B6610F">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4744C00C" w14:textId="429E7475" w:rsidR="00B6610F" w:rsidRPr="00B916EC" w:rsidRDefault="00B6610F" w:rsidP="00B6610F">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lang w:val="en-US" w:eastAsia="zh-CN"/>
        </w:rPr>
        <w:drawing>
          <wp:inline distT="0" distB="0" distL="0" distR="0" wp14:anchorId="642FFB6C" wp14:editId="6ACFD800">
            <wp:extent cx="27940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3388775C" w14:textId="6161C860" w:rsidR="00B6610F" w:rsidRDefault="00B6610F" w:rsidP="00B6610F">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lang w:val="en-US" w:eastAsia="zh-CN"/>
        </w:rPr>
        <w:drawing>
          <wp:inline distT="0" distB="0" distL="0" distR="0" wp14:anchorId="1FCD469D" wp14:editId="1C0405DE">
            <wp:extent cx="100965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r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lang w:val="en-US" w:eastAsia="zh-CN"/>
        </w:rPr>
        <w:drawing>
          <wp:inline distT="0" distB="0" distL="0" distR="0" wp14:anchorId="211AA97D" wp14:editId="5D41D09D">
            <wp:extent cx="27940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lang w:val="en-US" w:eastAsia="zh-CN"/>
        </w:rPr>
        <w:drawing>
          <wp:inline distT="0" distB="0" distL="0" distR="0" wp14:anchorId="16E4D995" wp14:editId="3B4F5DAA">
            <wp:extent cx="34925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lang w:val="en-US" w:eastAsia="zh-CN"/>
        </w:rPr>
        <w:drawing>
          <wp:inline distT="0" distB="0" distL="0" distR="0" wp14:anchorId="647BF34E" wp14:editId="2B109F39">
            <wp:extent cx="114300"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lang w:val="en-US" w:eastAsia="zh-CN"/>
        </w:rPr>
        <w:drawing>
          <wp:inline distT="0" distB="0" distL="0" distR="0" wp14:anchorId="0231F0CC" wp14:editId="355C02E1">
            <wp:extent cx="24130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r>
        <w:rPr>
          <w:i/>
          <w:lang w:val="en-US"/>
        </w:rPr>
        <w:t>tdd</w:t>
      </w:r>
      <w:r w:rsidRPr="00D6515C">
        <w:rPr>
          <w:i/>
          <w:lang w:val="en-US"/>
        </w:rPr>
        <w:t>-</w:t>
      </w:r>
      <w:r w:rsidRPr="00D6515C">
        <w:rPr>
          <w:i/>
        </w:rPr>
        <w:t>UL-DL-</w:t>
      </w:r>
      <w:r w:rsidRPr="00D6515C">
        <w:rPr>
          <w:i/>
          <w:lang w:val="en-US"/>
        </w:rPr>
        <w:t>ConfigurationCommon</w:t>
      </w:r>
      <w:r w:rsidRPr="00B916EC">
        <w:rPr>
          <w:lang w:val="en-US"/>
        </w:rPr>
        <w:t xml:space="preserve">, symbols indicated as uplink by </w:t>
      </w:r>
      <w:r>
        <w:rPr>
          <w:i/>
          <w:lang w:val="en-US"/>
        </w:rPr>
        <w:t>tdd</w:t>
      </w:r>
      <w:r w:rsidRPr="00D6515C">
        <w:rPr>
          <w:i/>
          <w:lang w:val="en-US"/>
        </w:rPr>
        <w:t>-</w:t>
      </w:r>
      <w:r w:rsidRPr="00D6515C">
        <w:rPr>
          <w:i/>
        </w:rPr>
        <w:t>UL-DL-</w:t>
      </w:r>
      <w:r w:rsidRPr="00D6515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lang w:val="en-US" w:eastAsia="zh-CN"/>
        </w:rPr>
        <w:drawing>
          <wp:inline distT="0" distB="0" distL="0" distR="0" wp14:anchorId="50EF8671" wp14:editId="25AD90E9">
            <wp:extent cx="10096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lang w:val="en-US" w:eastAsia="zh-CN"/>
        </w:rPr>
        <w:drawing>
          <wp:inline distT="0" distB="0" distL="0" distR="0" wp14:anchorId="10059012" wp14:editId="7CC417B9">
            <wp:extent cx="27940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w:t>
      </w:r>
    </w:p>
    <w:p w14:paraId="1557C696" w14:textId="669C71E4" w:rsidR="00B6610F" w:rsidRPr="005623AB" w:rsidRDefault="00B6610F" w:rsidP="00B6610F">
      <w:pPr>
        <w:rPr>
          <w:rFonts w:eastAsia="等线"/>
        </w:rPr>
      </w:pPr>
      <w:r>
        <w:rPr>
          <w:lang w:val="en-US"/>
        </w:rPr>
        <w:t xml:space="preserve">The UE does not expect to be provided values of </w:t>
      </w:r>
      <w:r>
        <w:rPr>
          <w:noProof/>
          <w:position w:val="-10"/>
          <w:lang w:val="en-US" w:eastAsia="zh-CN"/>
        </w:rPr>
        <w:drawing>
          <wp:inline distT="0" distB="0" distL="0" distR="0" wp14:anchorId="4074C60D" wp14:editId="454245DD">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w:t>
      </w:r>
      <w:r>
        <w:rPr>
          <w:rFonts w:eastAsia="Malgun Gothic"/>
          <w:noProof/>
          <w:position w:val="-10"/>
          <w:lang w:val="en-US" w:eastAsia="zh-CN"/>
        </w:rPr>
        <w:drawing>
          <wp:inline distT="0" distB="0" distL="0" distR="0" wp14:anchorId="5ADEAD73" wp14:editId="676F3728">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2BB0EE9E" wp14:editId="6C906D3A">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resulting to a value of </w:t>
      </w:r>
      <w:r>
        <w:rPr>
          <w:noProof/>
          <w:position w:val="-12"/>
          <w:lang w:val="en-US" w:eastAsia="zh-CN"/>
        </w:rPr>
        <w:drawing>
          <wp:inline distT="0" distB="0" distL="0" distR="0" wp14:anchorId="3DBEF512" wp14:editId="105CFD96">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ins w:id="12" w:author="王俊伟" w:date="2022-09-28T14:00:00Z">
        <w:r w:rsidR="004B3C08" w:rsidRPr="004B3C08">
          <w:rPr>
            <w:rFonts w:eastAsia="等线" w:hint="eastAsia"/>
          </w:rPr>
          <w:t xml:space="preserve"> </w:t>
        </w:r>
        <w:r w:rsidR="004B3C08" w:rsidRPr="00AE6E6F">
          <w:rPr>
            <w:rFonts w:eastAsia="等线" w:hint="eastAsia"/>
          </w:rPr>
          <w:t xml:space="preserve">or by </w:t>
        </w:r>
        <w:r w:rsidR="004B3C08" w:rsidRPr="00AE6E6F">
          <w:rPr>
            <w:rFonts w:eastAsia="等线"/>
          </w:rPr>
          <w:t>monitoringSlotsWithinSlotGroup</w:t>
        </w:r>
        <w:r w:rsidR="004B3C08" w:rsidRPr="00AE6E6F">
          <w:rPr>
            <w:rFonts w:eastAsia="等线" w:hint="eastAsia"/>
          </w:rPr>
          <w:t xml:space="preserve"> </w:t>
        </w:r>
        <w:r w:rsidR="004B3C08">
          <w:rPr>
            <w:rFonts w:eastAsia="等线" w:hint="eastAsia"/>
          </w:rPr>
          <w:t xml:space="preserve"> </w:t>
        </w:r>
        <w:r w:rsidR="004B3C08" w:rsidRPr="00AE6E6F">
          <w:rPr>
            <w:rFonts w:eastAsia="等线" w:hint="eastAsia"/>
          </w:rPr>
          <w:t xml:space="preserve">with more than one PDCCH </w:t>
        </w:r>
        <w:r w:rsidR="004B3C08" w:rsidRPr="00AE6E6F">
          <w:rPr>
            <w:rFonts w:eastAsia="等线"/>
          </w:rPr>
          <w:t>monitoring</w:t>
        </w:r>
        <w:r w:rsidR="004B3C08" w:rsidRPr="00AE6E6F">
          <w:rPr>
            <w:rFonts w:eastAsia="等线" w:hint="eastAsia"/>
          </w:rPr>
          <w:t xml:space="preserve"> occasion</w:t>
        </w:r>
        <w:r w:rsidR="004B3C08" w:rsidRPr="00AE6E6F">
          <w:rPr>
            <w:rFonts w:eastAsia="等线"/>
          </w:rPr>
          <w:t xml:space="preserve"> for DCI format 2_1</w:t>
        </w:r>
        <w:r w:rsidR="004B3C08" w:rsidRPr="00AE6E6F">
          <w:rPr>
            <w:rFonts w:eastAsia="等线" w:hint="eastAsia"/>
          </w:rPr>
          <w:t xml:space="preserve"> in </w:t>
        </w:r>
        <w:r w:rsidR="004B3C08" w:rsidRPr="00AE6E6F">
          <w:rPr>
            <w:rFonts w:eastAsia="等线"/>
          </w:rPr>
          <w:t>a</w:t>
        </w:r>
        <w:r w:rsidR="004B3C08" w:rsidRPr="00AE6E6F">
          <w:rPr>
            <w:rFonts w:eastAsia="等线" w:hint="eastAsia"/>
          </w:rPr>
          <w:t xml:space="preserve"> </w:t>
        </w:r>
        <w:r w:rsidR="004B3C08" w:rsidRPr="00AE6E6F">
          <w:rPr>
            <w:rFonts w:eastAsia="等线"/>
          </w:rPr>
          <w:t xml:space="preserve">group of </w:t>
        </w:r>
        <m:oMath>
          <m:sSub>
            <m:sSubPr>
              <m:ctrlPr>
                <w:rPr>
                  <w:rFonts w:ascii="Cambria Math" w:eastAsia="等线" w:hAnsi="Cambria Math"/>
                </w:rPr>
              </m:ctrlPr>
            </m:sSubPr>
            <m:e>
              <m:r>
                <m:rPr>
                  <m:sty m:val="p"/>
                </m:rPr>
                <w:rPr>
                  <w:rFonts w:ascii="Cambria Math" w:eastAsia="等线" w:hAnsi="Cambria Math"/>
                </w:rPr>
                <m:t>X</m:t>
              </m:r>
            </m:e>
            <m:sub>
              <m:r>
                <m:rPr>
                  <m:sty m:val="p"/>
                </m:rPr>
                <w:rPr>
                  <w:rFonts w:ascii="Cambria Math" w:eastAsia="等线" w:hAnsi="Cambria Math"/>
                </w:rPr>
                <m:t>s</m:t>
              </m:r>
            </m:sub>
          </m:sSub>
        </m:oMath>
        <w:r w:rsidR="004B3C08" w:rsidRPr="00AE6E6F">
          <w:rPr>
            <w:rFonts w:eastAsia="等线"/>
          </w:rPr>
          <w:t xml:space="preserve"> slots</w:t>
        </w:r>
      </w:ins>
      <w:r w:rsidR="005623AB">
        <w:t>.</w:t>
      </w:r>
      <w:r>
        <w:rPr>
          <w:rFonts w:hint="eastAsia"/>
          <w:lang w:eastAsia="zh-CN"/>
        </w:rPr>
        <w:t xml:space="preserve"> </w:t>
      </w:r>
    </w:p>
    <w:p w14:paraId="636A2AE0" w14:textId="77777777" w:rsidR="00B6610F" w:rsidRPr="00B916EC" w:rsidRDefault="00B6610F" w:rsidP="00B6610F">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r w:rsidRPr="008F75A2">
        <w:rPr>
          <w:i/>
        </w:rPr>
        <w:t>timeFrequencySet</w:t>
      </w:r>
      <w:r w:rsidRPr="00B916EC">
        <w:t xml:space="preserve">. </w:t>
      </w:r>
    </w:p>
    <w:p w14:paraId="7AFBD107" w14:textId="74B3C415" w:rsidR="00B6610F" w:rsidRPr="00B916EC" w:rsidRDefault="00B6610F" w:rsidP="00B6610F">
      <w:r w:rsidRPr="00B916EC">
        <w:t xml:space="preserve">If the value of </w:t>
      </w:r>
      <w:r w:rsidRPr="008F75A2">
        <w:rPr>
          <w:i/>
        </w:rPr>
        <w:t>timeFrequencySet</w:t>
      </w:r>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等线"/>
          <w:lang w:val="en-US"/>
        </w:rPr>
        <w:t>from MSB</w:t>
      </w:r>
      <w:r w:rsidRPr="001A63D7">
        <w:rPr>
          <w:rFonts w:eastAsia="等线"/>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lang w:val="en-US" w:eastAsia="zh-CN"/>
        </w:rPr>
        <w:drawing>
          <wp:inline distT="0" distB="0" distL="0" distR="0" wp14:anchorId="61CC8CED" wp14:editId="6E8B6522">
            <wp:extent cx="10985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7F4754AF" wp14:editId="541712F6">
            <wp:extent cx="56515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B916EC">
        <w:t xml:space="preserve"> symbols, each of the last </w:t>
      </w:r>
      <w:r>
        <w:rPr>
          <w:noProof/>
          <w:position w:val="-10"/>
          <w:lang w:val="en-US" w:eastAsia="zh-CN"/>
        </w:rPr>
        <w:drawing>
          <wp:inline distT="0" distB="0" distL="0" distR="0" wp14:anchorId="6E88AFB0" wp14:editId="3A9F86F1">
            <wp:extent cx="13843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0CC8E55B" wp14:editId="7F100F3E">
            <wp:extent cx="565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sectPr w:rsidR="00B6610F" w:rsidRPr="00B916EC"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4F347" w14:textId="77777777" w:rsidR="00A57E6B" w:rsidRDefault="00A57E6B">
      <w:r>
        <w:separator/>
      </w:r>
    </w:p>
  </w:endnote>
  <w:endnote w:type="continuationSeparator" w:id="0">
    <w:p w14:paraId="232821FE" w14:textId="77777777" w:rsidR="00A57E6B" w:rsidRDefault="00A5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7F3D8" w14:textId="77777777" w:rsidR="00A57E6B" w:rsidRDefault="00A57E6B">
      <w:r>
        <w:separator/>
      </w:r>
    </w:p>
  </w:footnote>
  <w:footnote w:type="continuationSeparator" w:id="0">
    <w:p w14:paraId="3FF6469A" w14:textId="77777777" w:rsidR="00A57E6B" w:rsidRDefault="00A57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16DD"/>
    <w:rsid w:val="00017D61"/>
    <w:rsid w:val="00020B8A"/>
    <w:rsid w:val="00022E4A"/>
    <w:rsid w:val="00025DC6"/>
    <w:rsid w:val="0002707F"/>
    <w:rsid w:val="000319EE"/>
    <w:rsid w:val="00031E8C"/>
    <w:rsid w:val="000360AA"/>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32B7"/>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391A"/>
    <w:rsid w:val="001F6FD8"/>
    <w:rsid w:val="002013E6"/>
    <w:rsid w:val="0020175D"/>
    <w:rsid w:val="002026F4"/>
    <w:rsid w:val="00202E6A"/>
    <w:rsid w:val="00202EA2"/>
    <w:rsid w:val="00212D45"/>
    <w:rsid w:val="00214481"/>
    <w:rsid w:val="0021716B"/>
    <w:rsid w:val="00217CE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07FDC"/>
    <w:rsid w:val="00314CB0"/>
    <w:rsid w:val="0032083E"/>
    <w:rsid w:val="00320AD4"/>
    <w:rsid w:val="00321B5E"/>
    <w:rsid w:val="00322C95"/>
    <w:rsid w:val="00324B6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1ABC"/>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54F8"/>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3C08"/>
    <w:rsid w:val="004B576E"/>
    <w:rsid w:val="004B75B7"/>
    <w:rsid w:val="004C1205"/>
    <w:rsid w:val="004C6687"/>
    <w:rsid w:val="004D0B35"/>
    <w:rsid w:val="004D2D51"/>
    <w:rsid w:val="004D4B54"/>
    <w:rsid w:val="004E57E4"/>
    <w:rsid w:val="004E7E6B"/>
    <w:rsid w:val="004F5546"/>
    <w:rsid w:val="004F7153"/>
    <w:rsid w:val="004F7BBD"/>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C80"/>
    <w:rsid w:val="007977A8"/>
    <w:rsid w:val="0079795E"/>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629A"/>
    <w:rsid w:val="00837401"/>
    <w:rsid w:val="008438AF"/>
    <w:rsid w:val="00845BA4"/>
    <w:rsid w:val="00850DB0"/>
    <w:rsid w:val="008534E7"/>
    <w:rsid w:val="0085671A"/>
    <w:rsid w:val="00857A6D"/>
    <w:rsid w:val="008626E7"/>
    <w:rsid w:val="008653B8"/>
    <w:rsid w:val="008655C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5BED"/>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57E6B"/>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6864"/>
    <w:rsid w:val="00AF6ABB"/>
    <w:rsid w:val="00B00EA4"/>
    <w:rsid w:val="00B10551"/>
    <w:rsid w:val="00B120C9"/>
    <w:rsid w:val="00B16FC6"/>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60AF"/>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5DA9"/>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7D6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1ED2"/>
    <w:rsid w:val="00F52428"/>
    <w:rsid w:val="00F55C7A"/>
    <w:rsid w:val="00F62DF9"/>
    <w:rsid w:val="00F65B45"/>
    <w:rsid w:val="00F66243"/>
    <w:rsid w:val="00F67706"/>
    <w:rsid w:val="00F70622"/>
    <w:rsid w:val="00F715BD"/>
    <w:rsid w:val="00F73096"/>
    <w:rsid w:val="00F73718"/>
    <w:rsid w:val="00F75D56"/>
    <w:rsid w:val="00F75DF1"/>
    <w:rsid w:val="00F802DF"/>
    <w:rsid w:val="00F8170C"/>
    <w:rsid w:val="00F83F11"/>
    <w:rsid w:val="00F8553D"/>
    <w:rsid w:val="00F91CB0"/>
    <w:rsid w:val="00F91DB8"/>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77CD-CAA7-4802-844B-E8C05CAF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3</cp:revision>
  <cp:lastPrinted>1900-12-31T16:00:00Z</cp:lastPrinted>
  <dcterms:created xsi:type="dcterms:W3CDTF">2022-11-07T00:57:00Z</dcterms:created>
  <dcterms:modified xsi:type="dcterms:W3CDTF">2022-11-07T09:00:00Z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