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0224F219" w:rsidR="00A26C9B" w:rsidRPr="00C7668D" w:rsidRDefault="00C21181"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C21181">
        <w:rPr>
          <w:rFonts w:cs="Arial"/>
          <w:noProof w:val="0"/>
          <w:sz w:val="28"/>
          <w:szCs w:val="28"/>
          <w:lang w:val="en-US"/>
        </w:rPr>
        <w:t>3GPP TSG RAN WG1 #110bis-e</w:t>
      </w:r>
      <w:r w:rsidR="00A26C9B" w:rsidRPr="00C7668D">
        <w:rPr>
          <w:rFonts w:cs="Arial"/>
          <w:noProof w:val="0"/>
          <w:sz w:val="28"/>
          <w:szCs w:val="28"/>
          <w:lang w:val="en-US"/>
        </w:rPr>
        <w:tab/>
      </w:r>
      <w:r w:rsidR="00B60009" w:rsidRPr="00B60009">
        <w:rPr>
          <w:rFonts w:cs="Arial"/>
          <w:noProof w:val="0"/>
          <w:sz w:val="28"/>
          <w:szCs w:val="28"/>
          <w:lang w:val="en-US"/>
        </w:rPr>
        <w:t>R1-2</w:t>
      </w:r>
      <w:r w:rsidR="005603D7">
        <w:rPr>
          <w:rFonts w:cs="Arial"/>
          <w:noProof w:val="0"/>
          <w:sz w:val="28"/>
          <w:szCs w:val="28"/>
          <w:lang w:val="en-US"/>
        </w:rPr>
        <w:t>209930</w:t>
      </w:r>
    </w:p>
    <w:p w14:paraId="7A7325BA" w14:textId="5EC6523D" w:rsidR="00A26C9B" w:rsidRPr="004778E9" w:rsidRDefault="00C21181" w:rsidP="00A26C9B">
      <w:pPr>
        <w:pStyle w:val="Header"/>
        <w:rPr>
          <w:rFonts w:asciiTheme="majorHAnsi" w:hAnsiTheme="majorHAnsi" w:cstheme="majorHAnsi"/>
          <w:bCs/>
          <w:sz w:val="28"/>
          <w:lang w:val="en-US"/>
        </w:rPr>
      </w:pPr>
      <w:r w:rsidRPr="00C21181">
        <w:rPr>
          <w:rFonts w:asciiTheme="majorHAnsi" w:eastAsia="SimSun" w:hAnsiTheme="majorHAnsi" w:cstheme="majorHAnsi"/>
          <w:sz w:val="28"/>
          <w:szCs w:val="28"/>
          <w:lang w:val="en-US" w:eastAsia="zh-CN"/>
        </w:rPr>
        <w:t>e-Meeting, October 10</w:t>
      </w:r>
      <w:r w:rsidRPr="00C21181">
        <w:rPr>
          <w:rFonts w:asciiTheme="majorHAnsi" w:eastAsia="SimSun" w:hAnsiTheme="majorHAnsi" w:cstheme="majorHAnsi"/>
          <w:sz w:val="28"/>
          <w:szCs w:val="28"/>
          <w:vertAlign w:val="superscript"/>
          <w:lang w:val="en-US" w:eastAsia="zh-CN"/>
        </w:rPr>
        <w:t>th</w:t>
      </w:r>
      <w:r w:rsidRPr="00C21181">
        <w:rPr>
          <w:rFonts w:asciiTheme="majorHAnsi" w:eastAsia="SimSun" w:hAnsiTheme="majorHAnsi" w:cstheme="majorHAnsi"/>
          <w:sz w:val="28"/>
          <w:szCs w:val="28"/>
          <w:lang w:val="en-US" w:eastAsia="zh-CN"/>
        </w:rPr>
        <w:t xml:space="preserve"> – 19</w:t>
      </w:r>
      <w:r w:rsidRPr="00C21181">
        <w:rPr>
          <w:rFonts w:asciiTheme="majorHAnsi" w:eastAsia="SimSun" w:hAnsiTheme="majorHAnsi" w:cstheme="majorHAnsi"/>
          <w:sz w:val="28"/>
          <w:szCs w:val="28"/>
          <w:vertAlign w:val="superscript"/>
          <w:lang w:val="en-US" w:eastAsia="zh-CN"/>
        </w:rPr>
        <w:t>th</w:t>
      </w:r>
      <w:r w:rsidRPr="00C21181">
        <w:rPr>
          <w:rFonts w:asciiTheme="majorHAnsi" w:eastAsia="SimSun" w:hAnsiTheme="majorHAnsi" w:cstheme="majorHAnsi"/>
          <w:sz w:val="28"/>
          <w:szCs w:val="28"/>
          <w:lang w:val="en-US" w:eastAsia="zh-CN"/>
        </w:rPr>
        <w:t>, 2022</w:t>
      </w:r>
    </w:p>
    <w:bookmarkEnd w:id="0"/>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66561743" w:rsidR="00004B52" w:rsidRPr="004778E9" w:rsidRDefault="00004B52" w:rsidP="005544D4">
      <w:pPr>
        <w:spacing w:after="0" w:afterAutospacing="0"/>
        <w:ind w:left="1985" w:hangingChars="706" w:hanging="1985"/>
        <w:rPr>
          <w:rFonts w:ascii="Arial" w:eastAsiaTheme="minorEastAsia" w:hAnsi="Arial" w:cs="Arial"/>
          <w:b/>
          <w:sz w:val="28"/>
          <w:szCs w:val="28"/>
          <w:lang w:val="en-US"/>
        </w:rPr>
      </w:pPr>
      <w:r w:rsidRPr="004778E9">
        <w:rPr>
          <w:rFonts w:ascii="Arial" w:hAnsi="Arial" w:cs="Arial"/>
          <w:b/>
          <w:sz w:val="28"/>
          <w:szCs w:val="28"/>
          <w:lang w:val="en-US"/>
        </w:rPr>
        <w:t>Title:</w:t>
      </w:r>
      <w:r w:rsidRPr="004778E9">
        <w:rPr>
          <w:rFonts w:ascii="Arial" w:hAnsi="Arial" w:cs="Arial"/>
          <w:b/>
          <w:sz w:val="28"/>
          <w:szCs w:val="28"/>
          <w:lang w:val="en-US"/>
        </w:rPr>
        <w:tab/>
      </w:r>
      <w:r w:rsidR="006A02A0">
        <w:rPr>
          <w:rFonts w:ascii="Arial" w:hAnsi="Arial" w:cs="Arial"/>
          <w:b/>
          <w:sz w:val="28"/>
          <w:szCs w:val="28"/>
          <w:lang w:val="en-US"/>
        </w:rPr>
        <w:t xml:space="preserve">Discussion on </w:t>
      </w:r>
      <w:r w:rsidR="00F07407">
        <w:rPr>
          <w:rFonts w:ascii="Arial" w:hAnsi="Arial" w:cs="Arial"/>
          <w:b/>
          <w:sz w:val="28"/>
          <w:szCs w:val="28"/>
          <w:lang w:val="en-US"/>
        </w:rPr>
        <w:t>subband non-overlapping full duplex</w:t>
      </w:r>
    </w:p>
    <w:p w14:paraId="26DC8AEB" w14:textId="4A21E169"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C7668D">
        <w:rPr>
          <w:rFonts w:ascii="Arial" w:eastAsiaTheme="minorEastAsia" w:hAnsi="Arial" w:cs="Arial"/>
          <w:b/>
          <w:sz w:val="28"/>
          <w:szCs w:val="28"/>
          <w:lang w:val="pt-BR"/>
        </w:rPr>
        <w:t>9</w:t>
      </w:r>
      <w:r w:rsidR="00B47489" w:rsidRPr="004778E9">
        <w:rPr>
          <w:rFonts w:ascii="Arial" w:eastAsiaTheme="minorEastAsia" w:hAnsi="Arial" w:cs="Arial"/>
          <w:b/>
          <w:sz w:val="28"/>
          <w:szCs w:val="28"/>
          <w:lang w:val="pt-BR"/>
        </w:rPr>
        <w:t>.</w:t>
      </w:r>
      <w:r w:rsidR="00C7668D">
        <w:rPr>
          <w:rFonts w:ascii="Arial" w:eastAsiaTheme="minorEastAsia" w:hAnsi="Arial" w:cs="Arial"/>
          <w:b/>
          <w:sz w:val="28"/>
          <w:szCs w:val="28"/>
          <w:lang w:val="pt-BR"/>
        </w:rPr>
        <w:t>3</w:t>
      </w:r>
      <w:r w:rsidR="00662879" w:rsidRPr="004778E9">
        <w:rPr>
          <w:rFonts w:ascii="Arial" w:eastAsiaTheme="minorEastAsia" w:hAnsi="Arial" w:cs="Arial"/>
          <w:b/>
          <w:sz w:val="28"/>
          <w:szCs w:val="28"/>
          <w:lang w:val="pt-BR"/>
        </w:rPr>
        <w:t>.</w:t>
      </w:r>
      <w:r w:rsidR="00F07407">
        <w:rPr>
          <w:rFonts w:ascii="Arial" w:eastAsiaTheme="minorEastAsia" w:hAnsi="Arial" w:cs="Arial"/>
          <w:b/>
          <w:sz w:val="28"/>
          <w:szCs w:val="28"/>
          <w:lang w:val="pt-BR"/>
        </w:rPr>
        <w:t>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67171D93" w:rsidR="00004B52" w:rsidRPr="0048166C" w:rsidRDefault="001D1AAD" w:rsidP="005544D4">
      <w:pPr>
        <w:pStyle w:val="Heading1"/>
        <w:adjustRightInd w:val="0"/>
        <w:spacing w:before="100" w:beforeAutospacing="1" w:afterLines="0"/>
        <w:rPr>
          <w:lang w:val="en-US"/>
        </w:rPr>
      </w:pPr>
      <w:r>
        <w:rPr>
          <w:lang w:val="en-US"/>
        </w:rPr>
        <w:t>Introduction</w:t>
      </w:r>
    </w:p>
    <w:p w14:paraId="6A6AEB33" w14:textId="3324E33E" w:rsidR="006A02A0" w:rsidRDefault="006A02A0" w:rsidP="006A02A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Several agreements have been achieved in RAN1#1</w:t>
      </w:r>
      <w:r w:rsidR="008571CE">
        <w:rPr>
          <w:rFonts w:eastAsia="MS Gothic"/>
          <w:sz w:val="24"/>
          <w:lang w:val="en-GB" w:eastAsia="ja-JP"/>
        </w:rPr>
        <w:t>10</w:t>
      </w:r>
      <w:r>
        <w:rPr>
          <w:rFonts w:eastAsia="MS Gothic"/>
          <w:sz w:val="24"/>
          <w:lang w:val="en-GB" w:eastAsia="ja-JP"/>
        </w:rPr>
        <w:t xml:space="preserve"> meeting [1] as follows. We discuss </w:t>
      </w:r>
      <w:r w:rsidR="000E0919">
        <w:rPr>
          <w:rFonts w:eastAsia="MS Gothic"/>
          <w:sz w:val="24"/>
          <w:lang w:val="en-GB" w:eastAsia="ja-JP"/>
        </w:rPr>
        <w:t>candidate technical solutions for SBFD</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6A02A0" w14:paraId="46300046" w14:textId="77777777" w:rsidTr="006A02A0">
        <w:tc>
          <w:tcPr>
            <w:tcW w:w="9954" w:type="dxa"/>
            <w:tcBorders>
              <w:top w:val="single" w:sz="4" w:space="0" w:color="auto"/>
              <w:left w:val="single" w:sz="4" w:space="0" w:color="auto"/>
              <w:bottom w:val="single" w:sz="4" w:space="0" w:color="auto"/>
              <w:right w:val="single" w:sz="4" w:space="0" w:color="auto"/>
            </w:tcBorders>
          </w:tcPr>
          <w:p w14:paraId="653FDE2D" w14:textId="77777777" w:rsidR="00081752" w:rsidRPr="00081752" w:rsidRDefault="00081752" w:rsidP="00081752">
            <w:pPr>
              <w:autoSpaceDE w:val="0"/>
              <w:autoSpaceDN w:val="0"/>
              <w:adjustRightInd w:val="0"/>
              <w:spacing w:after="0" w:afterAutospacing="0"/>
              <w:rPr>
                <w:rFonts w:eastAsia="MS Mincho"/>
                <w:b/>
                <w:noProof/>
                <w:sz w:val="20"/>
                <w:szCs w:val="24"/>
                <w:highlight w:val="green"/>
                <w:lang w:eastAsia="en-GB"/>
              </w:rPr>
            </w:pPr>
            <w:r w:rsidRPr="00081752">
              <w:rPr>
                <w:rFonts w:eastAsia="MS Mincho"/>
                <w:b/>
                <w:noProof/>
                <w:sz w:val="20"/>
                <w:szCs w:val="24"/>
                <w:highlight w:val="green"/>
                <w:lang w:eastAsia="en-GB"/>
              </w:rPr>
              <w:t>Agreement</w:t>
            </w:r>
          </w:p>
          <w:p w14:paraId="5E3B4F45" w14:textId="77777777" w:rsidR="00081752" w:rsidRPr="00081752" w:rsidRDefault="00081752" w:rsidP="00081752">
            <w:p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Study the following alternatives with Alt 4 prioritized, for SBFD operation at least for RRC_CONNECTED state.</w:t>
            </w:r>
          </w:p>
          <w:p w14:paraId="245CEBA0" w14:textId="77777777" w:rsidR="00081752" w:rsidRPr="00081752" w:rsidRDefault="00081752" w:rsidP="00081752">
            <w:pPr>
              <w:numPr>
                <w:ilvl w:val="0"/>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SBFD operation Alt 1:</w:t>
            </w:r>
          </w:p>
          <w:p w14:paraId="1BC81FA3" w14:textId="77777777" w:rsidR="00081752" w:rsidRPr="00081752" w:rsidRDefault="00081752" w:rsidP="00081752">
            <w:pPr>
              <w:numPr>
                <w:ilvl w:val="1"/>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 xml:space="preserve">Time and frequency locations of subbands for SBFD operation are not known to UEs. </w:t>
            </w:r>
          </w:p>
          <w:p w14:paraId="677260C4" w14:textId="77777777" w:rsidR="00081752" w:rsidRPr="00081752" w:rsidRDefault="00081752" w:rsidP="00081752">
            <w:pPr>
              <w:numPr>
                <w:ilvl w:val="1"/>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UE behaviors follow existing specifications without introducing new UE behaviors for SBFD operation at gNB side.</w:t>
            </w:r>
          </w:p>
          <w:p w14:paraId="29F73405" w14:textId="77777777" w:rsidR="00081752" w:rsidRPr="00081752" w:rsidRDefault="00081752" w:rsidP="00081752">
            <w:pPr>
              <w:numPr>
                <w:ilvl w:val="0"/>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SBFD operation Alt 2:</w:t>
            </w:r>
          </w:p>
          <w:p w14:paraId="0B935E1D" w14:textId="77777777" w:rsidR="00081752" w:rsidRPr="00081752" w:rsidRDefault="00081752" w:rsidP="00081752">
            <w:pPr>
              <w:numPr>
                <w:ilvl w:val="1"/>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 xml:space="preserve">Time and frequency locations of subbands for SBFD operation are not known to UEs. </w:t>
            </w:r>
          </w:p>
          <w:p w14:paraId="2F8E3E27" w14:textId="77777777" w:rsidR="00081752" w:rsidRPr="00081752" w:rsidRDefault="00081752" w:rsidP="00081752">
            <w:pPr>
              <w:numPr>
                <w:ilvl w:val="1"/>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UE behaviors for non-SBFD aware UEs follow existing specifications.</w:t>
            </w:r>
          </w:p>
          <w:p w14:paraId="7EF319CF" w14:textId="77777777" w:rsidR="00081752" w:rsidRPr="00081752" w:rsidRDefault="00081752" w:rsidP="00081752">
            <w:pPr>
              <w:numPr>
                <w:ilvl w:val="1"/>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From RAN1 perspective, new UE behaviors can be introduced for SBFD aware UEs</w:t>
            </w:r>
          </w:p>
          <w:p w14:paraId="4F320A84" w14:textId="77777777" w:rsidR="00081752" w:rsidRPr="00081752" w:rsidRDefault="00081752" w:rsidP="00081752">
            <w:pPr>
              <w:numPr>
                <w:ilvl w:val="0"/>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SBFD operation Alt 3:</w:t>
            </w:r>
          </w:p>
          <w:p w14:paraId="4DCA4E95" w14:textId="77777777" w:rsidR="00081752" w:rsidRPr="00081752" w:rsidRDefault="00081752" w:rsidP="00081752">
            <w:pPr>
              <w:numPr>
                <w:ilvl w:val="1"/>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 xml:space="preserve">Only time location of subbands for SBFD operation is known to SBFD aware UEs. </w:t>
            </w:r>
          </w:p>
          <w:p w14:paraId="653581CB" w14:textId="77777777" w:rsidR="00081752" w:rsidRPr="00081752" w:rsidRDefault="00081752" w:rsidP="00081752">
            <w:pPr>
              <w:numPr>
                <w:ilvl w:val="1"/>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UE behaviors for non-SBFD aware UEs follow existing specifications.</w:t>
            </w:r>
          </w:p>
          <w:p w14:paraId="50C13684" w14:textId="77777777" w:rsidR="00081752" w:rsidRPr="00081752" w:rsidRDefault="00081752" w:rsidP="00081752">
            <w:pPr>
              <w:numPr>
                <w:ilvl w:val="1"/>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 xml:space="preserve">From RAN1 perspective, new UE behaviors can be introduced for SBFD aware UEs based on the time location of subbands for SBFD operation </w:t>
            </w:r>
          </w:p>
          <w:p w14:paraId="1F5543C4" w14:textId="77777777" w:rsidR="00081752" w:rsidRPr="00081752" w:rsidRDefault="00081752" w:rsidP="00081752">
            <w:pPr>
              <w:numPr>
                <w:ilvl w:val="0"/>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SBFD operation Alt 4:</w:t>
            </w:r>
          </w:p>
          <w:p w14:paraId="25157991" w14:textId="77777777" w:rsidR="00081752" w:rsidRPr="00081752" w:rsidRDefault="00081752" w:rsidP="00081752">
            <w:pPr>
              <w:numPr>
                <w:ilvl w:val="1"/>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 xml:space="preserve">Both time and frequency locations of subbands for SBFD operation are known to SBFD aware UEs. </w:t>
            </w:r>
          </w:p>
          <w:p w14:paraId="43E56E77" w14:textId="77777777" w:rsidR="00081752" w:rsidRPr="00081752" w:rsidRDefault="00081752" w:rsidP="00081752">
            <w:pPr>
              <w:numPr>
                <w:ilvl w:val="1"/>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UE behaviors for non-SBFD aware UEs follow existing specifications.</w:t>
            </w:r>
          </w:p>
          <w:p w14:paraId="53CBAD50" w14:textId="77777777" w:rsidR="00081752" w:rsidRPr="00081752" w:rsidRDefault="00081752" w:rsidP="00081752">
            <w:pPr>
              <w:numPr>
                <w:ilvl w:val="1"/>
                <w:numId w:val="35"/>
              </w:num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From RAN1 perspective, new UE behaviors can be introduced for SBFD aware UEs based on the time and frequency locations of subbands for SBFD operation.</w:t>
            </w:r>
          </w:p>
          <w:p w14:paraId="47C4A6FC" w14:textId="77777777" w:rsidR="00081752" w:rsidRPr="00081752" w:rsidRDefault="00081752" w:rsidP="00081752">
            <w:p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UE capability discussion is held in work item phase.</w:t>
            </w:r>
          </w:p>
          <w:p w14:paraId="5E46F1FA" w14:textId="77777777" w:rsidR="00081752" w:rsidRPr="00081752" w:rsidRDefault="00081752" w:rsidP="00081752">
            <w:pPr>
              <w:autoSpaceDE w:val="0"/>
              <w:autoSpaceDN w:val="0"/>
              <w:adjustRightInd w:val="0"/>
              <w:spacing w:after="0" w:afterAutospacing="0"/>
              <w:rPr>
                <w:rFonts w:eastAsia="MS Mincho"/>
                <w:b/>
                <w:noProof/>
                <w:sz w:val="20"/>
                <w:szCs w:val="24"/>
                <w:highlight w:val="green"/>
                <w:lang w:eastAsia="en-GB"/>
              </w:rPr>
            </w:pPr>
          </w:p>
          <w:p w14:paraId="62BDFB41" w14:textId="77777777" w:rsidR="00081752" w:rsidRPr="00081752" w:rsidRDefault="00081752" w:rsidP="00081752">
            <w:pPr>
              <w:autoSpaceDE w:val="0"/>
              <w:autoSpaceDN w:val="0"/>
              <w:adjustRightInd w:val="0"/>
              <w:spacing w:after="0" w:afterAutospacing="0"/>
              <w:rPr>
                <w:rFonts w:eastAsia="MS Mincho"/>
                <w:b/>
                <w:noProof/>
                <w:sz w:val="20"/>
                <w:szCs w:val="24"/>
                <w:highlight w:val="green"/>
                <w:lang w:eastAsia="en-GB"/>
              </w:rPr>
            </w:pPr>
            <w:r w:rsidRPr="00081752">
              <w:rPr>
                <w:rFonts w:eastAsia="MS Mincho"/>
                <w:b/>
                <w:noProof/>
                <w:sz w:val="20"/>
                <w:szCs w:val="24"/>
                <w:highlight w:val="green"/>
                <w:lang w:eastAsia="en-GB"/>
              </w:rPr>
              <w:t>Agreement</w:t>
            </w:r>
          </w:p>
          <w:p w14:paraId="2D5CDAFC" w14:textId="61479EC2" w:rsidR="00081752" w:rsidRPr="00081752" w:rsidRDefault="00081752" w:rsidP="00081752">
            <w:p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For indication of subband locations for SBFD operation, study semi-static configuration of subband time and frequency location as baseline.</w:t>
            </w:r>
          </w:p>
          <w:p w14:paraId="13A25158" w14:textId="551760C7" w:rsidR="00081752" w:rsidRPr="00081752" w:rsidRDefault="00081752" w:rsidP="00081752">
            <w:pPr>
              <w:autoSpaceDE w:val="0"/>
              <w:autoSpaceDN w:val="0"/>
              <w:adjustRightInd w:val="0"/>
              <w:spacing w:after="0" w:afterAutospacing="0"/>
              <w:rPr>
                <w:rFonts w:eastAsia="MS Mincho"/>
                <w:bCs/>
                <w:noProof/>
                <w:sz w:val="20"/>
                <w:szCs w:val="24"/>
                <w:lang w:eastAsia="en-GB"/>
              </w:rPr>
            </w:pPr>
          </w:p>
          <w:p w14:paraId="0C5FDC34" w14:textId="77777777" w:rsidR="00081752" w:rsidRPr="00081752" w:rsidRDefault="00081752" w:rsidP="00081752">
            <w:pPr>
              <w:autoSpaceDE w:val="0"/>
              <w:autoSpaceDN w:val="0"/>
              <w:adjustRightInd w:val="0"/>
              <w:spacing w:after="0" w:afterAutospacing="0"/>
              <w:rPr>
                <w:rFonts w:eastAsia="MS Mincho"/>
                <w:b/>
                <w:noProof/>
                <w:sz w:val="20"/>
                <w:szCs w:val="24"/>
                <w:lang w:eastAsia="en-GB"/>
              </w:rPr>
            </w:pPr>
            <w:r w:rsidRPr="00081752">
              <w:rPr>
                <w:rFonts w:eastAsia="MS Mincho"/>
                <w:b/>
                <w:noProof/>
                <w:sz w:val="20"/>
                <w:szCs w:val="24"/>
                <w:highlight w:val="green"/>
                <w:lang w:eastAsia="en-GB"/>
              </w:rPr>
              <w:t>Agreement</w:t>
            </w:r>
          </w:p>
          <w:p w14:paraId="548F7EE5" w14:textId="77777777" w:rsidR="00081752" w:rsidRPr="00081752" w:rsidRDefault="00081752" w:rsidP="00081752">
            <w:pPr>
              <w:autoSpaceDE w:val="0"/>
              <w:autoSpaceDN w:val="0"/>
              <w:adjustRightInd w:val="0"/>
              <w:spacing w:after="0" w:afterAutospacing="0"/>
              <w:rPr>
                <w:rFonts w:eastAsia="MS Mincho"/>
                <w:bCs/>
                <w:noProof/>
                <w:sz w:val="20"/>
                <w:szCs w:val="24"/>
                <w:lang w:eastAsia="en-GB"/>
              </w:rPr>
            </w:pPr>
            <w:r w:rsidRPr="00081752">
              <w:rPr>
                <w:rFonts w:eastAsia="MS Mincho"/>
                <w:bCs/>
                <w:noProof/>
                <w:sz w:val="20"/>
                <w:szCs w:val="24"/>
                <w:lang w:eastAsia="en-GB"/>
              </w:rPr>
              <w:t>For semi-static configuration of subband location, consider same subband frequency resources across different SBFD symbols as baseline.</w:t>
            </w:r>
          </w:p>
          <w:p w14:paraId="7CE89AE4" w14:textId="77777777" w:rsidR="00081752" w:rsidRPr="00081752" w:rsidRDefault="00081752" w:rsidP="00081752">
            <w:pPr>
              <w:autoSpaceDE w:val="0"/>
              <w:autoSpaceDN w:val="0"/>
              <w:adjustRightInd w:val="0"/>
              <w:spacing w:after="0" w:afterAutospacing="0"/>
              <w:rPr>
                <w:rFonts w:eastAsia="MS Mincho"/>
                <w:b/>
                <w:noProof/>
                <w:sz w:val="20"/>
                <w:szCs w:val="24"/>
                <w:lang w:eastAsia="en-GB"/>
              </w:rPr>
            </w:pPr>
          </w:p>
          <w:p w14:paraId="2FF61DD1" w14:textId="77777777" w:rsidR="00081752" w:rsidRPr="00081752" w:rsidRDefault="00081752" w:rsidP="00081752">
            <w:pPr>
              <w:autoSpaceDE w:val="0"/>
              <w:autoSpaceDN w:val="0"/>
              <w:adjustRightInd w:val="0"/>
              <w:spacing w:after="0" w:afterAutospacing="0"/>
              <w:rPr>
                <w:rFonts w:eastAsia="MS Mincho"/>
                <w:b/>
                <w:iCs/>
                <w:noProof/>
                <w:sz w:val="20"/>
                <w:szCs w:val="24"/>
                <w:lang w:eastAsia="en-GB"/>
              </w:rPr>
            </w:pPr>
            <w:r w:rsidRPr="00081752">
              <w:rPr>
                <w:rFonts w:eastAsia="MS Mincho"/>
                <w:b/>
                <w:iCs/>
                <w:noProof/>
                <w:sz w:val="20"/>
                <w:szCs w:val="24"/>
                <w:highlight w:val="darkYellow"/>
                <w:lang w:eastAsia="en-GB"/>
              </w:rPr>
              <w:t>Working Assumption</w:t>
            </w:r>
          </w:p>
          <w:p w14:paraId="0FE2A9D4" w14:textId="77777777" w:rsidR="00081752" w:rsidRPr="00081752" w:rsidRDefault="00081752" w:rsidP="00081752">
            <w:p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 xml:space="preserve">For SBFD operation within a TDD carrier, study SBFD scheme within a single configured DL and UL BWP pair with aligned center frequencies as baseline. </w:t>
            </w:r>
          </w:p>
          <w:p w14:paraId="0599E7C3" w14:textId="77777777" w:rsidR="00081752" w:rsidRPr="00081752" w:rsidRDefault="00081752" w:rsidP="00081752">
            <w:pPr>
              <w:numPr>
                <w:ilvl w:val="0"/>
                <w:numId w:val="36"/>
              </w:num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FFS feasibility and potential benefit of SBFD scheme within a single configured DL and UL BWP pair with unaligned center frequencies</w:t>
            </w:r>
          </w:p>
          <w:p w14:paraId="7C5CCAB9" w14:textId="77777777" w:rsidR="00081752" w:rsidRPr="00081752" w:rsidRDefault="00081752" w:rsidP="00081752">
            <w:pPr>
              <w:numPr>
                <w:ilvl w:val="0"/>
                <w:numId w:val="36"/>
              </w:num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FFS feasibility and potential benefit of SBFD scheme with more than one configured DL and UL BWP pair with aligned/unaligned center frequencies for a DL and UL BWP pair</w:t>
            </w:r>
          </w:p>
          <w:p w14:paraId="42F6E8F8" w14:textId="77777777" w:rsidR="00A45E27" w:rsidRPr="00A45E27" w:rsidRDefault="00A45E27" w:rsidP="00F07407">
            <w:pPr>
              <w:autoSpaceDE w:val="0"/>
              <w:autoSpaceDN w:val="0"/>
              <w:adjustRightInd w:val="0"/>
              <w:spacing w:after="0" w:afterAutospacing="0"/>
              <w:rPr>
                <w:rFonts w:eastAsia="MS Mincho"/>
                <w:iCs/>
                <w:noProof/>
                <w:sz w:val="20"/>
                <w:szCs w:val="24"/>
                <w:lang w:eastAsia="en-GB"/>
              </w:rPr>
            </w:pPr>
          </w:p>
          <w:p w14:paraId="78C73A81" w14:textId="77777777" w:rsidR="00081752" w:rsidRPr="00081752" w:rsidRDefault="00081752" w:rsidP="00081752">
            <w:pPr>
              <w:autoSpaceDE w:val="0"/>
              <w:autoSpaceDN w:val="0"/>
              <w:adjustRightInd w:val="0"/>
              <w:spacing w:after="0" w:afterAutospacing="0"/>
              <w:rPr>
                <w:rFonts w:eastAsia="MS Mincho"/>
                <w:b/>
                <w:bCs/>
                <w:iCs/>
                <w:noProof/>
                <w:sz w:val="20"/>
                <w:szCs w:val="24"/>
                <w:lang w:eastAsia="en-GB"/>
              </w:rPr>
            </w:pPr>
            <w:r w:rsidRPr="00081752">
              <w:rPr>
                <w:rFonts w:eastAsia="MS Mincho"/>
                <w:b/>
                <w:bCs/>
                <w:iCs/>
                <w:noProof/>
                <w:sz w:val="20"/>
                <w:szCs w:val="24"/>
                <w:highlight w:val="green"/>
                <w:lang w:eastAsia="en-GB"/>
              </w:rPr>
              <w:t>Agreement</w:t>
            </w:r>
          </w:p>
          <w:p w14:paraId="0E1C52FD" w14:textId="77777777" w:rsidR="00081752" w:rsidRPr="00081752" w:rsidRDefault="00081752" w:rsidP="00081752">
            <w:pPr>
              <w:autoSpaceDE w:val="0"/>
              <w:autoSpaceDN w:val="0"/>
              <w:adjustRightInd w:val="0"/>
              <w:spacing w:after="0" w:afterAutospacing="0"/>
              <w:rPr>
                <w:rFonts w:eastAsia="MS Mincho"/>
                <w:b/>
                <w:iCs/>
                <w:noProof/>
                <w:sz w:val="20"/>
                <w:szCs w:val="24"/>
                <w:lang w:eastAsia="en-GB"/>
              </w:rPr>
            </w:pPr>
            <w:r w:rsidRPr="00081752">
              <w:rPr>
                <w:rFonts w:eastAsia="MS Mincho"/>
                <w:iCs/>
                <w:noProof/>
                <w:sz w:val="20"/>
                <w:szCs w:val="24"/>
                <w:lang w:eastAsia="en-GB"/>
              </w:rPr>
              <w:lastRenderedPageBreak/>
              <w:t>For SBFD operation</w:t>
            </w:r>
            <w:r w:rsidRPr="00081752">
              <w:rPr>
                <w:rFonts w:eastAsia="MS Mincho"/>
                <w:bCs/>
                <w:iCs/>
                <w:noProof/>
                <w:sz w:val="20"/>
                <w:szCs w:val="24"/>
                <w:lang w:eastAsia="en-GB"/>
              </w:rPr>
              <w:t xml:space="preserve"> Alt 4, for an SBFD aware UE configured with an UL subband in an SBFD symbol, study the following options:</w:t>
            </w:r>
          </w:p>
          <w:p w14:paraId="6FA86B94" w14:textId="77777777" w:rsidR="00081752" w:rsidRPr="00081752" w:rsidRDefault="00081752" w:rsidP="00081752">
            <w:pPr>
              <w:numPr>
                <w:ilvl w:val="0"/>
                <w:numId w:val="36"/>
              </w:num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Option 1: The SBFD aware UE does not expect to be scheduled with UL transmission outside the UL subband or to be scheduled with DL reception within the UL subband in the SBFD symbol</w:t>
            </w:r>
          </w:p>
          <w:p w14:paraId="2B340B65" w14:textId="77777777" w:rsidR="00081752" w:rsidRPr="00081752" w:rsidRDefault="00081752" w:rsidP="00081752">
            <w:pPr>
              <w:numPr>
                <w:ilvl w:val="0"/>
                <w:numId w:val="36"/>
              </w:num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Option 2: The SBFD aware UE does not expect to be scheduled with UL transmission outside the UL subband and may be scheduled with DL reception within the UL subband in the SBFD symbol</w:t>
            </w:r>
          </w:p>
          <w:p w14:paraId="06A5FAA3" w14:textId="77777777" w:rsidR="00081752" w:rsidRPr="00081752" w:rsidRDefault="00081752" w:rsidP="00081752">
            <w:pPr>
              <w:numPr>
                <w:ilvl w:val="0"/>
                <w:numId w:val="36"/>
              </w:num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Option 3: The SBFD aware UE does not expect to be scheduled with DL reception within the UL subband and may be scheduled with UL transmission outside the UL subband in the SBFD symbol</w:t>
            </w:r>
          </w:p>
          <w:p w14:paraId="288CE3A2" w14:textId="77777777" w:rsidR="00081752" w:rsidRPr="00081752" w:rsidRDefault="00081752" w:rsidP="00081752">
            <w:pPr>
              <w:numPr>
                <w:ilvl w:val="0"/>
                <w:numId w:val="36"/>
              </w:num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Option 4: The SBFD aware UE may be scheduled with UL transmission outside the UL subband or DL reception within the UL subband in the SBFD symbol</w:t>
            </w:r>
          </w:p>
          <w:p w14:paraId="40057BF8" w14:textId="77777777" w:rsidR="00081752" w:rsidRPr="00081752" w:rsidRDefault="00081752" w:rsidP="00081752">
            <w:pPr>
              <w:autoSpaceDE w:val="0"/>
              <w:autoSpaceDN w:val="0"/>
              <w:adjustRightInd w:val="0"/>
              <w:spacing w:after="0" w:afterAutospacing="0"/>
              <w:rPr>
                <w:rFonts w:eastAsia="MS Mincho"/>
                <w:iCs/>
                <w:noProof/>
                <w:sz w:val="20"/>
                <w:szCs w:val="24"/>
                <w:lang w:eastAsia="en-GB"/>
              </w:rPr>
            </w:pPr>
          </w:p>
          <w:p w14:paraId="2D71A2D3" w14:textId="77777777" w:rsidR="00081752" w:rsidRPr="00081752" w:rsidRDefault="00081752" w:rsidP="00081752">
            <w:pPr>
              <w:autoSpaceDE w:val="0"/>
              <w:autoSpaceDN w:val="0"/>
              <w:adjustRightInd w:val="0"/>
              <w:spacing w:after="0" w:afterAutospacing="0"/>
              <w:rPr>
                <w:rFonts w:eastAsia="MS Mincho"/>
                <w:b/>
                <w:bCs/>
                <w:iCs/>
                <w:noProof/>
                <w:sz w:val="20"/>
                <w:szCs w:val="24"/>
                <w:lang w:eastAsia="en-GB"/>
              </w:rPr>
            </w:pPr>
            <w:r w:rsidRPr="00081752">
              <w:rPr>
                <w:rFonts w:eastAsia="MS Mincho"/>
                <w:b/>
                <w:bCs/>
                <w:iCs/>
                <w:noProof/>
                <w:sz w:val="20"/>
                <w:szCs w:val="24"/>
                <w:highlight w:val="green"/>
                <w:lang w:eastAsia="en-GB"/>
              </w:rPr>
              <w:t>Agreement</w:t>
            </w:r>
          </w:p>
          <w:p w14:paraId="7B80484C" w14:textId="77777777" w:rsidR="00081752" w:rsidRPr="00081752" w:rsidRDefault="00081752" w:rsidP="00081752">
            <w:p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Study the feasibility and potential benefit of UE-to-UE co-channel CLI measurement and reporting, which can be specific for SBFD, at least includes:</w:t>
            </w:r>
          </w:p>
          <w:p w14:paraId="03628F0A" w14:textId="77777777" w:rsidR="00081752" w:rsidRPr="00081752" w:rsidRDefault="00081752" w:rsidP="00081752">
            <w:pPr>
              <w:numPr>
                <w:ilvl w:val="0"/>
                <w:numId w:val="37"/>
              </w:num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Measurement resource/reporting configuration</w:t>
            </w:r>
          </w:p>
          <w:p w14:paraId="771616D2" w14:textId="77777777" w:rsidR="00081752" w:rsidRPr="00081752" w:rsidRDefault="00081752" w:rsidP="00081752">
            <w:pPr>
              <w:numPr>
                <w:ilvl w:val="0"/>
                <w:numId w:val="37"/>
              </w:num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Measurement/reporting details (including UE processing delay)</w:t>
            </w:r>
          </w:p>
          <w:p w14:paraId="25766C3A" w14:textId="77777777" w:rsidR="00081752" w:rsidRPr="00081752" w:rsidRDefault="00081752" w:rsidP="00081752">
            <w:pPr>
              <w:numPr>
                <w:ilvl w:val="0"/>
                <w:numId w:val="37"/>
              </w:num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Relevant information exchange (between gNBs) if needed</w:t>
            </w:r>
          </w:p>
          <w:p w14:paraId="4B22C350" w14:textId="77777777" w:rsidR="00081752" w:rsidRPr="00081752" w:rsidRDefault="00081752" w:rsidP="00081752">
            <w:pPr>
              <w:numPr>
                <w:ilvl w:val="0"/>
                <w:numId w:val="37"/>
              </w:num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Usage of measurement at gNB</w:t>
            </w:r>
          </w:p>
          <w:p w14:paraId="0FABB087" w14:textId="77777777" w:rsidR="00081752" w:rsidRPr="00081752" w:rsidRDefault="00081752" w:rsidP="00081752">
            <w:pPr>
              <w:autoSpaceDE w:val="0"/>
              <w:autoSpaceDN w:val="0"/>
              <w:adjustRightInd w:val="0"/>
              <w:spacing w:after="0" w:afterAutospacing="0"/>
              <w:rPr>
                <w:rFonts w:eastAsia="MS Mincho"/>
                <w:iCs/>
                <w:noProof/>
                <w:sz w:val="20"/>
                <w:szCs w:val="24"/>
                <w:lang w:eastAsia="en-GB"/>
              </w:rPr>
            </w:pPr>
            <w:r w:rsidRPr="00081752">
              <w:rPr>
                <w:rFonts w:eastAsia="MS Mincho"/>
                <w:iCs/>
                <w:noProof/>
                <w:sz w:val="20"/>
                <w:szCs w:val="24"/>
                <w:lang w:eastAsia="en-GB"/>
              </w:rPr>
              <w:t>Note: other enhancement(s) for gNB-to-gNB and UE-to-UE CLI handling specific for SBFD are not precluded.</w:t>
            </w:r>
          </w:p>
          <w:p w14:paraId="2A70D88A" w14:textId="55A9B469" w:rsidR="00081752" w:rsidRPr="00BB4655" w:rsidRDefault="00081752" w:rsidP="00F07407">
            <w:pPr>
              <w:autoSpaceDE w:val="0"/>
              <w:autoSpaceDN w:val="0"/>
              <w:adjustRightInd w:val="0"/>
              <w:spacing w:after="0" w:afterAutospacing="0"/>
              <w:rPr>
                <w:rFonts w:eastAsia="MS Mincho"/>
                <w:iCs/>
                <w:noProof/>
                <w:sz w:val="20"/>
                <w:szCs w:val="24"/>
                <w:lang w:val="en-US" w:eastAsia="en-GB"/>
              </w:rPr>
            </w:pPr>
          </w:p>
        </w:tc>
      </w:tr>
    </w:tbl>
    <w:p w14:paraId="3A87449D" w14:textId="77777777" w:rsidR="006A02A0" w:rsidRDefault="006A02A0" w:rsidP="006A02A0">
      <w:pPr>
        <w:autoSpaceDE w:val="0"/>
        <w:autoSpaceDN w:val="0"/>
        <w:adjustRightInd w:val="0"/>
        <w:spacing w:after="0" w:afterAutospacing="0"/>
        <w:rPr>
          <w:rFonts w:eastAsiaTheme="minorEastAsia" w:cs="Arial"/>
          <w:szCs w:val="24"/>
        </w:rPr>
      </w:pPr>
    </w:p>
    <w:p w14:paraId="5E25E153" w14:textId="7C5173B8" w:rsidR="00A077CC" w:rsidRDefault="00DF002B" w:rsidP="00A077CC">
      <w:pPr>
        <w:pStyle w:val="Heading1"/>
        <w:spacing w:after="180"/>
      </w:pPr>
      <w:r>
        <w:t xml:space="preserve">SBFD </w:t>
      </w:r>
      <w:r w:rsidR="0097330B">
        <w:t>subband indication</w:t>
      </w:r>
    </w:p>
    <w:p w14:paraId="7C096F20" w14:textId="72B3F569" w:rsidR="0023445D" w:rsidRDefault="0097330B" w:rsidP="0023445D">
      <w:r>
        <w:t>We agreed 4 alternatives for SBFD operation with Alt.4 (i.e., b</w:t>
      </w:r>
      <w:r w:rsidRPr="0097330B">
        <w:t>oth time and frequency locations of subbands for SBFD operation are known to SBFD aware UEs</w:t>
      </w:r>
      <w:r>
        <w:t>) prioritized. Therefore, we firstly discuss benefits for time and frequency location of subbands, and further discuss each alternative. This study includes the following aspects:</w:t>
      </w:r>
    </w:p>
    <w:p w14:paraId="5F8B010B" w14:textId="2B85BEC8" w:rsidR="0097330B" w:rsidRDefault="00BC5C57" w:rsidP="00BC5C57">
      <w:pPr>
        <w:pStyle w:val="ListParagraph"/>
        <w:numPr>
          <w:ilvl w:val="0"/>
          <w:numId w:val="38"/>
        </w:numPr>
        <w:ind w:leftChars="0"/>
      </w:pPr>
      <w:r>
        <w:t>Non-continuous FDRA across DL subbands for PDSCH</w:t>
      </w:r>
    </w:p>
    <w:p w14:paraId="448D89BB" w14:textId="660DB714" w:rsidR="00CB2BB3" w:rsidRDefault="00CB2BB3" w:rsidP="00BC5C57">
      <w:pPr>
        <w:pStyle w:val="ListParagraph"/>
        <w:numPr>
          <w:ilvl w:val="0"/>
          <w:numId w:val="38"/>
        </w:numPr>
        <w:ind w:leftChars="0"/>
      </w:pPr>
      <w:r>
        <w:t>Non-continuous FDRA across UL subbands for PUSCH</w:t>
      </w:r>
    </w:p>
    <w:p w14:paraId="4D7272B6" w14:textId="7BDED442" w:rsidR="00BC5C57" w:rsidRDefault="00BC5C57" w:rsidP="00BC5C57">
      <w:pPr>
        <w:pStyle w:val="ListParagraph"/>
        <w:numPr>
          <w:ilvl w:val="0"/>
          <w:numId w:val="38"/>
        </w:numPr>
        <w:ind w:leftChars="0"/>
      </w:pPr>
      <w:r>
        <w:t>Frequency hopping for PUSCH</w:t>
      </w:r>
    </w:p>
    <w:p w14:paraId="2E81EFD3" w14:textId="07E8C24F" w:rsidR="00CB2BB3" w:rsidRDefault="00CB2BB3" w:rsidP="00CB2BB3">
      <w:pPr>
        <w:pStyle w:val="ListParagraph"/>
        <w:numPr>
          <w:ilvl w:val="0"/>
          <w:numId w:val="38"/>
        </w:numPr>
        <w:ind w:leftChars="0"/>
      </w:pPr>
      <w:r>
        <w:t>Resource allocation of configured scheduling</w:t>
      </w:r>
    </w:p>
    <w:p w14:paraId="40F64F34" w14:textId="6AFB8716" w:rsidR="0086740F" w:rsidRDefault="00901659" w:rsidP="0086740F">
      <w:pPr>
        <w:pStyle w:val="Heading1"/>
        <w:numPr>
          <w:ilvl w:val="1"/>
          <w:numId w:val="1"/>
        </w:numPr>
        <w:spacing w:after="180"/>
      </w:pPr>
      <w:r>
        <w:t>Non-continuous FDRA across DL subbands for PDSCH</w:t>
      </w:r>
    </w:p>
    <w:p w14:paraId="7FB6EA82" w14:textId="155EB7FD" w:rsidR="0023445D" w:rsidRDefault="00780B11" w:rsidP="0086740F">
      <w:r>
        <w:t>We discuss two</w:t>
      </w:r>
      <w:r w:rsidR="00F027A3">
        <w:t xml:space="preserve"> different cases of non-continuous FDRA across DL subbands for PDSCH </w:t>
      </w:r>
      <w:r w:rsidR="00836C10">
        <w:t>for type-1 RA as follows:</w:t>
      </w:r>
    </w:p>
    <w:p w14:paraId="2BE00EF1" w14:textId="7C95943F" w:rsidR="00836C10" w:rsidRDefault="00836C10" w:rsidP="00B42210">
      <w:pPr>
        <w:pStyle w:val="ListParagraph"/>
        <w:numPr>
          <w:ilvl w:val="0"/>
          <w:numId w:val="39"/>
        </w:numPr>
        <w:ind w:leftChars="0"/>
      </w:pPr>
      <w:r>
        <w:t xml:space="preserve">Wideband </w:t>
      </w:r>
      <w:r w:rsidR="005A14F3">
        <w:t>non-</w:t>
      </w:r>
      <w:r>
        <w:t>continuous resource allocation across DL subbands</w:t>
      </w:r>
    </w:p>
    <w:p w14:paraId="2E1BC743" w14:textId="31A3A28A" w:rsidR="0023445D" w:rsidRDefault="00B42210" w:rsidP="0086740F">
      <w:pPr>
        <w:pStyle w:val="ListParagraph"/>
        <w:numPr>
          <w:ilvl w:val="0"/>
          <w:numId w:val="39"/>
        </w:numPr>
        <w:ind w:leftChars="0"/>
      </w:pPr>
      <w:r>
        <w:t>Distributed resource allocation across DL subbands</w:t>
      </w:r>
    </w:p>
    <w:p w14:paraId="51383ECE" w14:textId="462D9265" w:rsidR="00F027A3" w:rsidRPr="0066784E" w:rsidRDefault="00780B11" w:rsidP="00F027A3">
      <w:pPr>
        <w:jc w:val="left"/>
        <w:rPr>
          <w:u w:val="single"/>
          <w:lang w:val="en-US"/>
        </w:rPr>
      </w:pPr>
      <w:r w:rsidRPr="00780B11">
        <w:rPr>
          <w:u w:val="single"/>
          <w:lang w:val="en-US"/>
        </w:rPr>
        <w:t xml:space="preserve">Wideband </w:t>
      </w:r>
      <w:r w:rsidR="005A14F3" w:rsidRPr="005A14F3">
        <w:rPr>
          <w:u w:val="single"/>
          <w:lang w:val="en-US"/>
        </w:rPr>
        <w:t>non-</w:t>
      </w:r>
      <w:r w:rsidRPr="00780B11">
        <w:rPr>
          <w:u w:val="single"/>
          <w:lang w:val="en-US"/>
        </w:rPr>
        <w:t>continuous resource allocation across DL subbands</w:t>
      </w:r>
    </w:p>
    <w:p w14:paraId="1C820305" w14:textId="3EFEBD8F" w:rsidR="00F027A3" w:rsidRDefault="00F027A3" w:rsidP="00F027A3">
      <w:pPr>
        <w:rPr>
          <w:lang w:val="en-US"/>
        </w:rPr>
      </w:pPr>
      <w:r>
        <w:rPr>
          <w:lang w:val="en-US"/>
        </w:rPr>
        <w:t xml:space="preserve">Figure </w:t>
      </w:r>
      <w:r w:rsidR="00480690">
        <w:rPr>
          <w:lang w:val="en-US"/>
        </w:rPr>
        <w:t>1</w:t>
      </w:r>
      <w:r>
        <w:rPr>
          <w:lang w:val="en-US"/>
        </w:rPr>
        <w:t xml:space="preserve"> shows an example of </w:t>
      </w:r>
      <w:r w:rsidR="00480690">
        <w:rPr>
          <w:lang w:val="en-US"/>
        </w:rPr>
        <w:t xml:space="preserve">wideband </w:t>
      </w:r>
      <w:r w:rsidR="005A14F3">
        <w:rPr>
          <w:lang w:val="en-US"/>
        </w:rPr>
        <w:t>non-</w:t>
      </w:r>
      <w:r w:rsidR="00480690">
        <w:rPr>
          <w:lang w:val="en-US"/>
        </w:rPr>
        <w:t>continuous resource allocation across DL subbands</w:t>
      </w:r>
      <w:r w:rsidR="001A5DC7">
        <w:rPr>
          <w:lang w:val="en-US"/>
        </w:rPr>
        <w:t>.</w:t>
      </w:r>
      <w:r w:rsidR="00CB2BB3">
        <w:rPr>
          <w:lang w:val="en-US"/>
        </w:rPr>
        <w:t xml:space="preserve"> </w:t>
      </w:r>
      <w:r w:rsidR="006D1FE1">
        <w:rPr>
          <w:lang w:val="en-US"/>
        </w:rPr>
        <w:t>In the Figure, the size of the active BWP is 24 RBs, and SBFD configuration is [8,1,5,1,9] where, in SBFD configuration [X,Y,Z,W,V], X is the size of the DL subband</w:t>
      </w:r>
      <w:r w:rsidR="00A82EB6">
        <w:rPr>
          <w:lang w:val="en-US"/>
        </w:rPr>
        <w:t>#0</w:t>
      </w:r>
      <w:r w:rsidR="006D1FE1">
        <w:rPr>
          <w:lang w:val="en-US"/>
        </w:rPr>
        <w:t>, Y is the gap between the DL subband</w:t>
      </w:r>
      <w:r w:rsidR="00A82EB6">
        <w:rPr>
          <w:lang w:val="en-US"/>
        </w:rPr>
        <w:t>#0</w:t>
      </w:r>
      <w:r w:rsidR="006D1FE1">
        <w:rPr>
          <w:lang w:val="en-US"/>
        </w:rPr>
        <w:t xml:space="preserve"> </w:t>
      </w:r>
      <w:r w:rsidR="00A82EB6">
        <w:rPr>
          <w:lang w:val="en-US"/>
        </w:rPr>
        <w:t>and the UL subband, Z is the size of the UL subband, W is the gap between the UL subband and the DL subband#1, and the V is the size of the DL subband#1.</w:t>
      </w:r>
      <w:r w:rsidR="00527438">
        <w:rPr>
          <w:lang w:val="en-US"/>
        </w:rPr>
        <w:t xml:space="preserve"> </w:t>
      </w:r>
      <w:r w:rsidR="00686461">
        <w:rPr>
          <w:lang w:val="en-US"/>
        </w:rPr>
        <w:t>Non-w</w:t>
      </w:r>
      <w:r w:rsidR="00527438">
        <w:rPr>
          <w:lang w:val="en-US"/>
        </w:rPr>
        <w:t>ideband continuous resource allocation across DL subbands can be mostly done by RBG-based RA without awareness of frequency domain DL subband locations (e.g., the RBG#0, 1, 4, and 5 can be allocated for a PDSCH). However, for RBG-</w:t>
      </w:r>
      <w:r w:rsidR="00527438">
        <w:rPr>
          <w:lang w:val="en-US"/>
        </w:rPr>
        <w:lastRenderedPageBreak/>
        <w:t xml:space="preserve">based RA, in a case that a RBG partially overlaps with a DL subband, that RBG is no more available for SBFD operation, and thus </w:t>
      </w:r>
      <w:r w:rsidR="00E34375">
        <w:rPr>
          <w:lang w:val="en-US"/>
        </w:rPr>
        <w:t>it leads to resource inefficiency.</w:t>
      </w:r>
    </w:p>
    <w:p w14:paraId="7C8C02E6" w14:textId="77777777" w:rsidR="00F112EE" w:rsidRDefault="00FF0827" w:rsidP="00F027A3">
      <w:r>
        <w:t xml:space="preserve">One potential solution is to reuse rate matching resource introduced in Rel-15 NR. On the other hand, </w:t>
      </w:r>
      <w:r w:rsidR="00135CD9">
        <w:t xml:space="preserve">applicability of </w:t>
      </w:r>
      <w:r w:rsidR="00857AF7">
        <w:t xml:space="preserve">the legacy rate matching mechanism is restricted to </w:t>
      </w:r>
      <w:r w:rsidR="00135CD9">
        <w:t xml:space="preserve">the case of </w:t>
      </w:r>
      <w:r w:rsidR="00857AF7">
        <w:t xml:space="preserve">no overlapping of the rate matching resource with PDSCH DMRS, which is intended not to increase DMRS reception complexity. However, in SBFD operation, whole resource block in one slot including REs for DMRS should be rate matched for handling RBGs partially overlapping with a DL subband. </w:t>
      </w:r>
    </w:p>
    <w:p w14:paraId="2AD04FE7" w14:textId="6A6ECE6E" w:rsidR="00F112EE" w:rsidRDefault="00F112EE" w:rsidP="00F027A3">
      <w:r>
        <w:t>Another direction is to reuse cancellation indication in Rel-15 NR. However, cancellation indication is possible only via DCI format 2_1, and thus no semi-static configuration is possible.</w:t>
      </w:r>
    </w:p>
    <w:p w14:paraId="52D2CCF1" w14:textId="19D208E7" w:rsidR="00301352" w:rsidRDefault="00857AF7" w:rsidP="00F027A3">
      <w:r>
        <w:t xml:space="preserve">Therefore, the existing mechanism is not </w:t>
      </w:r>
      <w:r w:rsidR="00301352">
        <w:t>suitable.</w:t>
      </w:r>
      <w:r w:rsidR="000B4C42">
        <w:t xml:space="preserve"> On the other hand, </w:t>
      </w:r>
      <w:r w:rsidR="00301352">
        <w:t>For UEs aware of frequency domain subband location, it is possible to avoid resource allocation outside of DL subbands.</w:t>
      </w:r>
    </w:p>
    <w:p w14:paraId="000422FE" w14:textId="580B3C55" w:rsidR="00527438" w:rsidRPr="008A5D87" w:rsidRDefault="00FD68FA" w:rsidP="00F027A3">
      <w:pPr>
        <w:rPr>
          <w:b/>
          <w:bCs/>
        </w:rPr>
      </w:pPr>
      <w:r w:rsidRPr="008A5D87">
        <w:rPr>
          <w:b/>
          <w:bCs/>
        </w:rPr>
        <w:t xml:space="preserve">Observation 1: </w:t>
      </w:r>
      <w:r w:rsidR="00301352" w:rsidRPr="00301352">
        <w:rPr>
          <w:b/>
          <w:bCs/>
        </w:rPr>
        <w:t>For UEs aware of frequency domain subband location, it is possible to avoid resource allocation outside of DL subbands.</w:t>
      </w:r>
    </w:p>
    <w:p w14:paraId="728F0FCF" w14:textId="1E23846D" w:rsidR="00527438" w:rsidRDefault="00527438" w:rsidP="00F027A3">
      <w:pPr>
        <w:rPr>
          <w:lang w:val="en-US"/>
        </w:rPr>
      </w:pPr>
      <w:r>
        <w:object w:dxaOrig="16006" w:dyaOrig="5881" w14:anchorId="70B0C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8pt;height:182.45pt" o:ole="">
            <v:imagedata r:id="rId8" o:title=""/>
          </v:shape>
          <o:OLEObject Type="Embed" ProgID="Visio.Drawing.15" ShapeID="_x0000_i1025" DrawAspect="Content" ObjectID="_1726039696" r:id="rId9"/>
        </w:object>
      </w:r>
    </w:p>
    <w:p w14:paraId="08E53618" w14:textId="0C2294EF" w:rsidR="00F027A3" w:rsidRDefault="00F027A3" w:rsidP="00F027A3">
      <w:pPr>
        <w:jc w:val="center"/>
        <w:rPr>
          <w:lang w:val="en-US"/>
        </w:rPr>
      </w:pPr>
      <w:r>
        <w:rPr>
          <w:lang w:val="en-US"/>
        </w:rPr>
        <w:t xml:space="preserve">Figure </w:t>
      </w:r>
      <w:r w:rsidR="007C4A32">
        <w:rPr>
          <w:lang w:val="en-US"/>
        </w:rPr>
        <w:t>1</w:t>
      </w:r>
      <w:r>
        <w:rPr>
          <w:lang w:val="en-US"/>
        </w:rPr>
        <w:t xml:space="preserve">: Example of </w:t>
      </w:r>
      <w:r w:rsidR="001A5DC7">
        <w:rPr>
          <w:lang w:val="en-US"/>
        </w:rPr>
        <w:t>wideband continuous resource allocation across DL subbands</w:t>
      </w:r>
    </w:p>
    <w:p w14:paraId="53642437" w14:textId="1FB0D3B1" w:rsidR="00DD7813" w:rsidRDefault="00737633" w:rsidP="00F027A3">
      <w:pPr>
        <w:rPr>
          <w:lang w:val="en-US"/>
        </w:rPr>
      </w:pPr>
      <w:r>
        <w:rPr>
          <w:lang w:val="en-US"/>
        </w:rPr>
        <w:t>On the other hand</w:t>
      </w:r>
      <w:r w:rsidR="00E13745">
        <w:rPr>
          <w:lang w:val="en-US"/>
        </w:rPr>
        <w:t xml:space="preserve">, the gNB should be able to fallback to </w:t>
      </w:r>
      <w:r w:rsidR="00F13DAE">
        <w:rPr>
          <w:lang w:val="en-US"/>
        </w:rPr>
        <w:t xml:space="preserve">the legacy </w:t>
      </w:r>
      <w:r w:rsidR="00F12E1F">
        <w:rPr>
          <w:lang w:val="en-US"/>
        </w:rPr>
        <w:t>FDRA</w:t>
      </w:r>
      <w:r w:rsidR="00E13745">
        <w:rPr>
          <w:lang w:val="en-US"/>
        </w:rPr>
        <w:t xml:space="preserve"> when the gNB is operating in legacy DL region. </w:t>
      </w:r>
      <w:r w:rsidR="005A14F3">
        <w:rPr>
          <w:lang w:val="en-US"/>
        </w:rPr>
        <w:t>Therefore, t</w:t>
      </w:r>
      <w:r w:rsidR="008F41B0">
        <w:rPr>
          <w:lang w:val="en-US"/>
        </w:rPr>
        <w:t xml:space="preserve">ime domain subband location indication would be beneficial for </w:t>
      </w:r>
      <w:r w:rsidR="005A14F3">
        <w:rPr>
          <w:lang w:val="en-US"/>
        </w:rPr>
        <w:t>switching the gNB/UE behavior</w:t>
      </w:r>
      <w:r w:rsidR="00F12E1F">
        <w:rPr>
          <w:lang w:val="en-US"/>
        </w:rPr>
        <w:t xml:space="preserve"> of the wideband non-continuous FDRA and the legacy FDRA</w:t>
      </w:r>
      <w:r w:rsidR="005A14F3">
        <w:rPr>
          <w:lang w:val="en-US"/>
        </w:rPr>
        <w:t>.</w:t>
      </w:r>
      <w:r w:rsidR="008F41B0">
        <w:rPr>
          <w:lang w:val="en-US"/>
        </w:rPr>
        <w:t xml:space="preserve"> </w:t>
      </w:r>
    </w:p>
    <w:p w14:paraId="5CEF3399" w14:textId="08239C83" w:rsidR="00806165" w:rsidRPr="00806165" w:rsidRDefault="00806165" w:rsidP="00F027A3">
      <w:pPr>
        <w:rPr>
          <w:b/>
          <w:bCs/>
          <w:lang w:val="en-US"/>
        </w:rPr>
      </w:pPr>
      <w:r w:rsidRPr="00806165">
        <w:rPr>
          <w:b/>
          <w:bCs/>
          <w:lang w:val="en-US"/>
        </w:rPr>
        <w:t xml:space="preserve">Observation 2: </w:t>
      </w:r>
      <w:r w:rsidR="005A14F3">
        <w:rPr>
          <w:b/>
          <w:bCs/>
          <w:lang w:val="en-US"/>
        </w:rPr>
        <w:t xml:space="preserve">Time domain subband location indication is beneficial for switching </w:t>
      </w:r>
      <w:r w:rsidR="00F12E1F" w:rsidRPr="00F12E1F">
        <w:rPr>
          <w:b/>
          <w:bCs/>
          <w:lang w:val="en-US"/>
        </w:rPr>
        <w:t>the gNB/UE behavior of the wideband non-continuous FDRA and the legacy FDRA</w:t>
      </w:r>
      <w:r w:rsidRPr="00806165">
        <w:rPr>
          <w:b/>
          <w:bCs/>
          <w:lang w:val="en-US"/>
        </w:rPr>
        <w:t>.</w:t>
      </w:r>
    </w:p>
    <w:p w14:paraId="58CCD971" w14:textId="1D120A7E" w:rsidR="00DD7813" w:rsidRPr="001A1D84" w:rsidRDefault="001A1D84" w:rsidP="00F027A3">
      <w:pPr>
        <w:rPr>
          <w:u w:val="single"/>
          <w:lang w:val="en-US"/>
        </w:rPr>
      </w:pPr>
      <w:r w:rsidRPr="001A1D84">
        <w:rPr>
          <w:u w:val="single"/>
        </w:rPr>
        <w:t>Distributed resource allocation across DL subbands</w:t>
      </w:r>
    </w:p>
    <w:p w14:paraId="0DB47EF6" w14:textId="4CBBC782" w:rsidR="001A1D84" w:rsidRDefault="001A1D84" w:rsidP="001A1D84">
      <w:pPr>
        <w:rPr>
          <w:lang w:val="en-US"/>
        </w:rPr>
      </w:pPr>
      <w:r>
        <w:rPr>
          <w:lang w:val="en-US"/>
        </w:rPr>
        <w:t>Figure 2 shows an example of distributed resource allocation across DL subbands using RIV-based RA with interleaved VRB-to-PRB mapping.</w:t>
      </w:r>
      <w:r w:rsidRPr="0074013A">
        <w:rPr>
          <w:lang w:val="en-US"/>
        </w:rPr>
        <w:t xml:space="preserve"> </w:t>
      </w:r>
      <w:r>
        <w:rPr>
          <w:lang w:val="en-US"/>
        </w:rPr>
        <w:t xml:space="preserve">In the RIV-based RA with interleaved VRB-to-PRB mapping, resource assignment is performed via RB bundles both in VRB domain and PRB domain, as in Figure 2. </w:t>
      </w:r>
      <w:r w:rsidR="001D108F">
        <w:rPr>
          <w:lang w:val="en-US"/>
        </w:rPr>
        <w:t xml:space="preserve">In distributed mapping, it is hard to RB mapping not to overlap with UL subband by gNB implementation. </w:t>
      </w:r>
      <w:r w:rsidR="001D108F">
        <w:rPr>
          <w:lang w:val="en-US"/>
        </w:rPr>
        <w:lastRenderedPageBreak/>
        <w:t xml:space="preserve">Therefore, </w:t>
      </w:r>
      <w:r w:rsidR="007F3DB2">
        <w:rPr>
          <w:lang w:val="en-US"/>
        </w:rPr>
        <w:t>mechanism to avoid allocating resource outside DL subbands is necessar</w:t>
      </w:r>
      <w:r w:rsidR="004562B9">
        <w:rPr>
          <w:lang w:val="en-US"/>
        </w:rPr>
        <w:t xml:space="preserve">y for distributed resource allocation across DL subbands. </w:t>
      </w:r>
      <w:r w:rsidR="0085148F">
        <w:rPr>
          <w:lang w:val="en-US"/>
        </w:rPr>
        <w:t xml:space="preserve"> </w:t>
      </w:r>
    </w:p>
    <w:p w14:paraId="5D4B6E24" w14:textId="7710BD88" w:rsidR="001A1D84" w:rsidRPr="00EE357D" w:rsidRDefault="004562B9" w:rsidP="001A1D84">
      <w:pPr>
        <w:rPr>
          <w:b/>
          <w:bCs/>
          <w:lang w:val="en-US"/>
        </w:rPr>
      </w:pPr>
      <w:r w:rsidRPr="00EE357D">
        <w:rPr>
          <w:b/>
          <w:bCs/>
          <w:lang w:val="en-US"/>
        </w:rPr>
        <w:t>Observation 3: Mechanism to avoid allocating resource outside DL subbands is necessary for distributed resource allocation across DL subbands.</w:t>
      </w:r>
    </w:p>
    <w:p w14:paraId="2862ADD2" w14:textId="1B359600" w:rsidR="001A1D84" w:rsidRDefault="001D108F" w:rsidP="00F108EA">
      <w:pPr>
        <w:jc w:val="center"/>
      </w:pPr>
      <w:r>
        <w:object w:dxaOrig="16006" w:dyaOrig="7171" w14:anchorId="1AE2A86F">
          <v:shape id="_x0000_i1026" type="#_x0000_t75" style="width:497.8pt;height:223.05pt" o:ole="">
            <v:imagedata r:id="rId10" o:title=""/>
          </v:shape>
          <o:OLEObject Type="Embed" ProgID="Visio.Drawing.15" ShapeID="_x0000_i1026" DrawAspect="Content" ObjectID="_1726039697" r:id="rId11"/>
        </w:object>
      </w:r>
    </w:p>
    <w:p w14:paraId="71C83392" w14:textId="03354425" w:rsidR="00EE357D" w:rsidRDefault="00EE357D" w:rsidP="00F108EA">
      <w:pPr>
        <w:jc w:val="center"/>
        <w:rPr>
          <w:lang w:val="en-US"/>
        </w:rPr>
      </w:pPr>
      <w:r>
        <w:rPr>
          <w:lang w:val="en-US"/>
        </w:rPr>
        <w:t>Figure 2: Example of distributed resource allocation across DL subbands using RIV-based RA with interleaved VRB-to-PRB mapping</w:t>
      </w:r>
    </w:p>
    <w:p w14:paraId="6518AEE1" w14:textId="321A299C" w:rsidR="00304450" w:rsidRDefault="00304450" w:rsidP="00304450">
      <w:pPr>
        <w:rPr>
          <w:lang w:val="en-US"/>
        </w:rPr>
      </w:pPr>
      <w:r>
        <w:rPr>
          <w:lang w:val="en-US"/>
        </w:rPr>
        <w:t>Based on the above discussion, we propose,</w:t>
      </w:r>
    </w:p>
    <w:p w14:paraId="30BB01D7" w14:textId="1FBD2E79" w:rsidR="00304450" w:rsidRPr="00304450" w:rsidRDefault="00304450" w:rsidP="00304450">
      <w:pPr>
        <w:rPr>
          <w:b/>
          <w:bCs/>
          <w:lang w:val="en-US"/>
        </w:rPr>
      </w:pPr>
      <w:r w:rsidRPr="00304450">
        <w:rPr>
          <w:b/>
          <w:bCs/>
          <w:lang w:val="en-US"/>
        </w:rPr>
        <w:t>Proposal 1: For SBFD aware UE with indicated time and frequency subband location, mechanism to avoid allocating resource outside of DL subbands should be supported.</w:t>
      </w:r>
    </w:p>
    <w:p w14:paraId="7A048A2B" w14:textId="0D068F61" w:rsidR="00EE357D" w:rsidRDefault="00EE357D" w:rsidP="00EE357D">
      <w:pPr>
        <w:pStyle w:val="Heading1"/>
        <w:numPr>
          <w:ilvl w:val="1"/>
          <w:numId w:val="1"/>
        </w:numPr>
        <w:spacing w:after="180"/>
      </w:pPr>
      <w:r>
        <w:t xml:space="preserve">Non-continuous FDRA across </w:t>
      </w:r>
      <w:r w:rsidR="00304450">
        <w:t>U</w:t>
      </w:r>
      <w:r>
        <w:t>L subbands for P</w:t>
      </w:r>
      <w:r w:rsidR="00523C6A">
        <w:t>U</w:t>
      </w:r>
      <w:r>
        <w:t>SCH</w:t>
      </w:r>
    </w:p>
    <w:p w14:paraId="2E66B0A1" w14:textId="77E6B29D" w:rsidR="0086740F" w:rsidRDefault="004F7EB8" w:rsidP="0086740F">
      <w:r>
        <w:t>Firstly, it should be noted that, a</w:t>
      </w:r>
      <w:r w:rsidR="00523C6A">
        <w:t xml:space="preserve">ccording to RAN plenary guidance to RAN1, </w:t>
      </w:r>
      <w:r>
        <w:t>DL subband between two UL subbands would be considered as 2</w:t>
      </w:r>
      <w:r w:rsidRPr="004F7EB8">
        <w:rPr>
          <w:vertAlign w:val="superscript"/>
        </w:rPr>
        <w:t>nd</w:t>
      </w:r>
      <w:r>
        <w:t xml:space="preserve"> priority.</w:t>
      </w:r>
    </w:p>
    <w:p w14:paraId="5A78B5B6" w14:textId="6FABEFC3" w:rsidR="004F7EB8" w:rsidRDefault="004F7EB8" w:rsidP="0086740F">
      <w:r>
        <w:t xml:space="preserve">For uplink, non-continuous FDRA has not been supported </w:t>
      </w:r>
      <w:r w:rsidR="00304450">
        <w:t xml:space="preserve">except for almost continuous allocation. Therefore, non-continuous FDRA across UL subbands should not be </w:t>
      </w:r>
      <w:r w:rsidR="005B4237">
        <w:t>studied</w:t>
      </w:r>
      <w:r w:rsidR="005B4237" w:rsidRPr="005B4237">
        <w:t xml:space="preserve"> </w:t>
      </w:r>
      <w:r w:rsidR="005B4237">
        <w:t>in Rel-18 SI</w:t>
      </w:r>
      <w:r w:rsidR="00304450">
        <w:t>.</w:t>
      </w:r>
    </w:p>
    <w:p w14:paraId="4D113F9D" w14:textId="7223288E" w:rsidR="00304450" w:rsidRPr="005B4237" w:rsidRDefault="00304450" w:rsidP="0086740F">
      <w:pPr>
        <w:rPr>
          <w:b/>
          <w:bCs/>
        </w:rPr>
      </w:pPr>
      <w:r w:rsidRPr="005B4237">
        <w:rPr>
          <w:b/>
          <w:bCs/>
        </w:rPr>
        <w:t xml:space="preserve">Proposal </w:t>
      </w:r>
      <w:r w:rsidR="005B4237" w:rsidRPr="005B4237">
        <w:rPr>
          <w:b/>
          <w:bCs/>
        </w:rPr>
        <w:t>2</w:t>
      </w:r>
      <w:r w:rsidRPr="005B4237">
        <w:rPr>
          <w:b/>
          <w:bCs/>
        </w:rPr>
        <w:t xml:space="preserve">: </w:t>
      </w:r>
      <w:r w:rsidR="005B4237" w:rsidRPr="005B4237">
        <w:rPr>
          <w:b/>
          <w:bCs/>
        </w:rPr>
        <w:t>Non-continuous FDRA across UL subbands should not be studied in Rel-18 SI.</w:t>
      </w:r>
    </w:p>
    <w:p w14:paraId="7FC72AA4" w14:textId="19809ED7" w:rsidR="00642FA3" w:rsidRDefault="00642FA3" w:rsidP="00642FA3">
      <w:pPr>
        <w:pStyle w:val="Heading1"/>
        <w:numPr>
          <w:ilvl w:val="1"/>
          <w:numId w:val="1"/>
        </w:numPr>
        <w:spacing w:after="180"/>
      </w:pPr>
      <w:r>
        <w:t>Frequency hopping for PU</w:t>
      </w:r>
      <w:r w:rsidR="00743ECA">
        <w:t>C</w:t>
      </w:r>
      <w:r>
        <w:t>CH</w:t>
      </w:r>
      <w:r w:rsidR="00743ECA">
        <w:t>/PUSCH</w:t>
      </w:r>
    </w:p>
    <w:p w14:paraId="00CA65FF" w14:textId="01B1E0B2" w:rsidR="0086740F" w:rsidRDefault="00383402" w:rsidP="0086740F">
      <w:r>
        <w:t>Figure 3 shows an example of frequency hopping for PUCCH/PUSCH. Since available UL bandwidth in SBFD region is different from the one in the legacy UL region, different frequency hopping offset should be available for each region. On the other hand, this functionality has been already supported in legacy specification</w:t>
      </w:r>
      <w:r w:rsidR="00F72F92">
        <w:t xml:space="preserve"> for UE-specific PUCCH/PUSCH</w:t>
      </w:r>
      <w:r>
        <w:t xml:space="preserve">. For </w:t>
      </w:r>
      <w:r w:rsidR="00F72F92">
        <w:t xml:space="preserve">UE-specific </w:t>
      </w:r>
      <w:r>
        <w:t xml:space="preserve">PUSCH, up to four frequency </w:t>
      </w:r>
      <w:r>
        <w:lastRenderedPageBreak/>
        <w:t xml:space="preserve">offset values can be configured via RRC signaling, and one from four can be </w:t>
      </w:r>
      <w:r w:rsidR="00F72F92">
        <w:t xml:space="preserve">selected by indication in DCI. For UE-specific PUCCH, frequency offset value can be configured per </w:t>
      </w:r>
      <w:r w:rsidR="00F72F92" w:rsidRPr="00F72F92">
        <w:rPr>
          <w:i/>
          <w:iCs/>
        </w:rPr>
        <w:t>PUCCH-resource</w:t>
      </w:r>
      <w:r w:rsidR="00F72F92">
        <w:t xml:space="preserve"> where one among up to 8 </w:t>
      </w:r>
      <w:r w:rsidR="00F72F92" w:rsidRPr="00F72F92">
        <w:rPr>
          <w:i/>
          <w:iCs/>
        </w:rPr>
        <w:t>PUCCH-resource</w:t>
      </w:r>
      <w:r w:rsidR="00F72F92">
        <w:t xml:space="preserve"> can be selected by indication in DCI. Therefore, no frequency hopping enhancement is necessary for UE-specific PUCCH/PUSCH.</w:t>
      </w:r>
    </w:p>
    <w:p w14:paraId="2005CC95" w14:textId="23C8CA4D" w:rsidR="00F72F92" w:rsidRPr="00F72F92" w:rsidRDefault="00F72F92" w:rsidP="0086740F">
      <w:pPr>
        <w:rPr>
          <w:b/>
          <w:bCs/>
        </w:rPr>
      </w:pPr>
      <w:r w:rsidRPr="00F72F92">
        <w:rPr>
          <w:b/>
          <w:bCs/>
        </w:rPr>
        <w:t>Proposal 3: No frequency hopping enhancement is necessary for UE-specific PUCCH/PUSCH.</w:t>
      </w:r>
    </w:p>
    <w:p w14:paraId="63EED504" w14:textId="2EDD63DD" w:rsidR="00383402" w:rsidRDefault="00C1292E" w:rsidP="0086740F">
      <w:r>
        <w:t>On the other hand, there is no such a support for cell-specific PUCCH/PUSCH (i.e., msg3 PUSCH and PUCCH for msg4 HARQ-ACK). Discussion on cell-specific PUCCH/PUSCH would be held in Section</w:t>
      </w:r>
      <w:r w:rsidR="004C6AB8">
        <w:t xml:space="preserve"> 3</w:t>
      </w:r>
      <w:r>
        <w:t>.</w:t>
      </w:r>
    </w:p>
    <w:p w14:paraId="4BBCC0DF" w14:textId="59F24EA3" w:rsidR="00383402" w:rsidRDefault="00383402" w:rsidP="002B746B">
      <w:pPr>
        <w:jc w:val="center"/>
      </w:pPr>
      <w:r>
        <w:object w:dxaOrig="15855" w:dyaOrig="10155" w14:anchorId="5A372A2D">
          <v:shape id="_x0000_i1027" type="#_x0000_t75" style="width:497.8pt;height:318.9pt" o:ole="">
            <v:imagedata r:id="rId12" o:title=""/>
          </v:shape>
          <o:OLEObject Type="Embed" ProgID="Visio.Drawing.15" ShapeID="_x0000_i1027" DrawAspect="Content" ObjectID="_1726039698" r:id="rId13"/>
        </w:object>
      </w:r>
    </w:p>
    <w:p w14:paraId="724213A5" w14:textId="52125981" w:rsidR="0086740F" w:rsidRDefault="002B746B" w:rsidP="002B746B">
      <w:pPr>
        <w:jc w:val="center"/>
      </w:pPr>
      <w:r>
        <w:t>Figure 3: Example of frequency hopping for PUCCH/PUSCH</w:t>
      </w:r>
    </w:p>
    <w:p w14:paraId="5AC23652" w14:textId="01F9CC9E" w:rsidR="002B746B" w:rsidRDefault="002B746B" w:rsidP="002B746B">
      <w:pPr>
        <w:pStyle w:val="Heading1"/>
        <w:numPr>
          <w:ilvl w:val="1"/>
          <w:numId w:val="1"/>
        </w:numPr>
        <w:spacing w:after="180"/>
      </w:pPr>
      <w:r>
        <w:t>Resource allocation of configured scheduling</w:t>
      </w:r>
    </w:p>
    <w:p w14:paraId="01A0F106" w14:textId="718FB14B" w:rsidR="0086740F" w:rsidRDefault="008C3A31" w:rsidP="0086740F">
      <w:r>
        <w:t>Configured scheduling would not work in UL subband on DL symbols</w:t>
      </w:r>
      <w:r w:rsidR="0090580B">
        <w:t xml:space="preserve"> or in DL subband on UL symbols</w:t>
      </w:r>
      <w:r>
        <w:t xml:space="preserve"> unless time and frequency domain subband location indication is provided to SBFD aware UE. Subband location indication may </w:t>
      </w:r>
      <w:r w:rsidR="0090580B">
        <w:t xml:space="preserve">not be required if configured scheduling is scheduled on flexible symbols. On the other hand, at the last meeting, several companies showed negative </w:t>
      </w:r>
      <w:r w:rsidR="00B9348D">
        <w:t xml:space="preserve">due to the inter-operability of flexible symbol configuration [2]. Therefore, </w:t>
      </w:r>
      <w:r w:rsidR="002F10BD">
        <w:t>solutions other than using flexible symbols should be considered. Otherwise, the legacy UE cannot co-exist with the SBFD aware UE in a cell with SBFD configuration.</w:t>
      </w:r>
    </w:p>
    <w:p w14:paraId="57BABE8E" w14:textId="2F967DFF" w:rsidR="002F10BD" w:rsidRDefault="002F10BD" w:rsidP="0086740F">
      <w:r>
        <w:lastRenderedPageBreak/>
        <w:t>Based on the above, we propose that,</w:t>
      </w:r>
    </w:p>
    <w:p w14:paraId="3B6C6638" w14:textId="6552FF4A" w:rsidR="002F10BD" w:rsidRDefault="002F10BD" w:rsidP="0086740F">
      <w:pPr>
        <w:rPr>
          <w:b/>
          <w:bCs/>
        </w:rPr>
      </w:pPr>
      <w:r w:rsidRPr="002F10BD">
        <w:rPr>
          <w:b/>
          <w:bCs/>
        </w:rPr>
        <w:t>Proposal 4: Time and frequency domain subband location indication should be available for configured scheduling.</w:t>
      </w:r>
    </w:p>
    <w:p w14:paraId="4791C0C7" w14:textId="2B3A3ABB" w:rsidR="00545C23" w:rsidRDefault="00545C23" w:rsidP="00545C23">
      <w:pPr>
        <w:pStyle w:val="Heading1"/>
        <w:spacing w:after="180"/>
      </w:pPr>
      <w:r>
        <w:t>Consideration on initial access related signals</w:t>
      </w:r>
    </w:p>
    <w:p w14:paraId="611470EE" w14:textId="77777777" w:rsidR="001301CB" w:rsidRPr="00726A2B" w:rsidRDefault="001301CB" w:rsidP="001301CB">
      <w:pPr>
        <w:rPr>
          <w:u w:val="single"/>
        </w:rPr>
      </w:pPr>
      <w:r w:rsidRPr="00726A2B">
        <w:rPr>
          <w:u w:val="single"/>
        </w:rPr>
        <w:t>SS/PBCH blocks</w:t>
      </w:r>
    </w:p>
    <w:p w14:paraId="683D5125" w14:textId="78774B10" w:rsidR="001301CB" w:rsidRDefault="001301CB" w:rsidP="001301CB">
      <w:r>
        <w:t>SS/PBCH blocks are spread over 5 ms half frame if all candidate SS/PBCH blocks are transmitted. Therefore, we support to discuss potential SS/PBCH block placement in SBFD region since it is difficult to confine SS/PBCH blocks in legacy DL region if the gNB wants to operate with multiple cell-specific DL beams.</w:t>
      </w:r>
    </w:p>
    <w:p w14:paraId="135EEDDB" w14:textId="77777777" w:rsidR="001301CB" w:rsidRDefault="001301CB" w:rsidP="001301CB">
      <w:r>
        <w:t xml:space="preserve">On the other hand, SS/PBCH blocks are shared by all UEs camping on the serving cell. Therefore, impact on legacy UEs or UEs without SBFD capability should be carefully studied for SS/PBCH block placement in SBFD region. </w:t>
      </w:r>
    </w:p>
    <w:p w14:paraId="3BD7B63D" w14:textId="4C71D621" w:rsidR="001301CB" w:rsidRPr="00C81072" w:rsidRDefault="001301CB" w:rsidP="001301CB">
      <w:pPr>
        <w:rPr>
          <w:b/>
          <w:bCs/>
        </w:rPr>
      </w:pPr>
      <w:r w:rsidRPr="00C81072">
        <w:rPr>
          <w:b/>
          <w:bCs/>
        </w:rPr>
        <w:t xml:space="preserve">Proposal </w:t>
      </w:r>
      <w:r w:rsidR="00356B12">
        <w:rPr>
          <w:b/>
          <w:bCs/>
        </w:rPr>
        <w:t>5:</w:t>
      </w:r>
      <w:r w:rsidRPr="00C81072">
        <w:rPr>
          <w:b/>
          <w:bCs/>
        </w:rPr>
        <w:t xml:space="preserve"> </w:t>
      </w:r>
      <w:r>
        <w:rPr>
          <w:b/>
          <w:bCs/>
        </w:rPr>
        <w:t>I</w:t>
      </w:r>
      <w:r w:rsidRPr="005E15EC">
        <w:rPr>
          <w:b/>
          <w:bCs/>
        </w:rPr>
        <w:t>mpact on legacy UEs or UEs without SBFD capability should be carefully studied for SS/PBCH block placement in SBFD region.</w:t>
      </w:r>
    </w:p>
    <w:p w14:paraId="5D77072B" w14:textId="77777777" w:rsidR="001301CB" w:rsidRPr="00726A2B" w:rsidRDefault="001301CB" w:rsidP="001301CB">
      <w:pPr>
        <w:rPr>
          <w:u w:val="single"/>
        </w:rPr>
      </w:pPr>
      <w:r w:rsidRPr="00726A2B">
        <w:rPr>
          <w:u w:val="single"/>
        </w:rPr>
        <w:t>PRACH</w:t>
      </w:r>
    </w:p>
    <w:p w14:paraId="3A5AE1A0" w14:textId="77777777" w:rsidR="001301CB" w:rsidRDefault="001301CB" w:rsidP="001301CB">
      <w:r>
        <w:t>In our view, PRACH capacity is not the issue to be discussed in the SI. For PRACH, RAN1 may further study potential benefit to place PRACH in SBFD region.</w:t>
      </w:r>
    </w:p>
    <w:p w14:paraId="4B8E8B45" w14:textId="77777777" w:rsidR="001301CB" w:rsidRPr="00726A2B" w:rsidRDefault="001301CB" w:rsidP="001301CB">
      <w:pPr>
        <w:rPr>
          <w:u w:val="single"/>
        </w:rPr>
      </w:pPr>
      <w:r w:rsidRPr="00726A2B">
        <w:rPr>
          <w:u w:val="single"/>
        </w:rPr>
        <w:t>Msg3</w:t>
      </w:r>
    </w:p>
    <w:p w14:paraId="3681AF3B" w14:textId="77777777" w:rsidR="001301CB" w:rsidRDefault="001301CB" w:rsidP="001301CB">
      <w:r>
        <w:t>One of the key aspects to be considered in the SI is uplink coverage, and latency. Therefore, msg3 repetition in SBFD region should be further studied.</w:t>
      </w:r>
    </w:p>
    <w:p w14:paraId="282C4A1E" w14:textId="2799A847" w:rsidR="001301CB" w:rsidRPr="00726A2B" w:rsidRDefault="001301CB" w:rsidP="001301CB">
      <w:pPr>
        <w:rPr>
          <w:b/>
          <w:bCs/>
        </w:rPr>
      </w:pPr>
      <w:r w:rsidRPr="00726A2B">
        <w:rPr>
          <w:b/>
          <w:bCs/>
        </w:rPr>
        <w:t xml:space="preserve">Proposal </w:t>
      </w:r>
      <w:r w:rsidR="00FB340D">
        <w:rPr>
          <w:b/>
          <w:bCs/>
        </w:rPr>
        <w:t>6</w:t>
      </w:r>
      <w:r w:rsidRPr="00726A2B">
        <w:rPr>
          <w:b/>
          <w:bCs/>
        </w:rPr>
        <w:t xml:space="preserve">: Support for msg3 repetition in SBFD region should be further studied. </w:t>
      </w:r>
    </w:p>
    <w:p w14:paraId="708389D0" w14:textId="2B037968" w:rsidR="00FA4AA4" w:rsidRDefault="00726A2B" w:rsidP="00FA4AA4">
      <w:pPr>
        <w:pStyle w:val="Heading1"/>
        <w:spacing w:after="180"/>
      </w:pPr>
      <w:r w:rsidRPr="00545C23">
        <w:t xml:space="preserve"> </w:t>
      </w:r>
      <w:r w:rsidR="00FA4AA4">
        <w:t>Other aspects</w:t>
      </w:r>
    </w:p>
    <w:p w14:paraId="4752F858" w14:textId="427CE7BE" w:rsidR="00FA4AA4" w:rsidRDefault="00FA4AA4" w:rsidP="00FA4AA4">
      <w:pPr>
        <w:pStyle w:val="Heading1"/>
        <w:numPr>
          <w:ilvl w:val="1"/>
          <w:numId w:val="1"/>
        </w:numPr>
        <w:spacing w:after="180"/>
      </w:pPr>
      <w:r>
        <w:t>UCI multiplexing procedure</w:t>
      </w:r>
    </w:p>
    <w:p w14:paraId="63C9E9B7" w14:textId="2F1FB04F" w:rsidR="00FA4AA4" w:rsidRPr="006240C3" w:rsidRDefault="00FA4AA4" w:rsidP="00FA4AA4">
      <w:r>
        <w:t xml:space="preserve">Figure </w:t>
      </w:r>
      <w:r w:rsidR="00FB340D">
        <w:t>4</w:t>
      </w:r>
      <w:r>
        <w:t xml:space="preserve"> shows example procedures of HARQ-ACK/CSI multiplexing on PUCCH. In those figures, the PUCCH for HARQ-ACK (for dynamically scheduled PDSCH) overlaps with PUCCH for CSI (periodic CSI or semi-persistent CSI on PUCCH). Thus, new PUCCH resource after UCI multiplexing is generated and those UCIs are multiplexed. In Figure </w:t>
      </w:r>
      <w:r w:rsidR="00FB340D">
        <w:t>4</w:t>
      </w:r>
      <w:r>
        <w:t xml:space="preserve">A, no issue occurs since the new PUCCH resource is also confined within the UL portion. On the other hand, in Figure </w:t>
      </w:r>
      <w:r w:rsidR="00FB340D">
        <w:t>4</w:t>
      </w:r>
      <w:r>
        <w:t>B, the new PUCCH resource cannot be transmitted since it is outside of the UL portion.</w:t>
      </w:r>
    </w:p>
    <w:p w14:paraId="5418010C" w14:textId="4F1981B0" w:rsidR="00FA4AA4" w:rsidRDefault="00FA4AA4" w:rsidP="00FA4AA4">
      <w:pPr>
        <w:rPr>
          <w:lang w:val="en-US"/>
        </w:rPr>
      </w:pPr>
      <w:r>
        <w:rPr>
          <w:lang w:val="en-US"/>
        </w:rPr>
        <w:t xml:space="preserve">The error case as in Figure </w:t>
      </w:r>
      <w:r w:rsidR="00FB340D">
        <w:rPr>
          <w:lang w:val="en-US"/>
        </w:rPr>
        <w:t>4</w:t>
      </w:r>
      <w:r>
        <w:rPr>
          <w:lang w:val="en-US"/>
        </w:rPr>
        <w:t>B happens when a set of PUCCH resource configurations are shared in SBFD region and legacy UL region. We can consider at least two options to handle the error case:</w:t>
      </w:r>
    </w:p>
    <w:p w14:paraId="37ED14F5" w14:textId="77777777" w:rsidR="00FA4AA4" w:rsidRPr="00A902D0" w:rsidRDefault="00FA4AA4" w:rsidP="00FA4AA4">
      <w:pPr>
        <w:pStyle w:val="ListParagraph"/>
        <w:numPr>
          <w:ilvl w:val="0"/>
          <w:numId w:val="28"/>
        </w:numPr>
        <w:ind w:leftChars="0"/>
        <w:rPr>
          <w:lang w:val="en-US"/>
        </w:rPr>
      </w:pPr>
      <w:r>
        <w:rPr>
          <w:lang w:val="en-US"/>
        </w:rPr>
        <w:lastRenderedPageBreak/>
        <w:t>The gNB ensures that the new PUCCH resource is confined within the UL portion</w:t>
      </w:r>
    </w:p>
    <w:p w14:paraId="1D49CE8D" w14:textId="77777777" w:rsidR="00FA4AA4" w:rsidRPr="00A902D0" w:rsidRDefault="00FA4AA4" w:rsidP="00FA4AA4">
      <w:pPr>
        <w:pStyle w:val="ListParagraph"/>
        <w:numPr>
          <w:ilvl w:val="0"/>
          <w:numId w:val="28"/>
        </w:numPr>
        <w:ind w:leftChars="0"/>
        <w:rPr>
          <w:lang w:val="en-US"/>
        </w:rPr>
      </w:pPr>
      <w:r>
        <w:rPr>
          <w:lang w:val="en-US"/>
        </w:rPr>
        <w:t>Configure separate PUCCH resources for SBFD region and legacy UL region</w:t>
      </w:r>
    </w:p>
    <w:p w14:paraId="3385BF01" w14:textId="77777777" w:rsidR="00FA4AA4" w:rsidRDefault="00FA4AA4" w:rsidP="00FA4AA4">
      <w:pPr>
        <w:rPr>
          <w:lang w:val="en-US"/>
        </w:rPr>
      </w:pPr>
      <w:r>
        <w:rPr>
          <w:lang w:val="en-US"/>
        </w:rPr>
        <w:t>For Option 1, PUCCH resource flexibility would be reduced while the specification impact is not expected. Option 2 requires specification impact. However, PUCCH resource flexibility would be maintained. Therefore, at this stage, we can consider both two options:</w:t>
      </w:r>
    </w:p>
    <w:p w14:paraId="2CFD63A7" w14:textId="77777777" w:rsidR="00FA4AA4" w:rsidRPr="000B790D" w:rsidRDefault="00FA4AA4" w:rsidP="00FA4AA4">
      <w:pPr>
        <w:spacing w:after="0" w:afterAutospacing="0"/>
        <w:rPr>
          <w:b/>
          <w:bCs/>
        </w:rPr>
      </w:pPr>
      <w:r w:rsidRPr="000B790D">
        <w:rPr>
          <w:b/>
          <w:bCs/>
        </w:rPr>
        <w:t xml:space="preserve">Proposal </w:t>
      </w:r>
      <w:r>
        <w:rPr>
          <w:b/>
          <w:bCs/>
        </w:rPr>
        <w:t>7</w:t>
      </w:r>
      <w:r w:rsidRPr="000B790D">
        <w:rPr>
          <w:b/>
          <w:bCs/>
        </w:rPr>
        <w:t>:</w:t>
      </w:r>
      <w:r>
        <w:rPr>
          <w:b/>
          <w:bCs/>
        </w:rPr>
        <w:t xml:space="preserve"> UCI multiplexing procedure can be further studied at least with the following options</w:t>
      </w:r>
      <w:r w:rsidRPr="000B790D">
        <w:rPr>
          <w:b/>
          <w:bCs/>
        </w:rPr>
        <w:t>:</w:t>
      </w:r>
    </w:p>
    <w:p w14:paraId="0FE4D2CA" w14:textId="77777777" w:rsidR="00FA4AA4" w:rsidRPr="001A1A03" w:rsidRDefault="00FA4AA4" w:rsidP="00FA4AA4">
      <w:pPr>
        <w:pStyle w:val="ListParagraph"/>
        <w:numPr>
          <w:ilvl w:val="0"/>
          <w:numId w:val="29"/>
        </w:numPr>
        <w:ind w:leftChars="0"/>
        <w:rPr>
          <w:b/>
          <w:bCs/>
          <w:lang w:val="en-US"/>
        </w:rPr>
      </w:pPr>
      <w:r w:rsidRPr="006D43B5">
        <w:rPr>
          <w:b/>
          <w:bCs/>
          <w:lang w:val="en-US"/>
        </w:rPr>
        <w:t>The gNB ensures that the new PUCCH resource is confined within the UL portion</w:t>
      </w:r>
    </w:p>
    <w:p w14:paraId="5877500B" w14:textId="77777777" w:rsidR="00FA4AA4" w:rsidRPr="006D43B5" w:rsidRDefault="00FA4AA4" w:rsidP="00FA4AA4">
      <w:pPr>
        <w:pStyle w:val="ListParagraph"/>
        <w:numPr>
          <w:ilvl w:val="0"/>
          <w:numId w:val="29"/>
        </w:numPr>
        <w:ind w:leftChars="0"/>
        <w:rPr>
          <w:b/>
          <w:bCs/>
          <w:lang w:val="en-US"/>
        </w:rPr>
      </w:pPr>
      <w:r w:rsidRPr="006D43B5">
        <w:rPr>
          <w:b/>
          <w:bCs/>
          <w:lang w:val="en-US"/>
        </w:rPr>
        <w:t>Configure separate PUCCH resources for SBFD region and legacy UL region</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48"/>
        <w:gridCol w:w="5006"/>
      </w:tblGrid>
      <w:tr w:rsidR="00FA4AA4" w14:paraId="6C888DA8" w14:textId="77777777" w:rsidTr="00CF597D">
        <w:tc>
          <w:tcPr>
            <w:tcW w:w="4948" w:type="dxa"/>
          </w:tcPr>
          <w:p w14:paraId="7446ACD4" w14:textId="77777777" w:rsidR="00FA4AA4" w:rsidRDefault="00FA4AA4" w:rsidP="00CF597D">
            <w:r>
              <w:t xml:space="preserve"> </w:t>
            </w:r>
            <w:r>
              <w:object w:dxaOrig="15855" w:dyaOrig="10155" w14:anchorId="3E71FC26">
                <v:shape id="_x0000_i1028" type="#_x0000_t75" style="width:225.3pt;height:2in" o:ole="">
                  <v:imagedata r:id="rId14" o:title=""/>
                </v:shape>
                <o:OLEObject Type="Embed" ProgID="Visio.Drawing.15" ShapeID="_x0000_i1028" DrawAspect="Content" ObjectID="_1726039699" r:id="rId15"/>
              </w:object>
            </w:r>
          </w:p>
        </w:tc>
        <w:tc>
          <w:tcPr>
            <w:tcW w:w="5006" w:type="dxa"/>
          </w:tcPr>
          <w:p w14:paraId="5661445D" w14:textId="77777777" w:rsidR="00FA4AA4" w:rsidRDefault="00FA4AA4" w:rsidP="00CF597D">
            <w:r>
              <w:t xml:space="preserve"> </w:t>
            </w:r>
            <w:r>
              <w:object w:dxaOrig="15855" w:dyaOrig="10155" w14:anchorId="35E315D9">
                <v:shape id="_x0000_i1029" type="#_x0000_t75" style="width:223.5pt;height:142.65pt" o:ole="">
                  <v:imagedata r:id="rId16" o:title=""/>
                </v:shape>
                <o:OLEObject Type="Embed" ProgID="Visio.Drawing.15" ShapeID="_x0000_i1029" DrawAspect="Content" ObjectID="_1726039700" r:id="rId17"/>
              </w:object>
            </w:r>
          </w:p>
        </w:tc>
      </w:tr>
      <w:tr w:rsidR="00FA4AA4" w:rsidRPr="000D264C" w14:paraId="63A7BB1E" w14:textId="77777777" w:rsidTr="00CF597D">
        <w:tc>
          <w:tcPr>
            <w:tcW w:w="4948" w:type="dxa"/>
          </w:tcPr>
          <w:p w14:paraId="4DAF591F" w14:textId="69184A44" w:rsidR="00FA4AA4" w:rsidRDefault="00FA4AA4" w:rsidP="00CF597D">
            <w:pPr>
              <w:jc w:val="center"/>
            </w:pPr>
            <w:r>
              <w:t xml:space="preserve">Figure </w:t>
            </w:r>
            <w:r w:rsidR="00D37919">
              <w:t>4</w:t>
            </w:r>
            <w:r>
              <w:t>A: UCI multiplexing procedure case 1</w:t>
            </w:r>
          </w:p>
        </w:tc>
        <w:tc>
          <w:tcPr>
            <w:tcW w:w="5006" w:type="dxa"/>
          </w:tcPr>
          <w:p w14:paraId="5AFAD419" w14:textId="08EC6870" w:rsidR="00FA4AA4" w:rsidRPr="000D264C" w:rsidRDefault="00FA4AA4" w:rsidP="00CF597D">
            <w:pPr>
              <w:jc w:val="center"/>
              <w:rPr>
                <w:lang w:val="en-US"/>
              </w:rPr>
            </w:pPr>
            <w:r w:rsidRPr="000D264C">
              <w:rPr>
                <w:lang w:val="en-US"/>
              </w:rPr>
              <w:t xml:space="preserve">Figure </w:t>
            </w:r>
            <w:r w:rsidR="00D37919">
              <w:rPr>
                <w:lang w:val="en-US"/>
              </w:rPr>
              <w:t>4</w:t>
            </w:r>
            <w:r w:rsidRPr="000D264C">
              <w:rPr>
                <w:lang w:val="en-US"/>
              </w:rPr>
              <w:t>B: UCI multiplexing proced</w:t>
            </w:r>
            <w:r>
              <w:rPr>
                <w:lang w:val="en-US"/>
              </w:rPr>
              <w:t>ure case 2</w:t>
            </w:r>
          </w:p>
        </w:tc>
      </w:tr>
    </w:tbl>
    <w:p w14:paraId="4CD33937" w14:textId="77777777" w:rsidR="00FA4AA4" w:rsidRPr="00FA4AA4" w:rsidRDefault="00FA4AA4" w:rsidP="00FA4AA4"/>
    <w:p w14:paraId="3761366E" w14:textId="019D35DA" w:rsidR="00FA4AA4" w:rsidRDefault="00D37919" w:rsidP="00FA4AA4">
      <w:pPr>
        <w:pStyle w:val="Heading1"/>
        <w:numPr>
          <w:ilvl w:val="1"/>
          <w:numId w:val="1"/>
        </w:numPr>
        <w:spacing w:after="180"/>
      </w:pPr>
      <w:r>
        <w:t>PDSCH reception procedure</w:t>
      </w:r>
    </w:p>
    <w:p w14:paraId="2771EACF" w14:textId="530D9F99" w:rsidR="00FA4AA4" w:rsidRDefault="00FA4AA4" w:rsidP="00FA4AA4">
      <w:r>
        <w:t xml:space="preserve">Figure </w:t>
      </w:r>
      <w:r w:rsidR="00D37919">
        <w:t>5</w:t>
      </w:r>
      <w:r>
        <w:t xml:space="preserve"> shows examples of dynamic scheduling of a PDSCH. Figure </w:t>
      </w:r>
      <w:r w:rsidR="00D37919">
        <w:t>5</w:t>
      </w:r>
      <w:r>
        <w:t xml:space="preserve">A shows an example of single subband PDSCH scheduling where the PDCCH and the PDSCH are transmitted in Subband#0 of SBFD region. Here, Legacy DL region is a region only with DL resource, SBFD region is a region where SBFD is applicable, and Legacy UL region is a region only with UL resource. From the UE perspective, the PDSCH suffers from </w:t>
      </w:r>
      <w:r w:rsidRPr="00056A44">
        <w:t>intra-cell UE-UE co-channel inter-subband CLI</w:t>
      </w:r>
      <w:r>
        <w:t xml:space="preserve"> where the CLI is originated from Tx UE and Rx UE. </w:t>
      </w:r>
    </w:p>
    <w:p w14:paraId="5849E0AA" w14:textId="77777777" w:rsidR="00FA4AA4" w:rsidRDefault="00FA4AA4" w:rsidP="00FA4AA4">
      <w:r>
        <w:t>The CLI originated from the Tx UE should be mitigated by the Tx UE itself. In current specification, the Tx UE is required to comply with the in-band emission requirements. Whether more stringent in-band emission requirements are required or not should be further discussed.</w:t>
      </w:r>
    </w:p>
    <w:p w14:paraId="253CAEF4" w14:textId="5B4ECAD5" w:rsidR="00FA4AA4" w:rsidRDefault="00FA4AA4" w:rsidP="00FA4AA4">
      <w:r>
        <w:t xml:space="preserve">The CLI originated from the Rx side should be mitigated by the Rx UE itself. In current specification, the UE should monitor whole bandwidth in the carrier. Thus, the Rx UE also receives unwanted signal in the subband#1. If the unwanted signal is strong (in case the Tx UE is nearby the Rx UE), the strong CLI comes due to Rx side device non-linearity (e.g., for LNA). RAN1 should discuss potential enhancements to reduce the CLI originated from the Rx UE. For example, the potential enhancements are to relax UE’s requirement on DL monitoring. For example, in Figure </w:t>
      </w:r>
      <w:r w:rsidR="00D37919">
        <w:t>5</w:t>
      </w:r>
      <w:r>
        <w:t xml:space="preserve">A, one solution could be for the Rx UE to monitor only Subband#0 in SBFD region. For example, in SBFD region, the UE doesn’t monitor CORESET#1 in subband#2 and only monitors CORESET#0 in subband#0. </w:t>
      </w:r>
    </w:p>
    <w:p w14:paraId="24108E46" w14:textId="77777777" w:rsidR="00FA4AA4" w:rsidRDefault="00FA4AA4" w:rsidP="00FA4AA4">
      <w:r>
        <w:lastRenderedPageBreak/>
        <w:t xml:space="preserve">Further, </w:t>
      </w:r>
      <w:r w:rsidRPr="00056A44">
        <w:t xml:space="preserve">intra-cell UE-UE co-channel inter-subband </w:t>
      </w:r>
      <w:r>
        <w:t>CLI could be mitigated by gNB scheduling. For scheduling-based solution, CLI measurement and reporting mechanism is required for gNB’s decision.</w:t>
      </w:r>
    </w:p>
    <w:p w14:paraId="2A2EDFC9" w14:textId="77777777" w:rsidR="00FA4AA4" w:rsidRDefault="00FA4AA4" w:rsidP="00FA4AA4">
      <w:r>
        <w:t>Although we should further discuss how to mitigate the CLI from both sides, as a baseline, single subband PDSCH scheduling should be supported for SBFD. Further, potential enhancements should be discussed.</w:t>
      </w:r>
    </w:p>
    <w:p w14:paraId="634BD904" w14:textId="5E988A66" w:rsidR="00FA4AA4" w:rsidRDefault="00FA4AA4" w:rsidP="00FA4AA4">
      <w:pPr>
        <w:rPr>
          <w:b/>
          <w:bCs/>
        </w:rPr>
      </w:pPr>
      <w:r w:rsidRPr="00BE5640">
        <w:rPr>
          <w:b/>
          <w:bCs/>
        </w:rPr>
        <w:t xml:space="preserve">Proposal </w:t>
      </w:r>
      <w:r w:rsidR="00D37919">
        <w:rPr>
          <w:b/>
          <w:bCs/>
        </w:rPr>
        <w:t>8</w:t>
      </w:r>
      <w:r w:rsidRPr="00BE5640">
        <w:rPr>
          <w:b/>
          <w:bCs/>
        </w:rPr>
        <w:t xml:space="preserve">: Single subband </w:t>
      </w:r>
      <w:r>
        <w:rPr>
          <w:b/>
          <w:bCs/>
        </w:rPr>
        <w:t xml:space="preserve">PDSCH </w:t>
      </w:r>
      <w:r w:rsidRPr="00BE5640">
        <w:rPr>
          <w:b/>
          <w:bCs/>
        </w:rPr>
        <w:t>scheduling should be supported for SBFD.</w:t>
      </w:r>
      <w:r>
        <w:rPr>
          <w:b/>
          <w:bCs/>
        </w:rPr>
        <w:t xml:space="preserve"> How to mitigate </w:t>
      </w:r>
      <w:r w:rsidRPr="00264E80">
        <w:rPr>
          <w:b/>
          <w:bCs/>
        </w:rPr>
        <w:t>intra-cell UE-UE co-channel inter-subband CLI</w:t>
      </w:r>
      <w:r>
        <w:rPr>
          <w:b/>
          <w:bCs/>
        </w:rPr>
        <w:t xml:space="preserve"> could be discussed at least with the following aspects:</w:t>
      </w:r>
    </w:p>
    <w:p w14:paraId="6FD154BA" w14:textId="77777777" w:rsidR="00FA4AA4" w:rsidRPr="00AA6819" w:rsidRDefault="00FA4AA4" w:rsidP="00FA4AA4">
      <w:pPr>
        <w:pStyle w:val="ListParagraph"/>
        <w:numPr>
          <w:ilvl w:val="0"/>
          <w:numId w:val="16"/>
        </w:numPr>
        <w:ind w:leftChars="0"/>
        <w:rPr>
          <w:b/>
          <w:bCs/>
        </w:rPr>
      </w:pPr>
      <w:r w:rsidRPr="00AA6819">
        <w:rPr>
          <w:b/>
          <w:bCs/>
        </w:rPr>
        <w:t>Whether more stringent in-band emission requirements are required for Tx UE</w:t>
      </w:r>
    </w:p>
    <w:p w14:paraId="4CAC6173" w14:textId="77777777" w:rsidR="00FA4AA4" w:rsidRPr="00AA6819" w:rsidRDefault="00FA4AA4" w:rsidP="00FA4AA4">
      <w:pPr>
        <w:pStyle w:val="ListParagraph"/>
        <w:numPr>
          <w:ilvl w:val="0"/>
          <w:numId w:val="16"/>
        </w:numPr>
        <w:ind w:leftChars="0"/>
        <w:rPr>
          <w:b/>
          <w:bCs/>
        </w:rPr>
      </w:pPr>
      <w:r w:rsidRPr="00AA6819">
        <w:rPr>
          <w:b/>
          <w:bCs/>
        </w:rPr>
        <w:t>Potential enhancements to reduce the CLI originated from the Rx UE</w:t>
      </w:r>
    </w:p>
    <w:p w14:paraId="0C23589D" w14:textId="77777777" w:rsidR="00FA4AA4" w:rsidRPr="00264E80" w:rsidRDefault="00FA4AA4" w:rsidP="00FA4AA4">
      <w:pPr>
        <w:pStyle w:val="ListParagraph"/>
        <w:numPr>
          <w:ilvl w:val="0"/>
          <w:numId w:val="16"/>
        </w:numPr>
        <w:ind w:leftChars="0"/>
        <w:rPr>
          <w:b/>
          <w:bCs/>
        </w:rPr>
      </w:pPr>
      <w:r w:rsidRPr="00AA6819">
        <w:rPr>
          <w:b/>
          <w:bCs/>
        </w:rPr>
        <w:t>CLI measurement and reporting mechanism</w:t>
      </w:r>
    </w:p>
    <w:p w14:paraId="430B3EB9" w14:textId="4DB49E5A" w:rsidR="00FA4AA4" w:rsidRDefault="00FA4AA4" w:rsidP="00FA4AA4">
      <w:r>
        <w:t xml:space="preserve">Figure </w:t>
      </w:r>
      <w:r w:rsidR="00D37919">
        <w:t>5</w:t>
      </w:r>
      <w:r>
        <w:t xml:space="preserve">B shows an example of multi-subband PDSCH scheduling where the PDCCH is transmitted in Subband#0 of SBFD region and the PDSCH is transmitted in Subband#0 and #2 of SBFD region, which is beneficial for frequency diversity and downlink capacity. Same as the example in Figure </w:t>
      </w:r>
      <w:r w:rsidR="00D37919">
        <w:t>5</w:t>
      </w:r>
      <w:r>
        <w:t xml:space="preserve">A, from the UE perspective, the PDSCH suffers from </w:t>
      </w:r>
      <w:r w:rsidRPr="00056A44">
        <w:t>intra-cell UE-UE co-channel inter-subband CLI</w:t>
      </w:r>
      <w:r>
        <w:t xml:space="preserve"> where the CLI is originated from Tx UE and Rx UE. One difference from the case of single-subband PDSCH scheduling is on the Rx UE that it needs to monitor both subband#0 and #2.</w:t>
      </w:r>
    </w:p>
    <w:p w14:paraId="2172282F" w14:textId="77777777" w:rsidR="00FA4AA4" w:rsidRDefault="00FA4AA4" w:rsidP="00FA4AA4">
      <w:pPr>
        <w:spacing w:after="0" w:afterAutospacing="0"/>
      </w:pPr>
      <w:r>
        <w:t>There are two possible enhancement direction for the Rx UE:</w:t>
      </w:r>
    </w:p>
    <w:p w14:paraId="337C58E9" w14:textId="77777777" w:rsidR="00FA4AA4" w:rsidRDefault="00FA4AA4" w:rsidP="00FA4AA4">
      <w:pPr>
        <w:spacing w:after="0" w:afterAutospacing="0"/>
        <w:ind w:firstLine="840"/>
      </w:pPr>
      <w:r>
        <w:t>1) The UE only monitors subband#0 and subband#2</w:t>
      </w:r>
    </w:p>
    <w:p w14:paraId="446BA136" w14:textId="77777777" w:rsidR="00FA4AA4" w:rsidRDefault="00FA4AA4" w:rsidP="00FA4AA4">
      <w:pPr>
        <w:ind w:firstLine="840"/>
      </w:pPr>
      <w:r>
        <w:t>2) The UE monitors wideband carrier including Subband#0, 1, and 2</w:t>
      </w:r>
    </w:p>
    <w:p w14:paraId="701461CA" w14:textId="77777777" w:rsidR="00FA4AA4" w:rsidRDefault="00FA4AA4" w:rsidP="00FA4AA4">
      <w:r>
        <w:t>In (1), the UE is required to implement additional feature in terms of NR UE. That is, the UE needs to monitor discontinuous frequency resource like non-continuous CA. In this case, inter subband CLI could be mitigated whereas the implementation cost would be increased.</w:t>
      </w:r>
    </w:p>
    <w:p w14:paraId="58F88608" w14:textId="77777777" w:rsidR="00FA4AA4" w:rsidRDefault="00FA4AA4" w:rsidP="00FA4AA4">
      <w:r>
        <w:t>In (2), the UE monitoring procedure is the same as legacy NR. On the other hand, inter-subband CLI issue remains.</w:t>
      </w:r>
    </w:p>
    <w:p w14:paraId="513AC04A" w14:textId="77777777" w:rsidR="00FA4AA4" w:rsidRDefault="00FA4AA4" w:rsidP="00FA4AA4">
      <w:r>
        <w:t>Therefore, supporting of multi-subband PDSCH scheduling should be carefully considered. The proposal is as follows:</w:t>
      </w:r>
    </w:p>
    <w:p w14:paraId="55EFB97D" w14:textId="7F66C554" w:rsidR="00FA4AA4" w:rsidRPr="000B790D" w:rsidRDefault="00FA4AA4" w:rsidP="00FA4AA4">
      <w:pPr>
        <w:spacing w:after="0" w:afterAutospacing="0"/>
        <w:rPr>
          <w:b/>
          <w:bCs/>
        </w:rPr>
      </w:pPr>
      <w:r w:rsidRPr="000B790D">
        <w:rPr>
          <w:b/>
          <w:bCs/>
        </w:rPr>
        <w:t xml:space="preserve">Proposal </w:t>
      </w:r>
      <w:r w:rsidR="00D37919">
        <w:rPr>
          <w:b/>
          <w:bCs/>
        </w:rPr>
        <w:t>9</w:t>
      </w:r>
      <w:r w:rsidRPr="000B790D">
        <w:rPr>
          <w:b/>
          <w:bCs/>
        </w:rPr>
        <w:t xml:space="preserve">: Study further how to support </w:t>
      </w:r>
      <w:r>
        <w:rPr>
          <w:b/>
          <w:bCs/>
        </w:rPr>
        <w:t xml:space="preserve">enhancements on Rx UE for </w:t>
      </w:r>
      <w:r w:rsidRPr="000B790D">
        <w:rPr>
          <w:b/>
          <w:bCs/>
        </w:rPr>
        <w:t>multi-subband PDSCH scheduling. At least the following possibilities can be considered further:</w:t>
      </w:r>
    </w:p>
    <w:p w14:paraId="68ABCBBF" w14:textId="77777777" w:rsidR="00FA4AA4" w:rsidRPr="000B790D" w:rsidRDefault="00FA4AA4" w:rsidP="00FA4AA4">
      <w:pPr>
        <w:spacing w:after="0" w:afterAutospacing="0"/>
        <w:ind w:firstLine="840"/>
        <w:rPr>
          <w:b/>
          <w:bCs/>
        </w:rPr>
      </w:pPr>
      <w:r w:rsidRPr="000B790D">
        <w:rPr>
          <w:b/>
          <w:bCs/>
        </w:rPr>
        <w:t xml:space="preserve">1) </w:t>
      </w:r>
      <w:r w:rsidRPr="004D7CD9">
        <w:rPr>
          <w:b/>
          <w:bCs/>
        </w:rPr>
        <w:t>The UE only monitors subband#0 and subband#2</w:t>
      </w:r>
      <w:r>
        <w:rPr>
          <w:b/>
          <w:bCs/>
        </w:rPr>
        <w:t xml:space="preserve"> (like non-continuous CA)</w:t>
      </w:r>
    </w:p>
    <w:p w14:paraId="21B44856" w14:textId="7D2DA6D0" w:rsidR="00FA4AA4" w:rsidRDefault="00FA4AA4" w:rsidP="00FA4AA4">
      <w:pPr>
        <w:ind w:firstLine="840"/>
      </w:pPr>
      <w:r w:rsidRPr="000B790D">
        <w:rPr>
          <w:b/>
          <w:bCs/>
        </w:rPr>
        <w:t xml:space="preserve">2) </w:t>
      </w:r>
      <w:r w:rsidRPr="004D7CD9">
        <w:rPr>
          <w:b/>
          <w:bCs/>
        </w:rPr>
        <w:t>The UE monitors wideband carrier including Subband#0, 1, and 2</w:t>
      </w:r>
      <w:r>
        <w:rPr>
          <w:b/>
          <w:bCs/>
        </w:rPr>
        <w:t xml:space="preserve"> (Legacy UE </w:t>
      </w:r>
      <w:r w:rsidR="00D37919">
        <w:rPr>
          <w:b/>
          <w:bCs/>
        </w:rPr>
        <w:t>behaviour</w:t>
      </w:r>
      <w:r>
        <w:rPr>
          <w:b/>
          <w:bCs/>
        </w:rPr>
        <w:t>)</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48"/>
        <w:gridCol w:w="5006"/>
      </w:tblGrid>
      <w:tr w:rsidR="00FA4AA4" w14:paraId="1F850054" w14:textId="77777777" w:rsidTr="00CF597D">
        <w:tc>
          <w:tcPr>
            <w:tcW w:w="4948" w:type="dxa"/>
          </w:tcPr>
          <w:p w14:paraId="1C47DEF1" w14:textId="77777777" w:rsidR="00FA4AA4" w:rsidRDefault="00FA4AA4" w:rsidP="00CF597D">
            <w:r>
              <w:lastRenderedPageBreak/>
              <w:t xml:space="preserve"> </w:t>
            </w:r>
            <w:r>
              <w:object w:dxaOrig="15855" w:dyaOrig="10155" w14:anchorId="79E2A621">
                <v:shape id="_x0000_i1030" type="#_x0000_t75" style="width:229.7pt;height:148pt" o:ole="">
                  <v:imagedata r:id="rId18" o:title=""/>
                </v:shape>
                <o:OLEObject Type="Embed" ProgID="Visio.Drawing.15" ShapeID="_x0000_i1030" DrawAspect="Content" ObjectID="_1726039701" r:id="rId19"/>
              </w:object>
            </w:r>
          </w:p>
        </w:tc>
        <w:tc>
          <w:tcPr>
            <w:tcW w:w="5006" w:type="dxa"/>
          </w:tcPr>
          <w:p w14:paraId="0C4072E9" w14:textId="77777777" w:rsidR="00FA4AA4" w:rsidRDefault="00FA4AA4" w:rsidP="00CF597D">
            <w:r>
              <w:t xml:space="preserve"> </w:t>
            </w:r>
            <w:r>
              <w:object w:dxaOrig="15855" w:dyaOrig="10155" w14:anchorId="070C485D">
                <v:shape id="_x0000_i1031" type="#_x0000_t75" style="width:232.35pt;height:148.4pt" o:ole="">
                  <v:imagedata r:id="rId20" o:title=""/>
                </v:shape>
                <o:OLEObject Type="Embed" ProgID="Visio.Drawing.15" ShapeID="_x0000_i1031" DrawAspect="Content" ObjectID="_1726039702" r:id="rId21"/>
              </w:object>
            </w:r>
          </w:p>
        </w:tc>
      </w:tr>
      <w:tr w:rsidR="00FA4AA4" w:rsidRPr="001D1FE5" w14:paraId="30AB071F" w14:textId="77777777" w:rsidTr="00CF597D">
        <w:tc>
          <w:tcPr>
            <w:tcW w:w="4948" w:type="dxa"/>
          </w:tcPr>
          <w:p w14:paraId="4C6A6C62" w14:textId="20F679BC" w:rsidR="00FA4AA4" w:rsidRDefault="00FA4AA4" w:rsidP="00CF597D">
            <w:pPr>
              <w:jc w:val="center"/>
            </w:pPr>
            <w:r>
              <w:t xml:space="preserve">Figure </w:t>
            </w:r>
            <w:r w:rsidR="00D37919">
              <w:t>5</w:t>
            </w:r>
            <w:r>
              <w:t>A: Single subband PDSCH scheduling</w:t>
            </w:r>
          </w:p>
        </w:tc>
        <w:tc>
          <w:tcPr>
            <w:tcW w:w="5006" w:type="dxa"/>
          </w:tcPr>
          <w:p w14:paraId="29CCCB96" w14:textId="2CB2022D" w:rsidR="00FA4AA4" w:rsidRPr="001D1FE5" w:rsidRDefault="00FA4AA4" w:rsidP="00CF597D">
            <w:pPr>
              <w:jc w:val="center"/>
              <w:rPr>
                <w:lang w:val="en-US"/>
              </w:rPr>
            </w:pPr>
            <w:r w:rsidRPr="001D1FE5">
              <w:rPr>
                <w:lang w:val="en-US"/>
              </w:rPr>
              <w:t xml:space="preserve">Figure </w:t>
            </w:r>
            <w:r w:rsidR="00D37919">
              <w:rPr>
                <w:lang w:val="en-US"/>
              </w:rPr>
              <w:t>5</w:t>
            </w:r>
            <w:r w:rsidRPr="001D1FE5">
              <w:rPr>
                <w:lang w:val="en-US"/>
              </w:rPr>
              <w:t>B: Multi-subband PDSCH s</w:t>
            </w:r>
            <w:r>
              <w:rPr>
                <w:lang w:val="en-US"/>
              </w:rPr>
              <w:t>cheduling</w:t>
            </w:r>
          </w:p>
        </w:tc>
      </w:tr>
    </w:tbl>
    <w:p w14:paraId="2C3CEAA2" w14:textId="77777777" w:rsidR="00FA4AA4" w:rsidRDefault="00FA4AA4" w:rsidP="00FA4AA4">
      <w:pPr>
        <w:spacing w:after="0" w:afterAutospacing="0"/>
        <w:rPr>
          <w:lang w:val="en-US"/>
        </w:rPr>
      </w:pPr>
    </w:p>
    <w:p w14:paraId="38020F6F" w14:textId="758FDA92" w:rsidR="00FA4AA4" w:rsidRDefault="00FA4AA4" w:rsidP="00FA4AA4">
      <w:r>
        <w:rPr>
          <w:lang w:val="en-US"/>
        </w:rPr>
        <w:t xml:space="preserve">Figure </w:t>
      </w:r>
      <w:r w:rsidR="00D37919">
        <w:rPr>
          <w:lang w:val="en-US"/>
        </w:rPr>
        <w:t>6</w:t>
      </w:r>
      <w:r>
        <w:rPr>
          <w:lang w:val="en-US"/>
        </w:rPr>
        <w:t xml:space="preserve"> shows another example of </w:t>
      </w:r>
      <w:r>
        <w:t>dynamic scheduling of a PDSCH in SBFD region</w:t>
      </w:r>
      <w:r>
        <w:rPr>
          <w:lang w:val="en-US"/>
        </w:rPr>
        <w:t xml:space="preserve"> where PDCCH is transmitted in the subband#0 of SBFD region and PDSCH is transmitted in the subband#2 of SBFD region (Cross-subband PDSCH scheduling). </w:t>
      </w:r>
      <w:r>
        <w:t xml:space="preserve">Same as the example in Figure </w:t>
      </w:r>
      <w:r w:rsidR="00D37919">
        <w:t>6</w:t>
      </w:r>
      <w:r>
        <w:t xml:space="preserve">, from the UE perspective, the PDSCH suffers from </w:t>
      </w:r>
      <w:r w:rsidRPr="00056A44">
        <w:t>intra-cell UE-UE co-channel inter-subband CLI</w:t>
      </w:r>
      <w:r>
        <w:t xml:space="preserve"> where the CLI is originated from Tx UE and Rx UE. </w:t>
      </w:r>
    </w:p>
    <w:p w14:paraId="4216F336" w14:textId="77777777" w:rsidR="00FA4AA4" w:rsidRDefault="00FA4AA4" w:rsidP="00FA4AA4">
      <w:r>
        <w:t>Cross-subband PDSCH scheduling requires similar capability like multiple-subband PDSCH scheduling. Therefore, supporting of cross-subband PDSCH scheduling should be carefully considered. The proposal is as follows:</w:t>
      </w:r>
    </w:p>
    <w:p w14:paraId="057D28F3" w14:textId="48C3C5D2" w:rsidR="00FA4AA4" w:rsidRPr="000B790D" w:rsidRDefault="00FA4AA4" w:rsidP="00FA4AA4">
      <w:pPr>
        <w:spacing w:after="0" w:afterAutospacing="0"/>
        <w:rPr>
          <w:b/>
          <w:bCs/>
        </w:rPr>
      </w:pPr>
      <w:r w:rsidRPr="000B790D">
        <w:rPr>
          <w:b/>
          <w:bCs/>
        </w:rPr>
        <w:t xml:space="preserve">Proposal </w:t>
      </w:r>
      <w:r w:rsidR="00D37919">
        <w:rPr>
          <w:b/>
          <w:bCs/>
        </w:rPr>
        <w:t>10</w:t>
      </w:r>
      <w:r w:rsidRPr="000B790D">
        <w:rPr>
          <w:b/>
          <w:bCs/>
        </w:rPr>
        <w:t xml:space="preserve">: Study further how to support </w:t>
      </w:r>
      <w:r>
        <w:rPr>
          <w:b/>
          <w:bCs/>
        </w:rPr>
        <w:t>enhancements on Rx UE for cross</w:t>
      </w:r>
      <w:r w:rsidRPr="000B790D">
        <w:rPr>
          <w:b/>
          <w:bCs/>
        </w:rPr>
        <w:t>-subband PDSCH scheduling. At least the following possibilities can be considered further:</w:t>
      </w:r>
    </w:p>
    <w:p w14:paraId="2D98ACF3" w14:textId="77777777" w:rsidR="00FA4AA4" w:rsidRPr="000B790D" w:rsidRDefault="00FA4AA4" w:rsidP="00FA4AA4">
      <w:pPr>
        <w:spacing w:after="0" w:afterAutospacing="0"/>
        <w:ind w:firstLine="840"/>
        <w:rPr>
          <w:b/>
          <w:bCs/>
        </w:rPr>
      </w:pPr>
      <w:r w:rsidRPr="000B790D">
        <w:rPr>
          <w:b/>
          <w:bCs/>
        </w:rPr>
        <w:t xml:space="preserve">1) </w:t>
      </w:r>
      <w:r w:rsidRPr="004D7CD9">
        <w:rPr>
          <w:b/>
          <w:bCs/>
        </w:rPr>
        <w:t>The UE only monitors subband#0 and subband#2</w:t>
      </w:r>
      <w:r>
        <w:rPr>
          <w:b/>
          <w:bCs/>
        </w:rPr>
        <w:t xml:space="preserve"> (like non-continuous CA)</w:t>
      </w:r>
    </w:p>
    <w:p w14:paraId="552FA25E" w14:textId="77777777" w:rsidR="00FA4AA4" w:rsidRDefault="00FA4AA4" w:rsidP="00FA4AA4">
      <w:pPr>
        <w:ind w:firstLine="840"/>
      </w:pPr>
      <w:r w:rsidRPr="000B790D">
        <w:rPr>
          <w:b/>
          <w:bCs/>
        </w:rPr>
        <w:t xml:space="preserve">2) </w:t>
      </w:r>
      <w:r w:rsidRPr="004D7CD9">
        <w:rPr>
          <w:b/>
          <w:bCs/>
        </w:rPr>
        <w:t>The UE monitors wideband carrier including Subband#0, 1, and 2</w:t>
      </w:r>
    </w:p>
    <w:p w14:paraId="1F74E3EA" w14:textId="77777777" w:rsidR="00FA4AA4" w:rsidRDefault="00FA4AA4" w:rsidP="00FA4AA4"/>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46"/>
      </w:tblGrid>
      <w:tr w:rsidR="00FA4AA4" w14:paraId="71950BAF" w14:textId="77777777" w:rsidTr="00CF597D">
        <w:trPr>
          <w:jc w:val="center"/>
        </w:trPr>
        <w:tc>
          <w:tcPr>
            <w:tcW w:w="5146" w:type="dxa"/>
          </w:tcPr>
          <w:p w14:paraId="625853D5" w14:textId="77777777" w:rsidR="00FA4AA4" w:rsidRDefault="00FA4AA4" w:rsidP="00CF597D">
            <w:r>
              <w:object w:dxaOrig="15855" w:dyaOrig="10155" w14:anchorId="7D40BB5F">
                <v:shape id="_x0000_i1032" type="#_x0000_t75" style="width:241.6pt;height:155.5pt" o:ole="">
                  <v:imagedata r:id="rId22" o:title=""/>
                </v:shape>
                <o:OLEObject Type="Embed" ProgID="Visio.Drawing.15" ShapeID="_x0000_i1032" DrawAspect="Content" ObjectID="_1726039703" r:id="rId23"/>
              </w:object>
            </w:r>
          </w:p>
        </w:tc>
      </w:tr>
      <w:tr w:rsidR="00FA4AA4" w:rsidRPr="001D1FE5" w14:paraId="37751712" w14:textId="77777777" w:rsidTr="00CF597D">
        <w:trPr>
          <w:jc w:val="center"/>
        </w:trPr>
        <w:tc>
          <w:tcPr>
            <w:tcW w:w="5146" w:type="dxa"/>
          </w:tcPr>
          <w:p w14:paraId="7DEE3BB2" w14:textId="3327FE8A" w:rsidR="00FA4AA4" w:rsidRDefault="00FA4AA4" w:rsidP="00CF597D">
            <w:pPr>
              <w:jc w:val="center"/>
            </w:pPr>
            <w:r>
              <w:t xml:space="preserve">Figure </w:t>
            </w:r>
            <w:r w:rsidR="00D37919">
              <w:t>6</w:t>
            </w:r>
            <w:r>
              <w:t>: Cross-subband PDSCH scheduling</w:t>
            </w:r>
          </w:p>
        </w:tc>
      </w:tr>
    </w:tbl>
    <w:p w14:paraId="2202EDAD" w14:textId="77777777" w:rsidR="00FA4AA4" w:rsidRDefault="00FA4AA4" w:rsidP="00FA4AA4">
      <w:pPr>
        <w:rPr>
          <w:lang w:val="en-US"/>
        </w:rPr>
      </w:pPr>
    </w:p>
    <w:p w14:paraId="46CCF43A" w14:textId="77777777" w:rsidR="00FA4AA4" w:rsidRPr="00B22A06" w:rsidRDefault="00FA4AA4" w:rsidP="00FA4AA4">
      <w:pPr>
        <w:pStyle w:val="Heading1"/>
        <w:numPr>
          <w:ilvl w:val="1"/>
          <w:numId w:val="1"/>
        </w:numPr>
        <w:spacing w:after="180" w:line="276" w:lineRule="auto"/>
        <w:rPr>
          <w:lang w:val="en-US" w:eastAsia="zh-CN"/>
        </w:rPr>
      </w:pPr>
      <w:r>
        <w:rPr>
          <w:lang w:val="en-US" w:eastAsia="zh-CN"/>
        </w:rPr>
        <w:lastRenderedPageBreak/>
        <w:t>TDD configuration</w:t>
      </w:r>
    </w:p>
    <w:p w14:paraId="3FC22AB7" w14:textId="77777777" w:rsidR="00FA4AA4" w:rsidRDefault="00FA4AA4" w:rsidP="00FA4AA4">
      <w:r>
        <w:t xml:space="preserve">TDD configuration is used to manage semi-statically configured signals/channels (e.g., PRACH, PDCCH, PUCCH for SR, PUCCH for periodic CSI, periodic CSI-RS, periodic SRS, type-1 configured scheduling), semi-persistent signals/channels (e.g., type-2 configured grant, semi-persistent CSI reporting), and repeated transmission (e.g., PDSCH/PDCCH/PUSCH/PUCCH repetition). </w:t>
      </w:r>
    </w:p>
    <w:p w14:paraId="16ED7990" w14:textId="77777777" w:rsidR="00FA4AA4" w:rsidRDefault="00FA4AA4" w:rsidP="00FA4AA4">
      <w:proofErr w:type="gramStart"/>
      <w:r>
        <w:t>It is clear that two</w:t>
      </w:r>
      <w:proofErr w:type="gramEnd"/>
      <w:r>
        <w:t xml:space="preserve"> different management of configured/semi-persistent/repeated transmissions/receptions are required for SBFD region. That is, for legacy UEs, the SBFD region should be configured as “DL”. Otherwise, the legacy UEs mistakenly transmits the configured/semi-persistent/repeated transmissions/receptions in SBFD region. </w:t>
      </w:r>
    </w:p>
    <w:p w14:paraId="2F5D3CF0" w14:textId="77777777" w:rsidR="00FA4AA4" w:rsidRDefault="00FA4AA4" w:rsidP="00FA4AA4">
      <w:r>
        <w:t>Therefore, new TDD configuration should be supported for SBFD.</w:t>
      </w:r>
    </w:p>
    <w:p w14:paraId="26F7A2CC" w14:textId="77777777" w:rsidR="00FA4AA4" w:rsidRPr="00755CE2" w:rsidRDefault="00FA4AA4" w:rsidP="00FA4AA4">
      <w:pPr>
        <w:rPr>
          <w:b/>
          <w:bCs/>
        </w:rPr>
      </w:pPr>
      <w:r w:rsidRPr="00755CE2">
        <w:rPr>
          <w:b/>
          <w:bCs/>
        </w:rPr>
        <w:t>Proposal 11: New TDD configuration should be supported for SBFD</w:t>
      </w:r>
      <w:r>
        <w:rPr>
          <w:b/>
          <w:bCs/>
        </w:rPr>
        <w:t>.</w:t>
      </w:r>
    </w:p>
    <w:p w14:paraId="052D3D43" w14:textId="77777777" w:rsidR="00FA4AA4" w:rsidRPr="00B22A06" w:rsidRDefault="00FA4AA4" w:rsidP="00FA4AA4">
      <w:pPr>
        <w:pStyle w:val="Heading1"/>
        <w:numPr>
          <w:ilvl w:val="1"/>
          <w:numId w:val="1"/>
        </w:numPr>
        <w:spacing w:after="180" w:line="276" w:lineRule="auto"/>
        <w:rPr>
          <w:lang w:val="en-US" w:eastAsia="zh-CN"/>
        </w:rPr>
      </w:pPr>
      <w:r>
        <w:rPr>
          <w:lang w:val="en-US" w:eastAsia="zh-CN"/>
        </w:rPr>
        <w:t>Subband configuration</w:t>
      </w:r>
    </w:p>
    <w:p w14:paraId="3393DBF4" w14:textId="77777777" w:rsidR="00FA4AA4" w:rsidRDefault="00FA4AA4" w:rsidP="00FA4AA4">
      <w:r>
        <w:t>The UE should be aware of subband configuration to manage configured/semi-persistent/repeated transmissions/receptions. If not supported, the UE cannot understand in which frequency resource the new TDD configuration should be applied. Therefore, we propose the following:</w:t>
      </w:r>
    </w:p>
    <w:p w14:paraId="038AFE01" w14:textId="70C2CD8B" w:rsidR="001620C2" w:rsidRPr="002F45F1" w:rsidRDefault="00FA4AA4" w:rsidP="00FA4AA4">
      <w:pPr>
        <w:rPr>
          <w:b/>
          <w:bCs/>
        </w:rPr>
      </w:pPr>
      <w:r w:rsidRPr="002F45F1">
        <w:rPr>
          <w:b/>
          <w:bCs/>
        </w:rPr>
        <w:t>Proposal 12: Subband configuration should be supp</w:t>
      </w:r>
      <w:r>
        <w:rPr>
          <w:b/>
          <w:bCs/>
        </w:rPr>
        <w:t>or</w:t>
      </w:r>
      <w:r w:rsidRPr="002F45F1">
        <w:rPr>
          <w:b/>
          <w:bCs/>
        </w:rPr>
        <w:t>ted.</w:t>
      </w:r>
    </w:p>
    <w:p w14:paraId="1BA1DAE9" w14:textId="122482D7" w:rsidR="0017096E" w:rsidRPr="00B22A06" w:rsidRDefault="00FB02CF" w:rsidP="00F008B2">
      <w:pPr>
        <w:pStyle w:val="Heading1"/>
        <w:spacing w:after="180" w:line="276" w:lineRule="auto"/>
        <w:rPr>
          <w:lang w:val="en-US" w:eastAsia="zh-CN"/>
        </w:rPr>
      </w:pPr>
      <w:r w:rsidRPr="00B22A06">
        <w:rPr>
          <w:lang w:val="en-US" w:eastAsia="zh-CN"/>
        </w:rPr>
        <w:t>Conclusion</w:t>
      </w:r>
    </w:p>
    <w:p w14:paraId="1D3BC99E" w14:textId="178BFECC" w:rsidR="005603D7" w:rsidRDefault="005603D7" w:rsidP="00F008B2">
      <w:pPr>
        <w:spacing w:line="276" w:lineRule="auto"/>
        <w:rPr>
          <w:lang w:val="en-US"/>
        </w:rPr>
      </w:pPr>
      <w:r>
        <w:rPr>
          <w:lang w:val="en-US"/>
        </w:rPr>
        <w:t>In this contribution, we have the following observations:</w:t>
      </w:r>
    </w:p>
    <w:p w14:paraId="23FD9849" w14:textId="77777777" w:rsidR="005603D7" w:rsidRPr="008A5D87" w:rsidRDefault="005603D7" w:rsidP="005603D7">
      <w:pPr>
        <w:rPr>
          <w:b/>
          <w:bCs/>
        </w:rPr>
      </w:pPr>
      <w:r w:rsidRPr="008A5D87">
        <w:rPr>
          <w:b/>
          <w:bCs/>
        </w:rPr>
        <w:t xml:space="preserve">Observation 1: </w:t>
      </w:r>
      <w:r w:rsidRPr="00301352">
        <w:rPr>
          <w:b/>
          <w:bCs/>
        </w:rPr>
        <w:t>For UEs aware of frequency domain subband location, it is possible to avoid resource allocation outside of DL subbands.</w:t>
      </w:r>
    </w:p>
    <w:p w14:paraId="70241FAB" w14:textId="77777777" w:rsidR="004C6AB8" w:rsidRPr="00806165" w:rsidRDefault="004C6AB8" w:rsidP="004C6AB8">
      <w:pPr>
        <w:rPr>
          <w:b/>
          <w:bCs/>
          <w:lang w:val="en-US"/>
        </w:rPr>
      </w:pPr>
      <w:r w:rsidRPr="00806165">
        <w:rPr>
          <w:b/>
          <w:bCs/>
          <w:lang w:val="en-US"/>
        </w:rPr>
        <w:t xml:space="preserve">Observation 2: </w:t>
      </w:r>
      <w:r>
        <w:rPr>
          <w:b/>
          <w:bCs/>
          <w:lang w:val="en-US"/>
        </w:rPr>
        <w:t xml:space="preserve">Time domain subband location indication is beneficial for switching </w:t>
      </w:r>
      <w:r w:rsidRPr="00F12E1F">
        <w:rPr>
          <w:b/>
          <w:bCs/>
          <w:lang w:val="en-US"/>
        </w:rPr>
        <w:t>the gNB/UE behavior of the wideband non-continuous FDRA and the legacy FDRA</w:t>
      </w:r>
      <w:r w:rsidRPr="00806165">
        <w:rPr>
          <w:b/>
          <w:bCs/>
          <w:lang w:val="en-US"/>
        </w:rPr>
        <w:t>.</w:t>
      </w:r>
    </w:p>
    <w:p w14:paraId="08974191" w14:textId="77777777" w:rsidR="004C6AB8" w:rsidRPr="00EE357D" w:rsidRDefault="004C6AB8" w:rsidP="004C6AB8">
      <w:pPr>
        <w:rPr>
          <w:b/>
          <w:bCs/>
          <w:lang w:val="en-US"/>
        </w:rPr>
      </w:pPr>
      <w:r w:rsidRPr="00EE357D">
        <w:rPr>
          <w:b/>
          <w:bCs/>
          <w:lang w:val="en-US"/>
        </w:rPr>
        <w:t>Observation 3: Mechanism to avoid allocating resource outside DL subbands is necessary for distributed resource allocation across DL subbands.</w:t>
      </w:r>
    </w:p>
    <w:p w14:paraId="6C8ACD94" w14:textId="77777777" w:rsidR="005603D7" w:rsidRPr="004C6AB8" w:rsidRDefault="005603D7" w:rsidP="00F008B2">
      <w:pPr>
        <w:spacing w:line="276" w:lineRule="auto"/>
        <w:rPr>
          <w:lang w:val="en-US"/>
        </w:rPr>
      </w:pPr>
    </w:p>
    <w:p w14:paraId="5FC31E67" w14:textId="19B269A0"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00810FA1">
        <w:rPr>
          <w:lang w:val="en-US"/>
        </w:rPr>
        <w:t>s</w:t>
      </w:r>
      <w:r w:rsidRPr="002F3874">
        <w:rPr>
          <w:lang w:val="en-US"/>
        </w:rPr>
        <w:t>:</w:t>
      </w:r>
    </w:p>
    <w:p w14:paraId="7AA7D459" w14:textId="77777777" w:rsidR="004C6AB8" w:rsidRPr="00304450" w:rsidRDefault="004C6AB8" w:rsidP="004C6AB8">
      <w:pPr>
        <w:rPr>
          <w:b/>
          <w:bCs/>
          <w:lang w:val="en-US"/>
        </w:rPr>
      </w:pPr>
      <w:r w:rsidRPr="00304450">
        <w:rPr>
          <w:b/>
          <w:bCs/>
          <w:lang w:val="en-US"/>
        </w:rPr>
        <w:t>Proposal 1: For SBFD aware UE with indicated time and frequency subband location, mechanism to avoid allocating resource outside of DL subbands should be supported.</w:t>
      </w:r>
    </w:p>
    <w:p w14:paraId="3B280951" w14:textId="77777777" w:rsidR="004C6AB8" w:rsidRPr="005B4237" w:rsidRDefault="004C6AB8" w:rsidP="004C6AB8">
      <w:pPr>
        <w:rPr>
          <w:b/>
          <w:bCs/>
        </w:rPr>
      </w:pPr>
      <w:r w:rsidRPr="005B4237">
        <w:rPr>
          <w:b/>
          <w:bCs/>
        </w:rPr>
        <w:t>Proposal 2: Non-continuous FDRA across UL subbands should not be studied in Rel-18 SI.</w:t>
      </w:r>
    </w:p>
    <w:p w14:paraId="5FAAA96F" w14:textId="77777777" w:rsidR="004C6AB8" w:rsidRPr="00F72F92" w:rsidRDefault="004C6AB8" w:rsidP="004C6AB8">
      <w:pPr>
        <w:rPr>
          <w:b/>
          <w:bCs/>
        </w:rPr>
      </w:pPr>
      <w:r w:rsidRPr="00F72F92">
        <w:rPr>
          <w:b/>
          <w:bCs/>
        </w:rPr>
        <w:lastRenderedPageBreak/>
        <w:t>Proposal 3: No frequency hopping enhancement is necessary for UE-specific PUCCH/PUSCH.</w:t>
      </w:r>
    </w:p>
    <w:p w14:paraId="0CC60274" w14:textId="77777777" w:rsidR="004C6AB8" w:rsidRDefault="004C6AB8" w:rsidP="004C6AB8">
      <w:pPr>
        <w:rPr>
          <w:b/>
          <w:bCs/>
        </w:rPr>
      </w:pPr>
      <w:r w:rsidRPr="002F10BD">
        <w:rPr>
          <w:b/>
          <w:bCs/>
        </w:rPr>
        <w:t>Proposal 4: Time and frequency domain subband location indication should be available for configured scheduling.</w:t>
      </w:r>
    </w:p>
    <w:p w14:paraId="37D16DA0" w14:textId="77777777" w:rsidR="003E1128" w:rsidRPr="00C81072" w:rsidRDefault="003E1128" w:rsidP="003E1128">
      <w:pPr>
        <w:rPr>
          <w:b/>
          <w:bCs/>
        </w:rPr>
      </w:pPr>
      <w:r w:rsidRPr="00C81072">
        <w:rPr>
          <w:b/>
          <w:bCs/>
        </w:rPr>
        <w:t xml:space="preserve">Proposal </w:t>
      </w:r>
      <w:r>
        <w:rPr>
          <w:b/>
          <w:bCs/>
        </w:rPr>
        <w:t>5:</w:t>
      </w:r>
      <w:r w:rsidRPr="00C81072">
        <w:rPr>
          <w:b/>
          <w:bCs/>
        </w:rPr>
        <w:t xml:space="preserve"> </w:t>
      </w:r>
      <w:r>
        <w:rPr>
          <w:b/>
          <w:bCs/>
        </w:rPr>
        <w:t>I</w:t>
      </w:r>
      <w:r w:rsidRPr="005E15EC">
        <w:rPr>
          <w:b/>
          <w:bCs/>
        </w:rPr>
        <w:t>mpact on legacy UEs or UEs without SBFD capability should be carefully studied for SS/PBCH block placement in SBFD region.</w:t>
      </w:r>
    </w:p>
    <w:p w14:paraId="3389C8DE" w14:textId="77777777" w:rsidR="003E1128" w:rsidRPr="00726A2B" w:rsidRDefault="003E1128" w:rsidP="003E1128">
      <w:pPr>
        <w:rPr>
          <w:b/>
          <w:bCs/>
        </w:rPr>
      </w:pPr>
      <w:r w:rsidRPr="00726A2B">
        <w:rPr>
          <w:b/>
          <w:bCs/>
        </w:rPr>
        <w:t xml:space="preserve">Proposal </w:t>
      </w:r>
      <w:r>
        <w:rPr>
          <w:b/>
          <w:bCs/>
        </w:rPr>
        <w:t>6</w:t>
      </w:r>
      <w:r w:rsidRPr="00726A2B">
        <w:rPr>
          <w:b/>
          <w:bCs/>
        </w:rPr>
        <w:t xml:space="preserve">: Support for msg3 repetition in SBFD region should be further studied. </w:t>
      </w:r>
    </w:p>
    <w:p w14:paraId="3A607980" w14:textId="77777777" w:rsidR="003E1128" w:rsidRPr="000B790D" w:rsidRDefault="003E1128" w:rsidP="003E1128">
      <w:pPr>
        <w:spacing w:after="0" w:afterAutospacing="0"/>
        <w:rPr>
          <w:b/>
          <w:bCs/>
        </w:rPr>
      </w:pPr>
      <w:r w:rsidRPr="000B790D">
        <w:rPr>
          <w:b/>
          <w:bCs/>
        </w:rPr>
        <w:t xml:space="preserve">Proposal </w:t>
      </w:r>
      <w:r>
        <w:rPr>
          <w:b/>
          <w:bCs/>
        </w:rPr>
        <w:t>7</w:t>
      </w:r>
      <w:r w:rsidRPr="000B790D">
        <w:rPr>
          <w:b/>
          <w:bCs/>
        </w:rPr>
        <w:t>:</w:t>
      </w:r>
      <w:r>
        <w:rPr>
          <w:b/>
          <w:bCs/>
        </w:rPr>
        <w:t xml:space="preserve"> UCI multiplexing procedure can be further studied at least with the following options</w:t>
      </w:r>
      <w:r w:rsidRPr="000B790D">
        <w:rPr>
          <w:b/>
          <w:bCs/>
        </w:rPr>
        <w:t>:</w:t>
      </w:r>
    </w:p>
    <w:p w14:paraId="2221E690" w14:textId="77777777" w:rsidR="003E1128" w:rsidRPr="001A1A03" w:rsidRDefault="003E1128" w:rsidP="003E1128">
      <w:pPr>
        <w:pStyle w:val="ListParagraph"/>
        <w:numPr>
          <w:ilvl w:val="0"/>
          <w:numId w:val="40"/>
        </w:numPr>
        <w:ind w:leftChars="0"/>
        <w:rPr>
          <w:b/>
          <w:bCs/>
          <w:lang w:val="en-US"/>
        </w:rPr>
      </w:pPr>
      <w:r w:rsidRPr="006D43B5">
        <w:rPr>
          <w:b/>
          <w:bCs/>
          <w:lang w:val="en-US"/>
        </w:rPr>
        <w:t>The gNB ensures that the new PUCCH resource is confined within the UL portion</w:t>
      </w:r>
    </w:p>
    <w:p w14:paraId="0996F70F" w14:textId="77777777" w:rsidR="003E1128" w:rsidRPr="006D43B5" w:rsidRDefault="003E1128" w:rsidP="003E1128">
      <w:pPr>
        <w:pStyle w:val="ListParagraph"/>
        <w:numPr>
          <w:ilvl w:val="0"/>
          <w:numId w:val="40"/>
        </w:numPr>
        <w:ind w:leftChars="0"/>
        <w:rPr>
          <w:b/>
          <w:bCs/>
          <w:lang w:val="en-US"/>
        </w:rPr>
      </w:pPr>
      <w:r w:rsidRPr="006D43B5">
        <w:rPr>
          <w:b/>
          <w:bCs/>
          <w:lang w:val="en-US"/>
        </w:rPr>
        <w:t>Configure separate PUCCH resources for SBFD region and legacy UL region</w:t>
      </w:r>
    </w:p>
    <w:p w14:paraId="629D9EF1" w14:textId="77777777" w:rsidR="003E1128" w:rsidRDefault="003E1128" w:rsidP="003E1128">
      <w:pPr>
        <w:rPr>
          <w:b/>
          <w:bCs/>
        </w:rPr>
      </w:pPr>
      <w:r w:rsidRPr="00BE5640">
        <w:rPr>
          <w:b/>
          <w:bCs/>
        </w:rPr>
        <w:t xml:space="preserve">Proposal </w:t>
      </w:r>
      <w:r>
        <w:rPr>
          <w:b/>
          <w:bCs/>
        </w:rPr>
        <w:t>8</w:t>
      </w:r>
      <w:r w:rsidRPr="00BE5640">
        <w:rPr>
          <w:b/>
          <w:bCs/>
        </w:rPr>
        <w:t xml:space="preserve">: Single subband </w:t>
      </w:r>
      <w:r>
        <w:rPr>
          <w:b/>
          <w:bCs/>
        </w:rPr>
        <w:t xml:space="preserve">PDSCH </w:t>
      </w:r>
      <w:r w:rsidRPr="00BE5640">
        <w:rPr>
          <w:b/>
          <w:bCs/>
        </w:rPr>
        <w:t>scheduling should be supported for SBFD.</w:t>
      </w:r>
      <w:r>
        <w:rPr>
          <w:b/>
          <w:bCs/>
        </w:rPr>
        <w:t xml:space="preserve"> How to mitigate </w:t>
      </w:r>
      <w:r w:rsidRPr="00264E80">
        <w:rPr>
          <w:b/>
          <w:bCs/>
        </w:rPr>
        <w:t>intra-cell UE-UE co-channel inter-subband CLI</w:t>
      </w:r>
      <w:r>
        <w:rPr>
          <w:b/>
          <w:bCs/>
        </w:rPr>
        <w:t xml:space="preserve"> could be discussed at least with the following aspects:</w:t>
      </w:r>
    </w:p>
    <w:p w14:paraId="53E75BD1" w14:textId="77777777" w:rsidR="003E1128" w:rsidRPr="00AA6819" w:rsidRDefault="003E1128" w:rsidP="003E1128">
      <w:pPr>
        <w:pStyle w:val="ListParagraph"/>
        <w:numPr>
          <w:ilvl w:val="0"/>
          <w:numId w:val="16"/>
        </w:numPr>
        <w:ind w:leftChars="0"/>
        <w:rPr>
          <w:b/>
          <w:bCs/>
        </w:rPr>
      </w:pPr>
      <w:r w:rsidRPr="00AA6819">
        <w:rPr>
          <w:b/>
          <w:bCs/>
        </w:rPr>
        <w:t>Whether more stringent in-band emission requirements are required for Tx UE</w:t>
      </w:r>
    </w:p>
    <w:p w14:paraId="6DBA39B7" w14:textId="77777777" w:rsidR="003E1128" w:rsidRPr="00AA6819" w:rsidRDefault="003E1128" w:rsidP="003E1128">
      <w:pPr>
        <w:pStyle w:val="ListParagraph"/>
        <w:numPr>
          <w:ilvl w:val="0"/>
          <w:numId w:val="16"/>
        </w:numPr>
        <w:ind w:leftChars="0"/>
        <w:rPr>
          <w:b/>
          <w:bCs/>
        </w:rPr>
      </w:pPr>
      <w:r w:rsidRPr="00AA6819">
        <w:rPr>
          <w:b/>
          <w:bCs/>
        </w:rPr>
        <w:t>Potential enhancements to reduce the CLI originated from the Rx UE</w:t>
      </w:r>
    </w:p>
    <w:p w14:paraId="248D0D2A" w14:textId="5538AB55" w:rsidR="00D37919" w:rsidRPr="003E1128" w:rsidRDefault="003E1128" w:rsidP="003E1128">
      <w:pPr>
        <w:pStyle w:val="ListParagraph"/>
        <w:numPr>
          <w:ilvl w:val="0"/>
          <w:numId w:val="16"/>
        </w:numPr>
        <w:ind w:leftChars="0"/>
        <w:rPr>
          <w:b/>
          <w:bCs/>
        </w:rPr>
      </w:pPr>
      <w:r w:rsidRPr="00AA6819">
        <w:rPr>
          <w:b/>
          <w:bCs/>
        </w:rPr>
        <w:t>CLI measurement and reporting mechanism</w:t>
      </w:r>
    </w:p>
    <w:p w14:paraId="3E2E4A91" w14:textId="77777777" w:rsidR="003E1128" w:rsidRPr="000B790D" w:rsidRDefault="003E1128" w:rsidP="003E1128">
      <w:pPr>
        <w:spacing w:after="0" w:afterAutospacing="0"/>
        <w:rPr>
          <w:b/>
          <w:bCs/>
        </w:rPr>
      </w:pPr>
      <w:r w:rsidRPr="000B790D">
        <w:rPr>
          <w:b/>
          <w:bCs/>
        </w:rPr>
        <w:t xml:space="preserve">Proposal </w:t>
      </w:r>
      <w:r>
        <w:rPr>
          <w:b/>
          <w:bCs/>
        </w:rPr>
        <w:t>9</w:t>
      </w:r>
      <w:r w:rsidRPr="000B790D">
        <w:rPr>
          <w:b/>
          <w:bCs/>
        </w:rPr>
        <w:t xml:space="preserve">: Study further how to support </w:t>
      </w:r>
      <w:r>
        <w:rPr>
          <w:b/>
          <w:bCs/>
        </w:rPr>
        <w:t xml:space="preserve">enhancements on Rx UE for </w:t>
      </w:r>
      <w:r w:rsidRPr="000B790D">
        <w:rPr>
          <w:b/>
          <w:bCs/>
        </w:rPr>
        <w:t>multi-subband PDSCH scheduling. At least the following possibilities can be considered further:</w:t>
      </w:r>
    </w:p>
    <w:p w14:paraId="10EF7FA9" w14:textId="77777777" w:rsidR="003E1128" w:rsidRPr="000B790D" w:rsidRDefault="003E1128" w:rsidP="003E1128">
      <w:pPr>
        <w:spacing w:after="0" w:afterAutospacing="0"/>
        <w:ind w:firstLine="840"/>
        <w:rPr>
          <w:b/>
          <w:bCs/>
        </w:rPr>
      </w:pPr>
      <w:r w:rsidRPr="000B790D">
        <w:rPr>
          <w:b/>
          <w:bCs/>
        </w:rPr>
        <w:t xml:space="preserve">1) </w:t>
      </w:r>
      <w:r w:rsidRPr="004D7CD9">
        <w:rPr>
          <w:b/>
          <w:bCs/>
        </w:rPr>
        <w:t>The UE only monitors subband#0 and subband#2</w:t>
      </w:r>
      <w:r>
        <w:rPr>
          <w:b/>
          <w:bCs/>
        </w:rPr>
        <w:t xml:space="preserve"> (like non-continuous CA)</w:t>
      </w:r>
    </w:p>
    <w:p w14:paraId="5A257A7B" w14:textId="6C6DC64A" w:rsidR="003E1128" w:rsidRDefault="003E1128" w:rsidP="003E1128">
      <w:pPr>
        <w:ind w:firstLine="840"/>
      </w:pPr>
      <w:r w:rsidRPr="000B790D">
        <w:rPr>
          <w:b/>
          <w:bCs/>
        </w:rPr>
        <w:t xml:space="preserve">2) </w:t>
      </w:r>
      <w:r w:rsidRPr="004D7CD9">
        <w:rPr>
          <w:b/>
          <w:bCs/>
        </w:rPr>
        <w:t>The UE monitors wideband carrier including Subband#0, 1, and 2</w:t>
      </w:r>
      <w:r>
        <w:rPr>
          <w:b/>
          <w:bCs/>
        </w:rPr>
        <w:t xml:space="preserve"> (Legacy UE behaviour)</w:t>
      </w:r>
    </w:p>
    <w:p w14:paraId="1E9CD239" w14:textId="77777777" w:rsidR="003E1128" w:rsidRPr="000B790D" w:rsidRDefault="003E1128" w:rsidP="003E1128">
      <w:pPr>
        <w:spacing w:after="0" w:afterAutospacing="0"/>
        <w:rPr>
          <w:b/>
          <w:bCs/>
        </w:rPr>
      </w:pPr>
      <w:r w:rsidRPr="000B790D">
        <w:rPr>
          <w:b/>
          <w:bCs/>
        </w:rPr>
        <w:t xml:space="preserve">Proposal </w:t>
      </w:r>
      <w:r>
        <w:rPr>
          <w:b/>
          <w:bCs/>
        </w:rPr>
        <w:t>10</w:t>
      </w:r>
      <w:r w:rsidRPr="000B790D">
        <w:rPr>
          <w:b/>
          <w:bCs/>
        </w:rPr>
        <w:t xml:space="preserve">: Study further how to support </w:t>
      </w:r>
      <w:r>
        <w:rPr>
          <w:b/>
          <w:bCs/>
        </w:rPr>
        <w:t>enhancements on Rx UE for cross</w:t>
      </w:r>
      <w:r w:rsidRPr="000B790D">
        <w:rPr>
          <w:b/>
          <w:bCs/>
        </w:rPr>
        <w:t>-subband PDSCH scheduling. At least the following possibilities can be considered further:</w:t>
      </w:r>
    </w:p>
    <w:p w14:paraId="0139A290" w14:textId="77777777" w:rsidR="003E1128" w:rsidRPr="000B790D" w:rsidRDefault="003E1128" w:rsidP="003E1128">
      <w:pPr>
        <w:spacing w:after="0" w:afterAutospacing="0"/>
        <w:ind w:firstLine="840"/>
        <w:rPr>
          <w:b/>
          <w:bCs/>
        </w:rPr>
      </w:pPr>
      <w:r w:rsidRPr="000B790D">
        <w:rPr>
          <w:b/>
          <w:bCs/>
        </w:rPr>
        <w:t xml:space="preserve">1) </w:t>
      </w:r>
      <w:r w:rsidRPr="004D7CD9">
        <w:rPr>
          <w:b/>
          <w:bCs/>
        </w:rPr>
        <w:t>The UE only monitors subband#0 and subband#2</w:t>
      </w:r>
      <w:r>
        <w:rPr>
          <w:b/>
          <w:bCs/>
        </w:rPr>
        <w:t xml:space="preserve"> (like non-continuous CA)</w:t>
      </w:r>
    </w:p>
    <w:p w14:paraId="1B1E173A" w14:textId="77777777" w:rsidR="003E1128" w:rsidRDefault="003E1128" w:rsidP="003E1128">
      <w:pPr>
        <w:ind w:firstLine="840"/>
      </w:pPr>
      <w:r w:rsidRPr="000B790D">
        <w:rPr>
          <w:b/>
          <w:bCs/>
        </w:rPr>
        <w:t xml:space="preserve">2) </w:t>
      </w:r>
      <w:r w:rsidRPr="004D7CD9">
        <w:rPr>
          <w:b/>
          <w:bCs/>
        </w:rPr>
        <w:t>The UE monitors wideband carrier including Subband#0, 1, and 2</w:t>
      </w:r>
    </w:p>
    <w:p w14:paraId="6A58C424" w14:textId="77777777" w:rsidR="003E1128" w:rsidRPr="00755CE2" w:rsidRDefault="003E1128" w:rsidP="003E1128">
      <w:pPr>
        <w:rPr>
          <w:b/>
          <w:bCs/>
        </w:rPr>
      </w:pPr>
      <w:r w:rsidRPr="00755CE2">
        <w:rPr>
          <w:b/>
          <w:bCs/>
        </w:rPr>
        <w:t>Proposal 11: New TDD configuration should be supported for SBFD</w:t>
      </w:r>
      <w:r>
        <w:rPr>
          <w:b/>
          <w:bCs/>
        </w:rPr>
        <w:t>.</w:t>
      </w:r>
    </w:p>
    <w:p w14:paraId="1395ADE1" w14:textId="43D3EA70" w:rsidR="003E1128" w:rsidRPr="003E1128" w:rsidRDefault="003E1128" w:rsidP="003E1128">
      <w:pPr>
        <w:rPr>
          <w:b/>
          <w:bCs/>
        </w:rPr>
      </w:pPr>
      <w:r w:rsidRPr="002F45F1">
        <w:rPr>
          <w:b/>
          <w:bCs/>
        </w:rPr>
        <w:t>Proposal 12: Subband configuration should be supp</w:t>
      </w:r>
      <w:r>
        <w:rPr>
          <w:b/>
          <w:bCs/>
        </w:rPr>
        <w:t>or</w:t>
      </w:r>
      <w:r w:rsidRPr="002F45F1">
        <w:rPr>
          <w:b/>
          <w:bCs/>
        </w:rPr>
        <w:t>ted.</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399EC745" w14:textId="74356430" w:rsidR="00596839" w:rsidRDefault="009960F9" w:rsidP="00596839">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00B93597">
        <w:rPr>
          <w:szCs w:val="24"/>
          <w:lang w:eastAsia="ja-JP"/>
        </w:rPr>
        <w:t>RAN1 chairman’s note at RAN1#1</w:t>
      </w:r>
      <w:r w:rsidR="008571CE">
        <w:rPr>
          <w:szCs w:val="24"/>
          <w:lang w:eastAsia="ja-JP"/>
        </w:rPr>
        <w:t>10</w:t>
      </w:r>
      <w:r w:rsidR="00B93597">
        <w:rPr>
          <w:szCs w:val="24"/>
          <w:lang w:eastAsia="ja-JP"/>
        </w:rPr>
        <w:t xml:space="preserve"> meeting, </w:t>
      </w:r>
      <w:r w:rsidR="008571CE">
        <w:rPr>
          <w:szCs w:val="24"/>
          <w:lang w:eastAsia="ja-JP"/>
        </w:rPr>
        <w:t>August</w:t>
      </w:r>
      <w:r w:rsidR="00B93597">
        <w:rPr>
          <w:szCs w:val="24"/>
          <w:lang w:eastAsia="ja-JP"/>
        </w:rPr>
        <w:t xml:space="preserve"> 2022</w:t>
      </w:r>
    </w:p>
    <w:p w14:paraId="3F518E56" w14:textId="57411A65" w:rsidR="001301CB" w:rsidRDefault="001301CB" w:rsidP="00596839">
      <w:pPr>
        <w:pStyle w:val="textintend2"/>
        <w:widowControl w:val="0"/>
        <w:numPr>
          <w:ilvl w:val="0"/>
          <w:numId w:val="0"/>
        </w:numPr>
        <w:spacing w:after="0"/>
        <w:ind w:left="420" w:hanging="420"/>
        <w:rPr>
          <w:szCs w:val="24"/>
          <w:lang w:eastAsia="ja-JP"/>
        </w:rPr>
      </w:pPr>
    </w:p>
    <w:p w14:paraId="21370241" w14:textId="77777777" w:rsidR="001301CB" w:rsidRPr="00207144" w:rsidRDefault="001301CB" w:rsidP="00596839">
      <w:pPr>
        <w:pStyle w:val="textintend2"/>
        <w:widowControl w:val="0"/>
        <w:numPr>
          <w:ilvl w:val="0"/>
          <w:numId w:val="0"/>
        </w:numPr>
        <w:spacing w:after="0"/>
        <w:ind w:left="420" w:hanging="420"/>
        <w:rPr>
          <w:szCs w:val="24"/>
          <w:lang w:eastAsia="ja-JP"/>
        </w:rPr>
      </w:pPr>
    </w:p>
    <w:sectPr w:rsidR="001301CB" w:rsidRPr="00207144" w:rsidSect="008C6B64">
      <w:footerReference w:type="default" r:id="rId2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8DF02" w14:textId="77777777" w:rsidR="00DD789B" w:rsidRDefault="00DD789B">
      <w:r>
        <w:separator/>
      </w:r>
    </w:p>
  </w:endnote>
  <w:endnote w:type="continuationSeparator" w:id="0">
    <w:p w14:paraId="253E7ADE" w14:textId="77777777" w:rsidR="00DD789B" w:rsidRDefault="00DD789B">
      <w:r>
        <w:continuationSeparator/>
      </w:r>
    </w:p>
  </w:endnote>
  <w:endnote w:type="continuationNotice" w:id="1">
    <w:p w14:paraId="34E1FAB3" w14:textId="77777777" w:rsidR="00DD789B" w:rsidRDefault="00DD7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A8B88" w14:textId="77777777" w:rsidR="00DD789B" w:rsidRDefault="00DD789B">
      <w:r>
        <w:separator/>
      </w:r>
    </w:p>
  </w:footnote>
  <w:footnote w:type="continuationSeparator" w:id="0">
    <w:p w14:paraId="7F8053ED" w14:textId="77777777" w:rsidR="00DD789B" w:rsidRDefault="00DD789B">
      <w:r>
        <w:continuationSeparator/>
      </w:r>
    </w:p>
  </w:footnote>
  <w:footnote w:type="continuationNotice" w:id="1">
    <w:p w14:paraId="7330938C" w14:textId="77777777" w:rsidR="00DD789B" w:rsidRDefault="00DD78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64578FF"/>
    <w:multiLevelType w:val="hybridMultilevel"/>
    <w:tmpl w:val="32BE31BE"/>
    <w:lvl w:ilvl="0" w:tplc="062CF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D5E8A"/>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E06C76"/>
    <w:multiLevelType w:val="hybridMultilevel"/>
    <w:tmpl w:val="4E6C1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67181"/>
    <w:multiLevelType w:val="hybridMultilevel"/>
    <w:tmpl w:val="82AEB014"/>
    <w:lvl w:ilvl="0" w:tplc="062CFE62">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F72EA7"/>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2222C18"/>
    <w:multiLevelType w:val="hybridMultilevel"/>
    <w:tmpl w:val="DBC241E0"/>
    <w:lvl w:ilvl="0" w:tplc="A7747B04">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49E711D"/>
    <w:multiLevelType w:val="hybridMultilevel"/>
    <w:tmpl w:val="7202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0126C7"/>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F340ABB"/>
    <w:multiLevelType w:val="hybridMultilevel"/>
    <w:tmpl w:val="9184180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261039E"/>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50F433C"/>
    <w:multiLevelType w:val="hybridMultilevel"/>
    <w:tmpl w:val="6FA8F2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814BE1"/>
    <w:multiLevelType w:val="hybridMultilevel"/>
    <w:tmpl w:val="3782C2E8"/>
    <w:lvl w:ilvl="0" w:tplc="727C68C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0" w15:restartNumberingAfterBreak="0">
    <w:nsid w:val="3C41460D"/>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C4155C0"/>
    <w:multiLevelType w:val="hybridMultilevel"/>
    <w:tmpl w:val="40D24AC2"/>
    <w:lvl w:ilvl="0" w:tplc="5590D90C">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27636B"/>
    <w:multiLevelType w:val="hybridMultilevel"/>
    <w:tmpl w:val="7EB21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D7F4210"/>
    <w:multiLevelType w:val="hybridMultilevel"/>
    <w:tmpl w:val="32BE31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53747D"/>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87F3C98"/>
    <w:multiLevelType w:val="hybridMultilevel"/>
    <w:tmpl w:val="BA0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8163A"/>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38C238B"/>
    <w:multiLevelType w:val="hybridMultilevel"/>
    <w:tmpl w:val="7A9C53CE"/>
    <w:lvl w:ilvl="0" w:tplc="062CF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8854A0"/>
    <w:multiLevelType w:val="hybridMultilevel"/>
    <w:tmpl w:val="9D5A0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C7446C7"/>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F373A19"/>
    <w:multiLevelType w:val="hybridMultilevel"/>
    <w:tmpl w:val="82AEB01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40642539">
    <w:abstractNumId w:val="32"/>
  </w:num>
  <w:num w:numId="2" w16cid:durableId="24448087">
    <w:abstractNumId w:val="4"/>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3"/>
  </w:num>
  <w:num w:numId="5" w16cid:durableId="846208585">
    <w:abstractNumId w:val="25"/>
  </w:num>
  <w:num w:numId="6" w16cid:durableId="91829759">
    <w:abstractNumId w:val="26"/>
  </w:num>
  <w:num w:numId="7" w16cid:durableId="1154877211">
    <w:abstractNumId w:val="23"/>
  </w:num>
  <w:num w:numId="8" w16cid:durableId="321782556">
    <w:abstractNumId w:val="2"/>
  </w:num>
  <w:num w:numId="9" w16cid:durableId="1159426595">
    <w:abstractNumId w:val="36"/>
  </w:num>
  <w:num w:numId="10" w16cid:durableId="942692334">
    <w:abstractNumId w:val="22"/>
  </w:num>
  <w:num w:numId="11" w16cid:durableId="1159467531">
    <w:abstractNumId w:val="0"/>
  </w:num>
  <w:num w:numId="12" w16cid:durableId="1673028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6258508">
    <w:abstractNumId w:val="16"/>
  </w:num>
  <w:num w:numId="14" w16cid:durableId="831607537">
    <w:abstractNumId w:val="21"/>
  </w:num>
  <w:num w:numId="15" w16cid:durableId="725301142">
    <w:abstractNumId w:val="19"/>
  </w:num>
  <w:num w:numId="16" w16cid:durableId="232938540">
    <w:abstractNumId w:val="30"/>
  </w:num>
  <w:num w:numId="17" w16cid:durableId="517040673">
    <w:abstractNumId w:val="10"/>
  </w:num>
  <w:num w:numId="18" w16cid:durableId="1762333867">
    <w:abstractNumId w:val="8"/>
  </w:num>
  <w:num w:numId="19" w16cid:durableId="1039354383">
    <w:abstractNumId w:val="12"/>
  </w:num>
  <w:num w:numId="20" w16cid:durableId="296958507">
    <w:abstractNumId w:val="24"/>
  </w:num>
  <w:num w:numId="21" w16cid:durableId="796947266">
    <w:abstractNumId w:val="34"/>
  </w:num>
  <w:num w:numId="22" w16cid:durableId="593317157">
    <w:abstractNumId w:val="9"/>
  </w:num>
  <w:num w:numId="23" w16cid:durableId="2115443400">
    <w:abstractNumId w:val="5"/>
  </w:num>
  <w:num w:numId="24" w16cid:durableId="79372337">
    <w:abstractNumId w:val="38"/>
  </w:num>
  <w:num w:numId="25" w16cid:durableId="947392624">
    <w:abstractNumId w:val="28"/>
  </w:num>
  <w:num w:numId="26" w16cid:durableId="402411205">
    <w:abstractNumId w:val="27"/>
  </w:num>
  <w:num w:numId="27" w16cid:durableId="780799919">
    <w:abstractNumId w:val="6"/>
  </w:num>
  <w:num w:numId="28" w16cid:durableId="1418674624">
    <w:abstractNumId w:val="18"/>
  </w:num>
  <w:num w:numId="29" w16cid:durableId="1667594136">
    <w:abstractNumId w:val="31"/>
  </w:num>
  <w:num w:numId="30" w16cid:durableId="716051708">
    <w:abstractNumId w:val="15"/>
  </w:num>
  <w:num w:numId="31" w16cid:durableId="1246765139">
    <w:abstractNumId w:val="14"/>
  </w:num>
  <w:num w:numId="32" w16cid:durableId="55903899">
    <w:abstractNumId w:val="11"/>
  </w:num>
  <w:num w:numId="33" w16cid:durableId="728266413">
    <w:abstractNumId w:val="20"/>
  </w:num>
  <w:num w:numId="34" w16cid:durableId="1863474548">
    <w:abstractNumId w:val="17"/>
  </w:num>
  <w:num w:numId="35" w16cid:durableId="691538779">
    <w:abstractNumId w:val="1"/>
  </w:num>
  <w:num w:numId="36" w16cid:durableId="850604885">
    <w:abstractNumId w:val="7"/>
  </w:num>
  <w:num w:numId="37" w16cid:durableId="405539904">
    <w:abstractNumId w:val="3"/>
  </w:num>
  <w:num w:numId="38" w16cid:durableId="1366370490">
    <w:abstractNumId w:val="13"/>
  </w:num>
  <w:num w:numId="39" w16cid:durableId="95373602">
    <w:abstractNumId w:val="35"/>
  </w:num>
  <w:num w:numId="40" w16cid:durableId="2100517467">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3BE"/>
    <w:rsid w:val="000379A2"/>
    <w:rsid w:val="00040145"/>
    <w:rsid w:val="0004029F"/>
    <w:rsid w:val="00040407"/>
    <w:rsid w:val="000405DD"/>
    <w:rsid w:val="00040623"/>
    <w:rsid w:val="000406B8"/>
    <w:rsid w:val="000411FC"/>
    <w:rsid w:val="000416C8"/>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120"/>
    <w:rsid w:val="000625CF"/>
    <w:rsid w:val="00062EED"/>
    <w:rsid w:val="000630AD"/>
    <w:rsid w:val="00063196"/>
    <w:rsid w:val="0006344D"/>
    <w:rsid w:val="00063956"/>
    <w:rsid w:val="00063A65"/>
    <w:rsid w:val="00063E01"/>
    <w:rsid w:val="00064AA4"/>
    <w:rsid w:val="00064B7C"/>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46F"/>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647"/>
    <w:rsid w:val="00081752"/>
    <w:rsid w:val="00081921"/>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6F45"/>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06F"/>
    <w:rsid w:val="000932E3"/>
    <w:rsid w:val="00093493"/>
    <w:rsid w:val="00093727"/>
    <w:rsid w:val="0009372B"/>
    <w:rsid w:val="00093766"/>
    <w:rsid w:val="00093789"/>
    <w:rsid w:val="00093AD6"/>
    <w:rsid w:val="000943AC"/>
    <w:rsid w:val="000948B8"/>
    <w:rsid w:val="00094987"/>
    <w:rsid w:val="00094B06"/>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07E"/>
    <w:rsid w:val="000A12FE"/>
    <w:rsid w:val="000A1346"/>
    <w:rsid w:val="000A13F9"/>
    <w:rsid w:val="000A1ABF"/>
    <w:rsid w:val="000A1B48"/>
    <w:rsid w:val="000A1F3E"/>
    <w:rsid w:val="000A226D"/>
    <w:rsid w:val="000A23AE"/>
    <w:rsid w:val="000A24D4"/>
    <w:rsid w:val="000A281C"/>
    <w:rsid w:val="000A2975"/>
    <w:rsid w:val="000A2985"/>
    <w:rsid w:val="000A2A93"/>
    <w:rsid w:val="000A2E8E"/>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33"/>
    <w:rsid w:val="000B6189"/>
    <w:rsid w:val="000B6CB2"/>
    <w:rsid w:val="000B6E61"/>
    <w:rsid w:val="000B6E92"/>
    <w:rsid w:val="000B7041"/>
    <w:rsid w:val="000B790D"/>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FC3"/>
    <w:rsid w:val="000D1DD5"/>
    <w:rsid w:val="000D20DC"/>
    <w:rsid w:val="000D20FF"/>
    <w:rsid w:val="000D2283"/>
    <w:rsid w:val="000D251E"/>
    <w:rsid w:val="000D264C"/>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91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07C"/>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DEB"/>
    <w:rsid w:val="00100E06"/>
    <w:rsid w:val="00101474"/>
    <w:rsid w:val="00101634"/>
    <w:rsid w:val="001017BA"/>
    <w:rsid w:val="00101874"/>
    <w:rsid w:val="001019B4"/>
    <w:rsid w:val="00102207"/>
    <w:rsid w:val="00102614"/>
    <w:rsid w:val="0010279F"/>
    <w:rsid w:val="001028C5"/>
    <w:rsid w:val="00102945"/>
    <w:rsid w:val="001029FE"/>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230"/>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1007"/>
    <w:rsid w:val="00122207"/>
    <w:rsid w:val="0012244E"/>
    <w:rsid w:val="001224B1"/>
    <w:rsid w:val="0012251C"/>
    <w:rsid w:val="00122BBA"/>
    <w:rsid w:val="00122DB8"/>
    <w:rsid w:val="00122EB7"/>
    <w:rsid w:val="0012331E"/>
    <w:rsid w:val="00123816"/>
    <w:rsid w:val="00123880"/>
    <w:rsid w:val="00123E70"/>
    <w:rsid w:val="00123F99"/>
    <w:rsid w:val="0012418B"/>
    <w:rsid w:val="00124394"/>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1CB"/>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CD9"/>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7A"/>
    <w:rsid w:val="0014118F"/>
    <w:rsid w:val="00141468"/>
    <w:rsid w:val="00141559"/>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C3C"/>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6F40"/>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6E2"/>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10D"/>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D4D"/>
    <w:rsid w:val="001A0038"/>
    <w:rsid w:val="001A00CE"/>
    <w:rsid w:val="001A02A3"/>
    <w:rsid w:val="001A0824"/>
    <w:rsid w:val="001A0DB8"/>
    <w:rsid w:val="001A0E23"/>
    <w:rsid w:val="001A12F9"/>
    <w:rsid w:val="001A161D"/>
    <w:rsid w:val="001A1A03"/>
    <w:rsid w:val="001A1D84"/>
    <w:rsid w:val="001A1FD2"/>
    <w:rsid w:val="001A2307"/>
    <w:rsid w:val="001A271A"/>
    <w:rsid w:val="001A2971"/>
    <w:rsid w:val="001A2DC2"/>
    <w:rsid w:val="001A2F86"/>
    <w:rsid w:val="001A39BD"/>
    <w:rsid w:val="001A3C68"/>
    <w:rsid w:val="001A3ED2"/>
    <w:rsid w:val="001A406E"/>
    <w:rsid w:val="001A4299"/>
    <w:rsid w:val="001A43C2"/>
    <w:rsid w:val="001A4413"/>
    <w:rsid w:val="001A5210"/>
    <w:rsid w:val="001A54E9"/>
    <w:rsid w:val="001A55F3"/>
    <w:rsid w:val="001A57B9"/>
    <w:rsid w:val="001A59FB"/>
    <w:rsid w:val="001A5D19"/>
    <w:rsid w:val="001A5DC7"/>
    <w:rsid w:val="001A5F92"/>
    <w:rsid w:val="001A5FFF"/>
    <w:rsid w:val="001A6116"/>
    <w:rsid w:val="001A61A1"/>
    <w:rsid w:val="001A63DC"/>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067"/>
    <w:rsid w:val="001B529D"/>
    <w:rsid w:val="001B55BB"/>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08F"/>
    <w:rsid w:val="001D1697"/>
    <w:rsid w:val="001D1A92"/>
    <w:rsid w:val="001D1AAD"/>
    <w:rsid w:val="001D1B8F"/>
    <w:rsid w:val="001D1FE5"/>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6C5"/>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D25"/>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449"/>
    <w:rsid w:val="002066E1"/>
    <w:rsid w:val="002067ED"/>
    <w:rsid w:val="00206A54"/>
    <w:rsid w:val="00206B5A"/>
    <w:rsid w:val="00206C83"/>
    <w:rsid w:val="00206E0B"/>
    <w:rsid w:val="002070FE"/>
    <w:rsid w:val="00207144"/>
    <w:rsid w:val="0020732B"/>
    <w:rsid w:val="002074EE"/>
    <w:rsid w:val="0020762B"/>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44C"/>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7F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21B"/>
    <w:rsid w:val="00240437"/>
    <w:rsid w:val="002409A8"/>
    <w:rsid w:val="00240C35"/>
    <w:rsid w:val="002412A4"/>
    <w:rsid w:val="002414B1"/>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0B0"/>
    <w:rsid w:val="00247620"/>
    <w:rsid w:val="002476B6"/>
    <w:rsid w:val="00247811"/>
    <w:rsid w:val="00247845"/>
    <w:rsid w:val="00247D15"/>
    <w:rsid w:val="002503D2"/>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75F"/>
    <w:rsid w:val="00257D09"/>
    <w:rsid w:val="00257DBA"/>
    <w:rsid w:val="00257F93"/>
    <w:rsid w:val="0026044A"/>
    <w:rsid w:val="00260555"/>
    <w:rsid w:val="00260956"/>
    <w:rsid w:val="002619A8"/>
    <w:rsid w:val="00261A3D"/>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4E80"/>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8B4"/>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55C"/>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46B"/>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D03"/>
    <w:rsid w:val="002C2EA0"/>
    <w:rsid w:val="002C3925"/>
    <w:rsid w:val="002C39B5"/>
    <w:rsid w:val="002C3D6B"/>
    <w:rsid w:val="002C4552"/>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C7D"/>
    <w:rsid w:val="002E2D59"/>
    <w:rsid w:val="002E2FFB"/>
    <w:rsid w:val="002E3771"/>
    <w:rsid w:val="002E39C9"/>
    <w:rsid w:val="002E3B0C"/>
    <w:rsid w:val="002E4345"/>
    <w:rsid w:val="002E4399"/>
    <w:rsid w:val="002E4434"/>
    <w:rsid w:val="002E47FA"/>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0BD"/>
    <w:rsid w:val="002F12A4"/>
    <w:rsid w:val="002F17FE"/>
    <w:rsid w:val="002F1803"/>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5F1"/>
    <w:rsid w:val="002F485D"/>
    <w:rsid w:val="002F4E80"/>
    <w:rsid w:val="002F4F62"/>
    <w:rsid w:val="002F59D4"/>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ED"/>
    <w:rsid w:val="0031112B"/>
    <w:rsid w:val="00311470"/>
    <w:rsid w:val="00311A56"/>
    <w:rsid w:val="00311ABB"/>
    <w:rsid w:val="00312538"/>
    <w:rsid w:val="00312F59"/>
    <w:rsid w:val="003130AE"/>
    <w:rsid w:val="003131B3"/>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E7"/>
    <w:rsid w:val="003333CA"/>
    <w:rsid w:val="003334E1"/>
    <w:rsid w:val="003335DF"/>
    <w:rsid w:val="00333805"/>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19"/>
    <w:rsid w:val="003461E4"/>
    <w:rsid w:val="0034644C"/>
    <w:rsid w:val="00346512"/>
    <w:rsid w:val="00346558"/>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B12"/>
    <w:rsid w:val="00356F9E"/>
    <w:rsid w:val="00357027"/>
    <w:rsid w:val="00357315"/>
    <w:rsid w:val="00357615"/>
    <w:rsid w:val="0035795B"/>
    <w:rsid w:val="00357B10"/>
    <w:rsid w:val="00357D0A"/>
    <w:rsid w:val="00357F15"/>
    <w:rsid w:val="003601C7"/>
    <w:rsid w:val="003602C3"/>
    <w:rsid w:val="00360642"/>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4CF1"/>
    <w:rsid w:val="003750D5"/>
    <w:rsid w:val="00375112"/>
    <w:rsid w:val="003752B2"/>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53A"/>
    <w:rsid w:val="00382897"/>
    <w:rsid w:val="00382EC8"/>
    <w:rsid w:val="00382F01"/>
    <w:rsid w:val="003833DA"/>
    <w:rsid w:val="00383402"/>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03"/>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355"/>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1CEC"/>
    <w:rsid w:val="003C2720"/>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59E"/>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919"/>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629"/>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4EC"/>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60D"/>
    <w:rsid w:val="0041089B"/>
    <w:rsid w:val="00410AD6"/>
    <w:rsid w:val="00410DFF"/>
    <w:rsid w:val="0041120D"/>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8F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304D"/>
    <w:rsid w:val="00423674"/>
    <w:rsid w:val="0042373B"/>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15"/>
    <w:rsid w:val="00434D49"/>
    <w:rsid w:val="00435153"/>
    <w:rsid w:val="00435427"/>
    <w:rsid w:val="004355DF"/>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609"/>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2B9"/>
    <w:rsid w:val="004565CD"/>
    <w:rsid w:val="0045675B"/>
    <w:rsid w:val="00456B68"/>
    <w:rsid w:val="00456F01"/>
    <w:rsid w:val="004574E4"/>
    <w:rsid w:val="004576E3"/>
    <w:rsid w:val="00457737"/>
    <w:rsid w:val="00457AB0"/>
    <w:rsid w:val="00457BFB"/>
    <w:rsid w:val="00460D1E"/>
    <w:rsid w:val="00460D6D"/>
    <w:rsid w:val="00460F9B"/>
    <w:rsid w:val="004613FE"/>
    <w:rsid w:val="00461474"/>
    <w:rsid w:val="00461486"/>
    <w:rsid w:val="00461B30"/>
    <w:rsid w:val="00461D1A"/>
    <w:rsid w:val="00461E67"/>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5D8"/>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7AD"/>
    <w:rsid w:val="00474AA5"/>
    <w:rsid w:val="0047520E"/>
    <w:rsid w:val="0047552F"/>
    <w:rsid w:val="00475651"/>
    <w:rsid w:val="004758AF"/>
    <w:rsid w:val="0047602F"/>
    <w:rsid w:val="0047607F"/>
    <w:rsid w:val="00476367"/>
    <w:rsid w:val="004766D6"/>
    <w:rsid w:val="00476B8F"/>
    <w:rsid w:val="0047715F"/>
    <w:rsid w:val="00477246"/>
    <w:rsid w:val="004778E9"/>
    <w:rsid w:val="00480088"/>
    <w:rsid w:val="0048047D"/>
    <w:rsid w:val="00480592"/>
    <w:rsid w:val="00480690"/>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7B"/>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36F"/>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400"/>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3F95"/>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160"/>
    <w:rsid w:val="004C3391"/>
    <w:rsid w:val="004C3614"/>
    <w:rsid w:val="004C3662"/>
    <w:rsid w:val="004C379C"/>
    <w:rsid w:val="004C391A"/>
    <w:rsid w:val="004C4083"/>
    <w:rsid w:val="004C42A5"/>
    <w:rsid w:val="004C4643"/>
    <w:rsid w:val="004C488A"/>
    <w:rsid w:val="004C53C1"/>
    <w:rsid w:val="004C58A1"/>
    <w:rsid w:val="004C5C07"/>
    <w:rsid w:val="004C6AB8"/>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32C"/>
    <w:rsid w:val="004D74A8"/>
    <w:rsid w:val="004D74F2"/>
    <w:rsid w:val="004D76B3"/>
    <w:rsid w:val="004D76C5"/>
    <w:rsid w:val="004D76D4"/>
    <w:rsid w:val="004D76E5"/>
    <w:rsid w:val="004D76E7"/>
    <w:rsid w:val="004D77B9"/>
    <w:rsid w:val="004D7CD9"/>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C93"/>
    <w:rsid w:val="004F0DF0"/>
    <w:rsid w:val="004F1026"/>
    <w:rsid w:val="004F1036"/>
    <w:rsid w:val="004F133B"/>
    <w:rsid w:val="004F179C"/>
    <w:rsid w:val="004F1AF1"/>
    <w:rsid w:val="004F1B61"/>
    <w:rsid w:val="004F1BDF"/>
    <w:rsid w:val="004F2106"/>
    <w:rsid w:val="004F2A3A"/>
    <w:rsid w:val="004F2BA7"/>
    <w:rsid w:val="004F2D81"/>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4F7EB8"/>
    <w:rsid w:val="00500249"/>
    <w:rsid w:val="00500508"/>
    <w:rsid w:val="00500558"/>
    <w:rsid w:val="0050072A"/>
    <w:rsid w:val="0050080D"/>
    <w:rsid w:val="00500BED"/>
    <w:rsid w:val="00500D63"/>
    <w:rsid w:val="005011B8"/>
    <w:rsid w:val="005011DA"/>
    <w:rsid w:val="0050140C"/>
    <w:rsid w:val="00501459"/>
    <w:rsid w:val="005014AE"/>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203"/>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B21"/>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C6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DB"/>
    <w:rsid w:val="005411F9"/>
    <w:rsid w:val="005414DC"/>
    <w:rsid w:val="005419C5"/>
    <w:rsid w:val="00541C58"/>
    <w:rsid w:val="005422B0"/>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C23"/>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287"/>
    <w:rsid w:val="00551362"/>
    <w:rsid w:val="0055142B"/>
    <w:rsid w:val="00551A16"/>
    <w:rsid w:val="00551C07"/>
    <w:rsid w:val="00551FC7"/>
    <w:rsid w:val="005523E3"/>
    <w:rsid w:val="005526D0"/>
    <w:rsid w:val="00552A66"/>
    <w:rsid w:val="00552BA3"/>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B50"/>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4F3"/>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237"/>
    <w:rsid w:val="005B45B6"/>
    <w:rsid w:val="005B481A"/>
    <w:rsid w:val="005B4A61"/>
    <w:rsid w:val="005B4A6C"/>
    <w:rsid w:val="005B4D2C"/>
    <w:rsid w:val="005B4F49"/>
    <w:rsid w:val="005B50FF"/>
    <w:rsid w:val="005B51D4"/>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D3C"/>
    <w:rsid w:val="005C3F78"/>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313"/>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8DA"/>
    <w:rsid w:val="005E0A27"/>
    <w:rsid w:val="005E0CED"/>
    <w:rsid w:val="005E0F49"/>
    <w:rsid w:val="005E118C"/>
    <w:rsid w:val="005E131E"/>
    <w:rsid w:val="005E1441"/>
    <w:rsid w:val="005E15EC"/>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A64"/>
    <w:rsid w:val="005F3B21"/>
    <w:rsid w:val="005F42DA"/>
    <w:rsid w:val="005F484A"/>
    <w:rsid w:val="005F4BD8"/>
    <w:rsid w:val="005F4E2F"/>
    <w:rsid w:val="005F510F"/>
    <w:rsid w:val="005F52CA"/>
    <w:rsid w:val="005F5417"/>
    <w:rsid w:val="005F5C99"/>
    <w:rsid w:val="005F6164"/>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48"/>
    <w:rsid w:val="006123BE"/>
    <w:rsid w:val="00613715"/>
    <w:rsid w:val="00613C11"/>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AA1"/>
    <w:rsid w:val="0062389E"/>
    <w:rsid w:val="0062394A"/>
    <w:rsid w:val="006240C3"/>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2FA3"/>
    <w:rsid w:val="006431C8"/>
    <w:rsid w:val="0064326F"/>
    <w:rsid w:val="006434AF"/>
    <w:rsid w:val="00643AA4"/>
    <w:rsid w:val="00643BEC"/>
    <w:rsid w:val="00643D55"/>
    <w:rsid w:val="00643E13"/>
    <w:rsid w:val="006441F6"/>
    <w:rsid w:val="0064448B"/>
    <w:rsid w:val="006444D8"/>
    <w:rsid w:val="00644800"/>
    <w:rsid w:val="00644BAA"/>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57F2D"/>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4F6"/>
    <w:rsid w:val="0066650F"/>
    <w:rsid w:val="0066673D"/>
    <w:rsid w:val="00666D32"/>
    <w:rsid w:val="00666DE5"/>
    <w:rsid w:val="00666E9D"/>
    <w:rsid w:val="00667236"/>
    <w:rsid w:val="00667357"/>
    <w:rsid w:val="00667569"/>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A31"/>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61"/>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B3C"/>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2A0"/>
    <w:rsid w:val="006A0690"/>
    <w:rsid w:val="006A0854"/>
    <w:rsid w:val="006A0991"/>
    <w:rsid w:val="006A0A75"/>
    <w:rsid w:val="006A0F53"/>
    <w:rsid w:val="006A107C"/>
    <w:rsid w:val="006A11D9"/>
    <w:rsid w:val="006A14FF"/>
    <w:rsid w:val="006A1620"/>
    <w:rsid w:val="006A1771"/>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636"/>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1FE1"/>
    <w:rsid w:val="006D26F3"/>
    <w:rsid w:val="006D2B17"/>
    <w:rsid w:val="006D2F35"/>
    <w:rsid w:val="006D3084"/>
    <w:rsid w:val="006D3718"/>
    <w:rsid w:val="006D3CFC"/>
    <w:rsid w:val="006D3FB9"/>
    <w:rsid w:val="006D4061"/>
    <w:rsid w:val="006D43B5"/>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0FF8"/>
    <w:rsid w:val="006E10E5"/>
    <w:rsid w:val="006E117E"/>
    <w:rsid w:val="006E1533"/>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6EF"/>
    <w:rsid w:val="006E576B"/>
    <w:rsid w:val="006E5889"/>
    <w:rsid w:val="006E59E5"/>
    <w:rsid w:val="006E5A3D"/>
    <w:rsid w:val="006E5B73"/>
    <w:rsid w:val="006E5BCD"/>
    <w:rsid w:val="006E5CCC"/>
    <w:rsid w:val="006E6052"/>
    <w:rsid w:val="006E6750"/>
    <w:rsid w:val="006E6779"/>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696"/>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700334"/>
    <w:rsid w:val="007003DA"/>
    <w:rsid w:val="007004CF"/>
    <w:rsid w:val="00700639"/>
    <w:rsid w:val="00700F40"/>
    <w:rsid w:val="0070113F"/>
    <w:rsid w:val="00701390"/>
    <w:rsid w:val="007015D6"/>
    <w:rsid w:val="00701B75"/>
    <w:rsid w:val="00701D67"/>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50D0"/>
    <w:rsid w:val="00725117"/>
    <w:rsid w:val="007252B9"/>
    <w:rsid w:val="00725550"/>
    <w:rsid w:val="0072595A"/>
    <w:rsid w:val="00726379"/>
    <w:rsid w:val="0072658A"/>
    <w:rsid w:val="007266B4"/>
    <w:rsid w:val="00726A2B"/>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2F"/>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633"/>
    <w:rsid w:val="00737738"/>
    <w:rsid w:val="00737859"/>
    <w:rsid w:val="0074013A"/>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CCD"/>
    <w:rsid w:val="0074306F"/>
    <w:rsid w:val="007430F2"/>
    <w:rsid w:val="007432CD"/>
    <w:rsid w:val="007435E8"/>
    <w:rsid w:val="007438AB"/>
    <w:rsid w:val="00743ECA"/>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A3"/>
    <w:rsid w:val="00757635"/>
    <w:rsid w:val="00757907"/>
    <w:rsid w:val="00757DA1"/>
    <w:rsid w:val="00757E11"/>
    <w:rsid w:val="00757F51"/>
    <w:rsid w:val="00757F62"/>
    <w:rsid w:val="007608E0"/>
    <w:rsid w:val="00760AF6"/>
    <w:rsid w:val="00760DF1"/>
    <w:rsid w:val="00760EEE"/>
    <w:rsid w:val="00760F0E"/>
    <w:rsid w:val="007610CF"/>
    <w:rsid w:val="00761229"/>
    <w:rsid w:val="0076170C"/>
    <w:rsid w:val="00761814"/>
    <w:rsid w:val="0076189D"/>
    <w:rsid w:val="00761982"/>
    <w:rsid w:val="00761A46"/>
    <w:rsid w:val="00762101"/>
    <w:rsid w:val="0076276A"/>
    <w:rsid w:val="00762830"/>
    <w:rsid w:val="00762A2C"/>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0BC9"/>
    <w:rsid w:val="0077112E"/>
    <w:rsid w:val="0077128C"/>
    <w:rsid w:val="00771800"/>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0B11"/>
    <w:rsid w:val="00781345"/>
    <w:rsid w:val="0078139A"/>
    <w:rsid w:val="007813BE"/>
    <w:rsid w:val="00781B82"/>
    <w:rsid w:val="00781F7E"/>
    <w:rsid w:val="007822B1"/>
    <w:rsid w:val="00782395"/>
    <w:rsid w:val="00782522"/>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378"/>
    <w:rsid w:val="007904A7"/>
    <w:rsid w:val="0079070D"/>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6F2"/>
    <w:rsid w:val="00795721"/>
    <w:rsid w:val="00795905"/>
    <w:rsid w:val="00795B6F"/>
    <w:rsid w:val="00795F67"/>
    <w:rsid w:val="00795FE2"/>
    <w:rsid w:val="00796539"/>
    <w:rsid w:val="0079659B"/>
    <w:rsid w:val="00796701"/>
    <w:rsid w:val="0079680A"/>
    <w:rsid w:val="00796D42"/>
    <w:rsid w:val="0079738F"/>
    <w:rsid w:val="007977B1"/>
    <w:rsid w:val="00797BB7"/>
    <w:rsid w:val="00797C61"/>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3D1"/>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779"/>
    <w:rsid w:val="007E4A6E"/>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45F"/>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5CCF"/>
    <w:rsid w:val="007F616B"/>
    <w:rsid w:val="007F6D0E"/>
    <w:rsid w:val="007F704A"/>
    <w:rsid w:val="007F715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165"/>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974"/>
    <w:rsid w:val="00825A03"/>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C6A"/>
    <w:rsid w:val="008320B9"/>
    <w:rsid w:val="008321A7"/>
    <w:rsid w:val="008322B3"/>
    <w:rsid w:val="0083270D"/>
    <w:rsid w:val="00832961"/>
    <w:rsid w:val="00832B33"/>
    <w:rsid w:val="00832CBD"/>
    <w:rsid w:val="00832EF4"/>
    <w:rsid w:val="008337BB"/>
    <w:rsid w:val="00834781"/>
    <w:rsid w:val="00834A98"/>
    <w:rsid w:val="00834C4A"/>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40272"/>
    <w:rsid w:val="0084047A"/>
    <w:rsid w:val="008406FC"/>
    <w:rsid w:val="00841641"/>
    <w:rsid w:val="00841748"/>
    <w:rsid w:val="00841E9F"/>
    <w:rsid w:val="00841F7A"/>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48F"/>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5AF4"/>
    <w:rsid w:val="00865B93"/>
    <w:rsid w:val="00865CF0"/>
    <w:rsid w:val="00866054"/>
    <w:rsid w:val="008667E1"/>
    <w:rsid w:val="008669BC"/>
    <w:rsid w:val="00866C77"/>
    <w:rsid w:val="00866E77"/>
    <w:rsid w:val="008671C0"/>
    <w:rsid w:val="0086733B"/>
    <w:rsid w:val="0086738E"/>
    <w:rsid w:val="0086740F"/>
    <w:rsid w:val="00867458"/>
    <w:rsid w:val="008678F3"/>
    <w:rsid w:val="008703FA"/>
    <w:rsid w:val="00870E61"/>
    <w:rsid w:val="0087109A"/>
    <w:rsid w:val="008712AB"/>
    <w:rsid w:val="008719B5"/>
    <w:rsid w:val="00871A4D"/>
    <w:rsid w:val="00871C08"/>
    <w:rsid w:val="00871F07"/>
    <w:rsid w:val="00872043"/>
    <w:rsid w:val="00872276"/>
    <w:rsid w:val="00872515"/>
    <w:rsid w:val="00872577"/>
    <w:rsid w:val="00872A11"/>
    <w:rsid w:val="00872A26"/>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446"/>
    <w:rsid w:val="00875555"/>
    <w:rsid w:val="008755BD"/>
    <w:rsid w:val="0087577D"/>
    <w:rsid w:val="008758F3"/>
    <w:rsid w:val="00875AA7"/>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3B7"/>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1D15"/>
    <w:rsid w:val="0089207D"/>
    <w:rsid w:val="00892466"/>
    <w:rsid w:val="0089276F"/>
    <w:rsid w:val="008931CB"/>
    <w:rsid w:val="00893473"/>
    <w:rsid w:val="00893486"/>
    <w:rsid w:val="008934C9"/>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6A8"/>
    <w:rsid w:val="008C27E8"/>
    <w:rsid w:val="008C2800"/>
    <w:rsid w:val="008C2A31"/>
    <w:rsid w:val="008C2A3C"/>
    <w:rsid w:val="008C2A51"/>
    <w:rsid w:val="008C2AD0"/>
    <w:rsid w:val="008C2DA1"/>
    <w:rsid w:val="008C2DEC"/>
    <w:rsid w:val="008C2E66"/>
    <w:rsid w:val="008C307E"/>
    <w:rsid w:val="008C32D8"/>
    <w:rsid w:val="008C3949"/>
    <w:rsid w:val="008C3A31"/>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3E2"/>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0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3FE7"/>
    <w:rsid w:val="008F40C8"/>
    <w:rsid w:val="008F41B0"/>
    <w:rsid w:val="008F43E3"/>
    <w:rsid w:val="008F51BB"/>
    <w:rsid w:val="008F55C5"/>
    <w:rsid w:val="008F5961"/>
    <w:rsid w:val="008F599B"/>
    <w:rsid w:val="008F5E26"/>
    <w:rsid w:val="008F5EA2"/>
    <w:rsid w:val="008F6532"/>
    <w:rsid w:val="008F65E9"/>
    <w:rsid w:val="008F6B6C"/>
    <w:rsid w:val="008F6E8B"/>
    <w:rsid w:val="008F7010"/>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53"/>
    <w:rsid w:val="00901551"/>
    <w:rsid w:val="00901659"/>
    <w:rsid w:val="00901906"/>
    <w:rsid w:val="00901AE0"/>
    <w:rsid w:val="009023D6"/>
    <w:rsid w:val="009024B9"/>
    <w:rsid w:val="0090253C"/>
    <w:rsid w:val="00902806"/>
    <w:rsid w:val="00902D03"/>
    <w:rsid w:val="00903038"/>
    <w:rsid w:val="00903640"/>
    <w:rsid w:val="0090412E"/>
    <w:rsid w:val="00904494"/>
    <w:rsid w:val="00904AA4"/>
    <w:rsid w:val="00904EB7"/>
    <w:rsid w:val="00905053"/>
    <w:rsid w:val="0090523F"/>
    <w:rsid w:val="00905352"/>
    <w:rsid w:val="00905552"/>
    <w:rsid w:val="00905737"/>
    <w:rsid w:val="0090580B"/>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27969"/>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434"/>
    <w:rsid w:val="009429AA"/>
    <w:rsid w:val="0094360F"/>
    <w:rsid w:val="009442FC"/>
    <w:rsid w:val="00944EDF"/>
    <w:rsid w:val="0094547C"/>
    <w:rsid w:val="009454D4"/>
    <w:rsid w:val="00945565"/>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BD9"/>
    <w:rsid w:val="00966E15"/>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0B"/>
    <w:rsid w:val="009733F5"/>
    <w:rsid w:val="00973446"/>
    <w:rsid w:val="009737ED"/>
    <w:rsid w:val="00973B19"/>
    <w:rsid w:val="00973F86"/>
    <w:rsid w:val="009740FC"/>
    <w:rsid w:val="0097413F"/>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8E0"/>
    <w:rsid w:val="00980D93"/>
    <w:rsid w:val="00980FD0"/>
    <w:rsid w:val="00981155"/>
    <w:rsid w:val="009815B0"/>
    <w:rsid w:val="0098198B"/>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81B"/>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184"/>
    <w:rsid w:val="009969FA"/>
    <w:rsid w:val="00996B3C"/>
    <w:rsid w:val="00997294"/>
    <w:rsid w:val="009972BE"/>
    <w:rsid w:val="00997349"/>
    <w:rsid w:val="009974D6"/>
    <w:rsid w:val="00997807"/>
    <w:rsid w:val="00997937"/>
    <w:rsid w:val="00997D4B"/>
    <w:rsid w:val="00997F94"/>
    <w:rsid w:val="009A044B"/>
    <w:rsid w:val="009A073C"/>
    <w:rsid w:val="009A0A85"/>
    <w:rsid w:val="009A0EE5"/>
    <w:rsid w:val="009A0FE0"/>
    <w:rsid w:val="009A1698"/>
    <w:rsid w:val="009A1C6A"/>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773"/>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552"/>
    <w:rsid w:val="009B468B"/>
    <w:rsid w:val="009B4CAF"/>
    <w:rsid w:val="009B51C7"/>
    <w:rsid w:val="009B550F"/>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066"/>
    <w:rsid w:val="009D78EA"/>
    <w:rsid w:val="009D7AEF"/>
    <w:rsid w:val="009D7E76"/>
    <w:rsid w:val="009E04F3"/>
    <w:rsid w:val="009E052D"/>
    <w:rsid w:val="009E08C3"/>
    <w:rsid w:val="009E0B11"/>
    <w:rsid w:val="009E0D2E"/>
    <w:rsid w:val="009E0F99"/>
    <w:rsid w:val="009E1075"/>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A77"/>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C9B"/>
    <w:rsid w:val="009F2F35"/>
    <w:rsid w:val="009F2F69"/>
    <w:rsid w:val="009F36D7"/>
    <w:rsid w:val="009F4D17"/>
    <w:rsid w:val="009F4EBB"/>
    <w:rsid w:val="009F504D"/>
    <w:rsid w:val="009F5148"/>
    <w:rsid w:val="009F51BD"/>
    <w:rsid w:val="009F52A6"/>
    <w:rsid w:val="009F5626"/>
    <w:rsid w:val="009F582F"/>
    <w:rsid w:val="009F583F"/>
    <w:rsid w:val="009F5A29"/>
    <w:rsid w:val="009F5B06"/>
    <w:rsid w:val="009F5BE4"/>
    <w:rsid w:val="009F5FE4"/>
    <w:rsid w:val="009F6119"/>
    <w:rsid w:val="009F622D"/>
    <w:rsid w:val="009F62AB"/>
    <w:rsid w:val="009F662D"/>
    <w:rsid w:val="009F6A43"/>
    <w:rsid w:val="009F6EC0"/>
    <w:rsid w:val="009F754B"/>
    <w:rsid w:val="009F75F4"/>
    <w:rsid w:val="009F7E37"/>
    <w:rsid w:val="009F7F36"/>
    <w:rsid w:val="009F7FD4"/>
    <w:rsid w:val="00A002D8"/>
    <w:rsid w:val="00A003A3"/>
    <w:rsid w:val="00A00C95"/>
    <w:rsid w:val="00A00CA9"/>
    <w:rsid w:val="00A0102E"/>
    <w:rsid w:val="00A01126"/>
    <w:rsid w:val="00A01474"/>
    <w:rsid w:val="00A014BA"/>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68"/>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66"/>
    <w:rsid w:val="00A20D5F"/>
    <w:rsid w:val="00A213F2"/>
    <w:rsid w:val="00A216E6"/>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64C6"/>
    <w:rsid w:val="00A46558"/>
    <w:rsid w:val="00A46573"/>
    <w:rsid w:val="00A46EC0"/>
    <w:rsid w:val="00A47396"/>
    <w:rsid w:val="00A477F4"/>
    <w:rsid w:val="00A47E89"/>
    <w:rsid w:val="00A50089"/>
    <w:rsid w:val="00A50572"/>
    <w:rsid w:val="00A5084F"/>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645"/>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466"/>
    <w:rsid w:val="00A8057A"/>
    <w:rsid w:val="00A80748"/>
    <w:rsid w:val="00A807BF"/>
    <w:rsid w:val="00A8088D"/>
    <w:rsid w:val="00A80B91"/>
    <w:rsid w:val="00A80FA8"/>
    <w:rsid w:val="00A80FB1"/>
    <w:rsid w:val="00A81084"/>
    <w:rsid w:val="00A81199"/>
    <w:rsid w:val="00A81313"/>
    <w:rsid w:val="00A8179D"/>
    <w:rsid w:val="00A81809"/>
    <w:rsid w:val="00A81898"/>
    <w:rsid w:val="00A81D06"/>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52B"/>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3C"/>
    <w:rsid w:val="00AA0AE7"/>
    <w:rsid w:val="00AA0D2E"/>
    <w:rsid w:val="00AA135C"/>
    <w:rsid w:val="00AA1498"/>
    <w:rsid w:val="00AA158B"/>
    <w:rsid w:val="00AA1DD9"/>
    <w:rsid w:val="00AA1EF5"/>
    <w:rsid w:val="00AA1FA1"/>
    <w:rsid w:val="00AA1FFD"/>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99C"/>
    <w:rsid w:val="00AB5C04"/>
    <w:rsid w:val="00AB5DFD"/>
    <w:rsid w:val="00AB5EE2"/>
    <w:rsid w:val="00AB5F48"/>
    <w:rsid w:val="00AB5F71"/>
    <w:rsid w:val="00AB641B"/>
    <w:rsid w:val="00AB69E9"/>
    <w:rsid w:val="00AB6FFD"/>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C9"/>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4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117"/>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789"/>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28"/>
    <w:rsid w:val="00B23839"/>
    <w:rsid w:val="00B23EB3"/>
    <w:rsid w:val="00B247C6"/>
    <w:rsid w:val="00B24BAC"/>
    <w:rsid w:val="00B24DD5"/>
    <w:rsid w:val="00B2590D"/>
    <w:rsid w:val="00B25C4B"/>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717"/>
    <w:rsid w:val="00B35A6D"/>
    <w:rsid w:val="00B35A98"/>
    <w:rsid w:val="00B35BA0"/>
    <w:rsid w:val="00B364C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4B3"/>
    <w:rsid w:val="00B458D6"/>
    <w:rsid w:val="00B45AB4"/>
    <w:rsid w:val="00B45B96"/>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009"/>
    <w:rsid w:val="00B601E2"/>
    <w:rsid w:val="00B60859"/>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867"/>
    <w:rsid w:val="00B72980"/>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EB6"/>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069"/>
    <w:rsid w:val="00B90175"/>
    <w:rsid w:val="00B902AE"/>
    <w:rsid w:val="00B90724"/>
    <w:rsid w:val="00B90AC1"/>
    <w:rsid w:val="00B90E13"/>
    <w:rsid w:val="00B90E65"/>
    <w:rsid w:val="00B9112D"/>
    <w:rsid w:val="00B91437"/>
    <w:rsid w:val="00B915C5"/>
    <w:rsid w:val="00B91A3F"/>
    <w:rsid w:val="00B91DCB"/>
    <w:rsid w:val="00B91E77"/>
    <w:rsid w:val="00B9254A"/>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655"/>
    <w:rsid w:val="00BB4B93"/>
    <w:rsid w:val="00BB4E8D"/>
    <w:rsid w:val="00BB5048"/>
    <w:rsid w:val="00BB51F2"/>
    <w:rsid w:val="00BB5275"/>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C57"/>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2D8"/>
    <w:rsid w:val="00BE3A37"/>
    <w:rsid w:val="00BE3E90"/>
    <w:rsid w:val="00BE3EDC"/>
    <w:rsid w:val="00BE4515"/>
    <w:rsid w:val="00BE4665"/>
    <w:rsid w:val="00BE48D1"/>
    <w:rsid w:val="00BE4EBE"/>
    <w:rsid w:val="00BE5640"/>
    <w:rsid w:val="00BE574C"/>
    <w:rsid w:val="00BE57EE"/>
    <w:rsid w:val="00BE5BBD"/>
    <w:rsid w:val="00BE5DB6"/>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292E"/>
    <w:rsid w:val="00C13027"/>
    <w:rsid w:val="00C13179"/>
    <w:rsid w:val="00C137C5"/>
    <w:rsid w:val="00C13988"/>
    <w:rsid w:val="00C141B0"/>
    <w:rsid w:val="00C1475A"/>
    <w:rsid w:val="00C1484A"/>
    <w:rsid w:val="00C14A9B"/>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C3"/>
    <w:rsid w:val="00C56154"/>
    <w:rsid w:val="00C563B0"/>
    <w:rsid w:val="00C563E4"/>
    <w:rsid w:val="00C564E6"/>
    <w:rsid w:val="00C5675E"/>
    <w:rsid w:val="00C5684D"/>
    <w:rsid w:val="00C57084"/>
    <w:rsid w:val="00C57361"/>
    <w:rsid w:val="00C57518"/>
    <w:rsid w:val="00C57F96"/>
    <w:rsid w:val="00C6015C"/>
    <w:rsid w:val="00C607D6"/>
    <w:rsid w:val="00C60B82"/>
    <w:rsid w:val="00C60C8E"/>
    <w:rsid w:val="00C60F4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8D"/>
    <w:rsid w:val="00C766DB"/>
    <w:rsid w:val="00C766F7"/>
    <w:rsid w:val="00C76B8C"/>
    <w:rsid w:val="00C772F9"/>
    <w:rsid w:val="00C7742A"/>
    <w:rsid w:val="00C7753F"/>
    <w:rsid w:val="00C7798E"/>
    <w:rsid w:val="00C77CE8"/>
    <w:rsid w:val="00C80047"/>
    <w:rsid w:val="00C80484"/>
    <w:rsid w:val="00C804FD"/>
    <w:rsid w:val="00C80C55"/>
    <w:rsid w:val="00C80E31"/>
    <w:rsid w:val="00C81072"/>
    <w:rsid w:val="00C81299"/>
    <w:rsid w:val="00C816B4"/>
    <w:rsid w:val="00C81A92"/>
    <w:rsid w:val="00C81C3D"/>
    <w:rsid w:val="00C81F4F"/>
    <w:rsid w:val="00C82148"/>
    <w:rsid w:val="00C8237A"/>
    <w:rsid w:val="00C829BE"/>
    <w:rsid w:val="00C82E5C"/>
    <w:rsid w:val="00C82EC3"/>
    <w:rsid w:val="00C83019"/>
    <w:rsid w:val="00C8302A"/>
    <w:rsid w:val="00C832AC"/>
    <w:rsid w:val="00C8341A"/>
    <w:rsid w:val="00C834C9"/>
    <w:rsid w:val="00C83626"/>
    <w:rsid w:val="00C838BF"/>
    <w:rsid w:val="00C83B07"/>
    <w:rsid w:val="00C843FC"/>
    <w:rsid w:val="00C8458B"/>
    <w:rsid w:val="00C84F87"/>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B4E"/>
    <w:rsid w:val="00CA1CF9"/>
    <w:rsid w:val="00CA1E2A"/>
    <w:rsid w:val="00CA1ED4"/>
    <w:rsid w:val="00CA1FCA"/>
    <w:rsid w:val="00CA22E0"/>
    <w:rsid w:val="00CA2504"/>
    <w:rsid w:val="00CA2540"/>
    <w:rsid w:val="00CA285C"/>
    <w:rsid w:val="00CA2C62"/>
    <w:rsid w:val="00CA2CE9"/>
    <w:rsid w:val="00CA2E52"/>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6FF3"/>
    <w:rsid w:val="00CA705C"/>
    <w:rsid w:val="00CA70BD"/>
    <w:rsid w:val="00CA72C0"/>
    <w:rsid w:val="00CA72E8"/>
    <w:rsid w:val="00CA7487"/>
    <w:rsid w:val="00CA78A0"/>
    <w:rsid w:val="00CA7DEE"/>
    <w:rsid w:val="00CB03D5"/>
    <w:rsid w:val="00CB051F"/>
    <w:rsid w:val="00CB08CA"/>
    <w:rsid w:val="00CB0CA0"/>
    <w:rsid w:val="00CB0DE3"/>
    <w:rsid w:val="00CB0DF8"/>
    <w:rsid w:val="00CB11CF"/>
    <w:rsid w:val="00CB12C8"/>
    <w:rsid w:val="00CB1353"/>
    <w:rsid w:val="00CB13E4"/>
    <w:rsid w:val="00CB1555"/>
    <w:rsid w:val="00CB1A83"/>
    <w:rsid w:val="00CB2339"/>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07"/>
    <w:rsid w:val="00CB58AD"/>
    <w:rsid w:val="00CB593E"/>
    <w:rsid w:val="00CB5F8F"/>
    <w:rsid w:val="00CB61A0"/>
    <w:rsid w:val="00CB61DD"/>
    <w:rsid w:val="00CB688E"/>
    <w:rsid w:val="00CB7364"/>
    <w:rsid w:val="00CB74B0"/>
    <w:rsid w:val="00CB7C62"/>
    <w:rsid w:val="00CC019F"/>
    <w:rsid w:val="00CC0BC4"/>
    <w:rsid w:val="00CC0CA8"/>
    <w:rsid w:val="00CC1777"/>
    <w:rsid w:val="00CC18C3"/>
    <w:rsid w:val="00CC19ED"/>
    <w:rsid w:val="00CC1D0C"/>
    <w:rsid w:val="00CC1D48"/>
    <w:rsid w:val="00CC1E75"/>
    <w:rsid w:val="00CC22B8"/>
    <w:rsid w:val="00CC22D5"/>
    <w:rsid w:val="00CC245C"/>
    <w:rsid w:val="00CC287C"/>
    <w:rsid w:val="00CC2A9B"/>
    <w:rsid w:val="00CC2A9D"/>
    <w:rsid w:val="00CC343D"/>
    <w:rsid w:val="00CC34BA"/>
    <w:rsid w:val="00CC34C2"/>
    <w:rsid w:val="00CC36FF"/>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0FC6"/>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4DF"/>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5C2"/>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66B7"/>
    <w:rsid w:val="00CE73F2"/>
    <w:rsid w:val="00CE78B0"/>
    <w:rsid w:val="00CE7910"/>
    <w:rsid w:val="00CE7DE7"/>
    <w:rsid w:val="00CE7F49"/>
    <w:rsid w:val="00CF0826"/>
    <w:rsid w:val="00CF0A5E"/>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D64"/>
    <w:rsid w:val="00D27ED8"/>
    <w:rsid w:val="00D30007"/>
    <w:rsid w:val="00D30816"/>
    <w:rsid w:val="00D30A6C"/>
    <w:rsid w:val="00D30B8D"/>
    <w:rsid w:val="00D30C24"/>
    <w:rsid w:val="00D30D18"/>
    <w:rsid w:val="00D3101F"/>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194"/>
    <w:rsid w:val="00D544CD"/>
    <w:rsid w:val="00D545D4"/>
    <w:rsid w:val="00D549BD"/>
    <w:rsid w:val="00D54ADD"/>
    <w:rsid w:val="00D54E80"/>
    <w:rsid w:val="00D55256"/>
    <w:rsid w:val="00D5598F"/>
    <w:rsid w:val="00D55BFF"/>
    <w:rsid w:val="00D55CF9"/>
    <w:rsid w:val="00D55D7C"/>
    <w:rsid w:val="00D565A8"/>
    <w:rsid w:val="00D56737"/>
    <w:rsid w:val="00D5679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5AF"/>
    <w:rsid w:val="00D71750"/>
    <w:rsid w:val="00D717AC"/>
    <w:rsid w:val="00D71C34"/>
    <w:rsid w:val="00D71FB4"/>
    <w:rsid w:val="00D71FD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5ED5"/>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1357"/>
    <w:rsid w:val="00DA1A7E"/>
    <w:rsid w:val="00DA1D8E"/>
    <w:rsid w:val="00DA205D"/>
    <w:rsid w:val="00DA263E"/>
    <w:rsid w:val="00DA2C1A"/>
    <w:rsid w:val="00DA2D12"/>
    <w:rsid w:val="00DA2D79"/>
    <w:rsid w:val="00DA3151"/>
    <w:rsid w:val="00DA33F4"/>
    <w:rsid w:val="00DA38C5"/>
    <w:rsid w:val="00DA3A14"/>
    <w:rsid w:val="00DA3C69"/>
    <w:rsid w:val="00DA40DB"/>
    <w:rsid w:val="00DA42DB"/>
    <w:rsid w:val="00DA44E6"/>
    <w:rsid w:val="00DA45FC"/>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813"/>
    <w:rsid w:val="00DD789B"/>
    <w:rsid w:val="00DD7A1D"/>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5E71"/>
    <w:rsid w:val="00DE6163"/>
    <w:rsid w:val="00DE6885"/>
    <w:rsid w:val="00DE6A0B"/>
    <w:rsid w:val="00DE6C9A"/>
    <w:rsid w:val="00DE6FBF"/>
    <w:rsid w:val="00DE6FFB"/>
    <w:rsid w:val="00DE70D8"/>
    <w:rsid w:val="00DE71CC"/>
    <w:rsid w:val="00DF002B"/>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1A54"/>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745"/>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7CF"/>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C4"/>
    <w:rsid w:val="00E310E0"/>
    <w:rsid w:val="00E3112D"/>
    <w:rsid w:val="00E31396"/>
    <w:rsid w:val="00E319D5"/>
    <w:rsid w:val="00E31B12"/>
    <w:rsid w:val="00E31DB2"/>
    <w:rsid w:val="00E32421"/>
    <w:rsid w:val="00E32492"/>
    <w:rsid w:val="00E324D3"/>
    <w:rsid w:val="00E32903"/>
    <w:rsid w:val="00E32D49"/>
    <w:rsid w:val="00E32E2E"/>
    <w:rsid w:val="00E332B6"/>
    <w:rsid w:val="00E33643"/>
    <w:rsid w:val="00E339CB"/>
    <w:rsid w:val="00E3427E"/>
    <w:rsid w:val="00E34375"/>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065"/>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A38"/>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1365"/>
    <w:rsid w:val="00E91994"/>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122"/>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743"/>
    <w:rsid w:val="00EB1A39"/>
    <w:rsid w:val="00EB1F35"/>
    <w:rsid w:val="00EB2478"/>
    <w:rsid w:val="00EB25F5"/>
    <w:rsid w:val="00EB303E"/>
    <w:rsid w:val="00EB32E6"/>
    <w:rsid w:val="00EB3356"/>
    <w:rsid w:val="00EB3A51"/>
    <w:rsid w:val="00EB3CFA"/>
    <w:rsid w:val="00EB4076"/>
    <w:rsid w:val="00EB421C"/>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2F02"/>
    <w:rsid w:val="00ED3772"/>
    <w:rsid w:val="00ED3919"/>
    <w:rsid w:val="00ED39D2"/>
    <w:rsid w:val="00ED3B44"/>
    <w:rsid w:val="00ED3CED"/>
    <w:rsid w:val="00ED41C4"/>
    <w:rsid w:val="00ED4798"/>
    <w:rsid w:val="00ED495C"/>
    <w:rsid w:val="00ED4D34"/>
    <w:rsid w:val="00ED4E21"/>
    <w:rsid w:val="00ED4FB8"/>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311B"/>
    <w:rsid w:val="00EE357D"/>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906"/>
    <w:rsid w:val="00F119FF"/>
    <w:rsid w:val="00F11ACF"/>
    <w:rsid w:val="00F11BCA"/>
    <w:rsid w:val="00F11CFA"/>
    <w:rsid w:val="00F121E3"/>
    <w:rsid w:val="00F125A2"/>
    <w:rsid w:val="00F12AEF"/>
    <w:rsid w:val="00F12BB2"/>
    <w:rsid w:val="00F12C7A"/>
    <w:rsid w:val="00F12C7D"/>
    <w:rsid w:val="00F12E1F"/>
    <w:rsid w:val="00F12EFB"/>
    <w:rsid w:val="00F13320"/>
    <w:rsid w:val="00F134DD"/>
    <w:rsid w:val="00F13801"/>
    <w:rsid w:val="00F138DB"/>
    <w:rsid w:val="00F13DAE"/>
    <w:rsid w:val="00F13DD5"/>
    <w:rsid w:val="00F1403C"/>
    <w:rsid w:val="00F1418C"/>
    <w:rsid w:val="00F1446F"/>
    <w:rsid w:val="00F14A67"/>
    <w:rsid w:val="00F14F5C"/>
    <w:rsid w:val="00F14F9D"/>
    <w:rsid w:val="00F158CC"/>
    <w:rsid w:val="00F158F7"/>
    <w:rsid w:val="00F1604B"/>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A5C"/>
    <w:rsid w:val="00F22C1C"/>
    <w:rsid w:val="00F22C23"/>
    <w:rsid w:val="00F22C3D"/>
    <w:rsid w:val="00F22D88"/>
    <w:rsid w:val="00F22EC1"/>
    <w:rsid w:val="00F22EE5"/>
    <w:rsid w:val="00F22EEB"/>
    <w:rsid w:val="00F22F0D"/>
    <w:rsid w:val="00F23779"/>
    <w:rsid w:val="00F23933"/>
    <w:rsid w:val="00F23B20"/>
    <w:rsid w:val="00F23D90"/>
    <w:rsid w:val="00F23F21"/>
    <w:rsid w:val="00F2410A"/>
    <w:rsid w:val="00F242B8"/>
    <w:rsid w:val="00F24346"/>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CAE"/>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EE0"/>
    <w:rsid w:val="00F33FCC"/>
    <w:rsid w:val="00F34EC6"/>
    <w:rsid w:val="00F35240"/>
    <w:rsid w:val="00F35639"/>
    <w:rsid w:val="00F358F3"/>
    <w:rsid w:val="00F35FF0"/>
    <w:rsid w:val="00F36235"/>
    <w:rsid w:val="00F3634D"/>
    <w:rsid w:val="00F3649C"/>
    <w:rsid w:val="00F368B5"/>
    <w:rsid w:val="00F36D81"/>
    <w:rsid w:val="00F37475"/>
    <w:rsid w:val="00F37663"/>
    <w:rsid w:val="00F376A6"/>
    <w:rsid w:val="00F37930"/>
    <w:rsid w:val="00F401C9"/>
    <w:rsid w:val="00F40571"/>
    <w:rsid w:val="00F40774"/>
    <w:rsid w:val="00F4078B"/>
    <w:rsid w:val="00F40D71"/>
    <w:rsid w:val="00F4107F"/>
    <w:rsid w:val="00F4109F"/>
    <w:rsid w:val="00F412E3"/>
    <w:rsid w:val="00F41657"/>
    <w:rsid w:val="00F41DEB"/>
    <w:rsid w:val="00F42344"/>
    <w:rsid w:val="00F42577"/>
    <w:rsid w:val="00F426BF"/>
    <w:rsid w:val="00F4292B"/>
    <w:rsid w:val="00F42A1C"/>
    <w:rsid w:val="00F42C64"/>
    <w:rsid w:val="00F42E8B"/>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485"/>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2A1"/>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2F92"/>
    <w:rsid w:val="00F7306A"/>
    <w:rsid w:val="00F73164"/>
    <w:rsid w:val="00F73901"/>
    <w:rsid w:val="00F73B2F"/>
    <w:rsid w:val="00F73E31"/>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71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5FC1"/>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96D"/>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AA4"/>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12"/>
    <w:rsid w:val="00FB32A3"/>
    <w:rsid w:val="00FB340D"/>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87B"/>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8FA"/>
    <w:rsid w:val="00FD6CD6"/>
    <w:rsid w:val="00FD6E45"/>
    <w:rsid w:val="00FD7103"/>
    <w:rsid w:val="00FD754B"/>
    <w:rsid w:val="00FD76DA"/>
    <w:rsid w:val="00FD7C04"/>
    <w:rsid w:val="00FD7F60"/>
    <w:rsid w:val="00FD7FF1"/>
    <w:rsid w:val="00FE0902"/>
    <w:rsid w:val="00FE0AAC"/>
    <w:rsid w:val="00FE0BC3"/>
    <w:rsid w:val="00FE0EDC"/>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4E5"/>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 w:val="00FF7F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3C3A"/>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4782</TotalTime>
  <Pages>11</Pages>
  <Words>3298</Words>
  <Characters>18800</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160</cp:revision>
  <cp:lastPrinted>2019-03-18T06:48:00Z</cp:lastPrinted>
  <dcterms:created xsi:type="dcterms:W3CDTF">2022-04-16T00:53:00Z</dcterms:created>
  <dcterms:modified xsi:type="dcterms:W3CDTF">2022-09-30T17:19:00Z</dcterms:modified>
</cp:coreProperties>
</file>