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655D2F4D" w:rsidR="000A2F08" w:rsidRPr="006B18AC" w:rsidRDefault="000B3B23" w:rsidP="000A2F08">
      <w:pPr>
        <w:pStyle w:val="Header"/>
        <w:tabs>
          <w:tab w:val="left" w:pos="8330"/>
        </w:tabs>
        <w:spacing w:after="0" w:afterAutospacing="0"/>
        <w:rPr>
          <w:rFonts w:eastAsiaTheme="minorEastAsia" w:cs="Arial"/>
          <w:iCs/>
          <w:noProof w:val="0"/>
          <w:sz w:val="28"/>
          <w:szCs w:val="28"/>
          <w:lang w:val="en-US" w:eastAsia="zh-CN"/>
        </w:rPr>
      </w:pPr>
      <w:bookmarkStart w:id="0" w:name="OLE_LINK3"/>
      <w:r w:rsidRPr="006B18AC">
        <w:rPr>
          <w:rFonts w:eastAsia="MS Gothic" w:cs="Arial"/>
          <w:noProof w:val="0"/>
          <w:sz w:val="28"/>
          <w:szCs w:val="28"/>
          <w:lang w:val="en-US"/>
        </w:rPr>
        <w:t>3GPP TSG RAN WG</w:t>
      </w:r>
      <w:r w:rsidR="00436117" w:rsidRPr="006B18AC">
        <w:rPr>
          <w:rFonts w:eastAsia="MS Gothic" w:cs="Arial"/>
          <w:noProof w:val="0"/>
          <w:sz w:val="28"/>
          <w:szCs w:val="28"/>
          <w:lang w:val="en-US"/>
        </w:rPr>
        <w:t>1</w:t>
      </w:r>
      <w:r w:rsidR="000A2F08" w:rsidRPr="006B18AC">
        <w:rPr>
          <w:rFonts w:eastAsia="MS Gothic" w:cs="Arial"/>
          <w:noProof w:val="0"/>
          <w:sz w:val="28"/>
          <w:szCs w:val="28"/>
          <w:lang w:val="en-US"/>
        </w:rPr>
        <w:t xml:space="preserve"> Meeting </w:t>
      </w:r>
      <w:r w:rsidR="000A2F08" w:rsidRPr="006B18AC">
        <w:rPr>
          <w:rFonts w:eastAsia="MS Gothic" w:cs="Arial" w:hint="eastAsia"/>
          <w:noProof w:val="0"/>
          <w:sz w:val="28"/>
          <w:szCs w:val="28"/>
          <w:lang w:val="en-US"/>
        </w:rPr>
        <w:t>#</w:t>
      </w:r>
      <w:r w:rsidRPr="006B18AC">
        <w:rPr>
          <w:rFonts w:eastAsiaTheme="minorEastAsia" w:cs="Arial" w:hint="eastAsia"/>
          <w:noProof w:val="0"/>
          <w:sz w:val="28"/>
          <w:szCs w:val="28"/>
          <w:lang w:val="en-US" w:eastAsia="zh-CN"/>
        </w:rPr>
        <w:t>1</w:t>
      </w:r>
      <w:r w:rsidR="003E280D" w:rsidRPr="006B18AC">
        <w:rPr>
          <w:rFonts w:eastAsiaTheme="minorEastAsia" w:cs="Arial"/>
          <w:noProof w:val="0"/>
          <w:sz w:val="28"/>
          <w:szCs w:val="28"/>
          <w:lang w:val="en-US" w:eastAsia="zh-CN"/>
        </w:rPr>
        <w:t>1</w:t>
      </w:r>
      <w:r w:rsidR="00436117" w:rsidRPr="006B18AC">
        <w:rPr>
          <w:rFonts w:eastAsiaTheme="minorEastAsia" w:cs="Arial"/>
          <w:noProof w:val="0"/>
          <w:sz w:val="28"/>
          <w:szCs w:val="28"/>
          <w:lang w:val="en-US" w:eastAsia="zh-CN"/>
        </w:rPr>
        <w:t>0</w:t>
      </w:r>
      <w:r w:rsidR="00FC16F2">
        <w:rPr>
          <w:rFonts w:eastAsiaTheme="minorEastAsia" w:cs="Arial"/>
          <w:noProof w:val="0"/>
          <w:sz w:val="28"/>
          <w:szCs w:val="28"/>
          <w:lang w:val="en-US" w:eastAsia="zh-CN"/>
        </w:rPr>
        <w:t>bis-e</w:t>
      </w:r>
      <w:r w:rsidR="000A2F08" w:rsidRPr="006B18AC">
        <w:rPr>
          <w:rFonts w:eastAsia="MS Gothic" w:cs="Arial"/>
          <w:noProof w:val="0"/>
          <w:sz w:val="28"/>
          <w:szCs w:val="28"/>
          <w:lang w:val="en-US"/>
        </w:rPr>
        <w:tab/>
      </w:r>
      <w:r w:rsidR="00D41182" w:rsidRPr="00D41182">
        <w:rPr>
          <w:rFonts w:eastAsia="MS Gothic" w:cs="Arial"/>
          <w:iCs/>
          <w:noProof w:val="0"/>
          <w:sz w:val="28"/>
          <w:szCs w:val="28"/>
          <w:lang w:val="en-US"/>
        </w:rPr>
        <w:t>R1-</w:t>
      </w:r>
      <w:r w:rsidR="00992E3D" w:rsidRPr="00992E3D">
        <w:rPr>
          <w:rFonts w:eastAsia="MS Gothic" w:cs="Arial"/>
          <w:iCs/>
          <w:noProof w:val="0"/>
          <w:sz w:val="28"/>
          <w:szCs w:val="28"/>
          <w:lang w:val="en-US"/>
        </w:rPr>
        <w:t>2209664</w:t>
      </w:r>
    </w:p>
    <w:p w14:paraId="6DDE54C5" w14:textId="77777777" w:rsidR="00B03553" w:rsidRPr="009513AC" w:rsidRDefault="00B03553" w:rsidP="00B03553">
      <w:pPr>
        <w:tabs>
          <w:tab w:val="center" w:pos="4536"/>
          <w:tab w:val="right" w:pos="9072"/>
        </w:tabs>
        <w:rPr>
          <w:rFonts w:ascii="Arial" w:eastAsia="MS Mincho" w:hAnsi="Arial" w:cs="Arial"/>
          <w:b/>
          <w:bCs/>
          <w:sz w:val="28"/>
        </w:rPr>
      </w:pPr>
      <w:bookmarkStart w:id="1" w:name="_Ref133120545"/>
      <w:bookmarkEnd w:id="0"/>
      <w:r>
        <w:rPr>
          <w:rFonts w:ascii="Arial" w:eastAsia="MS Mincho" w:hAnsi="Arial" w:cs="Arial"/>
          <w:b/>
          <w:bCs/>
          <w:sz w:val="28"/>
        </w:rPr>
        <w:t>e-Meeting</w:t>
      </w:r>
      <w:r w:rsidRPr="00A80D3B">
        <w:rPr>
          <w:rFonts w:ascii="Arial" w:eastAsia="MS Mincho" w:hAnsi="Arial" w:cs="Arial"/>
          <w:b/>
          <w:bCs/>
          <w:sz w:val="28"/>
        </w:rPr>
        <w:t xml:space="preserve">, </w:t>
      </w:r>
      <w:r>
        <w:rPr>
          <w:rFonts w:ascii="Arial" w:eastAsia="MS Mincho" w:hAnsi="Arial" w:cs="Arial"/>
          <w:b/>
          <w:bCs/>
          <w:sz w:val="28"/>
        </w:rPr>
        <w:t>October</w:t>
      </w:r>
      <w:r w:rsidRPr="00A80D3B">
        <w:rPr>
          <w:rFonts w:ascii="Arial" w:eastAsia="MS Mincho" w:hAnsi="Arial" w:cs="Arial"/>
          <w:b/>
          <w:bCs/>
          <w:sz w:val="28"/>
        </w:rPr>
        <w:t xml:space="preserve"> </w:t>
      </w:r>
      <w:r>
        <w:rPr>
          <w:rFonts w:ascii="Arial" w:eastAsia="MS Mincho" w:hAnsi="Arial" w:cs="Arial"/>
          <w:b/>
          <w:bCs/>
          <w:sz w:val="28"/>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19</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7F296FD0" w14:textId="77777777" w:rsidR="00004B52" w:rsidRPr="006B18AC" w:rsidRDefault="00004B52" w:rsidP="0060799C">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274F7675" w:rsidR="00CB491D" w:rsidRPr="006B18AC" w:rsidRDefault="00004B52" w:rsidP="0060799C">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B03553">
        <w:rPr>
          <w:rFonts w:ascii="Arial" w:hAnsi="Arial" w:cs="Arial"/>
          <w:b/>
          <w:sz w:val="28"/>
          <w:szCs w:val="28"/>
          <w:lang w:val="en-US"/>
        </w:rPr>
        <w:t>S</w:t>
      </w:r>
      <w:r w:rsidR="00CB491D" w:rsidRPr="006B18AC">
        <w:rPr>
          <w:rFonts w:ascii="Arial" w:hAnsi="Arial" w:cs="Arial"/>
          <w:b/>
          <w:sz w:val="28"/>
          <w:szCs w:val="28"/>
          <w:lang w:val="en-US"/>
        </w:rPr>
        <w:t xml:space="preserve">ide control information </w:t>
      </w:r>
      <w:r w:rsidR="008F6E65">
        <w:rPr>
          <w:rFonts w:ascii="Arial" w:hAnsi="Arial" w:cs="Arial"/>
          <w:b/>
          <w:sz w:val="28"/>
          <w:szCs w:val="28"/>
          <w:lang w:val="en-US"/>
        </w:rPr>
        <w:t xml:space="preserve">and configuration </w:t>
      </w:r>
      <w:r w:rsidR="00B03553">
        <w:rPr>
          <w:rFonts w:ascii="Arial" w:hAnsi="Arial" w:cs="Arial"/>
          <w:b/>
          <w:sz w:val="28"/>
          <w:szCs w:val="28"/>
          <w:lang w:val="en-US"/>
        </w:rPr>
        <w:t xml:space="preserve">for </w:t>
      </w:r>
      <w:r w:rsidR="001E30DE" w:rsidRPr="006B18AC">
        <w:rPr>
          <w:rFonts w:ascii="Arial" w:hAnsi="Arial" w:cs="Arial"/>
          <w:b/>
          <w:sz w:val="28"/>
          <w:szCs w:val="28"/>
          <w:lang w:val="en-US"/>
        </w:rPr>
        <w:t>NCR</w:t>
      </w:r>
      <w:r w:rsidR="00A40C68" w:rsidRPr="006B18AC">
        <w:rPr>
          <w:rFonts w:ascii="Arial" w:hAnsi="Arial" w:cs="Arial"/>
          <w:b/>
          <w:sz w:val="28"/>
          <w:szCs w:val="28"/>
          <w:lang w:val="en-US"/>
        </w:rPr>
        <w:t xml:space="preserve"> </w:t>
      </w:r>
      <w:r w:rsidR="00B03553">
        <w:rPr>
          <w:rFonts w:ascii="Arial" w:hAnsi="Arial" w:cs="Arial"/>
          <w:b/>
          <w:sz w:val="28"/>
          <w:szCs w:val="28"/>
          <w:lang w:val="en-US"/>
        </w:rPr>
        <w:t>behavior</w:t>
      </w:r>
    </w:p>
    <w:p w14:paraId="49DC0276" w14:textId="353362F8" w:rsidR="00004B52" w:rsidRPr="006B18AC"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60799C">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2" w:name="DocumentFor"/>
      <w:bookmarkEnd w:id="2"/>
      <w:r w:rsidR="00DF7448" w:rsidRPr="006B18AC">
        <w:rPr>
          <w:rFonts w:ascii="Arial" w:hAnsi="Arial" w:cs="Arial"/>
          <w:b/>
          <w:sz w:val="28"/>
          <w:szCs w:val="28"/>
          <w:lang w:val="en-US"/>
        </w:rPr>
        <w:t xml:space="preserve"> and Decision</w:t>
      </w:r>
    </w:p>
    <w:bookmarkEnd w:id="1"/>
    <w:p w14:paraId="7DA971ED" w14:textId="77777777" w:rsidR="0096105B" w:rsidRPr="006B18AC" w:rsidRDefault="0096105B" w:rsidP="00A06BAE">
      <w:pPr>
        <w:pStyle w:val="Heading1"/>
        <w:spacing w:before="100" w:beforeAutospacing="1" w:afterLines="0" w:afterAutospacing="1"/>
        <w:rPr>
          <w:lang w:val="en-US"/>
        </w:rPr>
      </w:pPr>
      <w:r w:rsidRPr="006B18AC">
        <w:rPr>
          <w:lang w:val="en-US"/>
        </w:rPr>
        <w:t>Introduction</w:t>
      </w:r>
    </w:p>
    <w:p w14:paraId="21936CE8" w14:textId="109C053C" w:rsidR="003F3589" w:rsidRPr="006B18AC" w:rsidRDefault="00EF158C" w:rsidP="00A06BAE">
      <w:pPr>
        <w:spacing w:before="100" w:beforeAutospacing="1"/>
        <w:rPr>
          <w:lang w:eastAsia="zh-CN"/>
        </w:rPr>
      </w:pPr>
      <w:r>
        <w:rPr>
          <w:rFonts w:eastAsia="SimSun"/>
          <w:lang w:val="en-US" w:eastAsia="zh-CN"/>
        </w:rPr>
        <w:t>T</w:t>
      </w:r>
      <w:r w:rsidR="003F3589" w:rsidRPr="006B18AC">
        <w:rPr>
          <w:rFonts w:eastAsia="SimSun"/>
          <w:lang w:eastAsia="zh-CN"/>
        </w:rPr>
        <w:t xml:space="preserve">he </w:t>
      </w:r>
      <w:r w:rsidR="003F078C" w:rsidRPr="006B18AC">
        <w:rPr>
          <w:lang w:eastAsia="zh-CN"/>
        </w:rPr>
        <w:t xml:space="preserve">network-controlled repeaters (NCRs) </w:t>
      </w:r>
      <w:r w:rsidR="003F3589" w:rsidRPr="006B18AC">
        <w:rPr>
          <w:lang w:eastAsia="zh-CN"/>
        </w:rPr>
        <w:t>framework was agreed as in Figure 1.</w:t>
      </w:r>
    </w:p>
    <w:p w14:paraId="64B009BB" w14:textId="2FC5C764" w:rsidR="00C9219D" w:rsidRPr="006B18AC" w:rsidRDefault="00C9219D" w:rsidP="00A06BAE">
      <w:pPr>
        <w:pStyle w:val="Proposal"/>
        <w:snapToGrid w:val="0"/>
        <w:spacing w:before="100" w:beforeAutospacing="1" w:after="100" w:afterAutospacing="1"/>
        <w:ind w:left="1440" w:firstLine="0"/>
        <w:jc w:val="center"/>
        <w:rPr>
          <w:rFonts w:ascii="Times" w:hAnsi="Times" w:cs="Times"/>
        </w:rPr>
      </w:pPr>
      <w:r w:rsidRPr="006B18AC">
        <w:rPr>
          <w:noProof/>
          <w:lang w:val="en-US" w:eastAsia="ko-KR"/>
        </w:rPr>
        <w:drawing>
          <wp:inline distT="0" distB="0" distL="0" distR="0" wp14:anchorId="1AACAE83" wp14:editId="6DAF89DD">
            <wp:extent cx="3746500" cy="927100"/>
            <wp:effectExtent l="0" t="0" r="0" b="0"/>
            <wp:docPr id="499"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9" name="图片 40" descr="A picture containing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517F0944" w14:textId="39010CEB" w:rsidR="003F3589" w:rsidRPr="006B18AC" w:rsidRDefault="003F3589" w:rsidP="00A06BAE">
      <w:pPr>
        <w:pStyle w:val="Proposal"/>
        <w:snapToGrid w:val="0"/>
        <w:spacing w:before="100" w:beforeAutospacing="1" w:after="100" w:afterAutospacing="1"/>
        <w:ind w:left="1440" w:firstLine="0"/>
        <w:jc w:val="center"/>
        <w:rPr>
          <w:rFonts w:ascii="Times" w:hAnsi="Times" w:cs="Times"/>
        </w:rPr>
      </w:pPr>
      <w:r w:rsidRPr="006B18AC">
        <w:rPr>
          <w:rFonts w:ascii="Times" w:hAnsi="Times" w:cs="Times"/>
        </w:rPr>
        <w:t>Figure 1. NCR model</w:t>
      </w:r>
    </w:p>
    <w:p w14:paraId="50723F39" w14:textId="77777777" w:rsidR="00C9219D" w:rsidRPr="006B18AC" w:rsidRDefault="00C9219D" w:rsidP="00A06BAE">
      <w:pPr>
        <w:pStyle w:val="ListParagraph"/>
        <w:numPr>
          <w:ilvl w:val="0"/>
          <w:numId w:val="17"/>
        </w:numPr>
        <w:spacing w:before="100" w:beforeAutospacing="1"/>
        <w:ind w:firstLineChars="0"/>
        <w:jc w:val="left"/>
        <w:rPr>
          <w:rFonts w:eastAsia="Malgun Gothic" w:cs="Times"/>
          <w:lang w:eastAsia="zh-CN"/>
        </w:rPr>
      </w:pPr>
      <w:r w:rsidRPr="006B18AC">
        <w:rPr>
          <w:rFonts w:eastAsia="Malgun Gothic" w:cs="Times"/>
          <w:lang w:eastAsia="zh-CN"/>
        </w:rPr>
        <w:t>The NCR-MT is defined as a function entity to communicate with a gNB via Control link (C-link) to enable the information exchanges (</w:t>
      </w:r>
      <w:proofErr w:type="gramStart"/>
      <w:r w:rsidRPr="006B18AC">
        <w:rPr>
          <w:rFonts w:eastAsia="Malgun Gothic" w:cs="Times"/>
          <w:lang w:eastAsia="zh-CN"/>
        </w:rPr>
        <w:t>e.g.</w:t>
      </w:r>
      <w:proofErr w:type="gramEnd"/>
      <w:r w:rsidRPr="006B18AC">
        <w:rPr>
          <w:rFonts w:eastAsia="Malgun Gothic" w:cs="Times"/>
          <w:lang w:eastAsia="zh-CN"/>
        </w:rPr>
        <w:t xml:space="preserve"> side control information). The C-link is based on NR Uu interface.</w:t>
      </w:r>
    </w:p>
    <w:p w14:paraId="49F043F3" w14:textId="77777777" w:rsidR="00C9219D" w:rsidRPr="006B18AC" w:rsidRDefault="00C9219D" w:rsidP="00A06BAE">
      <w:pPr>
        <w:pStyle w:val="ListParagraph"/>
        <w:numPr>
          <w:ilvl w:val="1"/>
          <w:numId w:val="17"/>
        </w:numPr>
        <w:spacing w:before="100" w:beforeAutospacing="1"/>
        <w:ind w:firstLineChars="0"/>
        <w:jc w:val="left"/>
        <w:rPr>
          <w:rFonts w:eastAsia="Malgun Gothic" w:cs="Times"/>
          <w:lang w:eastAsia="zh-CN"/>
        </w:rPr>
      </w:pPr>
      <w:r w:rsidRPr="006B18AC">
        <w:rPr>
          <w:rFonts w:eastAsia="Malgun Gothic" w:cs="Times"/>
          <w:lang w:eastAsia="zh-CN"/>
        </w:rPr>
        <w:t>Note: Side control information is at least for the control of NCR-Fwd</w:t>
      </w:r>
    </w:p>
    <w:p w14:paraId="216B9DBE" w14:textId="77777777" w:rsidR="00C9219D" w:rsidRPr="006B18AC" w:rsidRDefault="00C9219D" w:rsidP="00A06BAE">
      <w:pPr>
        <w:pStyle w:val="ListParagraph"/>
        <w:numPr>
          <w:ilvl w:val="0"/>
          <w:numId w:val="17"/>
        </w:numPr>
        <w:spacing w:before="100" w:beforeAutospacing="1"/>
        <w:ind w:firstLineChars="0"/>
        <w:jc w:val="left"/>
        <w:rPr>
          <w:rFonts w:eastAsia="Malgun Gothic" w:cs="Times"/>
          <w:lang w:eastAsia="zh-CN"/>
        </w:rPr>
      </w:pPr>
      <w:r w:rsidRPr="006B18AC">
        <w:rPr>
          <w:rFonts w:eastAsia="Malgun Gothic" w:cs="Times"/>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6E988D37" w14:textId="77777777" w:rsidR="0073786F" w:rsidRDefault="0073786F" w:rsidP="00EF158C">
      <w:pPr>
        <w:spacing w:before="100" w:beforeAutospacing="1"/>
      </w:pPr>
      <w:r>
        <w:rPr>
          <w:rFonts w:eastAsia="Malgun Gothic" w:cs="Times"/>
          <w:lang w:eastAsia="zh-CN"/>
        </w:rPr>
        <w:t xml:space="preserve">As agreed in the work item description </w:t>
      </w:r>
      <w:r>
        <w:rPr>
          <w:rFonts w:eastAsia="Malgun Gothic" w:cs="Times"/>
          <w:lang w:eastAsia="zh-CN"/>
        </w:rPr>
        <w:fldChar w:fldCharType="begin"/>
      </w:r>
      <w:r>
        <w:rPr>
          <w:rFonts w:eastAsia="Malgun Gothic" w:cs="Times"/>
          <w:lang w:eastAsia="zh-CN"/>
        </w:rPr>
        <w:instrText xml:space="preserve"> REF _Ref115264835 \r \h </w:instrText>
      </w:r>
      <w:r>
        <w:rPr>
          <w:rFonts w:eastAsia="Malgun Gothic" w:cs="Times"/>
          <w:lang w:eastAsia="zh-CN"/>
        </w:rPr>
      </w:r>
      <w:r>
        <w:rPr>
          <w:rFonts w:eastAsia="Malgun Gothic" w:cs="Times"/>
          <w:lang w:eastAsia="zh-CN"/>
        </w:rPr>
        <w:fldChar w:fldCharType="separate"/>
      </w:r>
      <w:r>
        <w:rPr>
          <w:rFonts w:eastAsia="Malgun Gothic" w:cs="Times"/>
          <w:lang w:eastAsia="zh-CN"/>
        </w:rPr>
        <w:t>[1]</w:t>
      </w:r>
      <w:r>
        <w:rPr>
          <w:rFonts w:eastAsia="Malgun Gothic" w:cs="Times"/>
          <w:lang w:eastAsia="zh-CN"/>
        </w:rPr>
        <w:fldChar w:fldCharType="end"/>
      </w:r>
      <w:r>
        <w:rPr>
          <w:rFonts w:eastAsia="Malgun Gothic" w:cs="Times"/>
          <w:lang w:eastAsia="zh-CN"/>
        </w:rPr>
        <w:t>, t</w:t>
      </w:r>
      <w:r w:rsidRPr="00EF158C">
        <w:rPr>
          <w:rFonts w:eastAsia="Malgun Gothic" w:cs="Times"/>
          <w:lang w:val="en-US" w:eastAsia="zh-CN"/>
        </w:rPr>
        <w:t xml:space="preserve">he </w:t>
      </w:r>
      <w:r w:rsidRPr="00EF158C">
        <w:t xml:space="preserve">signalling and behavior of the following side control information for controlling the NCR-Fwd should be specified, </w:t>
      </w:r>
      <w:r>
        <w:t>including</w:t>
      </w:r>
      <w:r w:rsidRPr="00EF158C">
        <w:t xml:space="preserve"> </w:t>
      </w:r>
      <w:r>
        <w:t>b</w:t>
      </w:r>
      <w:r w:rsidRPr="00EF158C">
        <w:t xml:space="preserve">eamforming, UL-DL TDD </w:t>
      </w:r>
      <w:r>
        <w:t>operation</w:t>
      </w:r>
      <w:r w:rsidRPr="00EF158C">
        <w:t xml:space="preserve"> and ON-OFF </w:t>
      </w:r>
      <w:r>
        <w:t>information</w:t>
      </w:r>
      <w:r w:rsidRPr="00EF158C">
        <w:t>.</w:t>
      </w:r>
      <w:r>
        <w:t xml:space="preserve"> </w:t>
      </w:r>
    </w:p>
    <w:p w14:paraId="6B29CA6F" w14:textId="18B4FF7E" w:rsidR="0016514D" w:rsidRDefault="003F3589" w:rsidP="00EF158C">
      <w:pPr>
        <w:spacing w:before="100" w:beforeAutospacing="1"/>
      </w:pPr>
      <w:r w:rsidRPr="006B18AC">
        <w:rPr>
          <w:rFonts w:eastAsia="Malgun Gothic" w:cs="Times"/>
          <w:lang w:val="en-US" w:eastAsia="zh-CN"/>
        </w:rPr>
        <w:t xml:space="preserve">In this contribution, we provide our views on </w:t>
      </w:r>
      <w:r w:rsidR="005364B9">
        <w:rPr>
          <w:rFonts w:eastAsia="Malgun Gothic" w:cs="Times"/>
          <w:lang w:val="en-US" w:eastAsia="zh-CN"/>
        </w:rPr>
        <w:t>several</w:t>
      </w:r>
      <w:r w:rsidRPr="006B18AC">
        <w:rPr>
          <w:rFonts w:eastAsia="Malgun Gothic" w:cs="Times"/>
          <w:lang w:val="en-US" w:eastAsia="zh-CN"/>
        </w:rPr>
        <w:t xml:space="preserve"> side information required to support </w:t>
      </w:r>
      <w:r w:rsidR="00CE024D">
        <w:rPr>
          <w:rFonts w:eastAsia="Malgun Gothic" w:cs="Times"/>
          <w:lang w:val="en-US" w:eastAsia="zh-CN"/>
        </w:rPr>
        <w:t xml:space="preserve">effective </w:t>
      </w:r>
      <w:r w:rsidRPr="006B18AC">
        <w:rPr>
          <w:rFonts w:eastAsia="Malgun Gothic" w:cs="Times"/>
          <w:lang w:val="en-US" w:eastAsia="zh-CN"/>
        </w:rPr>
        <w:t>NCR</w:t>
      </w:r>
      <w:r w:rsidR="00CE024D">
        <w:rPr>
          <w:rFonts w:eastAsia="Malgun Gothic" w:cs="Times"/>
          <w:lang w:val="en-US" w:eastAsia="zh-CN"/>
        </w:rPr>
        <w:t xml:space="preserve"> </w:t>
      </w:r>
      <w:r w:rsidR="00CE024D" w:rsidRPr="00EF158C">
        <w:rPr>
          <w:rFonts w:eastAsia="Malgun Gothic" w:cs="Times"/>
          <w:lang w:val="en-US" w:eastAsia="zh-CN"/>
        </w:rPr>
        <w:t>operations</w:t>
      </w:r>
      <w:r w:rsidR="003905AC">
        <w:rPr>
          <w:rFonts w:eastAsia="Malgun Gothic" w:cs="Times"/>
          <w:lang w:val="en-US" w:eastAsia="zh-CN"/>
        </w:rPr>
        <w:t>,</w:t>
      </w:r>
      <w:r w:rsidR="00EF158C" w:rsidRPr="00EF158C">
        <w:t xml:space="preserve"> focusing on </w:t>
      </w:r>
      <w:r w:rsidR="00EF158C">
        <w:t>b</w:t>
      </w:r>
      <w:r w:rsidR="00EF158C" w:rsidRPr="00EF158C">
        <w:t>eamforming</w:t>
      </w:r>
      <w:r w:rsidR="0073786F">
        <w:t xml:space="preserve"> and </w:t>
      </w:r>
      <w:r w:rsidR="00EF158C" w:rsidRPr="00EF158C">
        <w:t xml:space="preserve">UL-DL TDD </w:t>
      </w:r>
      <w:r w:rsidR="0073786F">
        <w:t>configuration</w:t>
      </w:r>
      <w:r w:rsidR="00EF158C" w:rsidRPr="00EF158C">
        <w:t>.</w:t>
      </w:r>
      <w:r w:rsidR="00EF158C">
        <w:t xml:space="preserve"> </w:t>
      </w:r>
    </w:p>
    <w:p w14:paraId="72BA558B" w14:textId="77777777" w:rsidR="0004013C" w:rsidRDefault="0004013C" w:rsidP="00EF158C">
      <w:pPr>
        <w:spacing w:before="100" w:beforeAutospacing="1"/>
      </w:pPr>
    </w:p>
    <w:p w14:paraId="0D6C9D35" w14:textId="77777777" w:rsidR="00EF158C" w:rsidRPr="006B18AC" w:rsidRDefault="00EF158C" w:rsidP="00EF158C">
      <w:pPr>
        <w:pStyle w:val="Heading1"/>
        <w:spacing w:before="100" w:beforeAutospacing="1" w:afterLines="0" w:afterAutospacing="1"/>
        <w:rPr>
          <w:lang w:val="en-US"/>
        </w:rPr>
      </w:pPr>
      <w:r w:rsidRPr="006B18AC">
        <w:t>Side information on b</w:t>
      </w:r>
      <w:r w:rsidRPr="006B18AC">
        <w:rPr>
          <w:lang w:val="en-US"/>
        </w:rPr>
        <w:t>eam management</w:t>
      </w:r>
    </w:p>
    <w:p w14:paraId="2A23992A" w14:textId="77777777" w:rsidR="003905AC" w:rsidRDefault="00EF158C" w:rsidP="00EF158C">
      <w:pPr>
        <w:spacing w:before="100" w:beforeAutospacing="1"/>
      </w:pPr>
      <w:r w:rsidRPr="006B18AC">
        <w:t>A</w:t>
      </w:r>
      <w:r>
        <w:t>n</w:t>
      </w:r>
      <w:r w:rsidRPr="006B18AC">
        <w:t xml:space="preserve"> NCR can enhance the physical signalling forwarding with proper beams </w:t>
      </w:r>
      <w:r>
        <w:t>on different links</w:t>
      </w:r>
      <w:r w:rsidRPr="006B18AC">
        <w:t xml:space="preserve">. Due to different locations </w:t>
      </w:r>
      <w:r>
        <w:t xml:space="preserve">of the gNB and the </w:t>
      </w:r>
      <w:r w:rsidRPr="006B18AC">
        <w:t>connected UE</w:t>
      </w:r>
      <w:r>
        <w:t>s of an NCR</w:t>
      </w:r>
      <w:r w:rsidRPr="006B18AC">
        <w:t xml:space="preserve">, the beams between the gNB and NCR can be very different from the beams from NCR to </w:t>
      </w:r>
      <w:r>
        <w:t xml:space="preserve">connected </w:t>
      </w:r>
      <w:r w:rsidRPr="006B18AC">
        <w:t>UE</w:t>
      </w:r>
      <w:r>
        <w:t>s</w:t>
      </w:r>
      <w:r w:rsidRPr="006B18AC">
        <w:t xml:space="preserve">. </w:t>
      </w:r>
    </w:p>
    <w:p w14:paraId="5DD4E041" w14:textId="346F3A7D" w:rsidR="00EF158C" w:rsidRPr="006B18AC" w:rsidRDefault="00EF158C" w:rsidP="00EF158C">
      <w:pPr>
        <w:spacing w:before="100" w:beforeAutospacing="1"/>
        <w:rPr>
          <w:rFonts w:cs="Times"/>
          <w:lang w:eastAsia="zh-CN"/>
        </w:rPr>
      </w:pPr>
      <w:r w:rsidRPr="006B18AC">
        <w:t>Thus, b</w:t>
      </w:r>
      <w:r w:rsidRPr="006B18AC">
        <w:rPr>
          <w:rFonts w:cs="Times"/>
          <w:lang w:eastAsia="zh-CN"/>
        </w:rPr>
        <w:t xml:space="preserve">ased on the NCR model, the beams for the backhaul/control link and beams for the access link need to be managed separately. </w:t>
      </w:r>
    </w:p>
    <w:p w14:paraId="4AABF6ED" w14:textId="26710EBE" w:rsidR="00EF158C" w:rsidRPr="006B18AC" w:rsidRDefault="00EF158C" w:rsidP="00EF158C">
      <w:pPr>
        <w:pStyle w:val="Heading2"/>
        <w:spacing w:before="100" w:beforeAutospacing="1"/>
      </w:pPr>
      <w:r w:rsidRPr="006B18AC">
        <w:lastRenderedPageBreak/>
        <w:t>Backhaul link and control link beam management</w:t>
      </w:r>
    </w:p>
    <w:p w14:paraId="093B38D6" w14:textId="7BB5E7C0" w:rsidR="001B2670" w:rsidRDefault="001B2670" w:rsidP="001B2670">
      <w:pPr>
        <w:spacing w:before="100" w:beforeAutospacing="1"/>
        <w:rPr>
          <w:rFonts w:cs="Times"/>
          <w:bCs/>
          <w:lang w:eastAsia="zh-CN"/>
        </w:rPr>
      </w:pPr>
      <w:r>
        <w:rPr>
          <w:rFonts w:cs="Times"/>
          <w:bCs/>
          <w:lang w:eastAsia="zh-CN"/>
        </w:rPr>
        <w:t>F</w:t>
      </w:r>
      <w:r w:rsidR="00EF158C" w:rsidRPr="006B18AC">
        <w:rPr>
          <w:rFonts w:cs="Times"/>
          <w:lang w:eastAsia="zh-CN"/>
        </w:rPr>
        <w:t>or the backhaul and control link, both fixed beam and adaptive beam can be considered</w:t>
      </w:r>
      <w:r>
        <w:rPr>
          <w:rFonts w:cs="Times"/>
          <w:lang w:eastAsia="zh-CN"/>
        </w:rPr>
        <w:t>, and a</w:t>
      </w:r>
      <w:r w:rsidR="00EF158C" w:rsidRPr="006B18AC">
        <w:rPr>
          <w:rFonts w:cs="Times"/>
          <w:bCs/>
          <w:lang w:eastAsia="zh-CN"/>
        </w:rPr>
        <w:t xml:space="preserve">t least one of the NCR-MT’s carrier(s) should be within the set of carriers forwarded by the NCR-Fwd in same frequency range. </w:t>
      </w:r>
    </w:p>
    <w:p w14:paraId="7144660B" w14:textId="77777777" w:rsidR="0073786F" w:rsidRDefault="0073786F" w:rsidP="0073786F">
      <w:pPr>
        <w:spacing w:before="100" w:beforeAutospacing="1"/>
        <w:rPr>
          <w:rFonts w:cs="Times"/>
          <w:bCs/>
          <w:iCs/>
          <w:lang w:eastAsia="zh-CN"/>
        </w:rPr>
      </w:pPr>
      <w:r>
        <w:rPr>
          <w:rFonts w:cs="Times"/>
          <w:bCs/>
          <w:iCs/>
          <w:lang w:eastAsia="zh-CN"/>
        </w:rPr>
        <w:t xml:space="preserve">Although side information is necessary for the NCR to separate the control information to/from the NCR, and the forwarded traffic to/from UEs, </w:t>
      </w:r>
      <w:r w:rsidRPr="006B18AC">
        <w:rPr>
          <w:rFonts w:cs="Times"/>
          <w:bCs/>
          <w:iCs/>
          <w:lang w:eastAsia="zh-CN"/>
        </w:rPr>
        <w:t xml:space="preserve">the NCR-MT </w:t>
      </w:r>
      <w:r>
        <w:rPr>
          <w:rFonts w:cs="Times"/>
          <w:bCs/>
          <w:iCs/>
          <w:lang w:eastAsia="zh-CN"/>
        </w:rPr>
        <w:t xml:space="preserve">is </w:t>
      </w:r>
      <w:proofErr w:type="gramStart"/>
      <w:r>
        <w:rPr>
          <w:rFonts w:cs="Times"/>
          <w:bCs/>
          <w:iCs/>
          <w:lang w:eastAsia="zh-CN"/>
        </w:rPr>
        <w:t>similar to</w:t>
      </w:r>
      <w:proofErr w:type="gramEnd"/>
      <w:r>
        <w:rPr>
          <w:rFonts w:cs="Times"/>
          <w:bCs/>
          <w:iCs/>
          <w:lang w:eastAsia="zh-CN"/>
        </w:rPr>
        <w:t xml:space="preserve"> a UE from the gNB’s point of view. Therefore, </w:t>
      </w:r>
      <w:r w:rsidRPr="006B18AC">
        <w:rPr>
          <w:rFonts w:cs="Times"/>
          <w:bCs/>
          <w:iCs/>
          <w:lang w:eastAsia="zh-CN"/>
        </w:rPr>
        <w:t xml:space="preserve">the same beam managements methods in Rel-17 can be applied and reused for NCR C-link and backhaul link. </w:t>
      </w:r>
    </w:p>
    <w:p w14:paraId="4A8B250A" w14:textId="77777777" w:rsidR="0073786F" w:rsidRDefault="0073786F" w:rsidP="001B2670">
      <w:pPr>
        <w:spacing w:before="100" w:beforeAutospacing="1"/>
        <w:rPr>
          <w:rFonts w:cs="Times"/>
          <w:bCs/>
          <w:iCs/>
          <w:lang w:eastAsia="zh-CN"/>
        </w:rPr>
      </w:pPr>
      <w:r>
        <w:rPr>
          <w:noProof/>
        </w:rPr>
        <mc:AlternateContent>
          <mc:Choice Requires="wps">
            <w:drawing>
              <wp:inline distT="0" distB="0" distL="0" distR="0" wp14:anchorId="6FFB3912" wp14:editId="31BC0169">
                <wp:extent cx="1828800" cy="2797175"/>
                <wp:effectExtent l="0" t="0" r="16510" b="9525"/>
                <wp:docPr id="1" name="Text Box 1"/>
                <wp:cNvGraphicFramePr/>
                <a:graphic xmlns:a="http://schemas.openxmlformats.org/drawingml/2006/main">
                  <a:graphicData uri="http://schemas.microsoft.com/office/word/2010/wordprocessingShape">
                    <wps:wsp>
                      <wps:cNvSpPr txBox="1"/>
                      <wps:spPr>
                        <a:xfrm>
                          <a:off x="0" y="0"/>
                          <a:ext cx="1828800" cy="2797175"/>
                        </a:xfrm>
                        <a:prstGeom prst="rect">
                          <a:avLst/>
                        </a:prstGeom>
                        <a:noFill/>
                        <a:ln w="6350">
                          <a:solidFill>
                            <a:prstClr val="black"/>
                          </a:solidFill>
                        </a:ln>
                      </wps:spPr>
                      <wps:txbx>
                        <w:txbxContent>
                          <w:p w14:paraId="6F0A6CB3" w14:textId="77777777" w:rsidR="0073786F" w:rsidRPr="000E7B9F" w:rsidRDefault="0073786F" w:rsidP="0073786F">
                            <w:pPr>
                              <w:rPr>
                                <w:b/>
                                <w:bCs/>
                                <w:highlight w:val="green"/>
                                <w:lang w:val="en-US"/>
                              </w:rPr>
                            </w:pPr>
                            <w:r w:rsidRPr="000E7B9F">
                              <w:rPr>
                                <w:b/>
                                <w:bCs/>
                                <w:highlight w:val="green"/>
                                <w:lang w:val="en-US"/>
                              </w:rPr>
                              <w:t>Agreement</w:t>
                            </w:r>
                          </w:p>
                          <w:p w14:paraId="7DF90064" w14:textId="77777777" w:rsidR="0073786F" w:rsidRPr="00082817" w:rsidRDefault="0073786F" w:rsidP="0073786F">
                            <w:pPr>
                              <w:rPr>
                                <w:rFonts w:ascii="PMingLiU" w:eastAsia="PMingLiU" w:hAnsi="PMingLiU" w:cs="Calibri"/>
                                <w:sz w:val="22"/>
                                <w:szCs w:val="22"/>
                              </w:rPr>
                            </w:pPr>
                            <w:r w:rsidRPr="00082817">
                              <w:rPr>
                                <w:rFonts w:eastAsia="DengXian" w:cs="Times"/>
                                <w:szCs w:val="22"/>
                              </w:rPr>
                              <w:t>In case that adaptive beams are adopted for C-link and backhaul link, the following mechanisms can be considered for the indication and determination of beams of backhaul link:</w:t>
                            </w:r>
                          </w:p>
                          <w:p w14:paraId="5490F5C9" w14:textId="77777777" w:rsidR="0073786F" w:rsidRPr="00082817" w:rsidRDefault="0073786F" w:rsidP="0073786F">
                            <w:pPr>
                              <w:numPr>
                                <w:ilvl w:val="0"/>
                                <w:numId w:val="31"/>
                              </w:numPr>
                              <w:rPr>
                                <w:rFonts w:ascii="PMingLiU" w:eastAsia="PMingLiU" w:hAnsi="PMingLiU" w:cs="Calibri"/>
                                <w:sz w:val="22"/>
                                <w:szCs w:val="22"/>
                              </w:rPr>
                            </w:pPr>
                            <w:r w:rsidRPr="00082817">
                              <w:rPr>
                                <w:rFonts w:eastAsia="Times New Roman" w:cs="Times"/>
                                <w:szCs w:val="22"/>
                              </w:rPr>
                              <w:t>Option 1: The beam of backhaul link is indicated by a new signaling.</w:t>
                            </w:r>
                          </w:p>
                          <w:p w14:paraId="58320ACB" w14:textId="77777777" w:rsidR="0073786F" w:rsidRPr="006D7C34" w:rsidRDefault="0073786F" w:rsidP="0073786F">
                            <w:pPr>
                              <w:numPr>
                                <w:ilvl w:val="1"/>
                                <w:numId w:val="31"/>
                              </w:numPr>
                              <w:rPr>
                                <w:rFonts w:ascii="PMingLiU" w:eastAsia="PMingLiU" w:hAnsi="PMingLiU" w:cs="Calibri"/>
                                <w:sz w:val="22"/>
                                <w:szCs w:val="22"/>
                              </w:rPr>
                            </w:pPr>
                            <w:r w:rsidRPr="00082817">
                              <w:rPr>
                                <w:rFonts w:eastAsia="Times New Roman" w:cs="Times"/>
                                <w:szCs w:val="22"/>
                              </w:rPr>
                              <w:t xml:space="preserve">The new signaling is dynamic signaling and/or semi-static signaling (e.g., RRC signaling/ MAC CE) indicating a </w:t>
                            </w:r>
                            <w:r>
                              <w:rPr>
                                <w:rFonts w:eastAsia="Times New Roman" w:cs="Times"/>
                                <w:szCs w:val="22"/>
                              </w:rPr>
                              <w:t>beam(s)</w:t>
                            </w:r>
                            <w:r w:rsidRPr="00082817">
                              <w:rPr>
                                <w:rFonts w:eastAsia="Times New Roman" w:cs="Times"/>
                                <w:szCs w:val="22"/>
                              </w:rPr>
                              <w:t xml:space="preserve"> </w:t>
                            </w:r>
                            <w:r>
                              <w:rPr>
                                <w:rFonts w:eastAsia="Times New Roman" w:cs="Times"/>
                                <w:szCs w:val="22"/>
                              </w:rPr>
                              <w:t>from the set of beams of the C-link</w:t>
                            </w:r>
                          </w:p>
                          <w:p w14:paraId="12D4E15F" w14:textId="77777777" w:rsidR="0073786F" w:rsidRPr="00082817" w:rsidRDefault="0073786F" w:rsidP="0073786F">
                            <w:pPr>
                              <w:numPr>
                                <w:ilvl w:val="1"/>
                                <w:numId w:val="31"/>
                              </w:numPr>
                              <w:rPr>
                                <w:rFonts w:ascii="PMingLiU" w:eastAsia="PMingLiU" w:hAnsi="PMingLiU" w:cs="Calibri"/>
                                <w:sz w:val="22"/>
                                <w:szCs w:val="22"/>
                              </w:rPr>
                            </w:pPr>
                            <w:r>
                              <w:rPr>
                                <w:rFonts w:eastAsia="Times New Roman" w:cs="Times"/>
                                <w:szCs w:val="22"/>
                              </w:rPr>
                              <w:t>This does not imply that t</w:t>
                            </w:r>
                            <w:r w:rsidRPr="006D7C34">
                              <w:rPr>
                                <w:rFonts w:eastAsia="Times New Roman" w:cs="Times"/>
                                <w:szCs w:val="22"/>
                              </w:rPr>
                              <w:t>he beam of backhaul link is always indicated by the new signaling</w:t>
                            </w:r>
                          </w:p>
                          <w:p w14:paraId="0BD6A1E7" w14:textId="77777777" w:rsidR="0073786F" w:rsidRPr="00082817" w:rsidRDefault="0073786F" w:rsidP="0073786F">
                            <w:pPr>
                              <w:numPr>
                                <w:ilvl w:val="0"/>
                                <w:numId w:val="31"/>
                              </w:numPr>
                              <w:rPr>
                                <w:rFonts w:ascii="PMingLiU" w:eastAsia="PMingLiU" w:hAnsi="PMingLiU" w:cs="Calibri"/>
                                <w:sz w:val="22"/>
                                <w:szCs w:val="22"/>
                              </w:rPr>
                            </w:pPr>
                            <w:r w:rsidRPr="00082817">
                              <w:rPr>
                                <w:rFonts w:eastAsia="Times New Roman" w:cs="Times"/>
                                <w:szCs w:val="22"/>
                              </w:rPr>
                              <w:t>Option 2: The beam of backhaul link is determined by a pre-defined rule.</w:t>
                            </w:r>
                          </w:p>
                          <w:p w14:paraId="440DCAB9" w14:textId="77777777" w:rsidR="0073786F" w:rsidRPr="0070729F" w:rsidRDefault="0073786F" w:rsidP="0073786F">
                            <w:pPr>
                              <w:numPr>
                                <w:ilvl w:val="1"/>
                                <w:numId w:val="31"/>
                              </w:numPr>
                              <w:rPr>
                                <w:rFonts w:ascii="PMingLiU" w:eastAsia="PMingLiU" w:hAnsi="PMingLiU" w:cs="Calibri"/>
                                <w:sz w:val="22"/>
                                <w:szCs w:val="22"/>
                              </w:rPr>
                            </w:pPr>
                            <w:r w:rsidRPr="0070729F">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szCs w:val="22"/>
                              </w:rPr>
                              <w:t>.</w:t>
                            </w:r>
                          </w:p>
                          <w:p w14:paraId="6026F0B3" w14:textId="77777777" w:rsidR="0073786F" w:rsidRPr="009843D2" w:rsidRDefault="0073786F" w:rsidP="009843D2">
                            <w:pPr>
                              <w:numPr>
                                <w:ilvl w:val="1"/>
                                <w:numId w:val="31"/>
                              </w:numPr>
                              <w:rPr>
                                <w:rFonts w:eastAsia="Times New Roman" w:cs="Times"/>
                                <w:szCs w:val="22"/>
                              </w:rPr>
                            </w:pPr>
                            <w:r>
                              <w:rPr>
                                <w:rFonts w:eastAsia="Times New Roman" w:cs="Times"/>
                                <w:szCs w:val="22"/>
                              </w:rPr>
                              <w:t>Other predefined rules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FB3912" id="_x0000_t202" coordsize="21600,21600" o:spt="202" path="m,l,21600r21600,l21600,xe">
                <v:stroke joinstyle="miter"/>
                <v:path gradientshapeok="t" o:connecttype="rect"/>
              </v:shapetype>
              <v:shape id="Text Box 1" o:spid="_x0000_s1026" type="#_x0000_t202" style="width:2in;height:220.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" filled="f" strokeweight=".5pt">
                <v:fill o:detectmouseclick="t"/>
                <v:textbox>
                  <w:txbxContent>
                    <w:p w14:paraId="6F0A6CB3" w14:textId="77777777" w:rsidR="0073786F" w:rsidRPr="000E7B9F" w:rsidRDefault="0073786F" w:rsidP="0073786F">
                      <w:pPr>
                        <w:rPr>
                          <w:b/>
                          <w:bCs/>
                          <w:highlight w:val="green"/>
                          <w:lang w:val="en-US"/>
                        </w:rPr>
                      </w:pPr>
                      <w:r w:rsidRPr="000E7B9F">
                        <w:rPr>
                          <w:b/>
                          <w:bCs/>
                          <w:highlight w:val="green"/>
                          <w:lang w:val="en-US"/>
                        </w:rPr>
                        <w:t>Agreement</w:t>
                      </w:r>
                    </w:p>
                    <w:p w14:paraId="7DF90064" w14:textId="77777777" w:rsidR="0073786F" w:rsidRPr="00082817" w:rsidRDefault="0073786F" w:rsidP="0073786F">
                      <w:pPr>
                        <w:rPr>
                          <w:rFonts w:ascii="PMingLiU" w:eastAsia="PMingLiU" w:hAnsi="PMingLiU" w:cs="Calibri"/>
                          <w:sz w:val="22"/>
                          <w:szCs w:val="22"/>
                        </w:rPr>
                      </w:pPr>
                      <w:r w:rsidRPr="00082817">
                        <w:rPr>
                          <w:rFonts w:eastAsia="DengXian" w:cs="Times"/>
                          <w:szCs w:val="22"/>
                        </w:rPr>
                        <w:t>In case that adaptive beams are adopted for C-link and backhaul link, the following mechanisms can be considered for the indication and determination of beams of backhaul link:</w:t>
                      </w:r>
                    </w:p>
                    <w:p w14:paraId="5490F5C9" w14:textId="77777777" w:rsidR="0073786F" w:rsidRPr="00082817" w:rsidRDefault="0073786F" w:rsidP="0073786F">
                      <w:pPr>
                        <w:numPr>
                          <w:ilvl w:val="0"/>
                          <w:numId w:val="31"/>
                        </w:numPr>
                        <w:rPr>
                          <w:rFonts w:ascii="PMingLiU" w:eastAsia="PMingLiU" w:hAnsi="PMingLiU" w:cs="Calibri"/>
                          <w:sz w:val="22"/>
                          <w:szCs w:val="22"/>
                        </w:rPr>
                      </w:pPr>
                      <w:r w:rsidRPr="00082817">
                        <w:rPr>
                          <w:rFonts w:eastAsia="Times New Roman" w:cs="Times"/>
                          <w:szCs w:val="22"/>
                        </w:rPr>
                        <w:t xml:space="preserve">Option 1: The beam of backhaul link is indicated by a new </w:t>
                      </w:r>
                      <w:proofErr w:type="spellStart"/>
                      <w:r w:rsidRPr="00082817">
                        <w:rPr>
                          <w:rFonts w:eastAsia="Times New Roman" w:cs="Times"/>
                          <w:szCs w:val="22"/>
                        </w:rPr>
                        <w:t>signaling</w:t>
                      </w:r>
                      <w:proofErr w:type="spellEnd"/>
                      <w:r w:rsidRPr="00082817">
                        <w:rPr>
                          <w:rFonts w:eastAsia="Times New Roman" w:cs="Times"/>
                          <w:szCs w:val="22"/>
                        </w:rPr>
                        <w:t>.</w:t>
                      </w:r>
                    </w:p>
                    <w:p w14:paraId="58320ACB" w14:textId="77777777" w:rsidR="0073786F" w:rsidRPr="006D7C34" w:rsidRDefault="0073786F" w:rsidP="0073786F">
                      <w:pPr>
                        <w:numPr>
                          <w:ilvl w:val="1"/>
                          <w:numId w:val="31"/>
                        </w:numPr>
                        <w:rPr>
                          <w:rFonts w:ascii="PMingLiU" w:eastAsia="PMingLiU" w:hAnsi="PMingLiU" w:cs="Calibri"/>
                          <w:sz w:val="22"/>
                          <w:szCs w:val="22"/>
                        </w:rPr>
                      </w:pPr>
                      <w:r w:rsidRPr="00082817">
                        <w:rPr>
                          <w:rFonts w:eastAsia="Times New Roman" w:cs="Times"/>
                          <w:szCs w:val="22"/>
                        </w:rPr>
                        <w:t xml:space="preserve">The new </w:t>
                      </w:r>
                      <w:proofErr w:type="spellStart"/>
                      <w:r w:rsidRPr="00082817">
                        <w:rPr>
                          <w:rFonts w:eastAsia="Times New Roman" w:cs="Times"/>
                          <w:szCs w:val="22"/>
                        </w:rPr>
                        <w:t>signaling</w:t>
                      </w:r>
                      <w:proofErr w:type="spellEnd"/>
                      <w:r w:rsidRPr="00082817">
                        <w:rPr>
                          <w:rFonts w:eastAsia="Times New Roman" w:cs="Times"/>
                          <w:szCs w:val="22"/>
                        </w:rPr>
                        <w:t xml:space="preserve"> is dynamic </w:t>
                      </w:r>
                      <w:proofErr w:type="spellStart"/>
                      <w:r w:rsidRPr="00082817">
                        <w:rPr>
                          <w:rFonts w:eastAsia="Times New Roman" w:cs="Times"/>
                          <w:szCs w:val="22"/>
                        </w:rPr>
                        <w:t>signaling</w:t>
                      </w:r>
                      <w:proofErr w:type="spellEnd"/>
                      <w:r w:rsidRPr="00082817">
                        <w:rPr>
                          <w:rFonts w:eastAsia="Times New Roman" w:cs="Times"/>
                          <w:szCs w:val="22"/>
                        </w:rPr>
                        <w:t xml:space="preserve"> and/or semi-static </w:t>
                      </w:r>
                      <w:proofErr w:type="spellStart"/>
                      <w:r w:rsidRPr="00082817">
                        <w:rPr>
                          <w:rFonts w:eastAsia="Times New Roman" w:cs="Times"/>
                          <w:szCs w:val="22"/>
                        </w:rPr>
                        <w:t>signaling</w:t>
                      </w:r>
                      <w:proofErr w:type="spellEnd"/>
                      <w:r w:rsidRPr="00082817">
                        <w:rPr>
                          <w:rFonts w:eastAsia="Times New Roman" w:cs="Times"/>
                          <w:szCs w:val="22"/>
                        </w:rPr>
                        <w:t xml:space="preserve"> (e.g., RRC </w:t>
                      </w:r>
                      <w:proofErr w:type="spellStart"/>
                      <w:r w:rsidRPr="00082817">
                        <w:rPr>
                          <w:rFonts w:eastAsia="Times New Roman" w:cs="Times"/>
                          <w:szCs w:val="22"/>
                        </w:rPr>
                        <w:t>signaling</w:t>
                      </w:r>
                      <w:proofErr w:type="spellEnd"/>
                      <w:r w:rsidRPr="00082817">
                        <w:rPr>
                          <w:rFonts w:eastAsia="Times New Roman" w:cs="Times"/>
                          <w:szCs w:val="22"/>
                        </w:rPr>
                        <w:t xml:space="preserve">/ MAC CE) indicating a </w:t>
                      </w:r>
                      <w:r>
                        <w:rPr>
                          <w:rFonts w:eastAsia="Times New Roman" w:cs="Times"/>
                          <w:szCs w:val="22"/>
                        </w:rPr>
                        <w:t>beam(s)</w:t>
                      </w:r>
                      <w:r w:rsidRPr="00082817">
                        <w:rPr>
                          <w:rFonts w:eastAsia="Times New Roman" w:cs="Times"/>
                          <w:szCs w:val="22"/>
                        </w:rPr>
                        <w:t xml:space="preserve"> </w:t>
                      </w:r>
                      <w:r>
                        <w:rPr>
                          <w:rFonts w:eastAsia="Times New Roman" w:cs="Times"/>
                          <w:szCs w:val="22"/>
                        </w:rPr>
                        <w:t>from the set of beams of the C-link</w:t>
                      </w:r>
                    </w:p>
                    <w:p w14:paraId="12D4E15F" w14:textId="77777777" w:rsidR="0073786F" w:rsidRPr="00082817" w:rsidRDefault="0073786F" w:rsidP="0073786F">
                      <w:pPr>
                        <w:numPr>
                          <w:ilvl w:val="1"/>
                          <w:numId w:val="31"/>
                        </w:numPr>
                        <w:rPr>
                          <w:rFonts w:ascii="PMingLiU" w:eastAsia="PMingLiU" w:hAnsi="PMingLiU" w:cs="Calibri"/>
                          <w:sz w:val="22"/>
                          <w:szCs w:val="22"/>
                        </w:rPr>
                      </w:pPr>
                      <w:r>
                        <w:rPr>
                          <w:rFonts w:eastAsia="Times New Roman" w:cs="Times"/>
                          <w:szCs w:val="22"/>
                        </w:rPr>
                        <w:t>This does not imply that t</w:t>
                      </w:r>
                      <w:r w:rsidRPr="006D7C34">
                        <w:rPr>
                          <w:rFonts w:eastAsia="Times New Roman" w:cs="Times"/>
                          <w:szCs w:val="22"/>
                        </w:rPr>
                        <w:t xml:space="preserve">he beam of backhaul link is always indicated by the new </w:t>
                      </w:r>
                      <w:proofErr w:type="spellStart"/>
                      <w:r w:rsidRPr="006D7C34">
                        <w:rPr>
                          <w:rFonts w:eastAsia="Times New Roman" w:cs="Times"/>
                          <w:szCs w:val="22"/>
                        </w:rPr>
                        <w:t>signaling</w:t>
                      </w:r>
                      <w:proofErr w:type="spellEnd"/>
                    </w:p>
                    <w:p w14:paraId="0BD6A1E7" w14:textId="77777777" w:rsidR="0073786F" w:rsidRPr="00082817" w:rsidRDefault="0073786F" w:rsidP="0073786F">
                      <w:pPr>
                        <w:numPr>
                          <w:ilvl w:val="0"/>
                          <w:numId w:val="31"/>
                        </w:numPr>
                        <w:rPr>
                          <w:rFonts w:ascii="PMingLiU" w:eastAsia="PMingLiU" w:hAnsi="PMingLiU" w:cs="Calibri"/>
                          <w:sz w:val="22"/>
                          <w:szCs w:val="22"/>
                        </w:rPr>
                      </w:pPr>
                      <w:r w:rsidRPr="00082817">
                        <w:rPr>
                          <w:rFonts w:eastAsia="Times New Roman" w:cs="Times"/>
                          <w:szCs w:val="22"/>
                        </w:rPr>
                        <w:t>Option 2: The beam of backhaul link is determined by a pre-defined rule.</w:t>
                      </w:r>
                    </w:p>
                    <w:p w14:paraId="440DCAB9" w14:textId="77777777" w:rsidR="0073786F" w:rsidRPr="0070729F" w:rsidRDefault="0073786F" w:rsidP="0073786F">
                      <w:pPr>
                        <w:numPr>
                          <w:ilvl w:val="1"/>
                          <w:numId w:val="31"/>
                        </w:numPr>
                        <w:rPr>
                          <w:rFonts w:ascii="PMingLiU" w:eastAsia="PMingLiU" w:hAnsi="PMingLiU" w:cs="Calibri"/>
                          <w:sz w:val="22"/>
                          <w:szCs w:val="22"/>
                        </w:rPr>
                      </w:pPr>
                      <w:r w:rsidRPr="0070729F">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szCs w:val="22"/>
                        </w:rPr>
                        <w:t>.</w:t>
                      </w:r>
                    </w:p>
                    <w:p w14:paraId="6026F0B3" w14:textId="77777777" w:rsidR="0073786F" w:rsidRPr="009843D2" w:rsidRDefault="0073786F" w:rsidP="009843D2">
                      <w:pPr>
                        <w:numPr>
                          <w:ilvl w:val="1"/>
                          <w:numId w:val="31"/>
                        </w:numPr>
                        <w:rPr>
                          <w:rFonts w:eastAsia="Times New Roman" w:cs="Times"/>
                          <w:szCs w:val="22"/>
                        </w:rPr>
                      </w:pPr>
                      <w:r>
                        <w:rPr>
                          <w:rFonts w:eastAsia="Times New Roman" w:cs="Times"/>
                          <w:szCs w:val="22"/>
                        </w:rPr>
                        <w:t>Other predefined rules are not precluded</w:t>
                      </w:r>
                    </w:p>
                  </w:txbxContent>
                </v:textbox>
                <w10:anchorlock/>
              </v:shape>
            </w:pict>
          </mc:Fallback>
        </mc:AlternateContent>
      </w:r>
    </w:p>
    <w:p w14:paraId="48FC2724" w14:textId="212A1B97" w:rsidR="001B2670" w:rsidRPr="0070729F" w:rsidRDefault="003905AC" w:rsidP="003905AC">
      <w:pPr>
        <w:spacing w:before="100" w:beforeAutospacing="1"/>
        <w:rPr>
          <w:rFonts w:ascii="PMingLiU" w:eastAsia="PMingLiU" w:hAnsi="PMingLiU" w:cs="Calibri"/>
          <w:sz w:val="22"/>
          <w:szCs w:val="22"/>
        </w:rPr>
      </w:pPr>
      <w:r>
        <w:rPr>
          <w:rFonts w:cs="Times"/>
          <w:bCs/>
          <w:iCs/>
          <w:lang w:eastAsia="zh-CN"/>
        </w:rPr>
        <w:t>To minimize the specification impacts, a</w:t>
      </w:r>
      <w:r w:rsidR="00EF158C" w:rsidRPr="006B18AC">
        <w:rPr>
          <w:rFonts w:cs="Times"/>
          <w:bCs/>
          <w:iCs/>
          <w:lang w:eastAsia="zh-CN"/>
        </w:rPr>
        <w:t>dditional side information for C-link and backhaul link beam management may not be necessary.</w:t>
      </w:r>
      <w:r>
        <w:rPr>
          <w:rFonts w:cs="Times"/>
          <w:bCs/>
          <w:iCs/>
          <w:lang w:eastAsia="zh-CN"/>
        </w:rPr>
        <w:t xml:space="preserve"> </w:t>
      </w:r>
      <w:r w:rsidR="001B2670">
        <w:rPr>
          <w:rFonts w:eastAsia="DengXian" w:cs="Times"/>
          <w:szCs w:val="22"/>
        </w:rPr>
        <w:t>Thus, i</w:t>
      </w:r>
      <w:r w:rsidR="001B2670" w:rsidRPr="00082817">
        <w:rPr>
          <w:rFonts w:eastAsia="DengXian" w:cs="Times"/>
          <w:szCs w:val="22"/>
        </w:rPr>
        <w:t xml:space="preserve">n case that adaptive beams are adopted for C-link and backhaul link, </w:t>
      </w:r>
      <w:r w:rsidR="001B2670">
        <w:rPr>
          <w:rFonts w:eastAsia="DengXian" w:cs="Times"/>
          <w:szCs w:val="22"/>
        </w:rPr>
        <w:t>t</w:t>
      </w:r>
      <w:r w:rsidR="001B2670" w:rsidRPr="00082817">
        <w:rPr>
          <w:rFonts w:eastAsia="Times New Roman" w:cs="Times"/>
          <w:szCs w:val="22"/>
        </w:rPr>
        <w:t xml:space="preserve">he beam of backhaul link </w:t>
      </w:r>
      <w:r w:rsidR="001B2670">
        <w:rPr>
          <w:rFonts w:eastAsia="Times New Roman" w:cs="Times"/>
          <w:szCs w:val="22"/>
        </w:rPr>
        <w:t xml:space="preserve">can be </w:t>
      </w:r>
      <w:r w:rsidR="001B2670" w:rsidRPr="00082817">
        <w:rPr>
          <w:rFonts w:eastAsia="Times New Roman" w:cs="Times"/>
          <w:szCs w:val="22"/>
        </w:rPr>
        <w:t>determined by a pre-defined rule</w:t>
      </w:r>
      <w:r>
        <w:rPr>
          <w:rFonts w:eastAsia="Times New Roman" w:cs="Times"/>
          <w:szCs w:val="22"/>
        </w:rPr>
        <w:t xml:space="preserve">, as proposed in Option 2 </w:t>
      </w:r>
      <w:r w:rsidR="0073786F">
        <w:rPr>
          <w:rFonts w:eastAsia="Times New Roman" w:cs="Times"/>
          <w:szCs w:val="22"/>
        </w:rPr>
        <w:t xml:space="preserve">above </w:t>
      </w:r>
      <w:r>
        <w:rPr>
          <w:rFonts w:eastAsia="Times New Roman" w:cs="Times"/>
          <w:szCs w:val="22"/>
        </w:rPr>
        <w:t>from RAN1</w:t>
      </w:r>
      <w:r w:rsidR="0073786F">
        <w:rPr>
          <w:rFonts w:eastAsia="Times New Roman" w:cs="Times"/>
          <w:szCs w:val="22"/>
        </w:rPr>
        <w:t xml:space="preserve"> </w:t>
      </w:r>
      <w:r>
        <w:rPr>
          <w:rFonts w:eastAsia="Times New Roman" w:cs="Times"/>
          <w:szCs w:val="22"/>
        </w:rPr>
        <w:t>#110</w:t>
      </w:r>
      <w:r w:rsidR="0073786F">
        <w:rPr>
          <w:rFonts w:eastAsia="Times New Roman" w:cs="Times"/>
          <w:szCs w:val="22"/>
        </w:rPr>
        <w:t xml:space="preserve"> </w:t>
      </w:r>
      <w:r w:rsidR="0073786F">
        <w:rPr>
          <w:rFonts w:eastAsia="Times New Roman" w:cs="Times"/>
          <w:szCs w:val="22"/>
        </w:rPr>
        <w:fldChar w:fldCharType="begin"/>
      </w:r>
      <w:r w:rsidR="0073786F">
        <w:rPr>
          <w:rFonts w:eastAsia="Times New Roman" w:cs="Times"/>
          <w:szCs w:val="22"/>
        </w:rPr>
        <w:instrText xml:space="preserve"> REF _Ref115264875 \r \h </w:instrText>
      </w:r>
      <w:r w:rsidR="0073786F">
        <w:rPr>
          <w:rFonts w:eastAsia="Times New Roman" w:cs="Times"/>
          <w:szCs w:val="22"/>
        </w:rPr>
      </w:r>
      <w:r w:rsidR="0073786F">
        <w:rPr>
          <w:rFonts w:eastAsia="Times New Roman" w:cs="Times"/>
          <w:szCs w:val="22"/>
        </w:rPr>
        <w:fldChar w:fldCharType="separate"/>
      </w:r>
      <w:r w:rsidR="0073786F">
        <w:rPr>
          <w:rFonts w:eastAsia="Times New Roman" w:cs="Times"/>
          <w:szCs w:val="22"/>
        </w:rPr>
        <w:t>[2]</w:t>
      </w:r>
      <w:r w:rsidR="0073786F">
        <w:rPr>
          <w:rFonts w:eastAsia="Times New Roman" w:cs="Times"/>
          <w:szCs w:val="22"/>
        </w:rPr>
        <w:fldChar w:fldCharType="end"/>
      </w:r>
      <w:r w:rsidR="001B2670" w:rsidRPr="00082817">
        <w:rPr>
          <w:rFonts w:eastAsia="Times New Roman" w:cs="Times"/>
          <w:szCs w:val="22"/>
        </w:rPr>
        <w:t>.</w:t>
      </w:r>
      <w:r w:rsidR="001B2670">
        <w:rPr>
          <w:rFonts w:eastAsia="Times New Roman" w:cs="Times"/>
          <w:szCs w:val="22"/>
        </w:rPr>
        <w:t xml:space="preserve"> For example, i</w:t>
      </w:r>
      <w:r w:rsidR="001B2670" w:rsidRPr="0070729F">
        <w:rPr>
          <w:rFonts w:eastAsia="Times New Roman" w:cs="Times"/>
          <w:szCs w:val="22"/>
        </w:rPr>
        <w:t>n slots/symbols with simultaneous DL receptions / UL transmissions in both C-link and backhaul link, the beam of backhaul link is the same as the beam of C-link. Otherwise, the beam of backhaul link follows one of the beams of the C link</w:t>
      </w:r>
      <w:r w:rsidR="001B2670">
        <w:rPr>
          <w:rFonts w:eastAsia="Times New Roman" w:cs="Times"/>
          <w:szCs w:val="22"/>
        </w:rPr>
        <w:t>.</w:t>
      </w:r>
    </w:p>
    <w:p w14:paraId="062016C8" w14:textId="736C97D2" w:rsidR="00EF158C" w:rsidRPr="001B2670" w:rsidRDefault="00EF158C" w:rsidP="001B2670">
      <w:pPr>
        <w:spacing w:before="100" w:beforeAutospacing="1"/>
        <w:rPr>
          <w:b/>
          <w:bCs/>
        </w:rPr>
      </w:pPr>
      <w:r w:rsidRPr="006B18AC">
        <w:rPr>
          <w:b/>
          <w:bCs/>
        </w:rPr>
        <w:t xml:space="preserve">Proposal </w:t>
      </w:r>
      <w:r>
        <w:rPr>
          <w:b/>
          <w:bCs/>
        </w:rPr>
        <w:t>1</w:t>
      </w:r>
      <w:r w:rsidRPr="006B18AC">
        <w:rPr>
          <w:b/>
          <w:bCs/>
        </w:rPr>
        <w:t xml:space="preserve">: </w:t>
      </w:r>
      <w:r w:rsidR="001B2670" w:rsidRPr="001B2670">
        <w:rPr>
          <w:b/>
          <w:bCs/>
        </w:rPr>
        <w:t>Option 2 is preferred to determine the backhaul lin</w:t>
      </w:r>
      <w:r w:rsidR="001B2670">
        <w:rPr>
          <w:b/>
          <w:bCs/>
        </w:rPr>
        <w:t>k beam based on a pre</w:t>
      </w:r>
      <w:r w:rsidR="007A22FC">
        <w:rPr>
          <w:b/>
          <w:bCs/>
        </w:rPr>
        <w:t>-defined rule.</w:t>
      </w:r>
    </w:p>
    <w:p w14:paraId="1816A8A3" w14:textId="7D972FCF" w:rsidR="00EF158C" w:rsidRPr="006B18AC" w:rsidRDefault="00EF158C" w:rsidP="00EF158C">
      <w:pPr>
        <w:pStyle w:val="Heading2"/>
        <w:spacing w:before="100" w:beforeAutospacing="1"/>
      </w:pPr>
      <w:r w:rsidRPr="006B18AC">
        <w:t>Access link beam management</w:t>
      </w:r>
    </w:p>
    <w:p w14:paraId="0DE3CDDD" w14:textId="05EFDB21" w:rsidR="007A22FC" w:rsidRDefault="007A22FC" w:rsidP="007A22FC">
      <w:pPr>
        <w:rPr>
          <w:rFonts w:cs="Times"/>
          <w:lang w:eastAsia="zh-CN"/>
        </w:rPr>
      </w:pPr>
      <w:r>
        <w:rPr>
          <w:rFonts w:cs="Times"/>
          <w:lang w:eastAsia="zh-CN"/>
        </w:rPr>
        <w:t>In RAN1 #110</w:t>
      </w:r>
      <w:r w:rsidR="0073786F">
        <w:rPr>
          <w:rFonts w:cs="Times"/>
          <w:lang w:eastAsia="zh-CN"/>
        </w:rPr>
        <w:t xml:space="preserve"> </w:t>
      </w:r>
      <w:r w:rsidR="0073786F">
        <w:rPr>
          <w:rFonts w:cs="Times"/>
          <w:lang w:eastAsia="zh-CN"/>
        </w:rPr>
        <w:fldChar w:fldCharType="begin"/>
      </w:r>
      <w:r w:rsidR="0073786F">
        <w:rPr>
          <w:rFonts w:cs="Times"/>
          <w:lang w:eastAsia="zh-CN"/>
        </w:rPr>
        <w:instrText xml:space="preserve"> REF _Ref115264875 \r \h </w:instrText>
      </w:r>
      <w:r w:rsidR="0073786F">
        <w:rPr>
          <w:rFonts w:cs="Times"/>
          <w:lang w:eastAsia="zh-CN"/>
        </w:rPr>
      </w:r>
      <w:r w:rsidR="0073786F">
        <w:rPr>
          <w:rFonts w:cs="Times"/>
          <w:lang w:eastAsia="zh-CN"/>
        </w:rPr>
        <w:fldChar w:fldCharType="separate"/>
      </w:r>
      <w:r w:rsidR="0073786F">
        <w:rPr>
          <w:rFonts w:cs="Times"/>
          <w:lang w:eastAsia="zh-CN"/>
        </w:rPr>
        <w:t>[2]</w:t>
      </w:r>
      <w:r w:rsidR="0073786F">
        <w:rPr>
          <w:rFonts w:cs="Times"/>
          <w:lang w:eastAsia="zh-CN"/>
        </w:rPr>
        <w:fldChar w:fldCharType="end"/>
      </w:r>
      <w:r>
        <w:rPr>
          <w:rFonts w:cs="Times"/>
          <w:lang w:eastAsia="zh-CN"/>
        </w:rPr>
        <w:t>, the following agreements</w:t>
      </w:r>
      <w:r w:rsidRPr="007A22FC">
        <w:rPr>
          <w:rFonts w:cs="Times"/>
          <w:lang w:eastAsia="zh-CN"/>
        </w:rPr>
        <w:t xml:space="preserve"> </w:t>
      </w:r>
      <w:r>
        <w:rPr>
          <w:rFonts w:cs="Times"/>
          <w:lang w:eastAsia="zh-CN"/>
        </w:rPr>
        <w:t>were made for the access link,</w:t>
      </w:r>
    </w:p>
    <w:p w14:paraId="3FC802E8" w14:textId="23CC4EFE" w:rsidR="007A22FC" w:rsidRDefault="007A22FC" w:rsidP="007A22FC">
      <w:pPr>
        <w:pStyle w:val="ListParagraph"/>
        <w:numPr>
          <w:ilvl w:val="0"/>
          <w:numId w:val="17"/>
        </w:numPr>
        <w:ind w:firstLineChars="0"/>
      </w:pPr>
      <w:r>
        <w:rPr>
          <w:rFonts w:cs="Times"/>
          <w:lang w:eastAsia="zh-CN"/>
        </w:rPr>
        <w:t>B</w:t>
      </w:r>
      <w:r w:rsidRPr="000E7B9F">
        <w:t>oth dynamic beam indication and semi-static beam indication are recommended.</w:t>
      </w:r>
      <w:r w:rsidRPr="007A22FC">
        <w:t xml:space="preserve"> </w:t>
      </w:r>
    </w:p>
    <w:p w14:paraId="38B94BA7" w14:textId="29AB1F7E" w:rsidR="007A22FC" w:rsidRDefault="007A22FC" w:rsidP="007A22FC">
      <w:pPr>
        <w:pStyle w:val="ListParagraph"/>
        <w:numPr>
          <w:ilvl w:val="0"/>
          <w:numId w:val="17"/>
        </w:numPr>
        <w:ind w:firstLineChars="0"/>
      </w:pPr>
      <w:r>
        <w:t>B</w:t>
      </w:r>
      <w:r w:rsidRPr="00C10736">
        <w:t>oth slot-level and symbol-level granularity are recommended for the time-domain resource indication and determination of the access link beam.</w:t>
      </w:r>
    </w:p>
    <w:p w14:paraId="052E66C6" w14:textId="77777777" w:rsidR="007A22FC" w:rsidRPr="00F63ACE" w:rsidRDefault="007A22FC" w:rsidP="007A22FC">
      <w:pPr>
        <w:pStyle w:val="ListParagraph"/>
        <w:numPr>
          <w:ilvl w:val="0"/>
          <w:numId w:val="17"/>
        </w:numPr>
        <w:ind w:firstLineChars="0"/>
      </w:pPr>
      <w:r w:rsidRPr="00F63ACE">
        <w:t xml:space="preserve">Beam index is used to indicate an access link beam (Option 1) </w:t>
      </w:r>
    </w:p>
    <w:p w14:paraId="25422897" w14:textId="77777777" w:rsidR="007A22FC" w:rsidRPr="000E7B9F" w:rsidRDefault="007A22FC" w:rsidP="007A22FC">
      <w:pPr>
        <w:pStyle w:val="ListParagraph"/>
        <w:numPr>
          <w:ilvl w:val="0"/>
          <w:numId w:val="17"/>
        </w:numPr>
        <w:ind w:firstLineChars="0"/>
      </w:pPr>
      <w:r w:rsidRPr="000E7B9F">
        <w:t>In access link, a DL beam and a UL beam which are correspondent with each other have the same beam index.</w:t>
      </w:r>
    </w:p>
    <w:p w14:paraId="49B7429C" w14:textId="77777777" w:rsidR="00454A50" w:rsidRDefault="00AD4C32" w:rsidP="00454A50">
      <w:pPr>
        <w:spacing w:before="100" w:beforeAutospacing="1"/>
      </w:pPr>
      <w:r>
        <w:lastRenderedPageBreak/>
        <w:t xml:space="preserve">A beam index is used to indicate the beam on the access link. </w:t>
      </w:r>
      <w:r w:rsidR="007A22FC">
        <w:t xml:space="preserve">The beam index </w:t>
      </w:r>
      <w:r w:rsidR="00454A50">
        <w:t>is</w:t>
      </w:r>
      <w:r w:rsidR="007A22FC">
        <w:t xml:space="preserve"> associated with the </w:t>
      </w:r>
      <w:r w:rsidR="007A22FC" w:rsidRPr="006B18AC">
        <w:t xml:space="preserve">synchronization signal block (SSB) </w:t>
      </w:r>
      <w:r w:rsidR="007A22FC">
        <w:t>index in a SSB burst. Thus, t</w:t>
      </w:r>
      <w:r w:rsidR="00EF158C" w:rsidRPr="006B18AC">
        <w:t xml:space="preserve">o perform local beam management at NCR, the </w:t>
      </w:r>
      <w:r w:rsidR="00454A50">
        <w:t xml:space="preserve">NCR </w:t>
      </w:r>
      <w:r w:rsidR="00EF158C" w:rsidRPr="006B18AC">
        <w:t xml:space="preserve">SSB transmissions with beam sweeping should be </w:t>
      </w:r>
      <w:r w:rsidR="007A22FC">
        <w:t>configured</w:t>
      </w:r>
      <w:r w:rsidR="00EF158C" w:rsidRPr="006B18AC">
        <w:t xml:space="preserve"> first. </w:t>
      </w:r>
    </w:p>
    <w:p w14:paraId="1F3B25ED" w14:textId="67DDF971" w:rsidR="00454A50" w:rsidRPr="00EF158C" w:rsidRDefault="00454A50" w:rsidP="00454A50">
      <w:pPr>
        <w:spacing w:before="100" w:beforeAutospacing="1"/>
        <w:rPr>
          <w:rFonts w:eastAsia="Malgun Gothic" w:cs="Times"/>
          <w:lang w:eastAsia="zh-CN"/>
        </w:rPr>
      </w:pPr>
      <w:r w:rsidRPr="006B18AC">
        <w:t xml:space="preserve">Since the NCR is transparent to UE, the UE detects the NCR local beam, and reports to gNB. On the other hand, the NCR may not detect the reports from UE. The beam information should be provided by the gNB via some side information on the beams to be applied on the access link. </w:t>
      </w:r>
    </w:p>
    <w:p w14:paraId="4E50427A" w14:textId="68B07464" w:rsidR="00EF158C" w:rsidRPr="006B18AC" w:rsidRDefault="00454A50" w:rsidP="00EF158C">
      <w:pPr>
        <w:spacing w:before="100" w:beforeAutospacing="1"/>
      </w:pPr>
      <w:r>
        <w:t>T</w:t>
      </w:r>
      <w:r w:rsidR="00307110">
        <w:t xml:space="preserve">he NCR may have very different antenna patterns from a gNB, </w:t>
      </w:r>
      <w:r>
        <w:t>and the</w:t>
      </w:r>
      <w:r w:rsidR="00307110">
        <w:t xml:space="preserve"> beamforming capability may be different</w:t>
      </w:r>
      <w:r>
        <w:t>. Thus</w:t>
      </w:r>
      <w:r w:rsidR="00307110">
        <w:t>, s</w:t>
      </w:r>
      <w:r w:rsidR="00EF158C" w:rsidRPr="006B18AC">
        <w:t xml:space="preserve">ome side information </w:t>
      </w:r>
      <w:r w:rsidR="00307110">
        <w:t xml:space="preserve">should be indicated </w:t>
      </w:r>
      <w:r w:rsidR="00EF158C" w:rsidRPr="006B18AC">
        <w:t>by the gNB to de</w:t>
      </w:r>
      <w:r w:rsidR="00307110">
        <w:t xml:space="preserve">termine </w:t>
      </w:r>
      <w:r w:rsidR="00EF158C" w:rsidRPr="006B18AC">
        <w:t xml:space="preserve">the number of SSBs in a burst and the beams associated with the SSB transmissions </w:t>
      </w:r>
      <w:r>
        <w:t>at</w:t>
      </w:r>
      <w:r w:rsidR="00EF158C" w:rsidRPr="006B18AC">
        <w:t xml:space="preserve"> the NCR. </w:t>
      </w:r>
    </w:p>
    <w:p w14:paraId="7112CAC7" w14:textId="77777777" w:rsidR="00307110" w:rsidRDefault="00EF158C" w:rsidP="00EF158C">
      <w:pPr>
        <w:spacing w:before="100" w:beforeAutospacing="1"/>
        <w:rPr>
          <w:b/>
          <w:bCs/>
        </w:rPr>
      </w:pPr>
      <w:r w:rsidRPr="006B18AC">
        <w:rPr>
          <w:b/>
          <w:bCs/>
        </w:rPr>
        <w:t xml:space="preserve">Proposal </w:t>
      </w:r>
      <w:r>
        <w:rPr>
          <w:b/>
          <w:bCs/>
        </w:rPr>
        <w:t>2</w:t>
      </w:r>
      <w:r w:rsidRPr="006B18AC">
        <w:rPr>
          <w:b/>
          <w:bCs/>
        </w:rPr>
        <w:t>:</w:t>
      </w:r>
      <w:r w:rsidR="00307110">
        <w:rPr>
          <w:b/>
          <w:bCs/>
        </w:rPr>
        <w:t xml:space="preserve"> gNb should indicate a s</w:t>
      </w:r>
      <w:r w:rsidRPr="006B18AC">
        <w:rPr>
          <w:b/>
          <w:bCs/>
        </w:rPr>
        <w:t xml:space="preserve">ide information on the number of </w:t>
      </w:r>
      <w:r w:rsidR="00307110">
        <w:rPr>
          <w:b/>
          <w:bCs/>
        </w:rPr>
        <w:t>b</w:t>
      </w:r>
      <w:r w:rsidRPr="006B18AC">
        <w:rPr>
          <w:b/>
          <w:bCs/>
        </w:rPr>
        <w:t xml:space="preserve">eams </w:t>
      </w:r>
      <w:r w:rsidR="00307110">
        <w:rPr>
          <w:b/>
          <w:bCs/>
        </w:rPr>
        <w:t>supported on the access link.</w:t>
      </w:r>
    </w:p>
    <w:p w14:paraId="106B5FB9" w14:textId="77777777" w:rsidR="00EF158C" w:rsidRPr="006B18AC" w:rsidRDefault="00EF158C" w:rsidP="00EF158C">
      <w:pPr>
        <w:spacing w:before="100" w:beforeAutospacing="1"/>
      </w:pPr>
      <w:r w:rsidRPr="006B18AC">
        <w:t xml:space="preserve">For local NCR SSB transmissions, the NCR should regenerate the SSBs with different beams in an NCR SSB burst. The local SSB and PBCH information can be the same as detected in the SSBs and PBCHs transmitted by the gNB. </w:t>
      </w:r>
    </w:p>
    <w:p w14:paraId="024407AA" w14:textId="6820430F" w:rsidR="00EF158C" w:rsidRDefault="00EF158C" w:rsidP="00EF158C">
      <w:pPr>
        <w:spacing w:before="100" w:beforeAutospacing="1"/>
        <w:rPr>
          <w:rFonts w:cs="Arial"/>
        </w:rPr>
      </w:pPr>
      <w:r w:rsidRPr="006B18AC">
        <w:t xml:space="preserve">For example, </w:t>
      </w:r>
      <w:r w:rsidRPr="006B18AC">
        <w:rPr>
          <w:rFonts w:cs="Arial"/>
        </w:rPr>
        <w:t xml:space="preserve">the NCR can be configured with a separate synchronization signal structure by side information from gNB, and the NCR will not forward any SSBs from gNB. Instead, the NCR re-generates synchronization signals and transmits the SSBs with local NCR beams following the configured SSB burst structure. </w:t>
      </w:r>
    </w:p>
    <w:p w14:paraId="2667AFF5" w14:textId="02C484DE" w:rsidR="00307110" w:rsidRDefault="00307110" w:rsidP="00307110">
      <w:pPr>
        <w:spacing w:before="100" w:beforeAutospacing="1"/>
        <w:rPr>
          <w:b/>
          <w:bCs/>
        </w:rPr>
      </w:pPr>
      <w:r w:rsidRPr="006B18AC">
        <w:rPr>
          <w:b/>
          <w:bCs/>
        </w:rPr>
        <w:t xml:space="preserve">Proposal </w:t>
      </w:r>
      <w:r w:rsidR="007E5241">
        <w:rPr>
          <w:b/>
          <w:bCs/>
        </w:rPr>
        <w:t>3</w:t>
      </w:r>
      <w:r w:rsidRPr="006B18AC">
        <w:rPr>
          <w:b/>
          <w:bCs/>
        </w:rPr>
        <w:t>:</w:t>
      </w:r>
      <w:r>
        <w:rPr>
          <w:b/>
          <w:bCs/>
        </w:rPr>
        <w:t xml:space="preserve"> S</w:t>
      </w:r>
      <w:r w:rsidRPr="006B18AC">
        <w:rPr>
          <w:b/>
          <w:bCs/>
        </w:rPr>
        <w:t xml:space="preserve">ide information on the </w:t>
      </w:r>
      <w:r>
        <w:rPr>
          <w:b/>
          <w:bCs/>
        </w:rPr>
        <w:t>SSB configuration at NCR for the access link can be considered.</w:t>
      </w:r>
    </w:p>
    <w:p w14:paraId="40CFED9E" w14:textId="4572F0CC" w:rsidR="00AD4C32" w:rsidRDefault="00EF158C" w:rsidP="00EF158C">
      <w:pPr>
        <w:spacing w:before="100" w:beforeAutospacing="1"/>
        <w:rPr>
          <w:rFonts w:cs="Arial"/>
        </w:rPr>
      </w:pPr>
      <w:r w:rsidRPr="006B18AC">
        <w:rPr>
          <w:rFonts w:cs="Arial"/>
        </w:rPr>
        <w:t xml:space="preserve">On the other hand, if the gNB SSB structure is maintained at NCR, a side information on the forwarding delay should be indicated to the NCR. And the NCR transmits regenerated SSBs with local NCR beams. </w:t>
      </w:r>
      <w:r w:rsidR="00AD4C32">
        <w:rPr>
          <w:rFonts w:cs="Arial"/>
        </w:rPr>
        <w:t>Since a SSB burst occupies a 5</w:t>
      </w:r>
      <w:r w:rsidR="00D644F7">
        <w:rPr>
          <w:rFonts w:cs="Arial"/>
        </w:rPr>
        <w:t xml:space="preserve"> </w:t>
      </w:r>
      <w:r w:rsidR="00AD4C32">
        <w:rPr>
          <w:rFonts w:cs="Arial"/>
        </w:rPr>
        <w:t>ms period, to avoid overlapping of SSBs from gNB and SSBs from NCR, the forwarding delay should be a factor of 5</w:t>
      </w:r>
      <w:r w:rsidR="00D644F7">
        <w:rPr>
          <w:rFonts w:cs="Arial"/>
        </w:rPr>
        <w:t xml:space="preserve"> </w:t>
      </w:r>
      <w:r w:rsidR="00AD4C32">
        <w:rPr>
          <w:rFonts w:cs="Arial"/>
        </w:rPr>
        <w:t>ms, and the SSBs from NCR should occupy a different 5</w:t>
      </w:r>
      <w:r w:rsidR="00D644F7">
        <w:rPr>
          <w:rFonts w:cs="Arial"/>
        </w:rPr>
        <w:t xml:space="preserve"> </w:t>
      </w:r>
      <w:r w:rsidR="00AD4C32">
        <w:rPr>
          <w:rFonts w:cs="Arial"/>
        </w:rPr>
        <w:t>ms period from the SSBs of the gNB.</w:t>
      </w:r>
    </w:p>
    <w:p w14:paraId="06E6B4DE" w14:textId="38B9892A" w:rsidR="00EF158C" w:rsidRPr="006B18AC" w:rsidRDefault="00EF158C" w:rsidP="00EF158C">
      <w:pPr>
        <w:spacing w:before="100" w:beforeAutospacing="1"/>
        <w:rPr>
          <w:rFonts w:cs="Arial"/>
        </w:rPr>
      </w:pPr>
      <w:r w:rsidRPr="006B18AC">
        <w:rPr>
          <w:rFonts w:cs="Arial"/>
        </w:rPr>
        <w:t>Further</w:t>
      </w:r>
      <w:r w:rsidR="00307110">
        <w:rPr>
          <w:rFonts w:cs="Arial"/>
        </w:rPr>
        <w:t>more, if the number of NCR beams M is smaller than the number of beams N at the gNB, the NCR should decide which SSB indexes are used in the SSB burst at NCR. For example, the first M out of the N SSB indexes are used. Additionally, multiple SSB transmissions in the SSB burst may be mapped with the same NCR local beam.</w:t>
      </w:r>
    </w:p>
    <w:p w14:paraId="5BB54D4A" w14:textId="7170B9DB" w:rsidR="00EF158C" w:rsidRDefault="00EF158C" w:rsidP="00EF158C">
      <w:pPr>
        <w:spacing w:before="100" w:beforeAutospacing="1"/>
        <w:rPr>
          <w:b/>
          <w:bCs/>
        </w:rPr>
      </w:pPr>
      <w:r w:rsidRPr="006B18AC">
        <w:rPr>
          <w:b/>
          <w:bCs/>
        </w:rPr>
        <w:t xml:space="preserve">Proposal </w:t>
      </w:r>
      <w:r w:rsidR="007E5241">
        <w:rPr>
          <w:b/>
          <w:bCs/>
        </w:rPr>
        <w:t>4</w:t>
      </w:r>
      <w:r w:rsidRPr="006B18AC">
        <w:rPr>
          <w:b/>
          <w:bCs/>
        </w:rPr>
        <w:t>: The NCR SSB transmission may follow the same SSB structure as gNB</w:t>
      </w:r>
      <w:r w:rsidR="00307110">
        <w:rPr>
          <w:b/>
          <w:bCs/>
        </w:rPr>
        <w:t xml:space="preserve"> with side information on the forwarding delay and beam index pattern.</w:t>
      </w:r>
    </w:p>
    <w:p w14:paraId="0C96EEA3" w14:textId="77777777" w:rsidR="0004013C" w:rsidRPr="006B18AC" w:rsidRDefault="0004013C" w:rsidP="00EF158C">
      <w:pPr>
        <w:spacing w:before="100" w:beforeAutospacing="1"/>
        <w:rPr>
          <w:b/>
          <w:bCs/>
        </w:rPr>
      </w:pPr>
    </w:p>
    <w:p w14:paraId="22B07A3A" w14:textId="77777777" w:rsidR="002E4A32" w:rsidRPr="006B18AC" w:rsidRDefault="002E4A32" w:rsidP="002E4A32">
      <w:pPr>
        <w:pStyle w:val="Heading1"/>
        <w:spacing w:before="100" w:beforeAutospacing="1" w:afterLines="0" w:afterAutospacing="1"/>
      </w:pPr>
      <w:r w:rsidRPr="006B18AC">
        <w:t>Side information on TDD UL-DL configuration</w:t>
      </w:r>
    </w:p>
    <w:p w14:paraId="6F92EAC5" w14:textId="4CC11E55" w:rsidR="00AD4C32" w:rsidRDefault="002E4A32" w:rsidP="002E4A32">
      <w:pPr>
        <w:spacing w:before="100" w:beforeAutospacing="1"/>
        <w:rPr>
          <w:rFonts w:eastAsia="Malgun Gothic"/>
          <w:iCs/>
          <w:lang w:eastAsia="zh-CN"/>
        </w:rPr>
      </w:pPr>
      <w:r w:rsidRPr="002E4A32">
        <w:rPr>
          <w:lang w:eastAsia="x-none"/>
        </w:rPr>
        <w:t>For the TDD UL/DL configuration of NCR, t</w:t>
      </w:r>
      <w:r w:rsidRPr="002E4A32">
        <w:rPr>
          <w:rFonts w:eastAsia="Malgun Gothic"/>
          <w:iCs/>
          <w:lang w:eastAsia="zh-CN"/>
        </w:rPr>
        <w:t>he same TDD UL/DL configuration is always assumed for backhaul link and access link. In RAN1 #110</w:t>
      </w:r>
      <w:r w:rsidR="00AD4C32">
        <w:rPr>
          <w:rFonts w:eastAsia="Malgun Gothic"/>
          <w:iCs/>
          <w:lang w:eastAsia="zh-CN"/>
        </w:rPr>
        <w:t xml:space="preserve"> </w:t>
      </w:r>
      <w:r w:rsidR="00AD4C32">
        <w:rPr>
          <w:rFonts w:eastAsia="Malgun Gothic"/>
          <w:iCs/>
          <w:lang w:eastAsia="zh-CN"/>
        </w:rPr>
        <w:fldChar w:fldCharType="begin"/>
      </w:r>
      <w:r w:rsidR="00AD4C32">
        <w:rPr>
          <w:rFonts w:eastAsia="Malgun Gothic"/>
          <w:iCs/>
          <w:lang w:eastAsia="zh-CN"/>
        </w:rPr>
        <w:instrText xml:space="preserve"> REF _Ref115264875 \r \h </w:instrText>
      </w:r>
      <w:r w:rsidR="00AD4C32">
        <w:rPr>
          <w:rFonts w:eastAsia="Malgun Gothic"/>
          <w:iCs/>
          <w:lang w:eastAsia="zh-CN"/>
        </w:rPr>
      </w:r>
      <w:r w:rsidR="00AD4C32">
        <w:rPr>
          <w:rFonts w:eastAsia="Malgun Gothic"/>
          <w:iCs/>
          <w:lang w:eastAsia="zh-CN"/>
        </w:rPr>
        <w:fldChar w:fldCharType="separate"/>
      </w:r>
      <w:r w:rsidR="00AD4C32">
        <w:rPr>
          <w:rFonts w:eastAsia="Malgun Gothic"/>
          <w:iCs/>
          <w:lang w:eastAsia="zh-CN"/>
        </w:rPr>
        <w:t>[2]</w:t>
      </w:r>
      <w:r w:rsidR="00AD4C32">
        <w:rPr>
          <w:rFonts w:eastAsia="Malgun Gothic"/>
          <w:iCs/>
          <w:lang w:eastAsia="zh-CN"/>
        </w:rPr>
        <w:fldChar w:fldCharType="end"/>
      </w:r>
      <w:r w:rsidRPr="002E4A32">
        <w:rPr>
          <w:rFonts w:eastAsia="Malgun Gothic"/>
          <w:iCs/>
          <w:lang w:eastAsia="zh-CN"/>
        </w:rPr>
        <w:t xml:space="preserve">, </w:t>
      </w:r>
      <w:r w:rsidR="00AD4C32">
        <w:rPr>
          <w:rFonts w:eastAsia="Malgun Gothic"/>
          <w:iCs/>
          <w:lang w:eastAsia="zh-CN"/>
        </w:rPr>
        <w:t>the following agreement was made on the flexible symbol behaviors.</w:t>
      </w:r>
    </w:p>
    <w:p w14:paraId="5A3AA424" w14:textId="26F26009" w:rsidR="00AD4C32" w:rsidRDefault="00AD4C32" w:rsidP="00AD4C32">
      <w:pPr>
        <w:rPr>
          <w:rFonts w:cs="Times"/>
          <w:color w:val="000000"/>
          <w:shd w:val="clear" w:color="auto" w:fill="FFFFFF"/>
        </w:rPr>
      </w:pPr>
      <w:r>
        <w:rPr>
          <w:noProof/>
        </w:rPr>
        <w:lastRenderedPageBreak/>
        <mc:AlternateContent>
          <mc:Choice Requires="wps">
            <w:drawing>
              <wp:inline distT="0" distB="0" distL="0" distR="0" wp14:anchorId="3B5AFD61" wp14:editId="1F86D738">
                <wp:extent cx="1828800" cy="1828800"/>
                <wp:effectExtent l="0" t="0" r="16510" b="825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960599" w14:textId="77777777" w:rsidR="00AD4C32" w:rsidRPr="0041520D" w:rsidRDefault="00AD4C32" w:rsidP="00AD4C32">
                            <w:pPr>
                              <w:rPr>
                                <w:rFonts w:cs="Times"/>
                                <w:b/>
                                <w:bCs/>
                                <w:highlight w:val="green"/>
                              </w:rPr>
                            </w:pPr>
                            <w:r>
                              <w:rPr>
                                <w:rFonts w:cs="Times"/>
                                <w:b/>
                                <w:bCs/>
                                <w:highlight w:val="green"/>
                              </w:rPr>
                              <w:t>Agreement</w:t>
                            </w:r>
                          </w:p>
                          <w:p w14:paraId="586183BD" w14:textId="77777777" w:rsidR="00AD4C32" w:rsidRPr="002E4A32" w:rsidRDefault="00AD4C32" w:rsidP="002E4A32">
                            <w:pPr>
                              <w:spacing w:before="100" w:beforeAutospacing="1"/>
                              <w:rPr>
                                <w:rFonts w:cs="Times"/>
                                <w:shd w:val="clear" w:color="auto" w:fill="FFFFFF"/>
                              </w:rPr>
                            </w:pPr>
                            <w:r>
                              <w:rPr>
                                <w:rFonts w:eastAsia="Malgun Gothic"/>
                                <w:iCs/>
                                <w:lang w:eastAsia="zh-CN"/>
                              </w:rPr>
                              <w:t>F</w:t>
                            </w:r>
                            <w:r w:rsidRPr="002E4A32">
                              <w:rPr>
                                <w:rFonts w:cs="Times"/>
                                <w:shd w:val="clear" w:color="auto" w:fill="FFFFFF"/>
                              </w:rPr>
                              <w:t>or the flexible symbol</w:t>
                            </w:r>
                            <w:r w:rsidRPr="002E4A32">
                              <w:rPr>
                                <w:rStyle w:val="apple-converted-space"/>
                                <w:rFonts w:cs="Times"/>
                                <w:shd w:val="clear" w:color="auto" w:fill="FFFFFF"/>
                              </w:rPr>
                              <w:t> </w:t>
                            </w:r>
                            <w:r w:rsidRPr="002E4A32">
                              <w:rPr>
                                <w:rFonts w:cs="Times"/>
                                <w:shd w:val="clear" w:color="auto" w:fill="FFFFFF"/>
                              </w:rPr>
                              <w:t>based on the semi-static configuration (e.g., TDD-UL-DL-ConfigCommon, TDD-UL-DL-ConfigDedicated),</w:t>
                            </w:r>
                            <w:r w:rsidRPr="002E4A32">
                              <w:rPr>
                                <w:rStyle w:val="apple-converted-space"/>
                                <w:rFonts w:cs="Times"/>
                                <w:shd w:val="clear" w:color="auto" w:fill="FFFFFF"/>
                              </w:rPr>
                              <w:t> </w:t>
                            </w:r>
                            <w:r w:rsidRPr="002E4A32">
                              <w:rPr>
                                <w:rFonts w:cs="Times"/>
                                <w:shd w:val="clear" w:color="auto" w:fill="FFFFFF"/>
                              </w:rPr>
                              <w:t>following options</w:t>
                            </w:r>
                            <w:r w:rsidRPr="002E4A32">
                              <w:rPr>
                                <w:rStyle w:val="apple-converted-space"/>
                                <w:rFonts w:cs="Times"/>
                                <w:shd w:val="clear" w:color="auto" w:fill="FFFFFF"/>
                              </w:rPr>
                              <w:t> </w:t>
                            </w:r>
                            <w:r w:rsidRPr="002E4A32">
                              <w:rPr>
                                <w:rFonts w:cs="Times"/>
                                <w:shd w:val="clear" w:color="auto" w:fill="FFFFFF"/>
                              </w:rPr>
                              <w:t>are considered for the NCR-Fwd on these symbols,</w:t>
                            </w:r>
                          </w:p>
                          <w:p w14:paraId="3007DC9A" w14:textId="77777777" w:rsidR="00AD4C32" w:rsidRPr="002E4A32" w:rsidRDefault="00AD4C32" w:rsidP="002E4A32">
                            <w:pPr>
                              <w:pStyle w:val="ListParagraph"/>
                              <w:numPr>
                                <w:ilvl w:val="0"/>
                                <w:numId w:val="32"/>
                              </w:numPr>
                              <w:shd w:val="clear" w:color="auto" w:fill="FFFFFF"/>
                              <w:snapToGrid/>
                              <w:spacing w:after="0" w:afterAutospacing="0"/>
                              <w:ind w:firstLineChars="0"/>
                              <w:jc w:val="left"/>
                              <w:rPr>
                                <w:rFonts w:eastAsia="SimSun" w:cs="Times"/>
                                <w:bCs/>
                              </w:rPr>
                            </w:pPr>
                            <w:r w:rsidRPr="002E4A32">
                              <w:rPr>
                                <w:rFonts w:eastAsia="SimSun" w:cs="Times"/>
                                <w:bCs/>
                              </w:rPr>
                              <w:t>Option 1: The NCR-Fwd is expected to be OFF or not forwarding over these symbols</w:t>
                            </w:r>
                          </w:p>
                          <w:p w14:paraId="38A6CBD9" w14:textId="77777777" w:rsidR="00AD4C32" w:rsidRPr="002E4A32" w:rsidRDefault="00AD4C32" w:rsidP="002E4A32">
                            <w:pPr>
                              <w:pStyle w:val="ListParagraph"/>
                              <w:numPr>
                                <w:ilvl w:val="0"/>
                                <w:numId w:val="32"/>
                              </w:numPr>
                              <w:shd w:val="clear" w:color="auto" w:fill="FFFFFF"/>
                              <w:snapToGrid/>
                              <w:spacing w:after="0" w:afterAutospacing="0"/>
                              <w:ind w:firstLineChars="0"/>
                              <w:jc w:val="left"/>
                              <w:rPr>
                                <w:rFonts w:eastAsia="SimSun" w:cs="Times"/>
                                <w:bCs/>
                              </w:rPr>
                            </w:pPr>
                            <w:r w:rsidRPr="002E4A32">
                              <w:rPr>
                                <w:rFonts w:eastAsia="SimSun" w:cs="Times"/>
                                <w:bCs/>
                              </w:rPr>
                              <w:t>Option 2: The NCR-Fwd will follow the TDD operation determined by NCR-MT,</w:t>
                            </w:r>
                            <w:r w:rsidRPr="002E4A32">
                              <w:rPr>
                                <w:rFonts w:eastAsia="SimSun" w:cs="Times"/>
                              </w:rPr>
                              <w:t xml:space="preserve"> i.e., determined by NCR-MT based on the received SFI indication or scheduling from gNB </w:t>
                            </w:r>
                          </w:p>
                          <w:p w14:paraId="71E71DBE" w14:textId="77777777" w:rsidR="00AD4C32" w:rsidRPr="002E4A32" w:rsidRDefault="00AD4C32" w:rsidP="002E4A32">
                            <w:pPr>
                              <w:pStyle w:val="ListParagraph"/>
                              <w:numPr>
                                <w:ilvl w:val="1"/>
                                <w:numId w:val="32"/>
                              </w:numPr>
                              <w:shd w:val="clear" w:color="auto" w:fill="FFFFFF"/>
                              <w:snapToGrid/>
                              <w:spacing w:after="0" w:afterAutospacing="0"/>
                              <w:ind w:firstLineChars="0"/>
                              <w:jc w:val="left"/>
                              <w:rPr>
                                <w:rFonts w:eastAsia="SimSun" w:cs="Times"/>
                                <w:bCs/>
                              </w:rPr>
                            </w:pPr>
                            <w:r w:rsidRPr="002E4A32">
                              <w:rPr>
                                <w:rFonts w:eastAsia="SimSun" w:cs="Times"/>
                              </w:rPr>
                              <w:t>Note: It means that no new side control signalling is needed.</w:t>
                            </w:r>
                          </w:p>
                          <w:p w14:paraId="4A6D0107" w14:textId="77777777" w:rsidR="00AD4C32" w:rsidRPr="00CF195D" w:rsidRDefault="00AD4C32" w:rsidP="00D644F7">
                            <w:pPr>
                              <w:pStyle w:val="ListParagraph"/>
                              <w:numPr>
                                <w:ilvl w:val="0"/>
                                <w:numId w:val="32"/>
                              </w:numPr>
                              <w:shd w:val="clear" w:color="auto" w:fill="FFFFFF"/>
                              <w:ind w:firstLineChars="0"/>
                              <w:rPr>
                                <w:rFonts w:eastAsia="SimSun" w:cs="Times"/>
                              </w:rPr>
                            </w:pPr>
                            <w:r w:rsidRPr="002E4A32">
                              <w:rPr>
                                <w:rFonts w:eastAsia="SimSun" w:cs="Times"/>
                              </w:rPr>
                              <w:t xml:space="preserve">Option 3: The NCR-Fwd will follow a new </w:t>
                            </w:r>
                            <w:r w:rsidRPr="002E4A32">
                              <w:rPr>
                                <w:rFonts w:eastAsia="SimSun" w:cs="Times"/>
                                <w:bCs/>
                              </w:rPr>
                              <w:t>dynamic side control signalling of DL/UL forwarding over these symbols to NCR-Fwd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5AFD61" id="_x0000_t202" coordsize="21600,21600" o:spt="202" path="m,l,21600r21600,l21600,xe">
                <v:stroke joinstyle="miter"/>
                <v:path gradientshapeok="t" o:connecttype="rect"/>
              </v:shapetype>
              <v:shape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2A960599" w14:textId="77777777" w:rsidR="00AD4C32" w:rsidRPr="0041520D" w:rsidRDefault="00AD4C32" w:rsidP="00AD4C32">
                      <w:pPr>
                        <w:rPr>
                          <w:rFonts w:cs="Times"/>
                          <w:b/>
                          <w:bCs/>
                          <w:highlight w:val="green"/>
                        </w:rPr>
                      </w:pPr>
                      <w:r>
                        <w:rPr>
                          <w:rFonts w:cs="Times"/>
                          <w:b/>
                          <w:bCs/>
                          <w:highlight w:val="green"/>
                        </w:rPr>
                        <w:t>Agreement</w:t>
                      </w:r>
                    </w:p>
                    <w:p w14:paraId="586183BD" w14:textId="77777777" w:rsidR="00AD4C32" w:rsidRPr="002E4A32" w:rsidRDefault="00AD4C32" w:rsidP="002E4A32">
                      <w:pPr>
                        <w:spacing w:before="100" w:beforeAutospacing="1"/>
                        <w:rPr>
                          <w:rFonts w:cs="Times"/>
                          <w:shd w:val="clear" w:color="auto" w:fill="FFFFFF"/>
                        </w:rPr>
                      </w:pPr>
                      <w:r>
                        <w:rPr>
                          <w:rFonts w:eastAsia="Malgun Gothic"/>
                          <w:iCs/>
                          <w:lang w:eastAsia="zh-CN"/>
                        </w:rPr>
                        <w:t>F</w:t>
                      </w:r>
                      <w:r w:rsidRPr="002E4A32">
                        <w:rPr>
                          <w:rFonts w:cs="Times"/>
                          <w:shd w:val="clear" w:color="auto" w:fill="FFFFFF"/>
                        </w:rPr>
                        <w:t>or the flexible symbol</w:t>
                      </w:r>
                      <w:r w:rsidRPr="002E4A32">
                        <w:rPr>
                          <w:rStyle w:val="apple-converted-space"/>
                          <w:rFonts w:cs="Times"/>
                          <w:shd w:val="clear" w:color="auto" w:fill="FFFFFF"/>
                        </w:rPr>
                        <w:t> </w:t>
                      </w:r>
                      <w:r w:rsidRPr="002E4A32">
                        <w:rPr>
                          <w:rFonts w:cs="Times"/>
                          <w:shd w:val="clear" w:color="auto" w:fill="FFFFFF"/>
                        </w:rPr>
                        <w:t>based on the semi-static configuration (e.g., TDD-UL-DL-</w:t>
                      </w:r>
                      <w:proofErr w:type="spellStart"/>
                      <w:r w:rsidRPr="002E4A32">
                        <w:rPr>
                          <w:rFonts w:cs="Times"/>
                          <w:shd w:val="clear" w:color="auto" w:fill="FFFFFF"/>
                        </w:rPr>
                        <w:t>ConfigCommon</w:t>
                      </w:r>
                      <w:proofErr w:type="spellEnd"/>
                      <w:r w:rsidRPr="002E4A32">
                        <w:rPr>
                          <w:rFonts w:cs="Times"/>
                          <w:shd w:val="clear" w:color="auto" w:fill="FFFFFF"/>
                        </w:rPr>
                        <w:t>, TDD-UL-DL-</w:t>
                      </w:r>
                      <w:proofErr w:type="spellStart"/>
                      <w:r w:rsidRPr="002E4A32">
                        <w:rPr>
                          <w:rFonts w:cs="Times"/>
                          <w:shd w:val="clear" w:color="auto" w:fill="FFFFFF"/>
                        </w:rPr>
                        <w:t>ConfigDedicated</w:t>
                      </w:r>
                      <w:proofErr w:type="spellEnd"/>
                      <w:r w:rsidRPr="002E4A32">
                        <w:rPr>
                          <w:rFonts w:cs="Times"/>
                          <w:shd w:val="clear" w:color="auto" w:fill="FFFFFF"/>
                        </w:rPr>
                        <w:t>),</w:t>
                      </w:r>
                      <w:r w:rsidRPr="002E4A32">
                        <w:rPr>
                          <w:rStyle w:val="apple-converted-space"/>
                          <w:rFonts w:cs="Times"/>
                          <w:shd w:val="clear" w:color="auto" w:fill="FFFFFF"/>
                        </w:rPr>
                        <w:t> </w:t>
                      </w:r>
                      <w:r w:rsidRPr="002E4A32">
                        <w:rPr>
                          <w:rFonts w:cs="Times"/>
                          <w:shd w:val="clear" w:color="auto" w:fill="FFFFFF"/>
                        </w:rPr>
                        <w:t>following options</w:t>
                      </w:r>
                      <w:r w:rsidRPr="002E4A32">
                        <w:rPr>
                          <w:rStyle w:val="apple-converted-space"/>
                          <w:rFonts w:cs="Times"/>
                          <w:shd w:val="clear" w:color="auto" w:fill="FFFFFF"/>
                        </w:rPr>
                        <w:t> </w:t>
                      </w:r>
                      <w:r w:rsidRPr="002E4A32">
                        <w:rPr>
                          <w:rFonts w:cs="Times"/>
                          <w:shd w:val="clear" w:color="auto" w:fill="FFFFFF"/>
                        </w:rPr>
                        <w:t>are considered for the NCR-</w:t>
                      </w:r>
                      <w:proofErr w:type="spellStart"/>
                      <w:r w:rsidRPr="002E4A32">
                        <w:rPr>
                          <w:rFonts w:cs="Times"/>
                          <w:shd w:val="clear" w:color="auto" w:fill="FFFFFF"/>
                        </w:rPr>
                        <w:t>Fwd</w:t>
                      </w:r>
                      <w:proofErr w:type="spellEnd"/>
                      <w:r w:rsidRPr="002E4A32">
                        <w:rPr>
                          <w:rFonts w:cs="Times"/>
                          <w:shd w:val="clear" w:color="auto" w:fill="FFFFFF"/>
                        </w:rPr>
                        <w:t xml:space="preserve"> on these symbols,</w:t>
                      </w:r>
                    </w:p>
                    <w:p w14:paraId="3007DC9A" w14:textId="77777777" w:rsidR="00AD4C32" w:rsidRPr="002E4A32" w:rsidRDefault="00AD4C32" w:rsidP="002E4A32">
                      <w:pPr>
                        <w:pStyle w:val="ListParagraph"/>
                        <w:numPr>
                          <w:ilvl w:val="0"/>
                          <w:numId w:val="32"/>
                        </w:numPr>
                        <w:shd w:val="clear" w:color="auto" w:fill="FFFFFF"/>
                        <w:snapToGrid/>
                        <w:spacing w:after="0" w:afterAutospacing="0"/>
                        <w:ind w:firstLineChars="0"/>
                        <w:jc w:val="left"/>
                        <w:rPr>
                          <w:rFonts w:eastAsia="SimSun" w:cs="Times"/>
                          <w:bCs/>
                        </w:rPr>
                      </w:pPr>
                      <w:r w:rsidRPr="002E4A32">
                        <w:rPr>
                          <w:rFonts w:eastAsia="SimSun" w:cs="Times"/>
                          <w:bCs/>
                        </w:rPr>
                        <w:t>Option 1: The NCR-</w:t>
                      </w:r>
                      <w:proofErr w:type="spellStart"/>
                      <w:r w:rsidRPr="002E4A32">
                        <w:rPr>
                          <w:rFonts w:eastAsia="SimSun" w:cs="Times"/>
                          <w:bCs/>
                        </w:rPr>
                        <w:t>Fwd</w:t>
                      </w:r>
                      <w:proofErr w:type="spellEnd"/>
                      <w:r w:rsidRPr="002E4A32">
                        <w:rPr>
                          <w:rFonts w:eastAsia="SimSun" w:cs="Times"/>
                          <w:bCs/>
                        </w:rPr>
                        <w:t xml:space="preserve"> is expected to be OFF or not forwarding over these symbols</w:t>
                      </w:r>
                    </w:p>
                    <w:p w14:paraId="38A6CBD9" w14:textId="77777777" w:rsidR="00AD4C32" w:rsidRPr="002E4A32" w:rsidRDefault="00AD4C32" w:rsidP="002E4A32">
                      <w:pPr>
                        <w:pStyle w:val="ListParagraph"/>
                        <w:numPr>
                          <w:ilvl w:val="0"/>
                          <w:numId w:val="32"/>
                        </w:numPr>
                        <w:shd w:val="clear" w:color="auto" w:fill="FFFFFF"/>
                        <w:snapToGrid/>
                        <w:spacing w:after="0" w:afterAutospacing="0"/>
                        <w:ind w:firstLineChars="0"/>
                        <w:jc w:val="left"/>
                        <w:rPr>
                          <w:rFonts w:eastAsia="SimSun" w:cs="Times"/>
                          <w:bCs/>
                        </w:rPr>
                      </w:pPr>
                      <w:r w:rsidRPr="002E4A32">
                        <w:rPr>
                          <w:rFonts w:eastAsia="SimSun" w:cs="Times"/>
                          <w:bCs/>
                        </w:rPr>
                        <w:t>Option 2: The NCR-</w:t>
                      </w:r>
                      <w:proofErr w:type="spellStart"/>
                      <w:r w:rsidRPr="002E4A32">
                        <w:rPr>
                          <w:rFonts w:eastAsia="SimSun" w:cs="Times"/>
                          <w:bCs/>
                        </w:rPr>
                        <w:t>Fwd</w:t>
                      </w:r>
                      <w:proofErr w:type="spellEnd"/>
                      <w:r w:rsidRPr="002E4A32">
                        <w:rPr>
                          <w:rFonts w:eastAsia="SimSun" w:cs="Times"/>
                          <w:bCs/>
                        </w:rPr>
                        <w:t xml:space="preserve"> will follow the TDD operation determined by NCR-MT,</w:t>
                      </w:r>
                      <w:r w:rsidRPr="002E4A32">
                        <w:rPr>
                          <w:rFonts w:eastAsia="SimSun" w:cs="Times"/>
                        </w:rPr>
                        <w:t xml:space="preserve"> i.e., determined by NCR-MT based on the received SFI indication or scheduling from </w:t>
                      </w:r>
                      <w:proofErr w:type="spellStart"/>
                      <w:r w:rsidRPr="002E4A32">
                        <w:rPr>
                          <w:rFonts w:eastAsia="SimSun" w:cs="Times"/>
                        </w:rPr>
                        <w:t>gNB</w:t>
                      </w:r>
                      <w:proofErr w:type="spellEnd"/>
                      <w:r w:rsidRPr="002E4A32">
                        <w:rPr>
                          <w:rFonts w:eastAsia="SimSun" w:cs="Times"/>
                        </w:rPr>
                        <w:t xml:space="preserve"> </w:t>
                      </w:r>
                    </w:p>
                    <w:p w14:paraId="71E71DBE" w14:textId="77777777" w:rsidR="00AD4C32" w:rsidRPr="002E4A32" w:rsidRDefault="00AD4C32" w:rsidP="002E4A32">
                      <w:pPr>
                        <w:pStyle w:val="ListParagraph"/>
                        <w:numPr>
                          <w:ilvl w:val="1"/>
                          <w:numId w:val="32"/>
                        </w:numPr>
                        <w:shd w:val="clear" w:color="auto" w:fill="FFFFFF"/>
                        <w:snapToGrid/>
                        <w:spacing w:after="0" w:afterAutospacing="0"/>
                        <w:ind w:firstLineChars="0"/>
                        <w:jc w:val="left"/>
                        <w:rPr>
                          <w:rFonts w:eastAsia="SimSun" w:cs="Times"/>
                          <w:bCs/>
                        </w:rPr>
                      </w:pPr>
                      <w:r w:rsidRPr="002E4A32">
                        <w:rPr>
                          <w:rFonts w:eastAsia="SimSun" w:cs="Times"/>
                        </w:rPr>
                        <w:t>Note: It means that no new side control signalling is needed.</w:t>
                      </w:r>
                    </w:p>
                    <w:p w14:paraId="4A6D0107" w14:textId="77777777" w:rsidR="00AD4C32" w:rsidRPr="00CF195D" w:rsidRDefault="00AD4C32" w:rsidP="00D644F7">
                      <w:pPr>
                        <w:pStyle w:val="ListParagraph"/>
                        <w:numPr>
                          <w:ilvl w:val="0"/>
                          <w:numId w:val="32"/>
                        </w:numPr>
                        <w:shd w:val="clear" w:color="auto" w:fill="FFFFFF"/>
                        <w:ind w:firstLineChars="0"/>
                        <w:rPr>
                          <w:rFonts w:eastAsia="SimSun" w:cs="Times"/>
                        </w:rPr>
                      </w:pPr>
                      <w:r w:rsidRPr="002E4A32">
                        <w:rPr>
                          <w:rFonts w:eastAsia="SimSun" w:cs="Times"/>
                        </w:rPr>
                        <w:t>Option 3: The NCR-</w:t>
                      </w:r>
                      <w:proofErr w:type="spellStart"/>
                      <w:r w:rsidRPr="002E4A32">
                        <w:rPr>
                          <w:rFonts w:eastAsia="SimSun" w:cs="Times"/>
                        </w:rPr>
                        <w:t>Fwd</w:t>
                      </w:r>
                      <w:proofErr w:type="spellEnd"/>
                      <w:r w:rsidRPr="002E4A32">
                        <w:rPr>
                          <w:rFonts w:eastAsia="SimSun" w:cs="Times"/>
                        </w:rPr>
                        <w:t xml:space="preserve"> will follow a new </w:t>
                      </w:r>
                      <w:r w:rsidRPr="002E4A32">
                        <w:rPr>
                          <w:rFonts w:eastAsia="SimSun" w:cs="Times"/>
                          <w:bCs/>
                        </w:rPr>
                        <w:t>dynamic side control signalling of DL/UL forwarding over these symbols to NCR-</w:t>
                      </w:r>
                      <w:proofErr w:type="spellStart"/>
                      <w:r w:rsidRPr="002E4A32">
                        <w:rPr>
                          <w:rFonts w:eastAsia="SimSun" w:cs="Times"/>
                          <w:bCs/>
                        </w:rPr>
                        <w:t>Fwd</w:t>
                      </w:r>
                      <w:proofErr w:type="spellEnd"/>
                    </w:p>
                  </w:txbxContent>
                </v:textbox>
                <w10:anchorlock/>
              </v:shape>
            </w:pict>
          </mc:Fallback>
        </mc:AlternateContent>
      </w:r>
    </w:p>
    <w:p w14:paraId="6B6D5EAC" w14:textId="015ADF57" w:rsidR="00CB43A4" w:rsidRDefault="002E4A32" w:rsidP="002E4A32">
      <w:pPr>
        <w:overflowPunct w:val="0"/>
        <w:autoSpaceDE w:val="0"/>
        <w:autoSpaceDN w:val="0"/>
        <w:adjustRightInd w:val="0"/>
        <w:spacing w:before="100" w:beforeAutospacing="1"/>
        <w:jc w:val="left"/>
        <w:textAlignment w:val="baseline"/>
        <w:rPr>
          <w:rFonts w:cs="Times"/>
          <w:shd w:val="clear" w:color="auto" w:fill="FFFFFF"/>
        </w:rPr>
      </w:pPr>
      <w:r>
        <w:rPr>
          <w:lang w:eastAsia="zh-CN"/>
        </w:rPr>
        <w:t>A</w:t>
      </w:r>
      <w:r w:rsidR="00454A50">
        <w:rPr>
          <w:lang w:eastAsia="zh-CN"/>
        </w:rPr>
        <w:t>s indicated above, a</w:t>
      </w:r>
      <w:r>
        <w:rPr>
          <w:lang w:eastAsia="zh-CN"/>
        </w:rPr>
        <w:t xml:space="preserve"> </w:t>
      </w:r>
      <w:r w:rsidRPr="002E4A32">
        <w:rPr>
          <w:rFonts w:cs="Times"/>
          <w:shd w:val="clear" w:color="auto" w:fill="FFFFFF"/>
        </w:rPr>
        <w:t>TDD-UL-DL-ConfigDedicated</w:t>
      </w:r>
      <w:r>
        <w:rPr>
          <w:rFonts w:cs="Times"/>
          <w:shd w:val="clear" w:color="auto" w:fill="FFFFFF"/>
        </w:rPr>
        <w:t xml:space="preserve"> can be further configured on the flexible symbols of the </w:t>
      </w:r>
      <w:r w:rsidRPr="002E4A32">
        <w:rPr>
          <w:rFonts w:cs="Times"/>
          <w:shd w:val="clear" w:color="auto" w:fill="FFFFFF"/>
        </w:rPr>
        <w:t>TDD-UL-DL-ConfigCommon</w:t>
      </w:r>
      <w:r>
        <w:rPr>
          <w:rFonts w:cs="Times"/>
          <w:shd w:val="clear" w:color="auto" w:fill="FFFFFF"/>
        </w:rPr>
        <w:t xml:space="preserve">. </w:t>
      </w:r>
      <w:r w:rsidR="00454A50">
        <w:rPr>
          <w:rFonts w:cs="Times"/>
          <w:shd w:val="clear" w:color="auto" w:fill="FFFFFF"/>
        </w:rPr>
        <w:t xml:space="preserve">The </w:t>
      </w:r>
      <w:r w:rsidR="00454A50" w:rsidRPr="002E4A32">
        <w:rPr>
          <w:rFonts w:cs="Times"/>
          <w:shd w:val="clear" w:color="auto" w:fill="FFFFFF"/>
        </w:rPr>
        <w:t>TDD-UL-DL-ConfigDedicated</w:t>
      </w:r>
      <w:r w:rsidR="00454A50">
        <w:rPr>
          <w:rFonts w:cs="Times"/>
          <w:shd w:val="clear" w:color="auto" w:fill="FFFFFF"/>
        </w:rPr>
        <w:t xml:space="preserve"> can be configured for the NCR, or the same information can also be indicated to the UE so that the same TDD UL/DL configuration is known at both NCR and the UE.</w:t>
      </w:r>
    </w:p>
    <w:p w14:paraId="2FF7DB2F" w14:textId="422BC6FB" w:rsidR="002E4A32" w:rsidRPr="002E4A32" w:rsidRDefault="00CB43A4" w:rsidP="00EF07EE">
      <w:pPr>
        <w:overflowPunct w:val="0"/>
        <w:autoSpaceDE w:val="0"/>
        <w:autoSpaceDN w:val="0"/>
        <w:adjustRightInd w:val="0"/>
        <w:spacing w:before="100" w:beforeAutospacing="1"/>
        <w:jc w:val="left"/>
        <w:textAlignment w:val="baseline"/>
        <w:rPr>
          <w:lang w:eastAsia="zh-CN"/>
        </w:rPr>
      </w:pPr>
      <w:r w:rsidRPr="00EF07EE">
        <w:rPr>
          <w:rFonts w:cs="Times"/>
          <w:shd w:val="clear" w:color="auto" w:fill="FFFFFF"/>
        </w:rPr>
        <w:t xml:space="preserve">If the NCR is configured with TDD-UL-DL-ConfigDedicated, Option 1 can be a simple solution since the number of flexible symbols can be minimized and controlled by the TDD-UL-DL-ConfigDedicated signaling. </w:t>
      </w:r>
      <w:r w:rsidRPr="00CB43A4">
        <w:rPr>
          <w:rFonts w:cs="Times"/>
          <w:shd w:val="clear" w:color="auto" w:fill="FFFFFF"/>
        </w:rPr>
        <w:t xml:space="preserve">On the other hand, </w:t>
      </w:r>
      <w:r w:rsidR="00EF07EE">
        <w:rPr>
          <w:rFonts w:cs="Times"/>
          <w:shd w:val="clear" w:color="auto" w:fill="FFFFFF"/>
        </w:rPr>
        <w:t>if</w:t>
      </w:r>
      <w:r>
        <w:rPr>
          <w:rFonts w:cs="Times"/>
          <w:shd w:val="clear" w:color="auto" w:fill="FFFFFF"/>
        </w:rPr>
        <w:t xml:space="preserve"> </w:t>
      </w:r>
      <w:r w:rsidRPr="00CB43A4">
        <w:rPr>
          <w:rFonts w:cs="Times"/>
          <w:shd w:val="clear" w:color="auto" w:fill="FFFFFF"/>
        </w:rPr>
        <w:t xml:space="preserve">there </w:t>
      </w:r>
      <w:r>
        <w:rPr>
          <w:rFonts w:cs="Times"/>
          <w:shd w:val="clear" w:color="auto" w:fill="FFFFFF"/>
        </w:rPr>
        <w:t xml:space="preserve">are </w:t>
      </w:r>
      <w:r w:rsidRPr="00CB43A4">
        <w:rPr>
          <w:rFonts w:cs="Times"/>
          <w:shd w:val="clear" w:color="auto" w:fill="FFFFFF"/>
        </w:rPr>
        <w:t>many flexible symbols</w:t>
      </w:r>
      <w:r>
        <w:rPr>
          <w:rFonts w:cs="Times"/>
          <w:shd w:val="clear" w:color="auto" w:fill="FFFFFF"/>
        </w:rPr>
        <w:t xml:space="preserve">, it is better to allow more flexible allocation for the resources used by the NCR-Fwd. </w:t>
      </w:r>
      <w:r w:rsidR="00EF07EE">
        <w:rPr>
          <w:rFonts w:cs="Times"/>
          <w:shd w:val="clear" w:color="auto" w:fill="FFFFFF"/>
        </w:rPr>
        <w:t>Thus</w:t>
      </w:r>
      <w:r>
        <w:rPr>
          <w:rFonts w:cs="Times"/>
          <w:shd w:val="clear" w:color="auto" w:fill="FFFFFF"/>
        </w:rPr>
        <w:t>, a unified solution with dynamic ON/OFF indication should be prioritized.</w:t>
      </w:r>
      <w:r w:rsidR="00EF07EE">
        <w:rPr>
          <w:rFonts w:cs="Times"/>
          <w:shd w:val="clear" w:color="auto" w:fill="FFFFFF"/>
        </w:rPr>
        <w:t xml:space="preserve"> A flexible symbol can be used as either a DL or an UL based on the dynamic ON/OFF indication.</w:t>
      </w:r>
    </w:p>
    <w:p w14:paraId="6EFB2B24" w14:textId="1DC9D291" w:rsidR="00D76AF3" w:rsidRPr="00D76AF3" w:rsidRDefault="00D76AF3" w:rsidP="00D76AF3">
      <w:pPr>
        <w:spacing w:before="100" w:beforeAutospacing="1"/>
        <w:rPr>
          <w:b/>
          <w:bCs/>
        </w:rPr>
      </w:pPr>
      <w:r w:rsidRPr="00D76AF3">
        <w:rPr>
          <w:b/>
          <w:bCs/>
        </w:rPr>
        <w:t xml:space="preserve">Proposal </w:t>
      </w:r>
      <w:r>
        <w:rPr>
          <w:b/>
          <w:bCs/>
        </w:rPr>
        <w:t>5</w:t>
      </w:r>
      <w:r w:rsidRPr="00D76AF3">
        <w:rPr>
          <w:b/>
          <w:bCs/>
        </w:rPr>
        <w:t xml:space="preserve">: </w:t>
      </w:r>
      <w:r w:rsidR="00EF07EE">
        <w:rPr>
          <w:b/>
          <w:bCs/>
        </w:rPr>
        <w:t xml:space="preserve">A unified solution with </w:t>
      </w:r>
      <w:r w:rsidRPr="00D76AF3">
        <w:rPr>
          <w:b/>
          <w:bCs/>
        </w:rPr>
        <w:t xml:space="preserve">dynamic ON/OFF indication can be </w:t>
      </w:r>
      <w:r w:rsidR="00EF07EE">
        <w:rPr>
          <w:b/>
          <w:bCs/>
        </w:rPr>
        <w:t>supported in the flexible symbols</w:t>
      </w:r>
      <w:r w:rsidRPr="00D76AF3">
        <w:rPr>
          <w:b/>
          <w:bCs/>
        </w:rPr>
        <w:t>.</w:t>
      </w:r>
    </w:p>
    <w:p w14:paraId="6FF81E96" w14:textId="77777777" w:rsidR="002A1747" w:rsidRDefault="00D76AF3" w:rsidP="00D76AF3">
      <w:pPr>
        <w:overflowPunct w:val="0"/>
        <w:autoSpaceDE w:val="0"/>
        <w:autoSpaceDN w:val="0"/>
        <w:adjustRightInd w:val="0"/>
        <w:spacing w:before="100" w:beforeAutospacing="1"/>
        <w:jc w:val="left"/>
        <w:textAlignment w:val="baseline"/>
      </w:pPr>
      <w:r>
        <w:t>Even if the DL and UL allocation is determined</w:t>
      </w:r>
      <w:r w:rsidR="002A1747">
        <w:t xml:space="preserve"> by the TDD UL/DL configurations</w:t>
      </w:r>
      <w:r>
        <w:t>, t</w:t>
      </w:r>
      <w:r w:rsidR="002E4A32" w:rsidRPr="006B18AC">
        <w:t xml:space="preserve">o perform the physical signal forwarding between the gNB and the UE, the NCR </w:t>
      </w:r>
      <w:r>
        <w:t xml:space="preserve">still </w:t>
      </w:r>
      <w:r w:rsidR="002E4A32" w:rsidRPr="006B18AC">
        <w:t xml:space="preserve">needs to know the </w:t>
      </w:r>
      <w:r>
        <w:t xml:space="preserve">detailed </w:t>
      </w:r>
      <w:r w:rsidR="002E4A32" w:rsidRPr="006B18AC">
        <w:t xml:space="preserve">slot allocations </w:t>
      </w:r>
      <w:r>
        <w:t xml:space="preserve">for each behavior. </w:t>
      </w:r>
    </w:p>
    <w:p w14:paraId="73D7FA8B" w14:textId="5B2D3286" w:rsidR="00454A50" w:rsidRDefault="00D76AF3" w:rsidP="00D76AF3">
      <w:pPr>
        <w:overflowPunct w:val="0"/>
        <w:autoSpaceDE w:val="0"/>
        <w:autoSpaceDN w:val="0"/>
        <w:adjustRightInd w:val="0"/>
        <w:spacing w:before="100" w:beforeAutospacing="1"/>
        <w:jc w:val="left"/>
        <w:textAlignment w:val="baseline"/>
      </w:pPr>
      <w:r>
        <w:t xml:space="preserve">For example, in the DL slots/symbols of the TDD UL/DL configurations, the NCR should further decide </w:t>
      </w:r>
    </w:p>
    <w:p w14:paraId="68150989" w14:textId="77777777" w:rsidR="00454A50" w:rsidRDefault="00D76AF3" w:rsidP="00454A50">
      <w:pPr>
        <w:pStyle w:val="ListParagraph"/>
        <w:numPr>
          <w:ilvl w:val="0"/>
          <w:numId w:val="33"/>
        </w:numPr>
        <w:overflowPunct w:val="0"/>
        <w:autoSpaceDE w:val="0"/>
        <w:autoSpaceDN w:val="0"/>
        <w:adjustRightInd w:val="0"/>
        <w:spacing w:before="100" w:beforeAutospacing="1"/>
        <w:ind w:firstLineChars="0"/>
        <w:jc w:val="left"/>
        <w:textAlignment w:val="baseline"/>
      </w:pPr>
      <w:r>
        <w:t>wh</w:t>
      </w:r>
      <w:r w:rsidR="002E4A32" w:rsidRPr="006B18AC">
        <w:t>ich set of slots</w:t>
      </w:r>
      <w:r>
        <w:t>/symbols</w:t>
      </w:r>
      <w:r w:rsidR="002E4A32" w:rsidRPr="006B18AC">
        <w:t xml:space="preserve"> are used by the NCR to receive DL from gNB, </w:t>
      </w:r>
      <w:r>
        <w:t xml:space="preserve">and </w:t>
      </w:r>
    </w:p>
    <w:p w14:paraId="34AB306E" w14:textId="2AF2C65E" w:rsidR="00BB1EC5" w:rsidRDefault="002E4A32" w:rsidP="00454A50">
      <w:pPr>
        <w:pStyle w:val="ListParagraph"/>
        <w:numPr>
          <w:ilvl w:val="0"/>
          <w:numId w:val="33"/>
        </w:numPr>
        <w:overflowPunct w:val="0"/>
        <w:autoSpaceDE w:val="0"/>
        <w:autoSpaceDN w:val="0"/>
        <w:adjustRightInd w:val="0"/>
        <w:spacing w:before="100" w:beforeAutospacing="1"/>
        <w:ind w:firstLineChars="0"/>
        <w:jc w:val="left"/>
        <w:textAlignment w:val="baseline"/>
      </w:pPr>
      <w:r w:rsidRPr="006B18AC">
        <w:t>which set of slots are used by the NCR to forward the DL from gNB to UE(s)</w:t>
      </w:r>
    </w:p>
    <w:p w14:paraId="2215E686" w14:textId="77777777" w:rsidR="00454A50" w:rsidRDefault="00D76AF3" w:rsidP="00D76AF3">
      <w:pPr>
        <w:overflowPunct w:val="0"/>
        <w:autoSpaceDE w:val="0"/>
        <w:autoSpaceDN w:val="0"/>
        <w:adjustRightInd w:val="0"/>
        <w:spacing w:before="100" w:beforeAutospacing="1"/>
        <w:jc w:val="left"/>
        <w:textAlignment w:val="baseline"/>
      </w:pPr>
      <w:r>
        <w:t xml:space="preserve">Similarly, in the UL slots/symbols of the TDD UL/DL configurations, the NCR should know </w:t>
      </w:r>
    </w:p>
    <w:p w14:paraId="5F1D8680" w14:textId="77777777" w:rsidR="00454A50" w:rsidRDefault="002E4A32" w:rsidP="00454A50">
      <w:pPr>
        <w:pStyle w:val="ListParagraph"/>
        <w:numPr>
          <w:ilvl w:val="0"/>
          <w:numId w:val="34"/>
        </w:numPr>
        <w:overflowPunct w:val="0"/>
        <w:autoSpaceDE w:val="0"/>
        <w:autoSpaceDN w:val="0"/>
        <w:adjustRightInd w:val="0"/>
        <w:spacing w:before="100" w:beforeAutospacing="1"/>
        <w:ind w:firstLineChars="0"/>
        <w:jc w:val="left"/>
        <w:textAlignment w:val="baseline"/>
      </w:pPr>
      <w:r w:rsidRPr="006B18AC">
        <w:t>which set of slots are used by the NCR to receive UL from UE(s)</w:t>
      </w:r>
      <w:r w:rsidR="00D76AF3">
        <w:t xml:space="preserve">, and </w:t>
      </w:r>
    </w:p>
    <w:p w14:paraId="048CC747" w14:textId="0ABDB6B8" w:rsidR="002E4A32" w:rsidRDefault="002E4A32" w:rsidP="00454A50">
      <w:pPr>
        <w:pStyle w:val="ListParagraph"/>
        <w:numPr>
          <w:ilvl w:val="0"/>
          <w:numId w:val="34"/>
        </w:numPr>
        <w:overflowPunct w:val="0"/>
        <w:autoSpaceDE w:val="0"/>
        <w:autoSpaceDN w:val="0"/>
        <w:adjustRightInd w:val="0"/>
        <w:spacing w:before="100" w:beforeAutospacing="1"/>
        <w:ind w:firstLineChars="0"/>
        <w:jc w:val="left"/>
        <w:textAlignment w:val="baseline"/>
      </w:pPr>
      <w:r w:rsidRPr="006B18AC">
        <w:t>which set of slots are used by the NCR to forward the UL from UE(s) to gNB</w:t>
      </w:r>
    </w:p>
    <w:p w14:paraId="00703EC5" w14:textId="30B734FF" w:rsidR="00A92AD9" w:rsidRDefault="002E4A32" w:rsidP="002E4A32">
      <w:pPr>
        <w:pStyle w:val="NormalWeb"/>
        <w:shd w:val="clear" w:color="auto" w:fill="FFFFFF"/>
        <w:snapToGrid w:val="0"/>
      </w:pPr>
      <w:r w:rsidRPr="006B18AC">
        <w:rPr>
          <w:rFonts w:ascii="Times New Roman" w:hAnsi="Times New Roman" w:cs="Times New Roman"/>
          <w:color w:val="auto"/>
          <w:sz w:val="24"/>
          <w:szCs w:val="24"/>
        </w:rPr>
        <w:lastRenderedPageBreak/>
        <w:t xml:space="preserve">A side information on </w:t>
      </w:r>
      <w:r w:rsidR="00D76AF3">
        <w:rPr>
          <w:rFonts w:ascii="Times New Roman" w:hAnsi="Times New Roman" w:cs="Times New Roman"/>
          <w:color w:val="auto"/>
          <w:sz w:val="24"/>
          <w:szCs w:val="24"/>
        </w:rPr>
        <w:t xml:space="preserve">an additional </w:t>
      </w:r>
      <w:r w:rsidRPr="006B18AC">
        <w:rPr>
          <w:rFonts w:ascii="Times New Roman" w:hAnsi="Times New Roman" w:cs="Times New Roman"/>
          <w:color w:val="auto"/>
          <w:sz w:val="24"/>
          <w:szCs w:val="24"/>
        </w:rPr>
        <w:t xml:space="preserve">NCR configuration may be indicated by the gNB to NCR to determine the </w:t>
      </w:r>
      <w:r w:rsidR="00BB1EC5">
        <w:rPr>
          <w:rFonts w:ascii="Times New Roman" w:hAnsi="Times New Roman" w:cs="Times New Roman"/>
          <w:color w:val="auto"/>
          <w:sz w:val="24"/>
          <w:szCs w:val="24"/>
        </w:rPr>
        <w:t xml:space="preserve">slots/symbols </w:t>
      </w:r>
      <w:r w:rsidR="00A92AD9">
        <w:rPr>
          <w:rFonts w:ascii="Times New Roman" w:hAnsi="Times New Roman" w:cs="Times New Roman"/>
          <w:color w:val="auto"/>
          <w:sz w:val="24"/>
          <w:szCs w:val="24"/>
        </w:rPr>
        <w:t xml:space="preserve">used </w:t>
      </w:r>
      <w:r w:rsidR="00BB1EC5">
        <w:rPr>
          <w:rFonts w:ascii="Times New Roman" w:hAnsi="Times New Roman" w:cs="Times New Roman"/>
          <w:color w:val="auto"/>
          <w:sz w:val="24"/>
          <w:szCs w:val="24"/>
        </w:rPr>
        <w:t xml:space="preserve">for the access link, i.e., the </w:t>
      </w:r>
      <w:r w:rsidRPr="006B18AC">
        <w:rPr>
          <w:rFonts w:ascii="Times New Roman" w:hAnsi="Times New Roman" w:cs="Times New Roman"/>
          <w:color w:val="auto"/>
          <w:sz w:val="24"/>
          <w:szCs w:val="24"/>
        </w:rPr>
        <w:t xml:space="preserve">access link DL and UL allocations. Thus, based on the TDD UL/DL configurations, the NCR can determine the slots used for each </w:t>
      </w:r>
      <w:r w:rsidR="00A92AD9">
        <w:rPr>
          <w:rFonts w:ascii="Times New Roman" w:hAnsi="Times New Roman" w:cs="Times New Roman"/>
          <w:color w:val="auto"/>
          <w:sz w:val="24"/>
          <w:szCs w:val="24"/>
        </w:rPr>
        <w:t>TDD operation/</w:t>
      </w:r>
      <w:r w:rsidR="00BB1EC5">
        <w:rPr>
          <w:rFonts w:ascii="Times New Roman" w:hAnsi="Times New Roman" w:cs="Times New Roman"/>
          <w:color w:val="auto"/>
          <w:sz w:val="24"/>
          <w:szCs w:val="24"/>
        </w:rPr>
        <w:t>behavior</w:t>
      </w:r>
      <w:r w:rsidRPr="006B18AC">
        <w:rPr>
          <w:rFonts w:ascii="Times New Roman" w:hAnsi="Times New Roman" w:cs="Times New Roman"/>
          <w:color w:val="auto"/>
          <w:sz w:val="24"/>
          <w:szCs w:val="24"/>
        </w:rPr>
        <w:t xml:space="preserve">, </w:t>
      </w:r>
      <w:r w:rsidR="00BB1EC5">
        <w:rPr>
          <w:rFonts w:ascii="Times New Roman" w:hAnsi="Times New Roman" w:cs="Times New Roman"/>
          <w:color w:val="auto"/>
          <w:sz w:val="24"/>
          <w:szCs w:val="24"/>
        </w:rPr>
        <w:t xml:space="preserve">including </w:t>
      </w:r>
      <w:r w:rsidRPr="006B18AC">
        <w:rPr>
          <w:rFonts w:ascii="Times New Roman" w:hAnsi="Times New Roman" w:cs="Times New Roman"/>
          <w:color w:val="auto"/>
          <w:sz w:val="24"/>
          <w:szCs w:val="24"/>
        </w:rPr>
        <w:t>backhaul DL, access DL, access UL and backhaul UL.</w:t>
      </w:r>
      <w:r w:rsidR="00BB1EC5" w:rsidRPr="00BB1EC5">
        <w:t xml:space="preserve"> </w:t>
      </w:r>
    </w:p>
    <w:p w14:paraId="27C5972E" w14:textId="3255A4A4" w:rsidR="002E4A32" w:rsidRPr="006B18AC" w:rsidRDefault="00BB1EC5" w:rsidP="002E4A32">
      <w:pPr>
        <w:pStyle w:val="NormalWeb"/>
        <w:shd w:val="clear" w:color="auto" w:fill="FFFFFF"/>
        <w:snapToGrid w:val="0"/>
        <w:rPr>
          <w:rFonts w:ascii="Times New Roman" w:hAnsi="Times New Roman" w:cs="Times New Roman"/>
          <w:color w:val="auto"/>
          <w:sz w:val="24"/>
          <w:szCs w:val="24"/>
        </w:rPr>
      </w:pPr>
      <w:r w:rsidRPr="00BB1EC5">
        <w:rPr>
          <w:rFonts w:ascii="Times New Roman" w:hAnsi="Times New Roman" w:cs="Times New Roman"/>
          <w:color w:val="auto"/>
          <w:sz w:val="24"/>
          <w:szCs w:val="24"/>
        </w:rPr>
        <w:t>To simplify the operation, orthogonal slot allocations can be applied to backhaul/control link and the access link.</w:t>
      </w:r>
      <w:r w:rsidR="00A92AD9">
        <w:rPr>
          <w:rFonts w:ascii="Times New Roman" w:hAnsi="Times New Roman" w:cs="Times New Roman"/>
          <w:color w:val="auto"/>
          <w:sz w:val="24"/>
          <w:szCs w:val="24"/>
        </w:rPr>
        <w:t xml:space="preserve"> Thus, the NCR only monitors slots/symbols for </w:t>
      </w:r>
      <w:r w:rsidR="00A92AD9" w:rsidRPr="006B18AC">
        <w:rPr>
          <w:rFonts w:ascii="Times New Roman" w:hAnsi="Times New Roman" w:cs="Times New Roman"/>
          <w:color w:val="auto"/>
          <w:sz w:val="24"/>
          <w:szCs w:val="24"/>
        </w:rPr>
        <w:t xml:space="preserve">backhaul </w:t>
      </w:r>
      <w:proofErr w:type="gramStart"/>
      <w:r w:rsidR="00A92AD9" w:rsidRPr="006B18AC">
        <w:rPr>
          <w:rFonts w:ascii="Times New Roman" w:hAnsi="Times New Roman" w:cs="Times New Roman"/>
          <w:color w:val="auto"/>
          <w:sz w:val="24"/>
          <w:szCs w:val="24"/>
        </w:rPr>
        <w:t xml:space="preserve">DL, </w:t>
      </w:r>
      <w:r w:rsidR="00A92AD9">
        <w:rPr>
          <w:rFonts w:ascii="Times New Roman" w:hAnsi="Times New Roman" w:cs="Times New Roman"/>
          <w:color w:val="auto"/>
          <w:sz w:val="24"/>
          <w:szCs w:val="24"/>
        </w:rPr>
        <w:t>and</w:t>
      </w:r>
      <w:proofErr w:type="gramEnd"/>
      <w:r w:rsidR="00A92AD9">
        <w:rPr>
          <w:rFonts w:ascii="Times New Roman" w:hAnsi="Times New Roman" w:cs="Times New Roman"/>
          <w:color w:val="auto"/>
          <w:sz w:val="24"/>
          <w:szCs w:val="24"/>
        </w:rPr>
        <w:t xml:space="preserve"> performs DL forwarding on </w:t>
      </w:r>
      <w:r w:rsidR="00A92AD9" w:rsidRPr="006B18AC">
        <w:rPr>
          <w:rFonts w:ascii="Times New Roman" w:hAnsi="Times New Roman" w:cs="Times New Roman"/>
          <w:color w:val="auto"/>
          <w:sz w:val="24"/>
          <w:szCs w:val="24"/>
        </w:rPr>
        <w:t>access DL</w:t>
      </w:r>
      <w:r w:rsidR="00A92AD9">
        <w:rPr>
          <w:rFonts w:ascii="Times New Roman" w:hAnsi="Times New Roman" w:cs="Times New Roman"/>
          <w:color w:val="auto"/>
          <w:sz w:val="24"/>
          <w:szCs w:val="24"/>
        </w:rPr>
        <w:t xml:space="preserve"> slots/symbols; and the NCR only receives from UE on access UL slots/symbols</w:t>
      </w:r>
      <w:r w:rsidR="00A92AD9" w:rsidRPr="006B18AC">
        <w:rPr>
          <w:rFonts w:ascii="Times New Roman" w:hAnsi="Times New Roman" w:cs="Times New Roman"/>
          <w:color w:val="auto"/>
          <w:sz w:val="24"/>
          <w:szCs w:val="24"/>
        </w:rPr>
        <w:t xml:space="preserve">, </w:t>
      </w:r>
      <w:r w:rsidR="00A92AD9">
        <w:rPr>
          <w:rFonts w:ascii="Times New Roman" w:hAnsi="Times New Roman" w:cs="Times New Roman"/>
          <w:color w:val="auto"/>
          <w:sz w:val="24"/>
          <w:szCs w:val="24"/>
        </w:rPr>
        <w:t>and performs UL forwarding on backhaul UL slots/symbols.</w:t>
      </w:r>
    </w:p>
    <w:p w14:paraId="2293AE3C" w14:textId="01B2EC68" w:rsidR="002E4A32" w:rsidRDefault="002E4A32" w:rsidP="002E4A32">
      <w:pPr>
        <w:overflowPunct w:val="0"/>
        <w:autoSpaceDE w:val="0"/>
        <w:autoSpaceDN w:val="0"/>
        <w:adjustRightInd w:val="0"/>
        <w:spacing w:before="100" w:beforeAutospacing="1"/>
        <w:jc w:val="left"/>
        <w:textAlignment w:val="baseline"/>
        <w:rPr>
          <w:b/>
          <w:bCs/>
          <w:lang w:val="en-US"/>
        </w:rPr>
      </w:pPr>
      <w:r w:rsidRPr="006B18AC">
        <w:rPr>
          <w:b/>
          <w:bCs/>
          <w:lang w:val="en-US"/>
        </w:rPr>
        <w:t xml:space="preserve">Proposal </w:t>
      </w:r>
      <w:r w:rsidR="00BB1EC5">
        <w:rPr>
          <w:b/>
          <w:bCs/>
          <w:lang w:val="en-US"/>
        </w:rPr>
        <w:t>6</w:t>
      </w:r>
      <w:r w:rsidRPr="006B18AC">
        <w:rPr>
          <w:b/>
          <w:bCs/>
          <w:lang w:val="en-US"/>
        </w:rPr>
        <w:t xml:space="preserve">: Side information on </w:t>
      </w:r>
      <w:r w:rsidR="00BB1EC5">
        <w:rPr>
          <w:b/>
          <w:bCs/>
          <w:lang w:val="en-US"/>
        </w:rPr>
        <w:t xml:space="preserve">additional </w:t>
      </w:r>
      <w:r w:rsidRPr="006B18AC">
        <w:rPr>
          <w:b/>
          <w:bCs/>
          <w:lang w:val="en-US"/>
        </w:rPr>
        <w:t xml:space="preserve">NCR configuration can be configured to determine the </w:t>
      </w:r>
      <w:r w:rsidR="00BB1EC5" w:rsidRPr="006B18AC">
        <w:rPr>
          <w:b/>
          <w:bCs/>
          <w:lang w:val="en-US"/>
        </w:rPr>
        <w:t xml:space="preserve">allocation </w:t>
      </w:r>
      <w:r w:rsidR="00A92AD9">
        <w:rPr>
          <w:b/>
          <w:bCs/>
          <w:lang w:val="en-US"/>
        </w:rPr>
        <w:t xml:space="preserve">of </w:t>
      </w:r>
      <w:r w:rsidRPr="006B18AC">
        <w:rPr>
          <w:b/>
          <w:bCs/>
          <w:lang w:val="en-US"/>
        </w:rPr>
        <w:t>access link slot</w:t>
      </w:r>
      <w:r w:rsidR="00BB1EC5">
        <w:rPr>
          <w:b/>
          <w:bCs/>
          <w:lang w:val="en-US"/>
        </w:rPr>
        <w:t>s/symbols</w:t>
      </w:r>
      <w:r w:rsidR="00A92AD9">
        <w:rPr>
          <w:b/>
          <w:bCs/>
          <w:lang w:val="en-US"/>
        </w:rPr>
        <w:t xml:space="preserve"> </w:t>
      </w:r>
      <w:r w:rsidR="00EF07EE">
        <w:rPr>
          <w:b/>
          <w:bCs/>
          <w:lang w:val="en-US"/>
        </w:rPr>
        <w:t>under</w:t>
      </w:r>
      <w:r w:rsidR="00A92AD9">
        <w:rPr>
          <w:b/>
          <w:bCs/>
          <w:lang w:val="en-US"/>
        </w:rPr>
        <w:t xml:space="preserve"> the serving cell UL/DL configurations.</w:t>
      </w:r>
    </w:p>
    <w:p w14:paraId="5E55820E" w14:textId="77777777" w:rsidR="0004013C" w:rsidRPr="006B18AC" w:rsidRDefault="0004013C" w:rsidP="002E4A32">
      <w:pPr>
        <w:overflowPunct w:val="0"/>
        <w:autoSpaceDE w:val="0"/>
        <w:autoSpaceDN w:val="0"/>
        <w:adjustRightInd w:val="0"/>
        <w:spacing w:before="100" w:beforeAutospacing="1"/>
        <w:jc w:val="left"/>
        <w:textAlignment w:val="baseline"/>
        <w:rPr>
          <w:b/>
          <w:bCs/>
          <w:lang w:val="en-US"/>
        </w:rPr>
      </w:pPr>
    </w:p>
    <w:p w14:paraId="042A2B7C" w14:textId="77777777" w:rsidR="0096105B" w:rsidRPr="006B18AC" w:rsidRDefault="0096105B" w:rsidP="00A06BAE">
      <w:pPr>
        <w:pStyle w:val="Heading1"/>
        <w:spacing w:before="100" w:beforeAutospacing="1" w:afterLines="0" w:afterAutospacing="1"/>
        <w:rPr>
          <w:lang w:val="en-US"/>
        </w:rPr>
      </w:pPr>
      <w:r w:rsidRPr="006B18AC">
        <w:rPr>
          <w:lang w:val="en-US"/>
        </w:rPr>
        <w:t>Conclusion</w:t>
      </w:r>
    </w:p>
    <w:p w14:paraId="60D2E007" w14:textId="0973CFE4" w:rsidR="0096105B" w:rsidRDefault="0096105B" w:rsidP="00A06BAE">
      <w:pPr>
        <w:spacing w:before="100" w:beforeAutospacing="1"/>
        <w:rPr>
          <w:rFonts w:eastAsiaTheme="minorEastAsia"/>
          <w:lang w:eastAsia="zh-CN"/>
        </w:rPr>
      </w:pPr>
      <w:r w:rsidRPr="006B18AC">
        <w:rPr>
          <w:lang w:val="en-US"/>
        </w:rPr>
        <w:t xml:space="preserve">In this contribution, </w:t>
      </w:r>
      <w:r w:rsidR="00A611BA" w:rsidRPr="006B18AC">
        <w:rPr>
          <w:lang w:val="en-US"/>
        </w:rPr>
        <w:t xml:space="preserve">we discussed </w:t>
      </w:r>
      <w:r w:rsidR="006B18AC" w:rsidRPr="006B18AC">
        <w:rPr>
          <w:lang w:val="en-US"/>
        </w:rPr>
        <w:t xml:space="preserve">several side information to enable </w:t>
      </w:r>
      <w:r w:rsidR="00A611BA" w:rsidRPr="006B18AC">
        <w:rPr>
          <w:lang w:val="en-US"/>
        </w:rPr>
        <w:t>efficient NCR operation. W</w:t>
      </w:r>
      <w:r w:rsidRPr="006B18AC">
        <w:rPr>
          <w:rFonts w:eastAsiaTheme="minorEastAsia"/>
          <w:lang w:eastAsia="zh-CN"/>
        </w:rPr>
        <w:t>e propose the following.</w:t>
      </w:r>
    </w:p>
    <w:p w14:paraId="07BDD38F" w14:textId="77777777" w:rsidR="00BB1EC5" w:rsidRPr="001B2670" w:rsidRDefault="00BB1EC5" w:rsidP="00BB1EC5">
      <w:pPr>
        <w:spacing w:before="100" w:beforeAutospacing="1"/>
        <w:rPr>
          <w:b/>
          <w:bCs/>
        </w:rPr>
      </w:pPr>
      <w:r w:rsidRPr="006B18AC">
        <w:rPr>
          <w:b/>
          <w:bCs/>
        </w:rPr>
        <w:t xml:space="preserve">Proposal </w:t>
      </w:r>
      <w:r>
        <w:rPr>
          <w:b/>
          <w:bCs/>
        </w:rPr>
        <w:t>1</w:t>
      </w:r>
      <w:r w:rsidRPr="006B18AC">
        <w:rPr>
          <w:b/>
          <w:bCs/>
        </w:rPr>
        <w:t xml:space="preserve">: </w:t>
      </w:r>
      <w:r w:rsidRPr="001B2670">
        <w:rPr>
          <w:b/>
          <w:bCs/>
        </w:rPr>
        <w:t>Option 2 is preferred to determine the backhaul lin</w:t>
      </w:r>
      <w:r>
        <w:rPr>
          <w:b/>
          <w:bCs/>
        </w:rPr>
        <w:t>k beam based on a pre-defined rule.</w:t>
      </w:r>
    </w:p>
    <w:p w14:paraId="3507AAE2" w14:textId="77777777" w:rsidR="00BB1EC5" w:rsidRDefault="00BB1EC5" w:rsidP="00BB1EC5">
      <w:pPr>
        <w:spacing w:before="100" w:beforeAutospacing="1"/>
        <w:rPr>
          <w:b/>
          <w:bCs/>
        </w:rPr>
      </w:pPr>
      <w:r w:rsidRPr="006B18AC">
        <w:rPr>
          <w:b/>
          <w:bCs/>
        </w:rPr>
        <w:t xml:space="preserve">Proposal </w:t>
      </w:r>
      <w:r>
        <w:rPr>
          <w:b/>
          <w:bCs/>
        </w:rPr>
        <w:t>2</w:t>
      </w:r>
      <w:r w:rsidRPr="006B18AC">
        <w:rPr>
          <w:b/>
          <w:bCs/>
        </w:rPr>
        <w:t>:</w:t>
      </w:r>
      <w:r>
        <w:rPr>
          <w:b/>
          <w:bCs/>
        </w:rPr>
        <w:t xml:space="preserve"> gNb should indicate a s</w:t>
      </w:r>
      <w:r w:rsidRPr="006B18AC">
        <w:rPr>
          <w:b/>
          <w:bCs/>
        </w:rPr>
        <w:t xml:space="preserve">ide information on the number of </w:t>
      </w:r>
      <w:r>
        <w:rPr>
          <w:b/>
          <w:bCs/>
        </w:rPr>
        <w:t>b</w:t>
      </w:r>
      <w:r w:rsidRPr="006B18AC">
        <w:rPr>
          <w:b/>
          <w:bCs/>
        </w:rPr>
        <w:t xml:space="preserve">eams </w:t>
      </w:r>
      <w:r>
        <w:rPr>
          <w:b/>
          <w:bCs/>
        </w:rPr>
        <w:t>supported on the access link.</w:t>
      </w:r>
    </w:p>
    <w:p w14:paraId="1EF96E7F" w14:textId="77777777" w:rsidR="00BB1EC5" w:rsidRDefault="00BB1EC5" w:rsidP="00BB1EC5">
      <w:pPr>
        <w:spacing w:before="100" w:beforeAutospacing="1"/>
        <w:rPr>
          <w:b/>
          <w:bCs/>
        </w:rPr>
      </w:pPr>
      <w:r w:rsidRPr="006B18AC">
        <w:rPr>
          <w:b/>
          <w:bCs/>
        </w:rPr>
        <w:t xml:space="preserve">Proposal </w:t>
      </w:r>
      <w:r>
        <w:rPr>
          <w:b/>
          <w:bCs/>
        </w:rPr>
        <w:t>3</w:t>
      </w:r>
      <w:r w:rsidRPr="006B18AC">
        <w:rPr>
          <w:b/>
          <w:bCs/>
        </w:rPr>
        <w:t>:</w:t>
      </w:r>
      <w:r>
        <w:rPr>
          <w:b/>
          <w:bCs/>
        </w:rPr>
        <w:t xml:space="preserve"> S</w:t>
      </w:r>
      <w:r w:rsidRPr="006B18AC">
        <w:rPr>
          <w:b/>
          <w:bCs/>
        </w:rPr>
        <w:t xml:space="preserve">ide information on the </w:t>
      </w:r>
      <w:r>
        <w:rPr>
          <w:b/>
          <w:bCs/>
        </w:rPr>
        <w:t>SSB configuration at NCR for the access link can be considered.</w:t>
      </w:r>
    </w:p>
    <w:p w14:paraId="1269BCDF" w14:textId="77777777" w:rsidR="00BB1EC5" w:rsidRPr="006B18AC" w:rsidRDefault="00BB1EC5" w:rsidP="00BB1EC5">
      <w:pPr>
        <w:spacing w:before="100" w:beforeAutospacing="1"/>
        <w:rPr>
          <w:b/>
          <w:bCs/>
        </w:rPr>
      </w:pPr>
      <w:r w:rsidRPr="006B18AC">
        <w:rPr>
          <w:b/>
          <w:bCs/>
        </w:rPr>
        <w:t xml:space="preserve">Proposal </w:t>
      </w:r>
      <w:r>
        <w:rPr>
          <w:b/>
          <w:bCs/>
        </w:rPr>
        <w:t>4</w:t>
      </w:r>
      <w:r w:rsidRPr="006B18AC">
        <w:rPr>
          <w:b/>
          <w:bCs/>
        </w:rPr>
        <w:t>: The NCR SSB transmission may follow the same SSB structure as gNB</w:t>
      </w:r>
      <w:r>
        <w:rPr>
          <w:b/>
          <w:bCs/>
        </w:rPr>
        <w:t xml:space="preserve"> with side information on the forwarding delay and beam index pattern.</w:t>
      </w:r>
    </w:p>
    <w:p w14:paraId="773DC402" w14:textId="77777777" w:rsidR="00EF07EE" w:rsidRPr="00D76AF3" w:rsidRDefault="00EF07EE" w:rsidP="00EF07EE">
      <w:pPr>
        <w:spacing w:before="100" w:beforeAutospacing="1"/>
        <w:rPr>
          <w:b/>
          <w:bCs/>
        </w:rPr>
      </w:pPr>
      <w:r w:rsidRPr="00D76AF3">
        <w:rPr>
          <w:b/>
          <w:bCs/>
        </w:rPr>
        <w:t xml:space="preserve">Proposal </w:t>
      </w:r>
      <w:r>
        <w:rPr>
          <w:b/>
          <w:bCs/>
        </w:rPr>
        <w:t>5</w:t>
      </w:r>
      <w:r w:rsidRPr="00D76AF3">
        <w:rPr>
          <w:b/>
          <w:bCs/>
        </w:rPr>
        <w:t xml:space="preserve">: </w:t>
      </w:r>
      <w:r>
        <w:rPr>
          <w:b/>
          <w:bCs/>
        </w:rPr>
        <w:t xml:space="preserve">A unified solution with </w:t>
      </w:r>
      <w:r w:rsidRPr="00D76AF3">
        <w:rPr>
          <w:b/>
          <w:bCs/>
        </w:rPr>
        <w:t xml:space="preserve">dynamic ON/OFF indication can be </w:t>
      </w:r>
      <w:r>
        <w:rPr>
          <w:b/>
          <w:bCs/>
        </w:rPr>
        <w:t>supported in the flexible symbols</w:t>
      </w:r>
      <w:r w:rsidRPr="00D76AF3">
        <w:rPr>
          <w:b/>
          <w:bCs/>
        </w:rPr>
        <w:t>.</w:t>
      </w:r>
    </w:p>
    <w:p w14:paraId="2B012E99" w14:textId="77777777" w:rsidR="00F357C5" w:rsidRDefault="00F357C5" w:rsidP="00F357C5">
      <w:pPr>
        <w:overflowPunct w:val="0"/>
        <w:autoSpaceDE w:val="0"/>
        <w:autoSpaceDN w:val="0"/>
        <w:adjustRightInd w:val="0"/>
        <w:spacing w:before="100" w:beforeAutospacing="1"/>
        <w:jc w:val="left"/>
        <w:textAlignment w:val="baseline"/>
        <w:rPr>
          <w:b/>
          <w:bCs/>
          <w:lang w:val="en-US"/>
        </w:rPr>
      </w:pPr>
      <w:r w:rsidRPr="006B18AC">
        <w:rPr>
          <w:b/>
          <w:bCs/>
          <w:lang w:val="en-US"/>
        </w:rPr>
        <w:t xml:space="preserve">Proposal </w:t>
      </w:r>
      <w:r>
        <w:rPr>
          <w:b/>
          <w:bCs/>
          <w:lang w:val="en-US"/>
        </w:rPr>
        <w:t>6</w:t>
      </w:r>
      <w:r w:rsidRPr="006B18AC">
        <w:rPr>
          <w:b/>
          <w:bCs/>
          <w:lang w:val="en-US"/>
        </w:rPr>
        <w:t xml:space="preserve">: Side information on </w:t>
      </w:r>
      <w:r>
        <w:rPr>
          <w:b/>
          <w:bCs/>
          <w:lang w:val="en-US"/>
        </w:rPr>
        <w:t xml:space="preserve">additional </w:t>
      </w:r>
      <w:r w:rsidRPr="006B18AC">
        <w:rPr>
          <w:b/>
          <w:bCs/>
          <w:lang w:val="en-US"/>
        </w:rPr>
        <w:t xml:space="preserve">NCR configuration can be configured to determine the allocation </w:t>
      </w:r>
      <w:r>
        <w:rPr>
          <w:b/>
          <w:bCs/>
          <w:lang w:val="en-US"/>
        </w:rPr>
        <w:t xml:space="preserve">of </w:t>
      </w:r>
      <w:r w:rsidRPr="006B18AC">
        <w:rPr>
          <w:b/>
          <w:bCs/>
          <w:lang w:val="en-US"/>
        </w:rPr>
        <w:t>access link slot</w:t>
      </w:r>
      <w:r>
        <w:rPr>
          <w:b/>
          <w:bCs/>
          <w:lang w:val="en-US"/>
        </w:rPr>
        <w:t>s/symbols under the serving cell UL/DL configurations.</w:t>
      </w:r>
    </w:p>
    <w:p w14:paraId="5A36B448" w14:textId="77777777" w:rsidR="0004013C" w:rsidRPr="006B18AC" w:rsidRDefault="0004013C" w:rsidP="00A92AD9">
      <w:pPr>
        <w:overflowPunct w:val="0"/>
        <w:autoSpaceDE w:val="0"/>
        <w:autoSpaceDN w:val="0"/>
        <w:adjustRightInd w:val="0"/>
        <w:spacing w:before="100" w:beforeAutospacing="1"/>
        <w:jc w:val="left"/>
        <w:textAlignment w:val="baseline"/>
        <w:rPr>
          <w:b/>
          <w:bCs/>
          <w:lang w:val="en-US"/>
        </w:rPr>
      </w:pPr>
    </w:p>
    <w:p w14:paraId="7DC49169" w14:textId="77777777" w:rsidR="0096105B" w:rsidRPr="006B18AC" w:rsidRDefault="0096105B" w:rsidP="00A06BAE">
      <w:pPr>
        <w:pStyle w:val="Heading1"/>
        <w:spacing w:before="100" w:beforeAutospacing="1" w:afterLines="0" w:afterAutospacing="1"/>
        <w:rPr>
          <w:lang w:val="en-US"/>
        </w:rPr>
      </w:pPr>
      <w:r w:rsidRPr="006B18AC">
        <w:rPr>
          <w:lang w:val="en-US"/>
        </w:rPr>
        <w:t>References</w:t>
      </w:r>
    </w:p>
    <w:p w14:paraId="6BBE0393" w14:textId="3DFC9FCF" w:rsidR="0016514D" w:rsidRPr="00CE024D" w:rsidRDefault="0016514D" w:rsidP="0016514D">
      <w:pPr>
        <w:pStyle w:val="ListParagraph"/>
        <w:numPr>
          <w:ilvl w:val="0"/>
          <w:numId w:val="24"/>
        </w:numPr>
        <w:spacing w:before="100" w:beforeAutospacing="1"/>
        <w:ind w:firstLineChars="0"/>
        <w:rPr>
          <w:rFonts w:eastAsia="Malgun Gothic" w:cs="Times"/>
          <w:lang w:eastAsia="zh-CN"/>
        </w:rPr>
      </w:pPr>
      <w:bookmarkStart w:id="3" w:name="_Ref115264835"/>
      <w:bookmarkStart w:id="4" w:name="_Ref111107926"/>
      <w:r w:rsidRPr="0016514D">
        <w:rPr>
          <w:rFonts w:eastAsia="Malgun Gothic" w:cs="Times"/>
          <w:lang w:eastAsia="zh-CN"/>
        </w:rPr>
        <w:t>RP-222673</w:t>
      </w:r>
      <w:r>
        <w:rPr>
          <w:rFonts w:eastAsia="Malgun Gothic" w:cs="Times"/>
          <w:lang w:eastAsia="zh-CN"/>
        </w:rPr>
        <w:t>,</w:t>
      </w:r>
      <w:r w:rsidRPr="0016514D">
        <w:t xml:space="preserve"> </w:t>
      </w:r>
      <w:r w:rsidRPr="0016514D">
        <w:rPr>
          <w:rFonts w:eastAsia="Malgun Gothic" w:cs="Times"/>
          <w:lang w:eastAsia="zh-CN"/>
        </w:rPr>
        <w:t>New WID on NR network-controlled repeaters</w:t>
      </w:r>
      <w:bookmarkEnd w:id="3"/>
    </w:p>
    <w:p w14:paraId="6E7DDB00" w14:textId="210F8254" w:rsidR="00510D42" w:rsidRPr="0016514D" w:rsidRDefault="006B18AC" w:rsidP="00A06BAE">
      <w:pPr>
        <w:pStyle w:val="ListParagraph"/>
        <w:numPr>
          <w:ilvl w:val="0"/>
          <w:numId w:val="24"/>
        </w:numPr>
        <w:spacing w:before="100" w:beforeAutospacing="1"/>
        <w:ind w:firstLineChars="0"/>
        <w:rPr>
          <w:rFonts w:eastAsia="Malgun Gothic" w:cs="Times"/>
          <w:lang w:eastAsia="zh-CN"/>
        </w:rPr>
      </w:pPr>
      <w:bookmarkStart w:id="5" w:name="_Ref115264875"/>
      <w:r w:rsidRPr="00CE024D">
        <w:rPr>
          <w:bCs/>
          <w:noProof/>
        </w:rPr>
        <w:t>Draft Report of 3GPP TSG RAN WG1 #1</w:t>
      </w:r>
      <w:r w:rsidR="0016514D">
        <w:rPr>
          <w:bCs/>
          <w:noProof/>
        </w:rPr>
        <w:t>10</w:t>
      </w:r>
      <w:r w:rsidRPr="00CE024D">
        <w:rPr>
          <w:bCs/>
          <w:noProof/>
        </w:rPr>
        <w:t xml:space="preserve"> v0.2.0</w:t>
      </w:r>
      <w:bookmarkEnd w:id="5"/>
      <w:r w:rsidRPr="00CE024D">
        <w:rPr>
          <w:bCs/>
          <w:noProof/>
        </w:rPr>
        <w:t xml:space="preserve"> </w:t>
      </w:r>
      <w:bookmarkEnd w:id="4"/>
    </w:p>
    <w:p w14:paraId="1288B91E" w14:textId="77777777" w:rsidR="0016514D" w:rsidRPr="00893666" w:rsidRDefault="0016514D" w:rsidP="00893666">
      <w:pPr>
        <w:spacing w:before="100" w:beforeAutospacing="1"/>
        <w:rPr>
          <w:rFonts w:eastAsia="Malgun Gothic" w:cs="Times"/>
          <w:lang w:eastAsia="zh-CN"/>
        </w:rPr>
      </w:pPr>
    </w:p>
    <w:sectPr w:rsidR="0016514D" w:rsidRPr="00893666"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D92B" w14:textId="77777777" w:rsidR="00B438CE" w:rsidRDefault="00B438CE">
      <w:r>
        <w:separator/>
      </w:r>
    </w:p>
  </w:endnote>
  <w:endnote w:type="continuationSeparator" w:id="0">
    <w:p w14:paraId="641A8B84" w14:textId="77777777" w:rsidR="00B438CE" w:rsidRDefault="00B4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ED7D" w14:textId="77777777" w:rsidR="00B438CE" w:rsidRDefault="00B438CE">
      <w:r>
        <w:separator/>
      </w:r>
    </w:p>
  </w:footnote>
  <w:footnote w:type="continuationSeparator" w:id="0">
    <w:p w14:paraId="152CE67B" w14:textId="77777777" w:rsidR="00B438CE" w:rsidRDefault="00B43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772F87"/>
    <w:multiLevelType w:val="hybridMultilevel"/>
    <w:tmpl w:val="0A827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524BE"/>
    <w:multiLevelType w:val="hybridMultilevel"/>
    <w:tmpl w:val="9D2E7082"/>
    <w:lvl w:ilvl="0" w:tplc="0DE090DA">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93497"/>
    <w:multiLevelType w:val="hybridMultilevel"/>
    <w:tmpl w:val="F7540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3E1BE2"/>
    <w:multiLevelType w:val="hybridMultilevel"/>
    <w:tmpl w:val="DFC4F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F2424A"/>
    <w:multiLevelType w:val="hybridMultilevel"/>
    <w:tmpl w:val="AC9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0A63C0"/>
    <w:multiLevelType w:val="hybridMultilevel"/>
    <w:tmpl w:val="2B2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85659E"/>
    <w:multiLevelType w:val="hybridMultilevel"/>
    <w:tmpl w:val="EDEAEBD4"/>
    <w:lvl w:ilvl="0" w:tplc="A0AEA9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29"/>
  </w:num>
  <w:num w:numId="2" w16cid:durableId="1140464625">
    <w:abstractNumId w:val="4"/>
  </w:num>
  <w:num w:numId="3" w16cid:durableId="1198548309">
    <w:abstractNumId w:val="9"/>
  </w:num>
  <w:num w:numId="4" w16cid:durableId="1939217434">
    <w:abstractNumId w:val="30"/>
  </w:num>
  <w:num w:numId="5" w16cid:durableId="1231968142">
    <w:abstractNumId w:val="21"/>
  </w:num>
  <w:num w:numId="6" w16cid:durableId="992757256">
    <w:abstractNumId w:val="23"/>
  </w:num>
  <w:num w:numId="7" w16cid:durableId="1922522435">
    <w:abstractNumId w:val="17"/>
  </w:num>
  <w:num w:numId="8" w16cid:durableId="1949462946">
    <w:abstractNumId w:val="2"/>
  </w:num>
  <w:num w:numId="9" w16cid:durableId="1807427515">
    <w:abstractNumId w:val="31"/>
  </w:num>
  <w:num w:numId="10" w16cid:durableId="466167485">
    <w:abstractNumId w:val="14"/>
  </w:num>
  <w:num w:numId="11" w16cid:durableId="1106803005">
    <w:abstractNumId w:val="0"/>
  </w:num>
  <w:num w:numId="12" w16cid:durableId="917323538">
    <w:abstractNumId w:val="16"/>
  </w:num>
  <w:num w:numId="13" w16cid:durableId="1901474489">
    <w:abstractNumId w:val="13"/>
  </w:num>
  <w:num w:numId="14" w16cid:durableId="1461724986">
    <w:abstractNumId w:val="33"/>
  </w:num>
  <w:num w:numId="15" w16cid:durableId="964384076">
    <w:abstractNumId w:val="25"/>
  </w:num>
  <w:num w:numId="16" w16cid:durableId="766654519">
    <w:abstractNumId w:val="18"/>
  </w:num>
  <w:num w:numId="17" w16cid:durableId="1368485945">
    <w:abstractNumId w:val="7"/>
  </w:num>
  <w:num w:numId="18" w16cid:durableId="989673619">
    <w:abstractNumId w:val="6"/>
  </w:num>
  <w:num w:numId="19" w16cid:durableId="923223656">
    <w:abstractNumId w:val="10"/>
  </w:num>
  <w:num w:numId="20" w16cid:durableId="1615402981">
    <w:abstractNumId w:val="19"/>
  </w:num>
  <w:num w:numId="21" w16cid:durableId="1231502026">
    <w:abstractNumId w:val="32"/>
  </w:num>
  <w:num w:numId="22" w16cid:durableId="501967244">
    <w:abstractNumId w:val="27"/>
  </w:num>
  <w:num w:numId="23" w16cid:durableId="13725104">
    <w:abstractNumId w:val="8"/>
  </w:num>
  <w:num w:numId="24" w16cid:durableId="1333097367">
    <w:abstractNumId w:val="22"/>
  </w:num>
  <w:num w:numId="25" w16cid:durableId="474496457">
    <w:abstractNumId w:val="5"/>
  </w:num>
  <w:num w:numId="26" w16cid:durableId="1674994219">
    <w:abstractNumId w:val="3"/>
  </w:num>
  <w:num w:numId="27" w16cid:durableId="1723360182">
    <w:abstractNumId w:val="11"/>
  </w:num>
  <w:num w:numId="28" w16cid:durableId="2140222215">
    <w:abstractNumId w:val="20"/>
  </w:num>
  <w:num w:numId="29" w16cid:durableId="286206813">
    <w:abstractNumId w:val="28"/>
  </w:num>
  <w:num w:numId="30" w16cid:durableId="1498812711">
    <w:abstractNumId w:val="26"/>
  </w:num>
  <w:num w:numId="31" w16cid:durableId="1088648164">
    <w:abstractNumId w:val="24"/>
  </w:num>
  <w:num w:numId="32" w16cid:durableId="467014239">
    <w:abstractNumId w:val="1"/>
  </w:num>
  <w:num w:numId="33" w16cid:durableId="1188954910">
    <w:abstractNumId w:val="12"/>
  </w:num>
  <w:num w:numId="34" w16cid:durableId="30855804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4D43"/>
    <w:rsid w:val="000356EC"/>
    <w:rsid w:val="00035799"/>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4B9"/>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2E3D"/>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C32"/>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553"/>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8CE"/>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F71"/>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57C5"/>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3CD5"/>
    <w:rsid w:val="00FB4109"/>
    <w:rsid w:val="00FB5825"/>
    <w:rsid w:val="00FB5915"/>
    <w:rsid w:val="00FB605E"/>
    <w:rsid w:val="00FB63D5"/>
    <w:rsid w:val="00FB69C7"/>
    <w:rsid w:val="00FB6FB9"/>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1470</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2</cp:revision>
  <cp:lastPrinted>2013-09-26T07:23:00Z</cp:lastPrinted>
  <dcterms:created xsi:type="dcterms:W3CDTF">2022-09-29T22:39:00Z</dcterms:created>
  <dcterms:modified xsi:type="dcterms:W3CDTF">2022-09-29T22:39:00Z</dcterms:modified>
</cp:coreProperties>
</file>