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77470" w:rsidRDefault="00177470" w:rsidP="00177470">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10</w:t>
      </w:r>
      <w:r>
        <w:rPr>
          <w:rFonts w:ascii="Arial" w:hAnsi="Arial" w:cs="Arial"/>
          <w:b/>
          <w:bCs/>
          <w:sz w:val="22"/>
          <w:szCs w:val="22"/>
        </w:rPr>
        <w:t>bis-e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2208722</w:t>
      </w:r>
    </w:p>
    <w:p w:rsidR="00177470" w:rsidRDefault="00177470" w:rsidP="00177470">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October </w:t>
      </w:r>
      <w:r>
        <w:rPr>
          <w:rFonts w:ascii="Arial" w:eastAsia="MS Mincho" w:hAnsi="Arial" w:cs="Arial"/>
          <w:b/>
          <w:bCs/>
          <w:sz w:val="22"/>
          <w:szCs w:val="22"/>
          <w:lang w:eastAsia="ja-JP"/>
        </w:rPr>
        <w:t>10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19</w:t>
      </w:r>
      <w:r>
        <w:rPr>
          <w:rFonts w:ascii="Arial" w:eastAsia="MS Mincho" w:hAnsi="Arial" w:cs="Arial"/>
          <w:b/>
          <w:bCs/>
          <w:sz w:val="22"/>
          <w:szCs w:val="22"/>
          <w:vertAlign w:val="superscript"/>
          <w:lang w:eastAsia="ja-JP"/>
        </w:rPr>
        <w:t>th</w:t>
      </w:r>
      <w:r>
        <w:rPr>
          <w:rFonts w:ascii="Arial" w:hAnsi="Arial" w:cs="Arial"/>
          <w:b/>
          <w:bCs/>
          <w:sz w:val="22"/>
          <w:szCs w:val="22"/>
          <w:lang w:eastAsia="ja-JP"/>
        </w:rPr>
        <w:t>, 2022</w:t>
      </w:r>
    </w:p>
    <w:p w:rsidR="00177470" w:rsidRDefault="00177470" w:rsidP="00177470">
      <w:pPr>
        <w:pStyle w:val="Arial1101987050"/>
        <w:spacing w:before="120" w:after="120"/>
        <w:rPr>
          <w:rFonts w:eastAsiaTheme="minorEastAsia"/>
        </w:rPr>
      </w:pPr>
    </w:p>
    <w:p w:rsidR="00177470" w:rsidRDefault="00177470" w:rsidP="00177470">
      <w:pPr>
        <w:pStyle w:val="Arial1101987050"/>
        <w:spacing w:before="120" w:after="120"/>
      </w:pPr>
      <w:r>
        <w:t>Agenda item:</w:t>
      </w:r>
      <w:r>
        <w:tab/>
      </w:r>
      <w:r>
        <w:rPr>
          <w:rFonts w:hint="eastAsia"/>
          <w:szCs w:val="22"/>
        </w:rPr>
        <w:t>9.4.1.1</w:t>
      </w:r>
    </w:p>
    <w:p w:rsidR="00177470" w:rsidRDefault="00177470" w:rsidP="00177470">
      <w:pPr>
        <w:pStyle w:val="Arial1101987050"/>
        <w:spacing w:before="120" w:after="120"/>
        <w:rPr>
          <w:rFonts w:eastAsiaTheme="minorEastAsia"/>
        </w:rPr>
      </w:pPr>
      <w:r>
        <w:t xml:space="preserve">Source: </w:t>
      </w:r>
      <w:r>
        <w:tab/>
        <w:t>ZTE</w:t>
      </w:r>
      <w:r>
        <w:rPr>
          <w:rFonts w:hint="eastAsia"/>
        </w:rPr>
        <w:t>, Sanechips</w:t>
      </w:r>
    </w:p>
    <w:p w:rsidR="00177470" w:rsidRDefault="00177470" w:rsidP="00177470">
      <w:pPr>
        <w:pStyle w:val="Arial1101987050"/>
        <w:spacing w:before="120" w:after="120"/>
      </w:pPr>
      <w:r>
        <w:t xml:space="preserve">Title: </w:t>
      </w:r>
      <w:r>
        <w:tab/>
      </w:r>
      <w:r>
        <w:rPr>
          <w:rFonts w:hint="eastAsia"/>
          <w:szCs w:val="22"/>
        </w:rPr>
        <w:t>Discussion on channel access mechanism for SL-U</w:t>
      </w:r>
    </w:p>
    <w:p w:rsidR="00177470" w:rsidRDefault="00177470" w:rsidP="00177470">
      <w:pPr>
        <w:pStyle w:val="Arial1101987050"/>
        <w:spacing w:before="120" w:after="120"/>
      </w:pPr>
      <w:r>
        <w:t>Document for:</w:t>
      </w:r>
      <w:r>
        <w:tab/>
      </w:r>
      <w:r>
        <w:rPr>
          <w:rFonts w:hint="eastAsia"/>
        </w:rPr>
        <w:t>Discussion</w:t>
      </w:r>
      <w:r>
        <w:t xml:space="preserve"> and decision</w:t>
      </w:r>
    </w:p>
    <w:p w:rsidR="00177470" w:rsidRDefault="00177470" w:rsidP="00177470">
      <w:pPr>
        <w:pStyle w:val="1"/>
        <w:numPr>
          <w:ilvl w:val="0"/>
          <w:numId w:val="8"/>
        </w:numPr>
        <w:spacing w:before="120" w:afterLines="0"/>
        <w:ind w:left="0"/>
      </w:pPr>
      <w:r>
        <w:rPr>
          <w:rFonts w:hint="eastAsia"/>
        </w:rPr>
        <w:t>Introduction</w:t>
      </w:r>
    </w:p>
    <w:p w:rsidR="00177470" w:rsidRDefault="00177470" w:rsidP="00177470">
      <w:pPr>
        <w:spacing w:before="120" w:after="120" w:line="276" w:lineRule="auto"/>
      </w:pPr>
      <w:r>
        <w:rPr>
          <w:rFonts w:hint="eastAsia"/>
        </w:rPr>
        <w:t xml:space="preserve">In this contribution, </w:t>
      </w:r>
      <w:r>
        <w:t>analys</w:t>
      </w:r>
      <w:r>
        <w:rPr>
          <w:rFonts w:hint="eastAsia"/>
        </w:rPr>
        <w:t>i</w:t>
      </w:r>
      <w:r>
        <w:t xml:space="preserve">s and proposals </w:t>
      </w:r>
      <w:r>
        <w:rPr>
          <w:rFonts w:hint="eastAsia"/>
        </w:rPr>
        <w:t>for c</w:t>
      </w:r>
      <w:r>
        <w:t xml:space="preserve">hannel access mechanism </w:t>
      </w:r>
      <w:r>
        <w:rPr>
          <w:rFonts w:hint="eastAsia"/>
        </w:rPr>
        <w:t xml:space="preserve">for SL-U </w:t>
      </w:r>
      <w:r>
        <w:t>are presented</w:t>
      </w:r>
      <w:r>
        <w:rPr>
          <w:rFonts w:hint="eastAsia"/>
        </w:rPr>
        <w:t>, including details on dynamic channel access mechanism, UE-UE COT sharing, resource allocation and evaluation methodology for SL-U</w:t>
      </w:r>
      <w:r>
        <w:t>,</w:t>
      </w:r>
      <w:r>
        <w:rPr>
          <w:rFonts w:hint="eastAsia"/>
        </w:rPr>
        <w:t xml:space="preserve"> etc.</w:t>
      </w:r>
    </w:p>
    <w:p w:rsidR="00177470" w:rsidRDefault="00177470" w:rsidP="00177470">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Dynamic channel access mechanism</w:t>
      </w:r>
    </w:p>
    <w:p w:rsidR="00177470" w:rsidRDefault="00177470" w:rsidP="00177470">
      <w:pPr>
        <w:pStyle w:val="2"/>
        <w:numPr>
          <w:ilvl w:val="1"/>
          <w:numId w:val="8"/>
        </w:numPr>
        <w:tabs>
          <w:tab w:val="left" w:pos="-4820"/>
        </w:tabs>
        <w:ind w:left="0"/>
      </w:pPr>
      <w:r>
        <w:rPr>
          <w:rFonts w:hint="eastAsia"/>
        </w:rPr>
        <w:t>Types of channel access</w:t>
      </w:r>
    </w:p>
    <w:p w:rsidR="00177470" w:rsidRDefault="00177470" w:rsidP="00177470">
      <w:pPr>
        <w:spacing w:before="120" w:after="120" w:line="276" w:lineRule="auto"/>
      </w:pPr>
      <w:r>
        <w:rPr>
          <w:rFonts w:hint="eastAsia"/>
        </w:rPr>
        <w:t>In RAN1 #110 meeting, the following conclusions were agreed for different types of dynamic channel access procedures.</w:t>
      </w:r>
    </w:p>
    <w:tbl>
      <w:tblPr>
        <w:tblStyle w:val="a8"/>
        <w:tblW w:w="0" w:type="auto"/>
        <w:tblLook w:val="04A0"/>
      </w:tblPr>
      <w:tblGrid>
        <w:gridCol w:w="9876"/>
      </w:tblGrid>
      <w:tr w:rsidR="00177470" w:rsidTr="00F02129">
        <w:tc>
          <w:tcPr>
            <w:tcW w:w="9876" w:type="dxa"/>
          </w:tcPr>
          <w:p w:rsidR="00177470" w:rsidRDefault="00177470" w:rsidP="00F02129">
            <w:pPr>
              <w:autoSpaceDE w:val="0"/>
              <w:autoSpaceDN w:val="0"/>
              <w:spacing w:before="120" w:after="120"/>
              <w:rPr>
                <w:rFonts w:ascii="Calibri" w:hAnsi="Calibri" w:cs="Calibri"/>
              </w:rPr>
            </w:pPr>
            <w:r>
              <w:rPr>
                <w:rFonts w:ascii="Calibri" w:hAnsi="Calibri" w:cs="Calibri"/>
                <w:b/>
                <w:bCs/>
                <w:highlight w:val="green"/>
              </w:rPr>
              <w:t>Agreement</w:t>
            </w:r>
          </w:p>
          <w:p w:rsidR="00177470" w:rsidRDefault="00177470" w:rsidP="00F02129">
            <w:pPr>
              <w:pStyle w:val="a9"/>
              <w:numPr>
                <w:ilvl w:val="0"/>
                <w:numId w:val="9"/>
              </w:numPr>
              <w:autoSpaceDE w:val="0"/>
              <w:autoSpaceDN w:val="0"/>
              <w:spacing w:after="120" w:line="259" w:lineRule="auto"/>
              <w:rPr>
                <w:sz w:val="20"/>
                <w:szCs w:val="20"/>
              </w:rPr>
            </w:pPr>
            <w:r>
              <w:rPr>
                <w:sz w:val="20"/>
                <w:szCs w:val="20"/>
              </w:rPr>
              <w:t>Type 2A/2B/2C SL channel access procedures</w:t>
            </w:r>
          </w:p>
          <w:p w:rsidR="00177470" w:rsidRDefault="00177470" w:rsidP="00F02129">
            <w:pPr>
              <w:pStyle w:val="a9"/>
              <w:numPr>
                <w:ilvl w:val="1"/>
                <w:numId w:val="9"/>
              </w:numPr>
              <w:autoSpaceDE w:val="0"/>
              <w:autoSpaceDN w:val="0"/>
              <w:spacing w:after="120" w:line="259" w:lineRule="auto"/>
              <w:rPr>
                <w:sz w:val="20"/>
                <w:szCs w:val="20"/>
              </w:rPr>
            </w:pPr>
            <w:r>
              <w:rPr>
                <w:sz w:val="20"/>
                <w:szCs w:val="20"/>
              </w:rPr>
              <w:t>Type 2A channel access procedure is applicable to the following case:</w:t>
            </w:r>
          </w:p>
          <w:p w:rsidR="00177470" w:rsidRDefault="00177470" w:rsidP="00F02129">
            <w:pPr>
              <w:pStyle w:val="a9"/>
              <w:numPr>
                <w:ilvl w:val="2"/>
                <w:numId w:val="9"/>
              </w:numPr>
              <w:autoSpaceDE w:val="0"/>
              <w:autoSpaceDN w:val="0"/>
              <w:spacing w:after="120" w:line="259" w:lineRule="auto"/>
              <w:rPr>
                <w:sz w:val="20"/>
                <w:szCs w:val="20"/>
              </w:rPr>
            </w:pPr>
            <w:r>
              <w:rPr>
                <w:sz w:val="20"/>
                <w:szCs w:val="20"/>
              </w:rPr>
              <w:t>Transmission(s) by a UE following transmission(s) by another UE for a gap ≥ 25μs in a shared channel occupancy</w:t>
            </w:r>
          </w:p>
          <w:p w:rsidR="00177470" w:rsidRDefault="00177470" w:rsidP="00F02129">
            <w:pPr>
              <w:pStyle w:val="a9"/>
              <w:numPr>
                <w:ilvl w:val="2"/>
                <w:numId w:val="9"/>
              </w:numPr>
              <w:autoSpaceDE w:val="0"/>
              <w:autoSpaceDN w:val="0"/>
              <w:spacing w:after="120" w:line="259" w:lineRule="auto"/>
              <w:rPr>
                <w:sz w:val="20"/>
                <w:szCs w:val="20"/>
              </w:rPr>
            </w:pPr>
            <w:r>
              <w:rPr>
                <w:sz w:val="20"/>
                <w:szCs w:val="20"/>
              </w:rPr>
              <w:t>FFS any other transmission by a UE (e.g., other than COT sharing)</w:t>
            </w:r>
          </w:p>
          <w:p w:rsidR="00177470" w:rsidRDefault="00177470" w:rsidP="00F02129">
            <w:pPr>
              <w:pStyle w:val="a9"/>
              <w:numPr>
                <w:ilvl w:val="2"/>
                <w:numId w:val="9"/>
              </w:numPr>
              <w:autoSpaceDE w:val="0"/>
              <w:autoSpaceDN w:val="0"/>
              <w:spacing w:after="120" w:line="259" w:lineRule="auto"/>
              <w:rPr>
                <w:sz w:val="20"/>
                <w:szCs w:val="20"/>
              </w:rPr>
            </w:pPr>
            <w:r>
              <w:rPr>
                <w:sz w:val="20"/>
                <w:szCs w:val="20"/>
              </w:rPr>
              <w:t>FFS whether Type 2A is used also for the case of short control signalling transmission</w:t>
            </w:r>
          </w:p>
          <w:p w:rsidR="00177470" w:rsidRDefault="00177470" w:rsidP="00F02129">
            <w:pPr>
              <w:pStyle w:val="a9"/>
              <w:numPr>
                <w:ilvl w:val="1"/>
                <w:numId w:val="9"/>
              </w:numPr>
              <w:autoSpaceDE w:val="0"/>
              <w:autoSpaceDN w:val="0"/>
              <w:spacing w:after="120" w:line="259" w:lineRule="auto"/>
              <w:rPr>
                <w:sz w:val="20"/>
                <w:szCs w:val="20"/>
              </w:rPr>
            </w:pPr>
            <w:r>
              <w:rPr>
                <w:sz w:val="20"/>
                <w:szCs w:val="20"/>
              </w:rPr>
              <w:t>Type 2B channel access procedure is applicable to the following case:</w:t>
            </w:r>
          </w:p>
          <w:p w:rsidR="00177470" w:rsidRDefault="00177470" w:rsidP="00F02129">
            <w:pPr>
              <w:pStyle w:val="a9"/>
              <w:numPr>
                <w:ilvl w:val="2"/>
                <w:numId w:val="9"/>
              </w:numPr>
              <w:autoSpaceDE w:val="0"/>
              <w:autoSpaceDN w:val="0"/>
              <w:spacing w:after="120" w:line="259" w:lineRule="auto"/>
              <w:rPr>
                <w:sz w:val="20"/>
                <w:szCs w:val="20"/>
              </w:rPr>
            </w:pPr>
            <w:r>
              <w:rPr>
                <w:sz w:val="20"/>
                <w:szCs w:val="20"/>
              </w:rPr>
              <w:t>Transmission(s) by a UE following transmission(s) by another UE at least when the gap is 16μs in a shared channel occupancy</w:t>
            </w:r>
          </w:p>
          <w:p w:rsidR="00177470" w:rsidRDefault="00177470" w:rsidP="00F02129">
            <w:pPr>
              <w:pStyle w:val="a9"/>
              <w:numPr>
                <w:ilvl w:val="2"/>
                <w:numId w:val="9"/>
              </w:numPr>
              <w:autoSpaceDE w:val="0"/>
              <w:autoSpaceDN w:val="0"/>
              <w:spacing w:after="120" w:line="259" w:lineRule="auto"/>
              <w:rPr>
                <w:sz w:val="20"/>
                <w:szCs w:val="20"/>
              </w:rPr>
            </w:pPr>
            <w:r>
              <w:rPr>
                <w:sz w:val="20"/>
                <w:szCs w:val="20"/>
              </w:rPr>
              <w:t>FFS the case when the gap is between 16 and 25us</w:t>
            </w:r>
          </w:p>
          <w:p w:rsidR="00177470" w:rsidRDefault="00177470" w:rsidP="00F02129">
            <w:pPr>
              <w:pStyle w:val="a9"/>
              <w:numPr>
                <w:ilvl w:val="2"/>
                <w:numId w:val="9"/>
              </w:numPr>
              <w:autoSpaceDE w:val="0"/>
              <w:autoSpaceDN w:val="0"/>
              <w:spacing w:after="120" w:line="259" w:lineRule="auto"/>
              <w:rPr>
                <w:sz w:val="20"/>
                <w:szCs w:val="20"/>
              </w:rPr>
            </w:pPr>
            <w:r>
              <w:rPr>
                <w:sz w:val="20"/>
                <w:szCs w:val="20"/>
              </w:rPr>
              <w:t>FFS any other transmission by a UE (e.g., other than COT sharing)</w:t>
            </w:r>
          </w:p>
          <w:p w:rsidR="00177470" w:rsidRDefault="00177470" w:rsidP="00F02129">
            <w:pPr>
              <w:pStyle w:val="a9"/>
              <w:numPr>
                <w:ilvl w:val="1"/>
                <w:numId w:val="9"/>
              </w:numPr>
              <w:autoSpaceDE w:val="0"/>
              <w:autoSpaceDN w:val="0"/>
              <w:spacing w:after="120" w:line="259" w:lineRule="auto"/>
              <w:rPr>
                <w:sz w:val="20"/>
                <w:szCs w:val="20"/>
              </w:rPr>
            </w:pPr>
            <w:r>
              <w:rPr>
                <w:sz w:val="20"/>
                <w:szCs w:val="20"/>
              </w:rPr>
              <w:t>Type 2C channel access procedure is applicable to the following case:</w:t>
            </w:r>
          </w:p>
          <w:p w:rsidR="00177470" w:rsidRDefault="00177470" w:rsidP="00F02129">
            <w:pPr>
              <w:pStyle w:val="a9"/>
              <w:numPr>
                <w:ilvl w:val="2"/>
                <w:numId w:val="9"/>
              </w:numPr>
              <w:autoSpaceDE w:val="0"/>
              <w:autoSpaceDN w:val="0"/>
              <w:spacing w:after="120" w:line="259" w:lineRule="auto"/>
              <w:rPr>
                <w:sz w:val="20"/>
                <w:szCs w:val="20"/>
              </w:rPr>
            </w:pPr>
            <w:r>
              <w:rPr>
                <w:sz w:val="20"/>
                <w:szCs w:val="20"/>
              </w:rPr>
              <w:t>Transmission(s) by a UE following transmission(s) by another UE for a gap ≤ 16μs in a shared channel occupancy and the duration of the corresponding transmission is at most 584us.</w:t>
            </w:r>
          </w:p>
          <w:p w:rsidR="00177470" w:rsidRDefault="00177470" w:rsidP="00F02129">
            <w:pPr>
              <w:pStyle w:val="a9"/>
              <w:numPr>
                <w:ilvl w:val="2"/>
                <w:numId w:val="9"/>
              </w:numPr>
              <w:autoSpaceDE w:val="0"/>
              <w:autoSpaceDN w:val="0"/>
              <w:spacing w:after="120" w:line="259" w:lineRule="auto"/>
              <w:rPr>
                <w:sz w:val="20"/>
                <w:szCs w:val="20"/>
              </w:rPr>
            </w:pPr>
            <w:r>
              <w:rPr>
                <w:sz w:val="20"/>
                <w:szCs w:val="20"/>
              </w:rPr>
              <w:t>FFS any other transmission by a UE (e.g., other than COT sharing)</w:t>
            </w:r>
          </w:p>
          <w:p w:rsidR="00177470" w:rsidRDefault="00177470" w:rsidP="00F02129">
            <w:pPr>
              <w:pStyle w:val="a9"/>
              <w:numPr>
                <w:ilvl w:val="2"/>
                <w:numId w:val="9"/>
              </w:numPr>
              <w:autoSpaceDE w:val="0"/>
              <w:autoSpaceDN w:val="0"/>
              <w:spacing w:after="120" w:line="259" w:lineRule="auto"/>
              <w:rPr>
                <w:sz w:val="20"/>
                <w:szCs w:val="20"/>
              </w:rPr>
            </w:pPr>
            <w:r>
              <w:rPr>
                <w:sz w:val="20"/>
                <w:szCs w:val="20"/>
              </w:rPr>
              <w:t>FFS whether Type 2C is used also for the case of short control signalling transmission</w:t>
            </w:r>
          </w:p>
          <w:p w:rsidR="00177470" w:rsidRDefault="00177470" w:rsidP="00F02129">
            <w:pPr>
              <w:pStyle w:val="a9"/>
              <w:numPr>
                <w:ilvl w:val="1"/>
                <w:numId w:val="9"/>
              </w:numPr>
              <w:autoSpaceDE w:val="0"/>
              <w:autoSpaceDN w:val="0"/>
              <w:spacing w:after="120" w:line="259" w:lineRule="auto"/>
              <w:rPr>
                <w:sz w:val="20"/>
                <w:szCs w:val="20"/>
              </w:rPr>
            </w:pPr>
            <w:r>
              <w:rPr>
                <w:sz w:val="20"/>
                <w:szCs w:val="20"/>
              </w:rPr>
              <w:t>FFS under which conditions (other than the gap) UEs can apply the Type 2A/2B/2C SL channel access procedures</w:t>
            </w:r>
          </w:p>
          <w:p w:rsidR="00177470" w:rsidRDefault="00177470" w:rsidP="00F02129">
            <w:pPr>
              <w:pStyle w:val="a9"/>
              <w:numPr>
                <w:ilvl w:val="1"/>
                <w:numId w:val="9"/>
              </w:numPr>
              <w:autoSpaceDE w:val="0"/>
              <w:autoSpaceDN w:val="0"/>
              <w:spacing w:after="120" w:line="259" w:lineRule="auto"/>
              <w:rPr>
                <w:sz w:val="20"/>
                <w:szCs w:val="20"/>
              </w:rPr>
            </w:pPr>
            <w:r>
              <w:rPr>
                <w:sz w:val="20"/>
                <w:szCs w:val="20"/>
              </w:rPr>
              <w:t>FFS under which conditions Type 2B or Type 2C is applied in case of a gap of 16 μs</w:t>
            </w:r>
          </w:p>
          <w:p w:rsidR="00177470" w:rsidRDefault="00177470" w:rsidP="00F02129">
            <w:pPr>
              <w:pStyle w:val="a9"/>
              <w:autoSpaceDE w:val="0"/>
              <w:autoSpaceDN w:val="0"/>
              <w:spacing w:after="120"/>
              <w:ind w:left="0"/>
              <w:rPr>
                <w:b/>
                <w:bCs/>
              </w:rPr>
            </w:pPr>
          </w:p>
        </w:tc>
      </w:tr>
    </w:tbl>
    <w:p w:rsidR="00177470" w:rsidRDefault="00177470" w:rsidP="00177470">
      <w:pPr>
        <w:pStyle w:val="3"/>
        <w:numPr>
          <w:ilvl w:val="2"/>
          <w:numId w:val="8"/>
        </w:numPr>
        <w:tabs>
          <w:tab w:val="left" w:pos="-4820"/>
        </w:tabs>
      </w:pPr>
      <w:r>
        <w:rPr>
          <w:rFonts w:hint="eastAsia"/>
        </w:rPr>
        <w:t>Channel access mechanism to initiate a COT</w:t>
      </w:r>
    </w:p>
    <w:p w:rsidR="00177470" w:rsidRDefault="00177470" w:rsidP="00177470">
      <w:pPr>
        <w:spacing w:before="120" w:after="120" w:line="276" w:lineRule="auto"/>
      </w:pPr>
      <w:r>
        <w:rPr>
          <w:rFonts w:hint="eastAsia"/>
        </w:rPr>
        <w:t>For the initial channel access mechanism, it is suggested that at least Type 1 LBT used to initiate a COT should be supported for PSCCH/PSSCH/PSFCH transmissions.</w:t>
      </w:r>
    </w:p>
    <w:p w:rsidR="00177470" w:rsidRDefault="00177470" w:rsidP="00177470">
      <w:pPr>
        <w:pStyle w:val="ZTE-Proposal-20210505"/>
        <w:numPr>
          <w:ilvl w:val="0"/>
          <w:numId w:val="10"/>
        </w:numPr>
        <w:ind w:left="1132" w:hanging="1132"/>
      </w:pPr>
      <w:bookmarkStart w:id="0" w:name="_Toc115339292"/>
      <w:bookmarkStart w:id="1" w:name="_Toc115337692"/>
      <w:bookmarkStart w:id="2" w:name="_Toc115337776"/>
      <w:bookmarkStart w:id="3" w:name="_Toc115338278"/>
      <w:bookmarkStart w:id="4" w:name="_Toc115341105"/>
      <w:r>
        <w:rPr>
          <w:rFonts w:hint="eastAsia"/>
        </w:rPr>
        <w:t xml:space="preserve">For the initial channel access mechanism, a UE can initiate a COT by Type 1 </w:t>
      </w:r>
      <w:r>
        <w:rPr>
          <w:lang w:val="en-US"/>
        </w:rPr>
        <w:t>LBT</w:t>
      </w:r>
      <w:r>
        <w:rPr>
          <w:rFonts w:hint="eastAsia"/>
        </w:rPr>
        <w:t xml:space="preserve"> procedure for PSCCH/PSSCH/PSFCH transmissions.</w:t>
      </w:r>
      <w:bookmarkEnd w:id="0"/>
      <w:bookmarkEnd w:id="1"/>
      <w:bookmarkEnd w:id="2"/>
      <w:bookmarkEnd w:id="3"/>
      <w:bookmarkEnd w:id="4"/>
    </w:p>
    <w:p w:rsidR="00177470" w:rsidRDefault="00177470" w:rsidP="00177470">
      <w:pPr>
        <w:spacing w:before="120" w:after="120" w:line="276" w:lineRule="auto"/>
      </w:pPr>
      <w:r>
        <w:lastRenderedPageBreak/>
        <w:t xml:space="preserve">For </w:t>
      </w:r>
      <w:r>
        <w:rPr>
          <w:rFonts w:hint="eastAsia"/>
        </w:rPr>
        <w:t>a PSFCH transmission</w:t>
      </w:r>
      <w:r>
        <w:t xml:space="preserve">, </w:t>
      </w:r>
      <w:r>
        <w:rPr>
          <w:rFonts w:hint="eastAsia"/>
        </w:rPr>
        <w:t xml:space="preserve">a UE may </w:t>
      </w:r>
      <w:r>
        <w:t>fail to transmit</w:t>
      </w:r>
      <w:r>
        <w:rPr>
          <w:rFonts w:hint="eastAsia"/>
        </w:rPr>
        <w:t xml:space="preserve"> the PSFCH due to LBT failure</w:t>
      </w:r>
      <w:r>
        <w:t xml:space="preserve">. In order to ensure the reliability of </w:t>
      </w:r>
      <w:r>
        <w:rPr>
          <w:rFonts w:hint="eastAsia"/>
        </w:rPr>
        <w:t xml:space="preserve">PSFCH </w:t>
      </w:r>
      <w:r>
        <w:t>transmission</w:t>
      </w:r>
      <w:r>
        <w:rPr>
          <w:rFonts w:hint="eastAsia"/>
        </w:rPr>
        <w:t>s</w:t>
      </w:r>
      <w:r>
        <w:t>,</w:t>
      </w:r>
      <w:r>
        <w:rPr>
          <w:rFonts w:hint="eastAsia"/>
        </w:rPr>
        <w:t xml:space="preserve"> it is suggested that </w:t>
      </w:r>
      <w:r>
        <w:t xml:space="preserve">multiple </w:t>
      </w:r>
      <w:r>
        <w:rPr>
          <w:rFonts w:hint="eastAsia"/>
        </w:rPr>
        <w:t xml:space="preserve">PSFCH </w:t>
      </w:r>
      <w:r>
        <w:t>transmission opportunities</w:t>
      </w:r>
      <w:r>
        <w:rPr>
          <w:rFonts w:hint="eastAsia"/>
        </w:rPr>
        <w:t xml:space="preserve"> should be supported for an </w:t>
      </w:r>
      <w:r>
        <w:t xml:space="preserve">associated </w:t>
      </w:r>
      <w:r>
        <w:rPr>
          <w:rFonts w:hint="eastAsia"/>
        </w:rPr>
        <w:t>PSSCH. W</w:t>
      </w:r>
      <w:r>
        <w:t xml:space="preserve">ith multiple </w:t>
      </w:r>
      <w:r>
        <w:rPr>
          <w:rFonts w:hint="eastAsia"/>
        </w:rPr>
        <w:t xml:space="preserve">PSFCH </w:t>
      </w:r>
      <w:r>
        <w:t>transmission opportunities</w:t>
      </w:r>
      <w:r>
        <w:rPr>
          <w:rFonts w:hint="eastAsia"/>
        </w:rPr>
        <w:t>, if a UE fail to transmit a PSFCH in one PSFCH</w:t>
      </w:r>
      <w:r>
        <w:t xml:space="preserve"> </w:t>
      </w:r>
      <w:r>
        <w:rPr>
          <w:rFonts w:hint="eastAsia"/>
        </w:rPr>
        <w:t xml:space="preserve">occasion due to LBT failure, </w:t>
      </w:r>
      <w:r>
        <w:t xml:space="preserve">the UE can send the </w:t>
      </w:r>
      <w:r>
        <w:rPr>
          <w:rFonts w:hint="eastAsia"/>
        </w:rPr>
        <w:t xml:space="preserve">PSFCH </w:t>
      </w:r>
      <w:r>
        <w:t xml:space="preserve">through other </w:t>
      </w:r>
      <w:r>
        <w:rPr>
          <w:rFonts w:hint="eastAsia"/>
        </w:rPr>
        <w:t xml:space="preserve">PSFCH </w:t>
      </w:r>
      <w:r>
        <w:t>transmission opportunities</w:t>
      </w:r>
      <w:r>
        <w:rPr>
          <w:rFonts w:hint="eastAsia"/>
        </w:rPr>
        <w:t xml:space="preserve"> conditioned on LBT success</w:t>
      </w:r>
      <w:r>
        <w:t>,</w:t>
      </w:r>
      <w:r>
        <w:rPr>
          <w:rFonts w:hint="eastAsia"/>
        </w:rPr>
        <w:t xml:space="preserve"> and thus</w:t>
      </w:r>
      <w:r>
        <w:t xml:space="preserve"> the reliability of </w:t>
      </w:r>
      <w:r>
        <w:rPr>
          <w:rFonts w:hint="eastAsia"/>
        </w:rPr>
        <w:t>PSFCH</w:t>
      </w:r>
      <w:r>
        <w:t xml:space="preserve"> transmission</w:t>
      </w:r>
      <w:r>
        <w:rPr>
          <w:rFonts w:hint="eastAsia"/>
        </w:rPr>
        <w:t>s</w:t>
      </w:r>
      <w:r>
        <w:t xml:space="preserve"> </w:t>
      </w:r>
      <w:r>
        <w:rPr>
          <w:rFonts w:hint="eastAsia"/>
        </w:rPr>
        <w:t>is improved in SL-U</w:t>
      </w:r>
      <w:r>
        <w:t>.</w:t>
      </w:r>
      <w:r>
        <w:rPr>
          <w:rFonts w:hint="eastAsia"/>
        </w:rPr>
        <w:t xml:space="preserve"> Therefore, it is suggested to support multiple PSFCH transmission opportunities associated with one PSSCH. And it should be further studied whether the same or different channel access mechanism should be used for these PSFCH</w:t>
      </w:r>
      <w:r>
        <w:t xml:space="preserve"> transmission</w:t>
      </w:r>
      <w:r>
        <w:rPr>
          <w:rFonts w:hint="eastAsia"/>
        </w:rPr>
        <w:t xml:space="preserve"> </w:t>
      </w:r>
      <w:r>
        <w:t>opportunities</w:t>
      </w:r>
      <w:r>
        <w:rPr>
          <w:rFonts w:hint="eastAsia"/>
        </w:rPr>
        <w:t>.</w:t>
      </w:r>
    </w:p>
    <w:p w:rsidR="00177470" w:rsidRDefault="00177470" w:rsidP="00177470">
      <w:pPr>
        <w:pStyle w:val="ZTE-Proposal-20210505"/>
        <w:numPr>
          <w:ilvl w:val="0"/>
          <w:numId w:val="10"/>
        </w:numPr>
        <w:ind w:left="1132" w:hanging="1132"/>
      </w:pPr>
      <w:bookmarkStart w:id="5" w:name="_Toc115338279"/>
      <w:bookmarkStart w:id="6" w:name="_Toc115341106"/>
      <w:bookmarkStart w:id="7" w:name="_Toc115339293"/>
      <w:r>
        <w:rPr>
          <w:rFonts w:hint="eastAsia"/>
        </w:rPr>
        <w:t>In order to improve the reliability of PSFCH transmissions in SL-U, it is suggested to support multiple PSFCH transmission opportunities associated with one PSSCH.</w:t>
      </w:r>
      <w:bookmarkEnd w:id="5"/>
      <w:bookmarkEnd w:id="6"/>
      <w:bookmarkEnd w:id="7"/>
    </w:p>
    <w:p w:rsidR="00177470" w:rsidRDefault="00177470" w:rsidP="00177470">
      <w:pPr>
        <w:pStyle w:val="sub-proposal"/>
      </w:pPr>
      <w:bookmarkStart w:id="8" w:name="_Toc115338280"/>
      <w:bookmarkStart w:id="9" w:name="_Toc115341107"/>
      <w:bookmarkStart w:id="10" w:name="_Toc115339294"/>
      <w:r>
        <w:rPr>
          <w:rFonts w:hint="eastAsia"/>
        </w:rPr>
        <w:t>FFS whether the same or different channel access mechanism should be used for these PSFCH transmission opportunities.</w:t>
      </w:r>
      <w:bookmarkEnd w:id="8"/>
      <w:bookmarkEnd w:id="9"/>
      <w:bookmarkEnd w:id="10"/>
    </w:p>
    <w:p w:rsidR="00177470" w:rsidRDefault="00177470" w:rsidP="00177470">
      <w:pPr>
        <w:pStyle w:val="3"/>
        <w:numPr>
          <w:ilvl w:val="2"/>
          <w:numId w:val="8"/>
        </w:numPr>
        <w:tabs>
          <w:tab w:val="left" w:pos="-4820"/>
        </w:tabs>
      </w:pPr>
      <w:r>
        <w:rPr>
          <w:rFonts w:hint="eastAsia"/>
        </w:rPr>
        <w:t>Channel access mechanism within a shared COT</w:t>
      </w:r>
    </w:p>
    <w:p w:rsidR="00177470" w:rsidRDefault="00177470" w:rsidP="00177470">
      <w:pPr>
        <w:spacing w:before="120" w:after="120" w:line="276" w:lineRule="auto"/>
      </w:pPr>
      <w:r>
        <w:rPr>
          <w:rFonts w:hint="eastAsia"/>
        </w:rPr>
        <w:t>Regarding S-SSB, in case of 15</w:t>
      </w:r>
      <w:r>
        <w:t xml:space="preserve"> </w:t>
      </w:r>
      <w:r>
        <w:rPr>
          <w:rFonts w:hint="eastAsia"/>
        </w:rPr>
        <w:t xml:space="preserve">kHz SCS, the transmission duration of an S-SSB is larger than </w:t>
      </w:r>
      <m:oMath>
        <m:r>
          <m:rPr>
            <m:sty m:val="p"/>
          </m:rPr>
          <w:rPr>
            <w:rFonts w:ascii="Cambria Math" w:hAnsi="Cambria Math"/>
          </w:rPr>
          <m:t>584us</m:t>
        </m:r>
      </m:oMath>
      <w:r>
        <w:rPr>
          <w:rFonts w:hint="eastAsia"/>
        </w:rPr>
        <w:t xml:space="preserve"> for a full slot transmission. Thus type 2C LBT disqualifies being used for S-SSB under such setting. As for Type 2A/2B, whether it can be used in a shared COT depends on the design of slot struct</w:t>
      </w:r>
      <w:r>
        <w:t>u</w:t>
      </w:r>
      <w:r>
        <w:rPr>
          <w:rFonts w:hint="eastAsia"/>
        </w:rPr>
        <w:t>re in SL-U. In other words, if 25us/16us transmission gap is supported in SL-U, then type 2A/2</w:t>
      </w:r>
      <w:r>
        <w:t>B</w:t>
      </w:r>
      <w:r>
        <w:rPr>
          <w:rFonts w:hint="eastAsia"/>
        </w:rPr>
        <w:t xml:space="preserve"> can be additionally supported in a shared COT for S-SSB transmission.</w:t>
      </w:r>
    </w:p>
    <w:p w:rsidR="00177470" w:rsidRDefault="00177470" w:rsidP="00177470">
      <w:pPr>
        <w:pStyle w:val="ZTE-Proposal-20210505"/>
        <w:numPr>
          <w:ilvl w:val="0"/>
          <w:numId w:val="10"/>
        </w:numPr>
        <w:ind w:left="1132" w:hanging="1132"/>
      </w:pPr>
      <w:bookmarkStart w:id="11" w:name="_Toc115339295"/>
      <w:bookmarkStart w:id="12" w:name="_Toc115341108"/>
      <w:bookmarkStart w:id="13" w:name="_Toc115338281"/>
      <w:r>
        <w:rPr>
          <w:rFonts w:hint="eastAsia"/>
        </w:rPr>
        <w:t>For the channel access mechanism of S-SSB transmission within a shared COT</w:t>
      </w:r>
      <w:r>
        <w:rPr>
          <w:rFonts w:hint="eastAsia"/>
        </w:rPr>
        <w:t>：</w:t>
      </w:r>
      <w:bookmarkEnd w:id="11"/>
      <w:bookmarkEnd w:id="12"/>
      <w:bookmarkEnd w:id="13"/>
    </w:p>
    <w:p w:rsidR="00177470" w:rsidRDefault="00177470" w:rsidP="00177470">
      <w:pPr>
        <w:pStyle w:val="sub-proposal"/>
      </w:pPr>
      <w:bookmarkStart w:id="14" w:name="_Toc115341109"/>
      <w:bookmarkStart w:id="15" w:name="_Toc115338282"/>
      <w:bookmarkStart w:id="16" w:name="_Toc115339296"/>
      <w:r>
        <w:rPr>
          <w:rFonts w:hint="eastAsia"/>
        </w:rPr>
        <w:t>Type 2A/2B channel access mechanism is supported, which one to be used depends on gap length in SL-U</w:t>
      </w:r>
      <w:bookmarkEnd w:id="14"/>
      <w:bookmarkEnd w:id="15"/>
      <w:bookmarkEnd w:id="16"/>
    </w:p>
    <w:p w:rsidR="00177470" w:rsidRDefault="00177470" w:rsidP="00177470">
      <w:pPr>
        <w:pStyle w:val="sub-proposal"/>
      </w:pPr>
      <w:bookmarkStart w:id="17" w:name="_Toc115339297"/>
      <w:bookmarkStart w:id="18" w:name="_Toc115338283"/>
      <w:bookmarkStart w:id="19" w:name="_Toc115341110"/>
      <w:r>
        <w:rPr>
          <w:rFonts w:hint="eastAsia"/>
        </w:rPr>
        <w:t>When the duration of S-SSB transmission is greater than 584 us, type 2C LBT procedure is not allowed for COT sharing.</w:t>
      </w:r>
      <w:bookmarkEnd w:id="17"/>
      <w:bookmarkEnd w:id="18"/>
      <w:bookmarkEnd w:id="19"/>
    </w:p>
    <w:p w:rsidR="00177470" w:rsidRDefault="00177470" w:rsidP="00177470">
      <w:pPr>
        <w:spacing w:before="120" w:after="120" w:line="276" w:lineRule="auto"/>
      </w:pPr>
      <w:r>
        <w:t xml:space="preserve">In </w:t>
      </w:r>
      <w:r>
        <w:rPr>
          <w:rFonts w:hint="eastAsia"/>
        </w:rPr>
        <w:t>NR-U</w:t>
      </w:r>
      <w:r>
        <w:t xml:space="preserve">, </w:t>
      </w:r>
      <w:r>
        <w:rPr>
          <w:rFonts w:hint="eastAsia"/>
        </w:rPr>
        <w:t xml:space="preserve">a </w:t>
      </w:r>
      <w:r>
        <w:t xml:space="preserve">UE </w:t>
      </w:r>
      <w:r>
        <w:rPr>
          <w:rFonts w:hint="eastAsia"/>
        </w:rPr>
        <w:t xml:space="preserve">may use </w:t>
      </w:r>
      <w:r>
        <w:t>the type 1 or type 2 channel access mechanism</w:t>
      </w:r>
      <w:r>
        <w:rPr>
          <w:rFonts w:hint="eastAsia"/>
        </w:rPr>
        <w:t xml:space="preserve"> for </w:t>
      </w:r>
      <w:r>
        <w:t>PUCCH transmission according to the configuration</w:t>
      </w:r>
      <w:r>
        <w:rPr>
          <w:rFonts w:hint="eastAsia"/>
        </w:rPr>
        <w:t xml:space="preserve"> or indication from the </w:t>
      </w:r>
      <w:r>
        <w:t xml:space="preserve">base station. </w:t>
      </w:r>
      <w:r>
        <w:rPr>
          <w:rFonts w:hint="eastAsia"/>
        </w:rPr>
        <w:t xml:space="preserve">If </w:t>
      </w:r>
      <w:r>
        <w:t>the channel access type</w:t>
      </w:r>
      <w:r>
        <w:rPr>
          <w:rFonts w:hint="eastAsia"/>
        </w:rPr>
        <w:t xml:space="preserve"> is not specified by the </w:t>
      </w:r>
      <w:r>
        <w:t xml:space="preserve">base station, </w:t>
      </w:r>
      <w:r>
        <w:rPr>
          <w:rFonts w:hint="eastAsia"/>
        </w:rPr>
        <w:t xml:space="preserve">a </w:t>
      </w:r>
      <w:r>
        <w:t>UE</w:t>
      </w:r>
      <w:r>
        <w:rPr>
          <w:rFonts w:hint="eastAsia"/>
        </w:rPr>
        <w:t xml:space="preserve"> will</w:t>
      </w:r>
      <w:r>
        <w:t xml:space="preserve"> use</w:t>
      </w:r>
      <w:r>
        <w:rPr>
          <w:rFonts w:hint="eastAsia"/>
        </w:rPr>
        <w:t xml:space="preserve"> </w:t>
      </w:r>
      <w:r>
        <w:t>the</w:t>
      </w:r>
      <w:r>
        <w:rPr>
          <w:rFonts w:hint="eastAsia"/>
        </w:rPr>
        <w:t xml:space="preserve"> LBT</w:t>
      </w:r>
      <w:r>
        <w:t xml:space="preserve"> type 1 by default</w:t>
      </w:r>
      <w:r>
        <w:rPr>
          <w:rFonts w:hint="eastAsia"/>
        </w:rPr>
        <w:t>. And</w:t>
      </w:r>
      <w:r>
        <w:t xml:space="preserve"> the base station is responsible for </w:t>
      </w:r>
      <w:r>
        <w:rPr>
          <w:rFonts w:hint="eastAsia"/>
        </w:rPr>
        <w:t xml:space="preserve">choosing </w:t>
      </w:r>
      <w:r>
        <w:t xml:space="preserve">the </w:t>
      </w:r>
      <w:r>
        <w:rPr>
          <w:rFonts w:hint="eastAsia"/>
        </w:rPr>
        <w:t xml:space="preserve">proper LBT type for </w:t>
      </w:r>
      <w:r>
        <w:t>PUCCH</w:t>
      </w:r>
      <w:r>
        <w:rPr>
          <w:rFonts w:hint="eastAsia"/>
        </w:rPr>
        <w:t xml:space="preserve"> </w:t>
      </w:r>
      <w:r>
        <w:t>transmission</w:t>
      </w:r>
      <w:r>
        <w:rPr>
          <w:rFonts w:hint="eastAsia"/>
        </w:rPr>
        <w:t>, for instance, i</w:t>
      </w:r>
      <w:r>
        <w:t>f the base station can ensure that the interval between DL</w:t>
      </w:r>
      <w:r>
        <w:rPr>
          <w:rFonts w:hint="eastAsia"/>
        </w:rPr>
        <w:t>/</w:t>
      </w:r>
      <w:r>
        <w:t xml:space="preserve">UL transmission </w:t>
      </w:r>
      <w:r>
        <w:rPr>
          <w:rFonts w:hint="eastAsia"/>
        </w:rPr>
        <w:t>a</w:t>
      </w:r>
      <w:r>
        <w:t xml:space="preserve">nd PUCCH meets the requirements of time interval, the base station can configure </w:t>
      </w:r>
      <w:r>
        <w:rPr>
          <w:rFonts w:hint="eastAsia"/>
        </w:rPr>
        <w:t xml:space="preserve">a UE </w:t>
      </w:r>
      <w:r>
        <w:t>to us</w:t>
      </w:r>
      <w:r>
        <w:rPr>
          <w:rFonts w:hint="eastAsia"/>
        </w:rPr>
        <w:t>e T</w:t>
      </w:r>
      <w:r>
        <w:t xml:space="preserve">ype 2 </w:t>
      </w:r>
      <w:r>
        <w:rPr>
          <w:rFonts w:hint="eastAsia"/>
        </w:rPr>
        <w:t xml:space="preserve">LBT for </w:t>
      </w:r>
      <w:r>
        <w:t>transmi</w:t>
      </w:r>
      <w:r>
        <w:rPr>
          <w:rFonts w:hint="eastAsia"/>
        </w:rPr>
        <w:t>t</w:t>
      </w:r>
      <w:r>
        <w:t>t</w:t>
      </w:r>
      <w:r>
        <w:rPr>
          <w:rFonts w:hint="eastAsia"/>
        </w:rPr>
        <w:t>ing</w:t>
      </w:r>
      <w:r>
        <w:t xml:space="preserve"> PUCCH.</w:t>
      </w:r>
      <w:r>
        <w:rPr>
          <w:rFonts w:hint="eastAsia"/>
        </w:rPr>
        <w:t xml:space="preserve"> Taking PUCCH in NR-U as baseline, if there is sidelink transmission with an interval of 25/16 us before a PSFCH transmission, in principle, a UE can use </w:t>
      </w:r>
      <w:r>
        <w:t>type 2A</w:t>
      </w:r>
      <w:r>
        <w:rPr>
          <w:rFonts w:hint="eastAsia"/>
        </w:rPr>
        <w:t>/</w:t>
      </w:r>
      <w:r>
        <w:t>2B</w:t>
      </w:r>
      <w:r>
        <w:rPr>
          <w:rFonts w:hint="eastAsia"/>
        </w:rPr>
        <w:t xml:space="preserve"> to send the PSFCH. Similarly, if the gap between SL transmission and following PSFCH transmission is not larger than 16us, type 2C channel access mechanism can be supported in a shared COT.</w:t>
      </w:r>
    </w:p>
    <w:p w:rsidR="00177470" w:rsidRDefault="00177470" w:rsidP="00177470">
      <w:pPr>
        <w:pStyle w:val="ZTE-Proposal-20210505"/>
        <w:numPr>
          <w:ilvl w:val="0"/>
          <w:numId w:val="10"/>
        </w:numPr>
        <w:ind w:left="1132" w:hanging="1132"/>
      </w:pPr>
      <w:bookmarkStart w:id="20" w:name="_Toc115339298"/>
      <w:bookmarkStart w:id="21" w:name="_Toc115341111"/>
      <w:bookmarkStart w:id="22" w:name="_Toc115338284"/>
      <w:r>
        <w:rPr>
          <w:rFonts w:hint="eastAsia"/>
        </w:rPr>
        <w:t>For the channel access mechanism of PSFCH transmission during the shared COT</w:t>
      </w:r>
      <w:r>
        <w:rPr>
          <w:rFonts w:hint="eastAsia"/>
        </w:rPr>
        <w:t>：</w:t>
      </w:r>
      <w:bookmarkEnd w:id="20"/>
      <w:bookmarkEnd w:id="21"/>
      <w:bookmarkEnd w:id="22"/>
    </w:p>
    <w:p w:rsidR="00177470" w:rsidRDefault="00177470" w:rsidP="00177470">
      <w:pPr>
        <w:pStyle w:val="sub-proposal"/>
      </w:pPr>
      <w:bookmarkStart w:id="23" w:name="_Toc115341112"/>
      <w:bookmarkStart w:id="24" w:name="_Toc115338285"/>
      <w:bookmarkStart w:id="25" w:name="_Toc115339299"/>
      <w:r>
        <w:rPr>
          <w:rFonts w:hint="eastAsia"/>
        </w:rPr>
        <w:t>Type 2A/2B/2C channel access procedure is supported, which one to be used depends on gap length between a PSFCH and a precedent SL transmission such as PSCCH/PSSCH.</w:t>
      </w:r>
      <w:bookmarkEnd w:id="23"/>
      <w:bookmarkEnd w:id="24"/>
      <w:bookmarkEnd w:id="25"/>
    </w:p>
    <w:p w:rsidR="00177470" w:rsidRDefault="00177470" w:rsidP="00177470">
      <w:pPr>
        <w:spacing w:before="120" w:after="120" w:line="276" w:lineRule="auto"/>
      </w:pPr>
      <w:r>
        <w:rPr>
          <w:rFonts w:hint="eastAsia"/>
        </w:rPr>
        <w:t>Regarding PSCCH/PSSCH</w:t>
      </w:r>
      <w:r>
        <w:t xml:space="preserve">, </w:t>
      </w:r>
      <w:r>
        <w:rPr>
          <w:rFonts w:hint="eastAsia"/>
        </w:rPr>
        <w:t>a</w:t>
      </w:r>
      <w:r>
        <w:t xml:space="preserve">s mentioned </w:t>
      </w:r>
      <w:r>
        <w:rPr>
          <w:rFonts w:hint="eastAsia"/>
        </w:rPr>
        <w:t>in [6]</w:t>
      </w:r>
      <w:r>
        <w:t xml:space="preserve">, </w:t>
      </w:r>
      <w:r>
        <w:rPr>
          <w:rFonts w:hint="eastAsia"/>
        </w:rPr>
        <w:t xml:space="preserve">it is proposed that all the symbols in a slot are configured as feasible for sidelink transmission. Based on </w:t>
      </w:r>
      <w:r>
        <w:t xml:space="preserve">this assumption, the </w:t>
      </w:r>
      <w:r>
        <w:rPr>
          <w:rFonts w:hint="eastAsia"/>
        </w:rPr>
        <w:t xml:space="preserve">duration </w:t>
      </w:r>
      <w:r>
        <w:t>of</w:t>
      </w:r>
      <w:r>
        <w:rPr>
          <w:rFonts w:hint="eastAsia"/>
        </w:rPr>
        <w:t xml:space="preserve"> a slot with 15kHz SCS for</w:t>
      </w:r>
      <w:r>
        <w:t xml:space="preserve"> </w:t>
      </w:r>
      <w:r>
        <w:rPr>
          <w:rFonts w:hint="eastAsia"/>
        </w:rPr>
        <w:t>PSCCH/PSSCH</w:t>
      </w:r>
      <w:r>
        <w:t xml:space="preserve"> exceeds </w:t>
      </w:r>
      <m:oMath>
        <m:r>
          <m:rPr>
            <m:sty m:val="p"/>
          </m:rPr>
          <w:rPr>
            <w:rFonts w:ascii="Cambria Math" w:hAnsi="Cambria Math"/>
          </w:rPr>
          <m:t>584us</m:t>
        </m:r>
      </m:oMath>
      <w:r>
        <w:rPr>
          <w:rFonts w:hint="eastAsia"/>
        </w:rPr>
        <w:t xml:space="preserve">, therefore type 2C cannot be always valid for PSCCH/PSSCH transmission. </w:t>
      </w:r>
    </w:p>
    <w:p w:rsidR="00177470" w:rsidRDefault="00177470" w:rsidP="00177470">
      <w:pPr>
        <w:pStyle w:val="ZTE-Proposal-20210505"/>
        <w:numPr>
          <w:ilvl w:val="0"/>
          <w:numId w:val="10"/>
        </w:numPr>
        <w:ind w:left="1132" w:hanging="1132"/>
      </w:pPr>
      <w:bookmarkStart w:id="26" w:name="_Toc115339300"/>
      <w:bookmarkStart w:id="27" w:name="_Toc115341113"/>
      <w:bookmarkStart w:id="28" w:name="_Toc115338286"/>
      <w:r>
        <w:rPr>
          <w:rFonts w:hint="eastAsia"/>
        </w:rPr>
        <w:t>For the channel access mechanism of PSCCH/PSSCH transmission within the shared COT</w:t>
      </w:r>
      <w:r>
        <w:rPr>
          <w:rFonts w:hint="eastAsia"/>
        </w:rPr>
        <w:t>：</w:t>
      </w:r>
      <w:bookmarkEnd w:id="26"/>
      <w:bookmarkEnd w:id="27"/>
      <w:bookmarkEnd w:id="28"/>
    </w:p>
    <w:p w:rsidR="00177470" w:rsidRDefault="00177470" w:rsidP="00177470">
      <w:pPr>
        <w:pStyle w:val="sub-proposal"/>
      </w:pPr>
      <w:bookmarkStart w:id="29" w:name="_Toc115338287"/>
      <w:bookmarkStart w:id="30" w:name="_Toc115341114"/>
      <w:bookmarkStart w:id="31" w:name="_Toc115339301"/>
      <w:r>
        <w:rPr>
          <w:rFonts w:hint="eastAsia"/>
        </w:rPr>
        <w:t>When the duration of PSCCH/PSSCH transmission is greater than 584 us, Type 2C channel access is not allowed for transmission within a shared COT.</w:t>
      </w:r>
      <w:bookmarkEnd w:id="29"/>
      <w:bookmarkEnd w:id="30"/>
      <w:bookmarkEnd w:id="31"/>
    </w:p>
    <w:p w:rsidR="00177470" w:rsidRDefault="00177470" w:rsidP="00177470">
      <w:pPr>
        <w:pStyle w:val="sub-proposal"/>
      </w:pPr>
      <w:bookmarkStart w:id="32" w:name="_Toc115341115"/>
      <w:bookmarkStart w:id="33" w:name="_Toc115339302"/>
      <w:bookmarkStart w:id="34" w:name="_Toc115338288"/>
      <w:r>
        <w:rPr>
          <w:rFonts w:hint="eastAsia"/>
        </w:rPr>
        <w:t>Type 2A/2B channel access procedure is supported, which one to be used depends on gap length between the PSCCH/PSSCH and its preceding SL transmission.</w:t>
      </w:r>
      <w:bookmarkEnd w:id="32"/>
      <w:bookmarkEnd w:id="33"/>
      <w:bookmarkEnd w:id="34"/>
    </w:p>
    <w:p w:rsidR="00177470" w:rsidRDefault="00177470" w:rsidP="00177470">
      <w:pPr>
        <w:spacing w:before="120" w:after="120" w:line="276" w:lineRule="auto"/>
      </w:pPr>
      <w:r>
        <w:rPr>
          <w:rFonts w:hint="eastAsia"/>
        </w:rPr>
        <w:t xml:space="preserve">In case of a gap of </w:t>
      </w:r>
      <w:r>
        <w:t xml:space="preserve">16us, </w:t>
      </w:r>
      <w:r>
        <w:rPr>
          <w:rFonts w:hint="eastAsia"/>
        </w:rPr>
        <w:t>one</w:t>
      </w:r>
      <w:r>
        <w:t xml:space="preserve"> </w:t>
      </w:r>
      <w:r>
        <w:rPr>
          <w:rFonts w:hint="eastAsia"/>
        </w:rPr>
        <w:t>problem to be discussed is how to choose to use Type 2B or Type 2C in a shared COT.  We prefer select Type 2B or Type 2C in a shared COT through the UE implementation.</w:t>
      </w:r>
    </w:p>
    <w:p w:rsidR="00177470" w:rsidRDefault="00177470" w:rsidP="00177470">
      <w:pPr>
        <w:pStyle w:val="ZTE-Proposal-20210505"/>
        <w:numPr>
          <w:ilvl w:val="0"/>
          <w:numId w:val="10"/>
        </w:numPr>
        <w:ind w:left="1132" w:hanging="1132"/>
      </w:pPr>
      <w:bookmarkStart w:id="35" w:name="_Toc115338293"/>
      <w:bookmarkStart w:id="36" w:name="_Toc115341116"/>
      <w:bookmarkStart w:id="37" w:name="_Toc115339307"/>
      <w:r>
        <w:lastRenderedPageBreak/>
        <w:t>I</w:t>
      </w:r>
      <w:r>
        <w:rPr>
          <w:rFonts w:hint="eastAsia"/>
        </w:rPr>
        <w:t>n case of a gap of 16us</w:t>
      </w:r>
      <w:r>
        <w:t>，</w:t>
      </w:r>
      <w:r>
        <w:rPr>
          <w:rFonts w:hint="eastAsia"/>
          <w:lang w:val="en-US"/>
        </w:rPr>
        <w:t xml:space="preserve">it is up to UE implementation </w:t>
      </w:r>
      <w:r>
        <w:t xml:space="preserve">to use </w:t>
      </w:r>
      <w:r>
        <w:rPr>
          <w:rFonts w:hint="eastAsia"/>
          <w:lang w:val="en-US"/>
        </w:rPr>
        <w:t xml:space="preserve">either </w:t>
      </w:r>
      <w:r>
        <w:t xml:space="preserve">Type 2B or Type 2C in a shared </w:t>
      </w:r>
      <w:r>
        <w:rPr>
          <w:rFonts w:hint="eastAsia"/>
          <w:lang w:val="en-US"/>
        </w:rPr>
        <w:t>COT</w:t>
      </w:r>
      <w:r>
        <w:t>.</w:t>
      </w:r>
      <w:bookmarkEnd w:id="35"/>
      <w:bookmarkEnd w:id="36"/>
      <w:bookmarkEnd w:id="37"/>
    </w:p>
    <w:p w:rsidR="00177470" w:rsidRDefault="00177470" w:rsidP="00177470">
      <w:pPr>
        <w:pStyle w:val="3"/>
        <w:numPr>
          <w:ilvl w:val="2"/>
          <w:numId w:val="8"/>
        </w:numPr>
        <w:tabs>
          <w:tab w:val="left" w:pos="-4820"/>
        </w:tabs>
      </w:pPr>
      <w:r>
        <w:rPr>
          <w:rFonts w:hint="eastAsia"/>
        </w:rPr>
        <w:t>Short control signaling</w:t>
      </w:r>
    </w:p>
    <w:p w:rsidR="00177470" w:rsidRDefault="00177470" w:rsidP="00177470">
      <w:pPr>
        <w:spacing w:before="120" w:after="120" w:line="276" w:lineRule="auto"/>
      </w:pPr>
      <w:r>
        <w:rPr>
          <w:rFonts w:hint="eastAsia"/>
        </w:rPr>
        <w:t>Short control signaling transmission is defined in [5]. The transmission of short control signaling is supposed to satisfy the following two conditions:</w:t>
      </w:r>
    </w:p>
    <w:p w:rsidR="00177470" w:rsidRDefault="00177470" w:rsidP="00177470">
      <w:pPr>
        <w:pStyle w:val="a9"/>
        <w:numPr>
          <w:ilvl w:val="0"/>
          <w:numId w:val="11"/>
        </w:numPr>
        <w:spacing w:after="120" w:line="276" w:lineRule="auto"/>
        <w:rPr>
          <w:sz w:val="20"/>
        </w:rPr>
      </w:pPr>
      <w:r>
        <w:rPr>
          <w:rFonts w:hint="eastAsia"/>
          <w:sz w:val="20"/>
        </w:rPr>
        <w:t>W</w:t>
      </w:r>
      <w:r>
        <w:rPr>
          <w:sz w:val="20"/>
        </w:rPr>
        <w:t xml:space="preserve">ithin an observation period of 50ms, the number of </w:t>
      </w:r>
      <w:r>
        <w:rPr>
          <w:i/>
          <w:sz w:val="20"/>
        </w:rPr>
        <w:t xml:space="preserve">Short Control Signaling Transmissions </w:t>
      </w:r>
      <w:r>
        <w:rPr>
          <w:rFonts w:eastAsiaTheme="minorEastAsia"/>
          <w:sz w:val="20"/>
        </w:rPr>
        <w:t>initiated</w:t>
      </w:r>
      <w:r>
        <w:rPr>
          <w:rFonts w:eastAsiaTheme="minorEastAsia" w:hint="eastAsia"/>
          <w:i/>
          <w:sz w:val="20"/>
        </w:rPr>
        <w:t xml:space="preserve"> </w:t>
      </w:r>
      <w:r>
        <w:rPr>
          <w:sz w:val="20"/>
        </w:rPr>
        <w:t xml:space="preserve">by </w:t>
      </w:r>
      <w:r>
        <w:rPr>
          <w:rFonts w:eastAsiaTheme="minorEastAsia" w:hint="eastAsia"/>
          <w:sz w:val="20"/>
        </w:rPr>
        <w:t>an</w:t>
      </w:r>
      <w:r>
        <w:rPr>
          <w:rFonts w:hint="eastAsia"/>
          <w:sz w:val="20"/>
        </w:rPr>
        <w:t xml:space="preserve"> </w:t>
      </w:r>
      <w:r>
        <w:rPr>
          <w:sz w:val="20"/>
        </w:rPr>
        <w:t>equipment shall be equal to or less than 50; and</w:t>
      </w:r>
    </w:p>
    <w:p w:rsidR="00177470" w:rsidRDefault="00177470" w:rsidP="00177470">
      <w:pPr>
        <w:pStyle w:val="a9"/>
        <w:numPr>
          <w:ilvl w:val="0"/>
          <w:numId w:val="11"/>
        </w:numPr>
        <w:spacing w:after="120" w:line="276" w:lineRule="auto"/>
        <w:rPr>
          <w:sz w:val="20"/>
        </w:rPr>
      </w:pPr>
      <w:r>
        <w:rPr>
          <w:rFonts w:hint="eastAsia"/>
          <w:sz w:val="20"/>
        </w:rPr>
        <w:t>T</w:t>
      </w:r>
      <w:r>
        <w:rPr>
          <w:sz w:val="20"/>
        </w:rPr>
        <w:t xml:space="preserve">he total duration of Short Control Signaling Transmissions shall be less than 2500μs within </w:t>
      </w:r>
      <w:r>
        <w:rPr>
          <w:rFonts w:hint="eastAsia"/>
          <w:sz w:val="20"/>
        </w:rPr>
        <w:t>a</w:t>
      </w:r>
      <w:r>
        <w:rPr>
          <w:sz w:val="20"/>
        </w:rPr>
        <w:t>n observation period.</w:t>
      </w:r>
    </w:p>
    <w:p w:rsidR="00177470" w:rsidRDefault="00177470" w:rsidP="00177470">
      <w:pPr>
        <w:widowControl w:val="0"/>
        <w:spacing w:before="120" w:after="120"/>
        <w:rPr>
          <w:rFonts w:cs="宋体"/>
        </w:rPr>
      </w:pPr>
      <w:r>
        <w:rPr>
          <w:rFonts w:cs="宋体"/>
        </w:rPr>
        <w:t xml:space="preserve">For some important </w:t>
      </w:r>
      <w:r>
        <w:rPr>
          <w:rFonts w:cs="宋体" w:hint="eastAsia"/>
        </w:rPr>
        <w:t xml:space="preserve">physical </w:t>
      </w:r>
      <w:r>
        <w:rPr>
          <w:rFonts w:cs="宋体"/>
        </w:rPr>
        <w:t xml:space="preserve">channels in </w:t>
      </w:r>
      <w:r>
        <w:rPr>
          <w:rFonts w:cs="宋体" w:hint="eastAsia"/>
        </w:rPr>
        <w:t>SL-U</w:t>
      </w:r>
      <w:r>
        <w:rPr>
          <w:rFonts w:cs="宋体"/>
        </w:rPr>
        <w:t xml:space="preserve">, it can be </w:t>
      </w:r>
      <w:r>
        <w:rPr>
          <w:rFonts w:cs="宋体" w:hint="eastAsia"/>
        </w:rPr>
        <w:t xml:space="preserve">further assessed </w:t>
      </w:r>
      <w:r>
        <w:rPr>
          <w:rFonts w:cs="宋体"/>
        </w:rPr>
        <w:t xml:space="preserve">whether </w:t>
      </w:r>
      <w:r>
        <w:rPr>
          <w:rFonts w:cs="宋体" w:hint="eastAsia"/>
        </w:rPr>
        <w:t xml:space="preserve">to treat them as </w:t>
      </w:r>
      <w:r>
        <w:rPr>
          <w:rFonts w:cs="宋体"/>
        </w:rPr>
        <w:t xml:space="preserve">short control signaling. </w:t>
      </w:r>
      <w:r>
        <w:rPr>
          <w:rFonts w:cs="宋体" w:hint="eastAsia"/>
        </w:rPr>
        <w:t>More s</w:t>
      </w:r>
      <w:r>
        <w:rPr>
          <w:rFonts w:cs="宋体"/>
        </w:rPr>
        <w:t>pecifically, we can further</w:t>
      </w:r>
      <w:r>
        <w:rPr>
          <w:rFonts w:cs="宋体" w:hint="eastAsia"/>
        </w:rPr>
        <w:t xml:space="preserve"> discuss</w:t>
      </w:r>
      <w:r>
        <w:rPr>
          <w:rFonts w:cs="宋体"/>
        </w:rPr>
        <w:t xml:space="preserve"> whether</w:t>
      </w:r>
      <w:r>
        <w:rPr>
          <w:rFonts w:cs="宋体" w:hint="eastAsia"/>
        </w:rPr>
        <w:t xml:space="preserve"> similar</w:t>
      </w:r>
      <w:r>
        <w:rPr>
          <w:rFonts w:cs="宋体"/>
        </w:rPr>
        <w:t xml:space="preserve"> </w:t>
      </w:r>
      <w:r>
        <w:rPr>
          <w:rFonts w:cs="宋体" w:hint="eastAsia"/>
        </w:rPr>
        <w:t xml:space="preserve">channel access for </w:t>
      </w:r>
      <w:r>
        <w:rPr>
          <w:rFonts w:cs="宋体"/>
        </w:rPr>
        <w:t>short control signaling</w:t>
      </w:r>
      <w:r>
        <w:rPr>
          <w:rFonts w:cs="宋体" w:hint="eastAsia"/>
        </w:rPr>
        <w:t xml:space="preserve"> can be supported for</w:t>
      </w:r>
      <w:r>
        <w:rPr>
          <w:rFonts w:cs="宋体"/>
        </w:rPr>
        <w:t xml:space="preserve"> </w:t>
      </w:r>
      <w:r>
        <w:rPr>
          <w:rFonts w:cs="宋体" w:hint="eastAsia"/>
        </w:rPr>
        <w:t>S-SSB</w:t>
      </w:r>
      <w:r>
        <w:rPr>
          <w:rFonts w:cs="宋体"/>
        </w:rPr>
        <w:t xml:space="preserve"> and</w:t>
      </w:r>
      <w:r>
        <w:rPr>
          <w:rFonts w:cs="宋体" w:hint="eastAsia"/>
        </w:rPr>
        <w:t>/or</w:t>
      </w:r>
      <w:r>
        <w:rPr>
          <w:rFonts w:cs="宋体"/>
        </w:rPr>
        <w:t xml:space="preserve"> </w:t>
      </w:r>
      <w:r>
        <w:rPr>
          <w:rFonts w:cs="宋体" w:hint="eastAsia"/>
        </w:rPr>
        <w:t>PSFCH</w:t>
      </w:r>
      <w:r>
        <w:rPr>
          <w:rFonts w:cs="宋体"/>
        </w:rPr>
        <w:t xml:space="preserve">. </w:t>
      </w:r>
    </w:p>
    <w:p w:rsidR="00177470" w:rsidRDefault="00177470" w:rsidP="00177470">
      <w:pPr>
        <w:widowControl w:val="0"/>
        <w:spacing w:before="120" w:after="120"/>
        <w:rPr>
          <w:rFonts w:cs="宋体"/>
        </w:rPr>
      </w:pPr>
      <w:r>
        <w:rPr>
          <w:rFonts w:cs="宋体" w:hint="eastAsia"/>
        </w:rPr>
        <w:t xml:space="preserve">In NR-U, one communication node can initiate a </w:t>
      </w:r>
      <w:r>
        <w:rPr>
          <w:rFonts w:cs="宋体"/>
        </w:rPr>
        <w:t>discovery burs</w:t>
      </w:r>
      <w:r>
        <w:rPr>
          <w:rFonts w:cs="宋体" w:hint="eastAsia"/>
        </w:rPr>
        <w:t>t by Type 2A. Following NR-U as well as the WID instruction, it is suggested that Type 2A can be used to initiate one S-SSB transmission.</w:t>
      </w:r>
    </w:p>
    <w:p w:rsidR="00177470" w:rsidRDefault="00177470" w:rsidP="00177470">
      <w:pPr>
        <w:pStyle w:val="ZTE-Proposal-20210505"/>
        <w:numPr>
          <w:ilvl w:val="0"/>
          <w:numId w:val="10"/>
        </w:numPr>
        <w:ind w:left="1132" w:hanging="1132"/>
      </w:pPr>
      <w:bookmarkStart w:id="38" w:name="_Toc115338289"/>
      <w:bookmarkStart w:id="39" w:name="_Toc115341117"/>
      <w:bookmarkStart w:id="40" w:name="_Toc115339303"/>
      <w:r>
        <w:rPr>
          <w:rFonts w:hint="eastAsia"/>
        </w:rPr>
        <w:t xml:space="preserve">A UE is supported to initiate </w:t>
      </w:r>
      <w:r>
        <w:t>one</w:t>
      </w:r>
      <w:r>
        <w:rPr>
          <w:rFonts w:hint="eastAsia"/>
        </w:rPr>
        <w:t xml:space="preserve"> S-SSB transmission by Type 2A LBT procedure as short control </w:t>
      </w:r>
      <w:r>
        <w:t>signalling</w:t>
      </w:r>
      <w:r>
        <w:rPr>
          <w:rFonts w:hint="eastAsia"/>
        </w:rPr>
        <w:t>.</w:t>
      </w:r>
      <w:bookmarkEnd w:id="38"/>
      <w:bookmarkEnd w:id="39"/>
      <w:bookmarkEnd w:id="40"/>
    </w:p>
    <w:p w:rsidR="00177470" w:rsidRDefault="00177470" w:rsidP="00177470">
      <w:pPr>
        <w:spacing w:before="120" w:after="120" w:line="276" w:lineRule="auto"/>
      </w:pPr>
      <w:r>
        <w:rPr>
          <w:rFonts w:hint="eastAsia"/>
        </w:rPr>
        <w:t>Considering the high frequency of PSFCH</w:t>
      </w:r>
      <w:r>
        <w:t xml:space="preserve"> transmissions</w:t>
      </w:r>
      <w:r>
        <w:rPr>
          <w:rFonts w:hint="eastAsia"/>
        </w:rPr>
        <w:t>, if</w:t>
      </w:r>
      <w:r>
        <w:t xml:space="preserve"> channel access mechanism of </w:t>
      </w:r>
      <w:r>
        <w:rPr>
          <w:rFonts w:hint="eastAsia"/>
        </w:rPr>
        <w:t xml:space="preserve">short control signaling </w:t>
      </w:r>
      <w:r>
        <w:t xml:space="preserve">is allowed for </w:t>
      </w:r>
      <w:r>
        <w:rPr>
          <w:rFonts w:hint="eastAsia"/>
        </w:rPr>
        <w:t>all PSFCH occasions, it is not friendly to other systems (such as WIFI). Considering that, one way is that short control signing</w:t>
      </w:r>
      <w:r>
        <w:t xml:space="preserve"> is not adopted as the channel access mechanism of </w:t>
      </w:r>
      <w:r>
        <w:rPr>
          <w:rFonts w:hint="eastAsia"/>
        </w:rPr>
        <w:t xml:space="preserve">PSFCH </w:t>
      </w:r>
      <w:r>
        <w:t>transmissions</w:t>
      </w:r>
      <w:r>
        <w:rPr>
          <w:rFonts w:hint="eastAsia"/>
        </w:rPr>
        <w:t xml:space="preserve">. The other way </w:t>
      </w:r>
      <w:r>
        <w:t xml:space="preserve">is that mechanism of </w:t>
      </w:r>
      <w:r>
        <w:rPr>
          <w:rFonts w:hint="eastAsia"/>
        </w:rPr>
        <w:t>short control signing</w:t>
      </w:r>
      <w:r>
        <w:t xml:space="preserve"> can be used as initial channel access mechanism for only </w:t>
      </w:r>
      <w:r>
        <w:rPr>
          <w:rFonts w:hint="eastAsia"/>
        </w:rPr>
        <w:t>part of PSFCH occasion</w:t>
      </w:r>
      <w:r>
        <w:t>s, and type 1 LBT channel access mechanism is adopted for remaining PSFCH occasions.</w:t>
      </w:r>
    </w:p>
    <w:p w:rsidR="00177470" w:rsidRDefault="00177470" w:rsidP="00177470">
      <w:pPr>
        <w:pStyle w:val="ZTE-Proposal-20210505"/>
        <w:numPr>
          <w:ilvl w:val="0"/>
          <w:numId w:val="10"/>
        </w:numPr>
        <w:ind w:left="1132" w:hanging="1132"/>
      </w:pPr>
      <w:bookmarkStart w:id="41" w:name="_Toc115338290"/>
      <w:bookmarkStart w:id="42" w:name="_Toc115341118"/>
      <w:bookmarkStart w:id="43" w:name="_Toc115339304"/>
      <w:r>
        <w:rPr>
          <w:rFonts w:hint="eastAsia"/>
        </w:rPr>
        <w:t>For the initial channel access mechanism of PSFCH transmissions, one of the following is supported:</w:t>
      </w:r>
      <w:bookmarkEnd w:id="41"/>
      <w:bookmarkEnd w:id="42"/>
      <w:bookmarkEnd w:id="43"/>
    </w:p>
    <w:p w:rsidR="00177470" w:rsidRDefault="00177470" w:rsidP="00177470">
      <w:pPr>
        <w:pStyle w:val="sub-proposal"/>
      </w:pPr>
      <w:bookmarkStart w:id="44" w:name="_Toc115338291"/>
      <w:bookmarkStart w:id="45" w:name="_Toc115341119"/>
      <w:bookmarkStart w:id="46" w:name="_Toc115339305"/>
      <w:r>
        <w:rPr>
          <w:rFonts w:hint="eastAsia"/>
        </w:rPr>
        <w:t>Short control signaling transmission for PSFCH is not supported</w:t>
      </w:r>
      <w:bookmarkEnd w:id="44"/>
      <w:bookmarkEnd w:id="45"/>
      <w:bookmarkEnd w:id="46"/>
    </w:p>
    <w:p w:rsidR="00177470" w:rsidRDefault="00177470" w:rsidP="00177470">
      <w:pPr>
        <w:pStyle w:val="sub-proposal"/>
      </w:pPr>
      <w:bookmarkStart w:id="47" w:name="_Toc115338292"/>
      <w:bookmarkStart w:id="48" w:name="_Toc115341120"/>
      <w:bookmarkStart w:id="49" w:name="_Toc115339306"/>
      <w:r>
        <w:rPr>
          <w:rFonts w:hint="eastAsia"/>
        </w:rPr>
        <w:t>Short control signaling mechanism can be used for only part of PSFCH occasions</w:t>
      </w:r>
      <w:bookmarkEnd w:id="47"/>
      <w:bookmarkEnd w:id="48"/>
      <w:bookmarkEnd w:id="49"/>
    </w:p>
    <w:p w:rsidR="00177470" w:rsidRDefault="00177470" w:rsidP="00177470">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CAPC parameters</w:t>
      </w:r>
    </w:p>
    <w:p w:rsidR="00177470" w:rsidRDefault="00177470" w:rsidP="00177470">
      <w:pPr>
        <w:spacing w:before="120" w:after="120" w:line="276" w:lineRule="auto"/>
      </w:pPr>
      <w:r>
        <w:rPr>
          <w:rFonts w:hint="eastAsia"/>
        </w:rPr>
        <w:t>In NR-U, different CAPC parameters are defined for DL and UL respectively. The DL and UL CAPC parameters for type 1 LBT are shown in Table 2-1 and Table 2-2 respectively.</w:t>
      </w:r>
    </w:p>
    <w:p w:rsidR="00177470" w:rsidRDefault="00177470" w:rsidP="00177470">
      <w:pPr>
        <w:pStyle w:val="TH"/>
        <w:spacing w:before="120" w:after="120"/>
        <w:rPr>
          <w:rFonts w:cs="Arial"/>
          <w:bCs/>
        </w:rPr>
      </w:pPr>
      <w:r>
        <w:rPr>
          <w:rFonts w:cs="Arial" w:hint="eastAsia"/>
          <w:bCs/>
        </w:rPr>
        <w:lastRenderedPageBreak/>
        <w:t>Table 2-1: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0"/>
        <w:gridCol w:w="900"/>
        <w:gridCol w:w="1080"/>
        <w:gridCol w:w="1080"/>
        <w:gridCol w:w="1170"/>
        <w:gridCol w:w="2692"/>
      </w:tblGrid>
      <w:tr w:rsidR="00177470" w:rsidTr="00F02129">
        <w:trPr>
          <w:trHeight w:val="554"/>
          <w:jc w:val="center"/>
        </w:trPr>
        <w:tc>
          <w:tcPr>
            <w:tcW w:w="1500" w:type="dxa"/>
            <w:shd w:val="clear" w:color="auto" w:fill="E0E0E0"/>
            <w:vAlign w:val="center"/>
          </w:tcPr>
          <w:p w:rsidR="00177470" w:rsidRDefault="00177470" w:rsidP="00F02129">
            <w:pPr>
              <w:pStyle w:val="TAH"/>
              <w:spacing w:before="120" w:after="120"/>
            </w:pPr>
            <w:r>
              <w:t>Channel Access Priority Class (</w:t>
            </w:r>
            <m:oMath>
              <m:r>
                <m:rPr>
                  <m:sty m:val="bi"/>
                </m:rPr>
                <w:rPr>
                  <w:rFonts w:ascii="Cambria Math"/>
                </w:rPr>
                <m:t>p</m:t>
              </m:r>
            </m:oMath>
            <w:r>
              <w:t>)</w:t>
            </w:r>
          </w:p>
        </w:tc>
        <w:tc>
          <w:tcPr>
            <w:tcW w:w="900" w:type="dxa"/>
            <w:shd w:val="clear" w:color="auto" w:fill="E0E0E0"/>
            <w:vAlign w:val="center"/>
          </w:tcPr>
          <w:p w:rsidR="00177470" w:rsidRDefault="00D938B1" w:rsidP="00F02129">
            <w:pPr>
              <w:pStyle w:val="TAH"/>
              <w:spacing w:before="120" w:after="120"/>
            </w:pPr>
            <m:oMathPara>
              <m:oMath>
                <m:sSub>
                  <m:sSubPr>
                    <m:ctrlPr>
                      <w:rPr>
                        <w:rFonts w:ascii="Cambria Math" w:hAnsi="Cambria Math"/>
                        <w:i/>
                      </w:rPr>
                    </m:ctrlPr>
                  </m:sSubPr>
                  <m:e>
                    <m:r>
                      <m:rPr>
                        <m:sty m:val="bi"/>
                      </m:rPr>
                      <w:rPr>
                        <w:rFonts w:ascii="Cambria Math" w:hAnsi="Cambria Math"/>
                      </w:rPr>
                      <m:t>m</m:t>
                    </m:r>
                    <m:ctrlPr>
                      <w:rPr>
                        <w:rFonts w:ascii="Cambria Math" w:hAnsi="Cambria Math"/>
                      </w:rPr>
                    </m:ctrlPr>
                  </m:e>
                  <m:sub>
                    <m:r>
                      <m:rPr>
                        <m:sty m:val="bi"/>
                      </m:rPr>
                      <w:rPr>
                        <w:rFonts w:ascii="Cambria Math" w:hAnsi="Cambria Math"/>
                      </w:rPr>
                      <m:t>p</m:t>
                    </m:r>
                    <m:ctrlPr>
                      <w:rPr>
                        <w:rFonts w:ascii="Cambria Math" w:hAnsi="Cambria Math"/>
                      </w:rPr>
                    </m:ctrlPr>
                  </m:sub>
                </m:sSub>
              </m:oMath>
            </m:oMathPara>
          </w:p>
        </w:tc>
        <w:tc>
          <w:tcPr>
            <w:tcW w:w="1080" w:type="dxa"/>
            <w:shd w:val="clear" w:color="auto" w:fill="E0E0E0"/>
            <w:vAlign w:val="center"/>
          </w:tcPr>
          <w:p w:rsidR="00177470" w:rsidRDefault="00177470" w:rsidP="00F02129">
            <w:pPr>
              <w:pStyle w:val="TAH"/>
              <w:spacing w:before="120" w:after="120"/>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ctrlPr>
                      <w:rPr>
                        <w:rFonts w:ascii="Cambria Math" w:hAnsi="Cambria Math"/>
                      </w:rPr>
                    </m:ctrlPr>
                  </m:e>
                  <m:sub>
                    <m:func>
                      <m:funcPr>
                        <m:ctrlPr>
                          <w:rPr>
                            <w:rFonts w:ascii="Cambria Math" w:hAnsi="Cambria Math"/>
                            <w:i/>
                          </w:rPr>
                        </m:ctrlPr>
                      </m:funcPr>
                      <m:fName>
                        <m:r>
                          <m:rPr>
                            <m:sty m:val="bi"/>
                          </m:rPr>
                          <w:rPr>
                            <w:rFonts w:ascii="Cambria Math" w:hAnsi="Cambria Math"/>
                          </w:rPr>
                          <m:t>min,</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1080" w:type="dxa"/>
            <w:shd w:val="clear" w:color="auto" w:fill="E0E0E0"/>
            <w:vAlign w:val="center"/>
          </w:tcPr>
          <w:p w:rsidR="00177470" w:rsidRDefault="00177470" w:rsidP="00F02129">
            <w:pPr>
              <w:pStyle w:val="TAH"/>
              <w:spacing w:before="120" w:after="120"/>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ctrlPr>
                      <w:rPr>
                        <w:rFonts w:ascii="Cambria Math" w:hAnsi="Cambria Math"/>
                      </w:rPr>
                    </m:ctrlPr>
                  </m:e>
                  <m:sub>
                    <m:func>
                      <m:funcPr>
                        <m:ctrlPr>
                          <w:rPr>
                            <w:rFonts w:ascii="Cambria Math" w:hAnsi="Cambria Math"/>
                            <w:i/>
                          </w:rPr>
                        </m:ctrlPr>
                      </m:funcPr>
                      <m:fName>
                        <m:r>
                          <m:rPr>
                            <m:sty m:val="bi"/>
                          </m:rPr>
                          <w:rPr>
                            <w:rFonts w:ascii="Cambria Math" w:hAnsi="Cambria Math"/>
                          </w:rPr>
                          <m:t>max,</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1170" w:type="dxa"/>
            <w:shd w:val="clear" w:color="auto" w:fill="E0E0E0"/>
            <w:vAlign w:val="center"/>
          </w:tcPr>
          <w:p w:rsidR="00177470" w:rsidRDefault="00D938B1" w:rsidP="00F02129">
            <w:pPr>
              <w:pStyle w:val="TAH"/>
              <w:spacing w:before="120" w:after="120"/>
            </w:pPr>
            <m:oMathPara>
              <m:oMath>
                <m:sSub>
                  <m:sSubPr>
                    <m:ctrlPr>
                      <w:rPr>
                        <w:rFonts w:ascii="Cambria Math" w:hAnsi="Cambria Math"/>
                        <w:i/>
                      </w:rPr>
                    </m:ctrlPr>
                  </m:sSubPr>
                  <m:e>
                    <m:r>
                      <m:rPr>
                        <m:sty m:val="bi"/>
                      </m:rPr>
                      <w:rPr>
                        <w:rFonts w:ascii="Cambria Math" w:hAnsi="Cambria Math"/>
                      </w:rPr>
                      <m:t>T</m:t>
                    </m:r>
                    <m:ctrlPr>
                      <w:rPr>
                        <w:rFonts w:ascii="Cambria Math" w:hAnsi="Cambria Math"/>
                      </w:rPr>
                    </m:ctrlPr>
                  </m:e>
                  <m:sub>
                    <m:r>
                      <m:rPr>
                        <m:sty m:val="bi"/>
                      </m:rPr>
                      <w:rPr>
                        <w:rFonts w:ascii="Cambria Math" w:hAnsi="Cambria Math"/>
                      </w:rPr>
                      <m:t>m</m:t>
                    </m:r>
                    <m:func>
                      <m:funcPr>
                        <m:ctrlPr>
                          <w:rPr>
                            <w:rFonts w:ascii="Cambria Math" w:hAnsi="Cambria Math"/>
                            <w:i/>
                          </w:rPr>
                        </m:ctrlPr>
                      </m:funcPr>
                      <m:fName>
                        <m:r>
                          <m:rPr>
                            <m:sty m:val="bi"/>
                          </m:rPr>
                          <w:rPr>
                            <w:rFonts w:ascii="Cambria Math" w:hAnsi="Cambria Math"/>
                          </w:rPr>
                          <m:t>cot,</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2692" w:type="dxa"/>
            <w:shd w:val="clear" w:color="auto" w:fill="E0E0E0"/>
            <w:vAlign w:val="center"/>
          </w:tcPr>
          <w:p w:rsidR="00177470" w:rsidRDefault="00177470" w:rsidP="00F02129">
            <w:pPr>
              <w:pStyle w:val="TAH"/>
              <w:spacing w:before="120" w:after="120"/>
            </w:pPr>
            <w:r>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t>sizes</w:t>
            </w:r>
          </w:p>
        </w:tc>
      </w:tr>
      <w:tr w:rsidR="00177470" w:rsidTr="00F02129">
        <w:trPr>
          <w:trHeight w:val="376"/>
          <w:jc w:val="center"/>
        </w:trPr>
        <w:tc>
          <w:tcPr>
            <w:tcW w:w="1500" w:type="dxa"/>
            <w:shd w:val="clear" w:color="auto" w:fill="auto"/>
            <w:vAlign w:val="center"/>
          </w:tcPr>
          <w:p w:rsidR="00177470" w:rsidRDefault="00177470" w:rsidP="00F02129">
            <w:pPr>
              <w:pStyle w:val="TAC"/>
              <w:spacing w:before="120" w:after="120"/>
            </w:pPr>
            <w:r>
              <w:t>1</w:t>
            </w:r>
          </w:p>
        </w:tc>
        <w:tc>
          <w:tcPr>
            <w:tcW w:w="900" w:type="dxa"/>
            <w:shd w:val="clear" w:color="auto" w:fill="auto"/>
            <w:vAlign w:val="center"/>
          </w:tcPr>
          <w:p w:rsidR="00177470" w:rsidRDefault="00177470" w:rsidP="00F02129">
            <w:pPr>
              <w:pStyle w:val="TAC"/>
              <w:spacing w:before="120" w:after="120"/>
            </w:pPr>
            <w:r>
              <w:t>1</w:t>
            </w:r>
          </w:p>
        </w:tc>
        <w:tc>
          <w:tcPr>
            <w:tcW w:w="1080" w:type="dxa"/>
            <w:vAlign w:val="center"/>
          </w:tcPr>
          <w:p w:rsidR="00177470" w:rsidRDefault="00177470" w:rsidP="00F02129">
            <w:pPr>
              <w:pStyle w:val="TAC"/>
              <w:spacing w:before="120" w:after="120"/>
            </w:pPr>
            <w:r>
              <w:t>3</w:t>
            </w:r>
          </w:p>
        </w:tc>
        <w:tc>
          <w:tcPr>
            <w:tcW w:w="1080" w:type="dxa"/>
            <w:vAlign w:val="center"/>
          </w:tcPr>
          <w:p w:rsidR="00177470" w:rsidRDefault="00177470" w:rsidP="00F02129">
            <w:pPr>
              <w:pStyle w:val="TAC"/>
              <w:spacing w:before="120" w:after="120"/>
            </w:pPr>
            <w:r>
              <w:t>7</w:t>
            </w:r>
          </w:p>
        </w:tc>
        <w:tc>
          <w:tcPr>
            <w:tcW w:w="1170" w:type="dxa"/>
            <w:vAlign w:val="center"/>
          </w:tcPr>
          <w:p w:rsidR="00177470" w:rsidRDefault="00177470" w:rsidP="00F02129">
            <w:pPr>
              <w:pStyle w:val="TAC"/>
              <w:spacing w:before="120" w:after="120"/>
            </w:pPr>
            <w:r>
              <w:t>2 ms</w:t>
            </w:r>
          </w:p>
        </w:tc>
        <w:tc>
          <w:tcPr>
            <w:tcW w:w="2692" w:type="dxa"/>
            <w:vAlign w:val="center"/>
          </w:tcPr>
          <w:p w:rsidR="00177470" w:rsidRDefault="00177470" w:rsidP="00F02129">
            <w:pPr>
              <w:pStyle w:val="TAC"/>
              <w:spacing w:before="120" w:after="120"/>
            </w:pPr>
            <w:r>
              <w:t>{3,7}</w:t>
            </w:r>
          </w:p>
        </w:tc>
      </w:tr>
      <w:tr w:rsidR="00177470" w:rsidTr="00F02129">
        <w:trPr>
          <w:trHeight w:val="376"/>
          <w:jc w:val="center"/>
        </w:trPr>
        <w:tc>
          <w:tcPr>
            <w:tcW w:w="1500" w:type="dxa"/>
            <w:shd w:val="clear" w:color="auto" w:fill="auto"/>
            <w:vAlign w:val="center"/>
          </w:tcPr>
          <w:p w:rsidR="00177470" w:rsidRDefault="00177470" w:rsidP="00F02129">
            <w:pPr>
              <w:pStyle w:val="TAC"/>
              <w:spacing w:before="120" w:after="120"/>
            </w:pPr>
            <w:r>
              <w:t>2</w:t>
            </w:r>
          </w:p>
        </w:tc>
        <w:tc>
          <w:tcPr>
            <w:tcW w:w="900" w:type="dxa"/>
            <w:shd w:val="clear" w:color="auto" w:fill="auto"/>
            <w:vAlign w:val="center"/>
          </w:tcPr>
          <w:p w:rsidR="00177470" w:rsidRDefault="00177470" w:rsidP="00F02129">
            <w:pPr>
              <w:pStyle w:val="TAC"/>
              <w:spacing w:before="120" w:after="120"/>
            </w:pPr>
            <w:r>
              <w:t>1</w:t>
            </w:r>
          </w:p>
        </w:tc>
        <w:tc>
          <w:tcPr>
            <w:tcW w:w="1080" w:type="dxa"/>
            <w:vAlign w:val="center"/>
          </w:tcPr>
          <w:p w:rsidR="00177470" w:rsidRDefault="00177470" w:rsidP="00F02129">
            <w:pPr>
              <w:pStyle w:val="TAC"/>
              <w:spacing w:before="120" w:after="120"/>
            </w:pPr>
            <w:r>
              <w:t>7</w:t>
            </w:r>
          </w:p>
        </w:tc>
        <w:tc>
          <w:tcPr>
            <w:tcW w:w="1080" w:type="dxa"/>
            <w:vAlign w:val="center"/>
          </w:tcPr>
          <w:p w:rsidR="00177470" w:rsidRDefault="00177470" w:rsidP="00F02129">
            <w:pPr>
              <w:pStyle w:val="TAC"/>
              <w:spacing w:before="120" w:after="120"/>
            </w:pPr>
            <w:r>
              <w:t>15</w:t>
            </w:r>
          </w:p>
        </w:tc>
        <w:tc>
          <w:tcPr>
            <w:tcW w:w="1170" w:type="dxa"/>
            <w:vAlign w:val="center"/>
          </w:tcPr>
          <w:p w:rsidR="00177470" w:rsidRDefault="00177470" w:rsidP="00F02129">
            <w:pPr>
              <w:pStyle w:val="TAC"/>
              <w:spacing w:before="120" w:after="120"/>
            </w:pPr>
            <w:r>
              <w:t>3 ms</w:t>
            </w:r>
          </w:p>
        </w:tc>
        <w:tc>
          <w:tcPr>
            <w:tcW w:w="2692" w:type="dxa"/>
            <w:vAlign w:val="center"/>
          </w:tcPr>
          <w:p w:rsidR="00177470" w:rsidRDefault="00177470" w:rsidP="00F02129">
            <w:pPr>
              <w:pStyle w:val="TAC"/>
              <w:spacing w:before="120" w:after="120"/>
            </w:pPr>
            <w:r>
              <w:t>{7,15}</w:t>
            </w:r>
          </w:p>
        </w:tc>
      </w:tr>
      <w:tr w:rsidR="00177470" w:rsidTr="00F02129">
        <w:trPr>
          <w:trHeight w:val="376"/>
          <w:jc w:val="center"/>
        </w:trPr>
        <w:tc>
          <w:tcPr>
            <w:tcW w:w="1500" w:type="dxa"/>
            <w:shd w:val="clear" w:color="auto" w:fill="auto"/>
            <w:vAlign w:val="center"/>
          </w:tcPr>
          <w:p w:rsidR="00177470" w:rsidRDefault="00177470" w:rsidP="00F02129">
            <w:pPr>
              <w:pStyle w:val="TAC"/>
              <w:spacing w:before="120" w:after="120"/>
            </w:pPr>
            <w:r>
              <w:t>3</w:t>
            </w:r>
          </w:p>
        </w:tc>
        <w:tc>
          <w:tcPr>
            <w:tcW w:w="900" w:type="dxa"/>
            <w:shd w:val="clear" w:color="auto" w:fill="auto"/>
            <w:vAlign w:val="center"/>
          </w:tcPr>
          <w:p w:rsidR="00177470" w:rsidRDefault="00177470" w:rsidP="00F02129">
            <w:pPr>
              <w:pStyle w:val="TAC"/>
              <w:spacing w:before="120" w:after="120"/>
            </w:pPr>
            <w:r>
              <w:t>3</w:t>
            </w:r>
          </w:p>
        </w:tc>
        <w:tc>
          <w:tcPr>
            <w:tcW w:w="1080" w:type="dxa"/>
            <w:vAlign w:val="center"/>
          </w:tcPr>
          <w:p w:rsidR="00177470" w:rsidRDefault="00177470" w:rsidP="00F02129">
            <w:pPr>
              <w:pStyle w:val="TAC"/>
              <w:spacing w:before="120" w:after="120"/>
            </w:pPr>
            <w:r>
              <w:t>15</w:t>
            </w:r>
          </w:p>
        </w:tc>
        <w:tc>
          <w:tcPr>
            <w:tcW w:w="1080" w:type="dxa"/>
            <w:vAlign w:val="center"/>
          </w:tcPr>
          <w:p w:rsidR="00177470" w:rsidRDefault="00177470" w:rsidP="00F02129">
            <w:pPr>
              <w:pStyle w:val="TAC"/>
              <w:spacing w:before="120" w:after="120"/>
            </w:pPr>
            <w:r>
              <w:t>63</w:t>
            </w:r>
          </w:p>
        </w:tc>
        <w:tc>
          <w:tcPr>
            <w:tcW w:w="1170" w:type="dxa"/>
            <w:vAlign w:val="center"/>
          </w:tcPr>
          <w:p w:rsidR="00177470" w:rsidRDefault="00177470" w:rsidP="00F02129">
            <w:pPr>
              <w:pStyle w:val="TAC"/>
              <w:spacing w:before="120" w:after="120"/>
            </w:pPr>
            <w:r>
              <w:t>8 or 10 ms</w:t>
            </w:r>
          </w:p>
        </w:tc>
        <w:tc>
          <w:tcPr>
            <w:tcW w:w="2692" w:type="dxa"/>
            <w:vAlign w:val="center"/>
          </w:tcPr>
          <w:p w:rsidR="00177470" w:rsidRDefault="00177470" w:rsidP="00F02129">
            <w:pPr>
              <w:pStyle w:val="TAC"/>
              <w:spacing w:before="120" w:after="120"/>
            </w:pPr>
            <w:r>
              <w:t>{15,31,63}</w:t>
            </w:r>
          </w:p>
        </w:tc>
      </w:tr>
      <w:tr w:rsidR="00177470" w:rsidTr="00F02129">
        <w:trPr>
          <w:trHeight w:val="376"/>
          <w:jc w:val="center"/>
        </w:trPr>
        <w:tc>
          <w:tcPr>
            <w:tcW w:w="1500" w:type="dxa"/>
            <w:shd w:val="clear" w:color="auto" w:fill="auto"/>
            <w:vAlign w:val="center"/>
          </w:tcPr>
          <w:p w:rsidR="00177470" w:rsidRDefault="00177470" w:rsidP="00F02129">
            <w:pPr>
              <w:pStyle w:val="TAC"/>
              <w:spacing w:before="120" w:after="120"/>
            </w:pPr>
            <w:r>
              <w:t>4</w:t>
            </w:r>
          </w:p>
        </w:tc>
        <w:tc>
          <w:tcPr>
            <w:tcW w:w="900" w:type="dxa"/>
            <w:shd w:val="clear" w:color="auto" w:fill="auto"/>
            <w:vAlign w:val="center"/>
          </w:tcPr>
          <w:p w:rsidR="00177470" w:rsidRDefault="00177470" w:rsidP="00F02129">
            <w:pPr>
              <w:pStyle w:val="TAC"/>
              <w:spacing w:before="120" w:after="120"/>
            </w:pPr>
            <w:r>
              <w:t>7</w:t>
            </w:r>
          </w:p>
        </w:tc>
        <w:tc>
          <w:tcPr>
            <w:tcW w:w="1080" w:type="dxa"/>
            <w:vAlign w:val="center"/>
          </w:tcPr>
          <w:p w:rsidR="00177470" w:rsidRDefault="00177470" w:rsidP="00F02129">
            <w:pPr>
              <w:pStyle w:val="TAC"/>
              <w:spacing w:before="120" w:after="120"/>
            </w:pPr>
            <w:r>
              <w:t>15</w:t>
            </w:r>
          </w:p>
        </w:tc>
        <w:tc>
          <w:tcPr>
            <w:tcW w:w="1080" w:type="dxa"/>
            <w:vAlign w:val="center"/>
          </w:tcPr>
          <w:p w:rsidR="00177470" w:rsidRDefault="00177470" w:rsidP="00F02129">
            <w:pPr>
              <w:pStyle w:val="TAC"/>
              <w:spacing w:before="120" w:after="120"/>
            </w:pPr>
            <w:r>
              <w:t>1023</w:t>
            </w:r>
          </w:p>
        </w:tc>
        <w:tc>
          <w:tcPr>
            <w:tcW w:w="1170" w:type="dxa"/>
            <w:vAlign w:val="center"/>
          </w:tcPr>
          <w:p w:rsidR="00177470" w:rsidRDefault="00177470" w:rsidP="00F02129">
            <w:pPr>
              <w:pStyle w:val="TAC"/>
              <w:spacing w:before="120" w:after="120"/>
            </w:pPr>
            <w:r>
              <w:t>8 or 10 ms</w:t>
            </w:r>
          </w:p>
        </w:tc>
        <w:tc>
          <w:tcPr>
            <w:tcW w:w="2692" w:type="dxa"/>
            <w:vAlign w:val="center"/>
          </w:tcPr>
          <w:p w:rsidR="00177470" w:rsidRDefault="00177470" w:rsidP="00F02129">
            <w:pPr>
              <w:pStyle w:val="TAC"/>
              <w:spacing w:before="120" w:after="120"/>
            </w:pPr>
            <w:r>
              <w:t>{15,31,63,127,255,511,1023}</w:t>
            </w:r>
          </w:p>
        </w:tc>
      </w:tr>
    </w:tbl>
    <w:p w:rsidR="00177470" w:rsidRDefault="00177470" w:rsidP="00177470">
      <w:pPr>
        <w:pStyle w:val="TH"/>
        <w:spacing w:before="120" w:after="120"/>
        <w:rPr>
          <w:rFonts w:cs="Arial"/>
          <w:bCs/>
        </w:rPr>
      </w:pPr>
      <w:r>
        <w:rPr>
          <w:rFonts w:cs="Arial" w:hint="eastAsia"/>
          <w:bCs/>
        </w:rPr>
        <w:t>Table 2-2: Channel Access Priority Class (CAPC)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1"/>
        <w:gridCol w:w="630"/>
        <w:gridCol w:w="990"/>
        <w:gridCol w:w="990"/>
        <w:gridCol w:w="1890"/>
        <w:gridCol w:w="2700"/>
      </w:tblGrid>
      <w:tr w:rsidR="00177470" w:rsidTr="00F02129">
        <w:trPr>
          <w:trHeight w:val="554"/>
          <w:jc w:val="center"/>
        </w:trPr>
        <w:tc>
          <w:tcPr>
            <w:tcW w:w="1371" w:type="dxa"/>
            <w:shd w:val="clear" w:color="auto" w:fill="E0E0E0"/>
            <w:vAlign w:val="center"/>
          </w:tcPr>
          <w:p w:rsidR="00177470" w:rsidRDefault="00177470" w:rsidP="00F02129">
            <w:pPr>
              <w:pStyle w:val="TAH"/>
              <w:spacing w:before="120" w:after="120"/>
            </w:pPr>
            <w:r>
              <w:t>Channel Access Priority Class (</w:t>
            </w:r>
            <m:oMath>
              <m:r>
                <m:rPr>
                  <m:sty m:val="bi"/>
                </m:rPr>
                <w:rPr>
                  <w:rFonts w:ascii="Cambria Math"/>
                </w:rPr>
                <m:t>p</m:t>
              </m:r>
            </m:oMath>
            <w:r>
              <w:t>)</w:t>
            </w:r>
          </w:p>
        </w:tc>
        <w:tc>
          <w:tcPr>
            <w:tcW w:w="630" w:type="dxa"/>
            <w:shd w:val="clear" w:color="auto" w:fill="E0E0E0"/>
            <w:vAlign w:val="center"/>
          </w:tcPr>
          <w:p w:rsidR="00177470" w:rsidRDefault="00D938B1" w:rsidP="00F02129">
            <w:pPr>
              <w:pStyle w:val="TAH"/>
              <w:spacing w:before="120" w:after="120"/>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rsidR="00177470" w:rsidRDefault="00177470" w:rsidP="00F02129">
            <w:pPr>
              <w:pStyle w:val="TAH"/>
              <w:spacing w:before="120" w:after="120"/>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rsidR="00177470" w:rsidRDefault="00177470" w:rsidP="00F02129">
            <w:pPr>
              <w:pStyle w:val="TAH"/>
              <w:spacing w:before="120" w:after="120"/>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rsidR="00177470" w:rsidRDefault="00D938B1" w:rsidP="00F02129">
            <w:pPr>
              <w:pStyle w:val="TAH"/>
              <w:spacing w:before="120" w:after="120"/>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rsidR="00177470" w:rsidRDefault="00177470" w:rsidP="00F02129">
            <w:pPr>
              <w:pStyle w:val="TAH"/>
              <w:spacing w:before="120" w:after="120"/>
            </w:pPr>
            <w:r>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t xml:space="preserve"> sizes</w:t>
            </w:r>
          </w:p>
        </w:tc>
      </w:tr>
      <w:tr w:rsidR="00177470" w:rsidTr="00F02129">
        <w:trPr>
          <w:trHeight w:val="376"/>
          <w:jc w:val="center"/>
        </w:trPr>
        <w:tc>
          <w:tcPr>
            <w:tcW w:w="1371" w:type="dxa"/>
            <w:shd w:val="clear" w:color="auto" w:fill="auto"/>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1</w:t>
            </w:r>
          </w:p>
        </w:tc>
        <w:tc>
          <w:tcPr>
            <w:tcW w:w="630" w:type="dxa"/>
            <w:shd w:val="clear" w:color="auto" w:fill="auto"/>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2</w:t>
            </w:r>
          </w:p>
        </w:tc>
        <w:tc>
          <w:tcPr>
            <w:tcW w:w="9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3</w:t>
            </w:r>
          </w:p>
        </w:tc>
        <w:tc>
          <w:tcPr>
            <w:tcW w:w="9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7</w:t>
            </w:r>
          </w:p>
        </w:tc>
        <w:tc>
          <w:tcPr>
            <w:tcW w:w="18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2ms</w:t>
            </w:r>
          </w:p>
        </w:tc>
        <w:tc>
          <w:tcPr>
            <w:tcW w:w="270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{3,7}</w:t>
            </w:r>
          </w:p>
        </w:tc>
      </w:tr>
      <w:tr w:rsidR="00177470" w:rsidTr="00F02129">
        <w:trPr>
          <w:trHeight w:val="376"/>
          <w:jc w:val="center"/>
        </w:trPr>
        <w:tc>
          <w:tcPr>
            <w:tcW w:w="1371" w:type="dxa"/>
            <w:shd w:val="clear" w:color="auto" w:fill="auto"/>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2</w:t>
            </w:r>
          </w:p>
        </w:tc>
        <w:tc>
          <w:tcPr>
            <w:tcW w:w="630" w:type="dxa"/>
            <w:shd w:val="clear" w:color="auto" w:fill="auto"/>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2</w:t>
            </w:r>
          </w:p>
        </w:tc>
        <w:tc>
          <w:tcPr>
            <w:tcW w:w="9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7</w:t>
            </w:r>
          </w:p>
        </w:tc>
        <w:tc>
          <w:tcPr>
            <w:tcW w:w="9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15</w:t>
            </w:r>
          </w:p>
        </w:tc>
        <w:tc>
          <w:tcPr>
            <w:tcW w:w="18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4ms</w:t>
            </w:r>
          </w:p>
        </w:tc>
        <w:tc>
          <w:tcPr>
            <w:tcW w:w="270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{7,15}</w:t>
            </w:r>
          </w:p>
        </w:tc>
      </w:tr>
      <w:tr w:rsidR="00177470" w:rsidTr="00F02129">
        <w:trPr>
          <w:trHeight w:val="376"/>
          <w:jc w:val="center"/>
        </w:trPr>
        <w:tc>
          <w:tcPr>
            <w:tcW w:w="1371" w:type="dxa"/>
            <w:shd w:val="clear" w:color="auto" w:fill="auto"/>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3</w:t>
            </w:r>
          </w:p>
        </w:tc>
        <w:tc>
          <w:tcPr>
            <w:tcW w:w="630" w:type="dxa"/>
            <w:shd w:val="clear" w:color="auto" w:fill="auto"/>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3</w:t>
            </w:r>
          </w:p>
        </w:tc>
        <w:tc>
          <w:tcPr>
            <w:tcW w:w="9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15</w:t>
            </w:r>
          </w:p>
        </w:tc>
        <w:tc>
          <w:tcPr>
            <w:tcW w:w="9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1023</w:t>
            </w:r>
          </w:p>
        </w:tc>
        <w:tc>
          <w:tcPr>
            <w:tcW w:w="18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 xml:space="preserve">6ms or 10ms </w:t>
            </w:r>
          </w:p>
        </w:tc>
        <w:tc>
          <w:tcPr>
            <w:tcW w:w="270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{15,31,63,127,255,511,1023}</w:t>
            </w:r>
          </w:p>
        </w:tc>
      </w:tr>
      <w:tr w:rsidR="00177470" w:rsidTr="00F02129">
        <w:trPr>
          <w:trHeight w:val="376"/>
          <w:jc w:val="center"/>
        </w:trPr>
        <w:tc>
          <w:tcPr>
            <w:tcW w:w="1371" w:type="dxa"/>
            <w:shd w:val="clear" w:color="auto" w:fill="auto"/>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4</w:t>
            </w:r>
          </w:p>
        </w:tc>
        <w:tc>
          <w:tcPr>
            <w:tcW w:w="630" w:type="dxa"/>
            <w:shd w:val="clear" w:color="auto" w:fill="auto"/>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7</w:t>
            </w:r>
          </w:p>
        </w:tc>
        <w:tc>
          <w:tcPr>
            <w:tcW w:w="9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15</w:t>
            </w:r>
          </w:p>
        </w:tc>
        <w:tc>
          <w:tcPr>
            <w:tcW w:w="9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1023</w:t>
            </w:r>
          </w:p>
        </w:tc>
        <w:tc>
          <w:tcPr>
            <w:tcW w:w="189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6ms or 10ms</w:t>
            </w:r>
          </w:p>
        </w:tc>
        <w:tc>
          <w:tcPr>
            <w:tcW w:w="2700" w:type="dxa"/>
            <w:vAlign w:val="center"/>
          </w:tcPr>
          <w:p w:rsidR="00177470" w:rsidRDefault="00177470" w:rsidP="00F02129">
            <w:pPr>
              <w:pStyle w:val="TAC"/>
              <w:spacing w:before="120" w:after="120"/>
              <w:rPr>
                <w:rFonts w:ascii="Times New Roman" w:hAnsi="Times New Roman"/>
                <w:sz w:val="20"/>
              </w:rPr>
            </w:pPr>
            <w:r>
              <w:rPr>
                <w:rFonts w:ascii="Times New Roman" w:hAnsi="Times New Roman"/>
                <w:sz w:val="20"/>
              </w:rPr>
              <w:t>{15,31,63,127,255,511,1023}</w:t>
            </w:r>
          </w:p>
        </w:tc>
      </w:tr>
      <w:tr w:rsidR="00177470" w:rsidTr="00F02129">
        <w:trPr>
          <w:trHeight w:val="376"/>
          <w:jc w:val="center"/>
        </w:trPr>
        <w:tc>
          <w:tcPr>
            <w:tcW w:w="8571" w:type="dxa"/>
            <w:gridSpan w:val="6"/>
            <w:shd w:val="clear" w:color="auto" w:fill="auto"/>
            <w:vAlign w:val="center"/>
          </w:tcPr>
          <w:p w:rsidR="00177470" w:rsidRDefault="00177470" w:rsidP="00F02129">
            <w:pPr>
              <w:spacing w:before="120" w:after="120"/>
            </w:pPr>
            <w:r>
              <w:rPr>
                <w:lang w:val="en-AU"/>
              </w:rPr>
              <w:t>NOTE1:</w:t>
            </w:r>
            <w:r>
              <w:tab/>
              <w:t xml:space="preserve">For </w:t>
            </w:r>
            <m:oMath>
              <m:r>
                <w:rPr>
                  <w:rFonts w:ascii="Cambria Math" w:hAnsi="Cambria Math"/>
                </w:rPr>
                <m:t>p=3,4</m:t>
              </m:r>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t xml:space="preserve"> if the higher layer parameter </w:t>
            </w:r>
            <w:r>
              <w:rPr>
                <w:i/>
              </w:rPr>
              <w:t xml:space="preserve">absenceOfAnyOtherTechnology-r14 </w:t>
            </w:r>
            <w:r>
              <w:t xml:space="preserve">or </w:t>
            </w:r>
            <w:r>
              <w:rPr>
                <w:i/>
              </w:rPr>
              <w:t>absenceOfAnyOtherTechnology-</w:t>
            </w:r>
            <w:r>
              <w:t xml:space="preserve">r16 is provided,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t xml:space="preserve">. </w:t>
            </w:r>
          </w:p>
          <w:p w:rsidR="00177470" w:rsidRDefault="00177470" w:rsidP="00F02129">
            <w:pPr>
              <w:spacing w:before="120" w:after="120"/>
            </w:pPr>
            <w:r>
              <w:rPr>
                <w:lang w:val="en-AU"/>
              </w:rPr>
              <w:t>NOTE 2:</w:t>
            </w:r>
            <w:r>
              <w:tab/>
            </w:r>
            <w:r>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t xml:space="preserve"> it </w:t>
            </w:r>
            <w:r>
              <w:rPr>
                <w:lang w:val="en-AU"/>
              </w:rPr>
              <w:t xml:space="preserve">may be increased to </w:t>
            </w:r>
            <m:oMath>
              <m:r>
                <w:rPr>
                  <w:rFonts w:ascii="Cambria Math" w:hAnsi="Cambria Math"/>
                </w:rPr>
                <m:t>8ms</m:t>
              </m:r>
            </m:oMath>
            <w:r>
              <w:rPr>
                <w:lang w:val="en-AU"/>
              </w:rPr>
              <w:t xml:space="preserve"> by inserting one or more gaps. The minimum duration of a gap shall be </w:t>
            </w:r>
            <m:oMath>
              <m:r>
                <w:rPr>
                  <w:rFonts w:ascii="Cambria Math" w:hAnsi="Cambria Math"/>
                </w:rPr>
                <m:t>100us</m:t>
              </m:r>
            </m:oMath>
            <w:r>
              <w:rPr>
                <w:lang w:val="en-AU"/>
              </w:rPr>
              <w:t xml:space="preserve">. The maximum duration before including any such gap shall be </w:t>
            </w:r>
            <m:oMath>
              <m:r>
                <w:rPr>
                  <w:rFonts w:ascii="Cambria Math" w:hAnsi="Cambria Math"/>
                </w:rPr>
                <m:t>6ms</m:t>
              </m:r>
            </m:oMath>
            <w:r>
              <w:rPr>
                <w:lang w:val="en-AU"/>
              </w:rPr>
              <w:t xml:space="preserve">. </w:t>
            </w:r>
          </w:p>
        </w:tc>
      </w:tr>
    </w:tbl>
    <w:p w:rsidR="00177470" w:rsidRDefault="00177470" w:rsidP="00177470">
      <w:pPr>
        <w:widowControl w:val="0"/>
        <w:spacing w:before="120" w:after="120"/>
        <w:rPr>
          <w:rFonts w:cs="宋体"/>
        </w:rPr>
      </w:pPr>
      <w:r>
        <w:rPr>
          <w:rFonts w:cs="宋体" w:hint="eastAsia"/>
        </w:rPr>
        <w:t>According to [5], ETSI defines supervising device and supervised device, and different CAPC parameters are used for s</w:t>
      </w:r>
      <w:r>
        <w:rPr>
          <w:rFonts w:cs="宋体"/>
        </w:rPr>
        <w:t xml:space="preserve">upervising </w:t>
      </w:r>
      <w:r>
        <w:rPr>
          <w:rFonts w:cs="宋体" w:hint="eastAsia"/>
        </w:rPr>
        <w:t>d</w:t>
      </w:r>
      <w:r>
        <w:rPr>
          <w:rFonts w:cs="宋体"/>
        </w:rPr>
        <w:t>evice</w:t>
      </w:r>
      <w:r>
        <w:rPr>
          <w:rFonts w:cs="宋体" w:hint="eastAsia"/>
        </w:rPr>
        <w:t xml:space="preserve"> and</w:t>
      </w:r>
      <w:r>
        <w:rPr>
          <w:rFonts w:cs="宋体"/>
        </w:rPr>
        <w:t xml:space="preserve"> </w:t>
      </w:r>
      <w:r>
        <w:rPr>
          <w:rFonts w:cs="宋体" w:hint="eastAsia"/>
        </w:rPr>
        <w:t>s</w:t>
      </w:r>
      <w:r>
        <w:rPr>
          <w:rFonts w:cs="宋体"/>
        </w:rPr>
        <w:t xml:space="preserve">upervised </w:t>
      </w:r>
      <w:r>
        <w:rPr>
          <w:rFonts w:cs="宋体" w:hint="eastAsia"/>
        </w:rPr>
        <w:t>d</w:t>
      </w:r>
      <w:r>
        <w:rPr>
          <w:rFonts w:cs="宋体"/>
        </w:rPr>
        <w:t>evice</w:t>
      </w:r>
      <w:r>
        <w:rPr>
          <w:rFonts w:cs="宋体" w:hint="eastAsia"/>
        </w:rPr>
        <w:t>.</w:t>
      </w:r>
    </w:p>
    <w:tbl>
      <w:tblPr>
        <w:tblStyle w:val="a8"/>
        <w:tblW w:w="0" w:type="auto"/>
        <w:tblLook w:val="04A0"/>
      </w:tblPr>
      <w:tblGrid>
        <w:gridCol w:w="9876"/>
      </w:tblGrid>
      <w:tr w:rsidR="00177470" w:rsidTr="00F02129">
        <w:tc>
          <w:tcPr>
            <w:tcW w:w="9876" w:type="dxa"/>
          </w:tcPr>
          <w:p w:rsidR="00177470" w:rsidRDefault="00177470" w:rsidP="00F02129">
            <w:pPr>
              <w:spacing w:before="120" w:after="120"/>
            </w:pPr>
            <w:r>
              <w:t xml:space="preserve">An equipment that controls (non-DFS related) operating parameters of one or more other equipment is denoted as a Supervising Device. Otherwise, the equipment is denoted as a Supervised Device. </w:t>
            </w:r>
          </w:p>
        </w:tc>
      </w:tr>
    </w:tbl>
    <w:p w:rsidR="00177470" w:rsidRDefault="00177470" w:rsidP="00177470">
      <w:pPr>
        <w:pStyle w:val="YJ--"/>
        <w:spacing w:before="120" w:after="120" w:line="276" w:lineRule="auto"/>
        <w:ind w:firstLineChars="0" w:firstLine="0"/>
      </w:pPr>
      <w:r>
        <w:rPr>
          <w:rFonts w:hint="eastAsia"/>
        </w:rPr>
        <w:t>The CAPC of LBT procedure in SL-U can be based on one of DL CAPC and UL CAPC parameters. Considering the CAPC parameters for SL-U UE are pre-configured or configured by the base station, and thus the sidelink UEs should be classified as supervised device. Therefore, it is suggested that the CAPC parameter for UL are reused for SL-U.</w:t>
      </w:r>
    </w:p>
    <w:p w:rsidR="00177470" w:rsidRDefault="00177470" w:rsidP="00177470">
      <w:pPr>
        <w:pStyle w:val="ZTE-Proposal-20210505"/>
        <w:numPr>
          <w:ilvl w:val="0"/>
          <w:numId w:val="10"/>
        </w:numPr>
        <w:ind w:left="1132" w:hanging="1132"/>
      </w:pPr>
      <w:bookmarkStart w:id="50" w:name="_Toc115338294"/>
      <w:bookmarkStart w:id="51" w:name="_Toc115341121"/>
      <w:bookmarkStart w:id="52" w:name="_Toc115339308"/>
      <w:r>
        <w:rPr>
          <w:rFonts w:hint="eastAsia"/>
        </w:rPr>
        <w:t>The CAPC parameter for UL in NR-U are reused for SL-U.</w:t>
      </w:r>
      <w:bookmarkEnd w:id="50"/>
      <w:bookmarkEnd w:id="51"/>
      <w:bookmarkEnd w:id="52"/>
    </w:p>
    <w:p w:rsidR="00177470" w:rsidRDefault="00177470" w:rsidP="00177470">
      <w:pPr>
        <w:pStyle w:val="2"/>
        <w:numPr>
          <w:ilvl w:val="1"/>
          <w:numId w:val="8"/>
        </w:numPr>
        <w:tabs>
          <w:tab w:val="left" w:pos="-4820"/>
        </w:tabs>
        <w:ind w:left="0"/>
      </w:pPr>
      <w:r>
        <w:rPr>
          <w:rFonts w:hint="eastAsia"/>
        </w:rPr>
        <w:t>Contention window adjustment</w:t>
      </w:r>
    </w:p>
    <w:p w:rsidR="00177470" w:rsidRDefault="00177470" w:rsidP="00177470">
      <w:pPr>
        <w:spacing w:before="120" w:after="120" w:line="276" w:lineRule="auto"/>
      </w:pPr>
      <w:r>
        <w:rPr>
          <w:rFonts w:hint="eastAsia"/>
        </w:rPr>
        <w:t>In RAN1 #110 meeting, the following conclusions were agreed for CW adjustment mechanism.</w:t>
      </w:r>
    </w:p>
    <w:tbl>
      <w:tblPr>
        <w:tblStyle w:val="a8"/>
        <w:tblW w:w="0" w:type="auto"/>
        <w:tblLook w:val="04A0"/>
      </w:tblPr>
      <w:tblGrid>
        <w:gridCol w:w="9876"/>
      </w:tblGrid>
      <w:tr w:rsidR="00177470" w:rsidTr="00F02129">
        <w:tc>
          <w:tcPr>
            <w:tcW w:w="9876" w:type="dxa"/>
          </w:tcPr>
          <w:p w:rsidR="00177470" w:rsidRDefault="00177470" w:rsidP="00F02129">
            <w:pPr>
              <w:autoSpaceDE w:val="0"/>
              <w:autoSpaceDN w:val="0"/>
              <w:spacing w:before="120" w:after="120"/>
              <w:rPr>
                <w:rFonts w:ascii="Calibri" w:hAnsi="Calibri" w:cs="Calibri"/>
              </w:rPr>
            </w:pPr>
            <w:r>
              <w:rPr>
                <w:rFonts w:ascii="Calibri" w:hAnsi="Calibri" w:cs="Calibri"/>
                <w:b/>
                <w:bCs/>
                <w:highlight w:val="green"/>
              </w:rPr>
              <w:t>Agreement</w:t>
            </w:r>
          </w:p>
          <w:p w:rsidR="00177470" w:rsidRDefault="00177470" w:rsidP="00F02129">
            <w:pPr>
              <w:pStyle w:val="a9"/>
              <w:numPr>
                <w:ilvl w:val="0"/>
                <w:numId w:val="9"/>
              </w:numPr>
              <w:autoSpaceDE w:val="0"/>
              <w:autoSpaceDN w:val="0"/>
              <w:spacing w:after="120"/>
              <w:rPr>
                <w:sz w:val="21"/>
                <w:szCs w:val="21"/>
              </w:rPr>
            </w:pPr>
            <w:r>
              <w:rPr>
                <w:sz w:val="21"/>
                <w:szCs w:val="21"/>
              </w:rPr>
              <w:lastRenderedPageBreak/>
              <w:t>CW adjustment</w:t>
            </w:r>
          </w:p>
          <w:p w:rsidR="00177470" w:rsidRDefault="00177470" w:rsidP="00F02129">
            <w:pPr>
              <w:pStyle w:val="a9"/>
              <w:numPr>
                <w:ilvl w:val="1"/>
                <w:numId w:val="9"/>
              </w:numPr>
              <w:autoSpaceDE w:val="0"/>
              <w:autoSpaceDN w:val="0"/>
              <w:spacing w:after="120"/>
              <w:rPr>
                <w:sz w:val="21"/>
                <w:szCs w:val="21"/>
              </w:rPr>
            </w:pPr>
            <w:r>
              <w:rPr>
                <w:sz w:val="21"/>
                <w:szCs w:val="21"/>
              </w:rPr>
              <w:t xml:space="preserve">NR-U DL CW adjustment mechanism is used as the baseline for SL-U when SL-HARQ feedback is enabled in SCI for unicast </w:t>
            </w:r>
          </w:p>
          <w:p w:rsidR="00177470" w:rsidRDefault="00177470" w:rsidP="00F02129">
            <w:pPr>
              <w:pStyle w:val="a9"/>
              <w:numPr>
                <w:ilvl w:val="2"/>
                <w:numId w:val="9"/>
              </w:numPr>
              <w:autoSpaceDE w:val="0"/>
              <w:autoSpaceDN w:val="0"/>
              <w:spacing w:after="120"/>
              <w:rPr>
                <w:sz w:val="21"/>
                <w:szCs w:val="21"/>
              </w:rPr>
            </w:pPr>
            <w:r>
              <w:rPr>
                <w:sz w:val="21"/>
                <w:szCs w:val="21"/>
              </w:rPr>
              <w:t>FFS any necessary update for SL-U operation</w:t>
            </w:r>
          </w:p>
          <w:p w:rsidR="00177470" w:rsidRDefault="00177470" w:rsidP="00F02129">
            <w:pPr>
              <w:pStyle w:val="a9"/>
              <w:numPr>
                <w:ilvl w:val="1"/>
                <w:numId w:val="9"/>
              </w:numPr>
              <w:autoSpaceDE w:val="0"/>
              <w:autoSpaceDN w:val="0"/>
              <w:spacing w:after="120"/>
              <w:rPr>
                <w:sz w:val="21"/>
                <w:szCs w:val="21"/>
              </w:rPr>
            </w:pPr>
            <w:r>
              <w:rPr>
                <w:sz w:val="21"/>
                <w:szCs w:val="21"/>
              </w:rPr>
              <w:t>FFS: how to determine CW size when SL-HARQ feedback is disabled in SCI</w:t>
            </w:r>
          </w:p>
          <w:p w:rsidR="00177470" w:rsidRDefault="00177470" w:rsidP="00F02129">
            <w:pPr>
              <w:pStyle w:val="a9"/>
              <w:numPr>
                <w:ilvl w:val="1"/>
                <w:numId w:val="9"/>
              </w:numPr>
              <w:autoSpaceDE w:val="0"/>
              <w:autoSpaceDN w:val="0"/>
              <w:spacing w:after="120"/>
              <w:rPr>
                <w:sz w:val="20"/>
              </w:rPr>
            </w:pPr>
            <w:r>
              <w:rPr>
                <w:sz w:val="21"/>
                <w:szCs w:val="21"/>
                <w:lang w:val="en-AU"/>
              </w:rPr>
              <w:t xml:space="preserve">FFS the case of groupcast option 1 (NACK-only) and </w:t>
            </w:r>
            <w:r>
              <w:rPr>
                <w:sz w:val="21"/>
                <w:szCs w:val="21"/>
              </w:rPr>
              <w:t>groupcast option 2</w:t>
            </w:r>
          </w:p>
        </w:tc>
      </w:tr>
    </w:tbl>
    <w:p w:rsidR="00177470" w:rsidRDefault="00177470" w:rsidP="00177470">
      <w:pPr>
        <w:pStyle w:val="YJ--"/>
        <w:spacing w:before="120" w:after="120" w:line="276" w:lineRule="auto"/>
        <w:ind w:firstLineChars="0" w:firstLine="0"/>
        <w:rPr>
          <w:rFonts w:eastAsiaTheme="minorEastAsia" w:cs="Times New Roman"/>
        </w:rPr>
      </w:pPr>
      <w:r>
        <w:rPr>
          <w:rFonts w:eastAsiaTheme="minorEastAsia" w:cs="Times New Roman"/>
        </w:rPr>
        <w:lastRenderedPageBreak/>
        <w:t>In NR-U, if there is HARQ feedback, a UE adjusts the CW based on the reception of ACK/NACK in the reference duration. In the case of non-CBG, if a TB transmitted by a UE in the reference duration correspond</w:t>
      </w:r>
      <w:r>
        <w:rPr>
          <w:rFonts w:eastAsiaTheme="minorEastAsia" w:cs="Times New Roman" w:hint="eastAsia"/>
        </w:rPr>
        <w:t>s</w:t>
      </w:r>
      <w:r>
        <w:rPr>
          <w:rFonts w:eastAsiaTheme="minorEastAsia" w:cs="Times New Roman"/>
        </w:rPr>
        <w:t xml:space="preserve"> to ACK, the UE adjusts the CW window to CW</w:t>
      </w:r>
      <w:r>
        <w:rPr>
          <w:rFonts w:eastAsiaTheme="minorEastAsia" w:cs="Times New Roman"/>
          <w:vertAlign w:val="subscript"/>
        </w:rPr>
        <w:t>min</w:t>
      </w:r>
      <w:r>
        <w:rPr>
          <w:rFonts w:eastAsiaTheme="minorEastAsia" w:cs="Times New Roman"/>
        </w:rPr>
        <w:t>. When CBG is supported, the UE adjusts the CW window to CW</w:t>
      </w:r>
      <w:r>
        <w:rPr>
          <w:rFonts w:eastAsiaTheme="minorEastAsia" w:cs="Times New Roman"/>
          <w:vertAlign w:val="subscript"/>
        </w:rPr>
        <w:t xml:space="preserve">min </w:t>
      </w:r>
      <w:r>
        <w:rPr>
          <w:rFonts w:eastAsiaTheme="minorEastAsia" w:cs="Times New Roman"/>
        </w:rPr>
        <w:t>if ACK is received for at least 10% of the CBG. Otherwise, the UE adjusts the CW to the next larger CW level which does not exceed CW</w:t>
      </w:r>
      <w:r>
        <w:rPr>
          <w:rFonts w:eastAsiaTheme="minorEastAsia" w:cs="Times New Roman"/>
          <w:vertAlign w:val="subscript"/>
        </w:rPr>
        <w:t>max,p</w:t>
      </w:r>
      <w:r>
        <w:rPr>
          <w:rFonts w:eastAsiaTheme="minorEastAsia" w:cs="Times New Roman"/>
        </w:rPr>
        <w:t>. In NR-U, when there is no HARQ feedback, the first transmission uses the minimum CW value CW</w:t>
      </w:r>
      <w:r>
        <w:rPr>
          <w:rFonts w:eastAsiaTheme="minorEastAsia" w:cs="Times New Roman"/>
          <w:vertAlign w:val="subscript"/>
        </w:rPr>
        <w:t>min,p</w:t>
      </w:r>
      <w:r>
        <w:rPr>
          <w:rFonts w:eastAsiaTheme="minorEastAsia" w:cs="Times New Roman"/>
        </w:rPr>
        <w:t xml:space="preserve">, and the subsequent transmission uses the previous last CW value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p</m:t>
            </m:r>
          </m:sub>
        </m:sSub>
      </m:oMath>
      <w:r>
        <w:rPr>
          <w:rFonts w:eastAsiaTheme="minorEastAsia" w:cs="Times New Roman"/>
        </w:rPr>
        <w:t>.</w:t>
      </w:r>
    </w:p>
    <w:p w:rsidR="00177470" w:rsidRDefault="00177470" w:rsidP="00177470">
      <w:pPr>
        <w:pStyle w:val="YJ--"/>
        <w:spacing w:before="120" w:after="120" w:line="276" w:lineRule="auto"/>
        <w:ind w:firstLineChars="0" w:firstLine="0"/>
        <w:rPr>
          <w:rFonts w:eastAsiaTheme="minorEastAsia" w:cs="Times New Roman"/>
        </w:rPr>
      </w:pPr>
      <w:r>
        <w:rPr>
          <w:rFonts w:eastAsiaTheme="minorEastAsia" w:cs="Times New Roman" w:hint="eastAsia"/>
        </w:rPr>
        <w:t>For</w:t>
      </w:r>
      <w:r>
        <w:rPr>
          <w:rFonts w:eastAsiaTheme="minorEastAsia" w:cs="Times New Roman"/>
        </w:rPr>
        <w:t xml:space="preserve"> groupcast type 1, NACK only feedback is supported, </w:t>
      </w:r>
      <w:r>
        <w:rPr>
          <w:rFonts w:eastAsiaTheme="minorEastAsia" w:cs="Times New Roman" w:hint="eastAsia"/>
        </w:rPr>
        <w:t xml:space="preserve">it is possible </w:t>
      </w:r>
      <w:r>
        <w:rPr>
          <w:rFonts w:eastAsiaTheme="minorEastAsia" w:cs="Times New Roman"/>
        </w:rPr>
        <w:t xml:space="preserve">a UE receiving PSCCH/PSSCH does not feedback NACK due to </w:t>
      </w:r>
      <w:r>
        <w:rPr>
          <w:rFonts w:eastAsiaTheme="minorEastAsia" w:cs="Times New Roman" w:hint="eastAsia"/>
        </w:rPr>
        <w:t>LBT failure</w:t>
      </w:r>
      <w:r>
        <w:rPr>
          <w:rFonts w:eastAsiaTheme="minorEastAsia" w:cs="Times New Roman"/>
        </w:rPr>
        <w:t xml:space="preserve">. In this case, the </w:t>
      </w:r>
      <w:r>
        <w:rPr>
          <w:rFonts w:eastAsiaTheme="minorEastAsia" w:cs="Times New Roman" w:hint="eastAsia"/>
        </w:rPr>
        <w:t xml:space="preserve">TX </w:t>
      </w:r>
      <w:r>
        <w:rPr>
          <w:rFonts w:eastAsiaTheme="minorEastAsia" w:cs="Times New Roman"/>
        </w:rPr>
        <w:t>UE will determine HARQ-ACK feedback as ACK</w:t>
      </w:r>
      <w:r>
        <w:rPr>
          <w:rFonts w:eastAsiaTheme="minorEastAsia" w:cs="Times New Roman" w:hint="eastAsia"/>
        </w:rPr>
        <w:t xml:space="preserve"> incorrectly</w:t>
      </w:r>
      <w:r>
        <w:rPr>
          <w:rFonts w:eastAsiaTheme="minorEastAsia" w:cs="Times New Roman"/>
        </w:rPr>
        <w:t>.</w:t>
      </w:r>
      <w:r>
        <w:rPr>
          <w:rFonts w:eastAsiaTheme="minorEastAsia" w:cs="Times New Roman" w:hint="eastAsia"/>
        </w:rPr>
        <w:t xml:space="preserve"> To solve this problem, it is suggested that common ACK feedback can be introduced on top of common NACK feedback for groupcast type 1. With the introduction of common ACK, if the UE cannot receive ACK or can receive both ACK and NACK, the UE will assume HARQ-ACK feedback for CW adjustment as NACK. When one UE can receive ACK and cannot receive NACK, the UE will decide HARQ-ACK feedback as ACK. After that, the UE will adjust CW according to the above decided ACK or NACK.</w:t>
      </w:r>
    </w:p>
    <w:p w:rsidR="00177470" w:rsidRDefault="00177470" w:rsidP="00177470">
      <w:pPr>
        <w:pStyle w:val="YJ--"/>
        <w:spacing w:before="120" w:after="120" w:line="276" w:lineRule="auto"/>
        <w:ind w:firstLineChars="0" w:firstLine="0"/>
        <w:rPr>
          <w:rFonts w:eastAsiaTheme="minorEastAsia" w:cs="Times New Roman"/>
        </w:rPr>
      </w:pPr>
      <w:r>
        <w:rPr>
          <w:rFonts w:eastAsiaTheme="minorEastAsia" w:cs="Times New Roman"/>
        </w:rPr>
        <w:t xml:space="preserve">In groupcast type 2, one PSCCH transmission corresponds to multiple ACK/NACK feedbacks from different UEs. </w:t>
      </w:r>
      <w:r>
        <w:rPr>
          <w:rFonts w:eastAsiaTheme="minorEastAsia" w:cs="Times New Roman" w:hint="eastAsia"/>
        </w:rPr>
        <w:t>For</w:t>
      </w:r>
      <w:r>
        <w:rPr>
          <w:rFonts w:eastAsiaTheme="minorEastAsia" w:cs="Times New Roman"/>
        </w:rPr>
        <w:t xml:space="preserve"> ACK/NACK determination, only when all UEs in the same group feedback ACK, the </w:t>
      </w:r>
      <w:r>
        <w:rPr>
          <w:rFonts w:eastAsiaTheme="minorEastAsia" w:cs="Times New Roman" w:hint="eastAsia"/>
        </w:rPr>
        <w:t xml:space="preserve">TX </w:t>
      </w:r>
      <w:r>
        <w:rPr>
          <w:rFonts w:eastAsiaTheme="minorEastAsia" w:cs="Times New Roman"/>
        </w:rPr>
        <w:t>UE will determine HARQ-ACK feedback as ACK. If the CW window adjustment mechanism in NR-U is reused for groupcast type 2, there will be a problem</w:t>
      </w:r>
      <w:r>
        <w:rPr>
          <w:rFonts w:eastAsiaTheme="minorEastAsia" w:cs="Times New Roman" w:hint="eastAsia"/>
        </w:rPr>
        <w:t xml:space="preserve"> for groupcast transmission</w:t>
      </w:r>
      <w:r>
        <w:rPr>
          <w:rFonts w:eastAsiaTheme="minorEastAsia" w:cs="Times New Roman"/>
        </w:rPr>
        <w:t xml:space="preserve">, if most of these </w:t>
      </w:r>
      <w:r>
        <w:rPr>
          <w:rFonts w:eastAsiaTheme="minorEastAsia" w:cs="Times New Roman" w:hint="eastAsia"/>
        </w:rPr>
        <w:t xml:space="preserve">RX </w:t>
      </w:r>
      <w:r>
        <w:rPr>
          <w:rFonts w:eastAsiaTheme="minorEastAsia" w:cs="Times New Roman"/>
        </w:rPr>
        <w:t>UEs feedback ACK and only a few UEs feedback NACK, the UE transmitting PSSCH will adjust the CW to the next la</w:t>
      </w:r>
      <w:r>
        <w:rPr>
          <w:rFonts w:eastAsiaTheme="minorEastAsia" w:cs="Times New Roman" w:hint="eastAsia"/>
        </w:rPr>
        <w:t>r</w:t>
      </w:r>
      <w:r>
        <w:rPr>
          <w:rFonts w:eastAsiaTheme="minorEastAsia" w:cs="Times New Roman"/>
        </w:rPr>
        <w:t>ger CW level that does not exceed CW</w:t>
      </w:r>
      <w:r>
        <w:rPr>
          <w:rFonts w:eastAsiaTheme="minorEastAsia" w:cs="Times New Roman"/>
          <w:vertAlign w:val="subscript"/>
        </w:rPr>
        <w:t>max,p</w:t>
      </w:r>
      <w:r>
        <w:rPr>
          <w:rFonts w:eastAsiaTheme="minorEastAsia" w:cs="Times New Roman"/>
        </w:rPr>
        <w:t xml:space="preserve">. Therefore, CW window will be </w:t>
      </w:r>
      <w:r>
        <w:rPr>
          <w:rFonts w:eastAsiaTheme="minorEastAsia" w:cs="Times New Roman" w:hint="eastAsia"/>
        </w:rPr>
        <w:t>increased undesirably</w:t>
      </w:r>
      <w:r>
        <w:rPr>
          <w:rFonts w:eastAsiaTheme="minorEastAsia" w:cs="Times New Roman"/>
        </w:rPr>
        <w:t xml:space="preserve"> even if only a UE feedback NACK, which is not conducive to LBT resource competition. </w:t>
      </w:r>
      <w:r>
        <w:rPr>
          <w:rFonts w:eastAsiaTheme="minorEastAsia" w:cs="Times New Roman" w:hint="eastAsia"/>
        </w:rPr>
        <w:t xml:space="preserve">To solve this problem, it is suggested to adjust CW based on the ratio of ACK. When the ratio of ACK is greater than a certain threshold value, the UE will adjust the CW window to </w:t>
      </w:r>
      <w:r>
        <w:rPr>
          <w:rFonts w:eastAsiaTheme="minorEastAsia" w:cs="Times New Roman"/>
        </w:rPr>
        <w:t>CW</w:t>
      </w:r>
      <w:r>
        <w:rPr>
          <w:rFonts w:eastAsiaTheme="minorEastAsia" w:cs="Times New Roman"/>
          <w:vertAlign w:val="subscript"/>
        </w:rPr>
        <w:t>min</w:t>
      </w:r>
      <w:r>
        <w:rPr>
          <w:rFonts w:eastAsiaTheme="minorEastAsia" w:cs="Times New Roman" w:hint="eastAsia"/>
        </w:rPr>
        <w:t xml:space="preserve">. Otherwise, the UE will adjust the CW to the next larger CW level that does not exceed </w:t>
      </w:r>
      <w:r>
        <w:rPr>
          <w:rFonts w:eastAsiaTheme="minorEastAsia" w:cs="Times New Roman"/>
        </w:rPr>
        <w:t>CW</w:t>
      </w:r>
      <w:r>
        <w:rPr>
          <w:rFonts w:eastAsiaTheme="minorEastAsia" w:cs="Times New Roman"/>
          <w:vertAlign w:val="subscript"/>
        </w:rPr>
        <w:t>max,p</w:t>
      </w:r>
      <w:r>
        <w:rPr>
          <w:rFonts w:eastAsiaTheme="minorEastAsia" w:cs="Times New Roman"/>
        </w:rPr>
        <w:t xml:space="preserve">. </w:t>
      </w:r>
    </w:p>
    <w:p w:rsidR="00177470" w:rsidRDefault="00177470" w:rsidP="00177470">
      <w:pPr>
        <w:pStyle w:val="YJ--"/>
        <w:spacing w:before="120" w:after="120" w:line="276" w:lineRule="auto"/>
        <w:ind w:firstLineChars="0" w:firstLine="0"/>
        <w:rPr>
          <w:rFonts w:eastAsia="宋体"/>
        </w:rPr>
      </w:pPr>
      <w:r>
        <w:rPr>
          <w:rFonts w:eastAsia="宋体" w:hint="eastAsia"/>
        </w:rPr>
        <w:t xml:space="preserve">Another problem is </w:t>
      </w:r>
      <w:r>
        <w:t>how to determine CW size when SL-HARQ feedback is disabled in SCI</w:t>
      </w:r>
      <w:r>
        <w:rPr>
          <w:rFonts w:eastAsia="宋体" w:hint="eastAsia"/>
        </w:rPr>
        <w:t xml:space="preserve">. For SL transmission with disabled SL-HARQ feedback, it is suggested </w:t>
      </w:r>
      <w:r>
        <w:rPr>
          <w:rFonts w:eastAsiaTheme="minorEastAsia" w:cs="Times New Roman"/>
        </w:rPr>
        <w:t>the first transmission uses the minimum CW value CW</w:t>
      </w:r>
      <w:r>
        <w:rPr>
          <w:rFonts w:eastAsiaTheme="minorEastAsia" w:cs="Times New Roman"/>
          <w:vertAlign w:val="subscript"/>
        </w:rPr>
        <w:t>min,p</w:t>
      </w:r>
      <w:r>
        <w:rPr>
          <w:rFonts w:eastAsiaTheme="minorEastAsia" w:cs="Times New Roman"/>
        </w:rPr>
        <w:t xml:space="preserve">, and the subsequent transmission uses the previous </w:t>
      </w:r>
      <w:r>
        <w:rPr>
          <w:rFonts w:eastAsiaTheme="minorEastAsia" w:cs="Times New Roman" w:hint="eastAsia"/>
        </w:rPr>
        <w:t xml:space="preserve">used </w:t>
      </w:r>
      <w:r>
        <w:rPr>
          <w:rFonts w:eastAsiaTheme="minorEastAsia" w:cs="Times New Roman"/>
        </w:rPr>
        <w:t xml:space="preserve">CW value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p</m:t>
            </m:r>
          </m:sub>
        </m:sSub>
      </m:oMath>
      <w:r>
        <w:rPr>
          <w:rFonts w:eastAsiaTheme="minorEastAsia" w:cs="Times New Roman"/>
        </w:rPr>
        <w:t>.</w:t>
      </w:r>
      <w:r>
        <w:rPr>
          <w:rFonts w:eastAsiaTheme="minorEastAsia" w:cs="Times New Roman" w:hint="eastAsia"/>
        </w:rPr>
        <w:t xml:space="preserve"> This is also similar to NR-U mechanism.</w:t>
      </w:r>
    </w:p>
    <w:p w:rsidR="00177470" w:rsidRDefault="00177470" w:rsidP="00177470">
      <w:pPr>
        <w:pStyle w:val="ZTE-Proposal-20210505"/>
        <w:numPr>
          <w:ilvl w:val="0"/>
          <w:numId w:val="10"/>
        </w:numPr>
        <w:ind w:left="1132" w:hanging="1132"/>
      </w:pPr>
      <w:bookmarkStart w:id="53" w:name="_Toc3572"/>
      <w:bookmarkStart w:id="54" w:name="_Toc115338295"/>
      <w:bookmarkStart w:id="55" w:name="_Toc115339309"/>
      <w:bookmarkStart w:id="56" w:name="_Toc115341122"/>
      <w:r>
        <w:rPr>
          <w:rFonts w:hint="eastAsia"/>
        </w:rPr>
        <w:t xml:space="preserve">For </w:t>
      </w:r>
      <w:r>
        <w:rPr>
          <w:rFonts w:hint="eastAsia"/>
          <w:lang w:val="en-US"/>
        </w:rPr>
        <w:t xml:space="preserve">CW adjustment of </w:t>
      </w:r>
      <w:r>
        <w:rPr>
          <w:rFonts w:hint="eastAsia"/>
        </w:rPr>
        <w:t xml:space="preserve">groupcast type 1, </w:t>
      </w:r>
      <w:bookmarkEnd w:id="53"/>
      <w:r>
        <w:rPr>
          <w:rFonts w:hint="eastAsia"/>
        </w:rPr>
        <w:t>common ACK feedback should be introduced on top of common NACK.</w:t>
      </w:r>
      <w:bookmarkEnd w:id="54"/>
      <w:bookmarkEnd w:id="55"/>
      <w:bookmarkEnd w:id="56"/>
    </w:p>
    <w:p w:rsidR="00177470" w:rsidRDefault="00177470" w:rsidP="00177470">
      <w:pPr>
        <w:pStyle w:val="ZTE-Proposal-20210505"/>
        <w:numPr>
          <w:ilvl w:val="0"/>
          <w:numId w:val="10"/>
        </w:numPr>
        <w:ind w:left="1132" w:hanging="1132"/>
      </w:pPr>
      <w:bookmarkStart w:id="57" w:name="_Toc19753"/>
      <w:bookmarkStart w:id="58" w:name="_Toc115338296"/>
      <w:bookmarkStart w:id="59" w:name="_Toc115341123"/>
      <w:bookmarkStart w:id="60" w:name="_Toc115339310"/>
      <w:r>
        <w:rPr>
          <w:rFonts w:hint="eastAsia"/>
        </w:rPr>
        <w:t xml:space="preserve">For groupcast type 2, </w:t>
      </w:r>
      <w:bookmarkEnd w:id="57"/>
      <w:r>
        <w:rPr>
          <w:rFonts w:hint="eastAsia"/>
        </w:rPr>
        <w:t>it is suggested to adjust CW based on the ratio of ACK.</w:t>
      </w:r>
      <w:bookmarkEnd w:id="58"/>
      <w:bookmarkEnd w:id="59"/>
      <w:bookmarkEnd w:id="60"/>
    </w:p>
    <w:p w:rsidR="00177470" w:rsidRDefault="00177470" w:rsidP="00177470">
      <w:pPr>
        <w:pStyle w:val="ZTE-Proposal-20210505"/>
        <w:numPr>
          <w:ilvl w:val="0"/>
          <w:numId w:val="10"/>
        </w:numPr>
        <w:ind w:left="1189" w:hanging="1189"/>
        <w:jc w:val="both"/>
      </w:pPr>
      <w:bookmarkStart w:id="61" w:name="_Toc115341124"/>
      <w:r>
        <w:rPr>
          <w:rFonts w:hint="eastAsia"/>
          <w:sz w:val="21"/>
          <w:szCs w:val="21"/>
          <w:lang w:val="en-US"/>
        </w:rPr>
        <w:t xml:space="preserve">For SL transmission with CAPC p and </w:t>
      </w:r>
      <w:r>
        <w:rPr>
          <w:sz w:val="21"/>
          <w:szCs w:val="21"/>
        </w:rPr>
        <w:t>SL-HARQ feedback</w:t>
      </w:r>
      <w:r>
        <w:rPr>
          <w:rFonts w:hint="eastAsia"/>
          <w:sz w:val="21"/>
          <w:szCs w:val="21"/>
          <w:lang w:val="en-US"/>
        </w:rPr>
        <w:t xml:space="preserve"> disabled in SCI, </w:t>
      </w:r>
      <w:r>
        <w:rPr>
          <w:rFonts w:eastAsia="Malgun Gothic"/>
          <w:lang w:eastAsia="ko-KR"/>
        </w:rPr>
        <w:t>the latest</w:t>
      </w:r>
      <w:r>
        <w:rPr>
          <w:rFonts w:eastAsia="宋体" w:hint="eastAsia"/>
          <w:lang w:val="en-US"/>
        </w:rPr>
        <w:t xml:space="preserve"> </w:t>
      </w:r>
      <w:r>
        <w:rPr>
          <w:rFonts w:cs="Times New Roman"/>
        </w:rPr>
        <w:t>CW</w:t>
      </w:r>
      <w:r>
        <w:rPr>
          <w:rFonts w:cs="Times New Roman"/>
          <w:vertAlign w:val="subscript"/>
        </w:rPr>
        <w:t>p</w:t>
      </w:r>
      <w:r>
        <w:t xml:space="preserve"> used for </w:t>
      </w:r>
      <w:r>
        <w:rPr>
          <w:rFonts w:hint="eastAsia"/>
          <w:lang w:val="en-US"/>
        </w:rPr>
        <w:t>any S</w:t>
      </w:r>
      <w:r>
        <w:t xml:space="preserve">L transmissions on the channel using Type 1 channel access procedures associated with the channel access priority class </w:t>
      </w:r>
      <w:r w:rsidR="00D938B1">
        <w:fldChar w:fldCharType="begin"/>
      </w:r>
      <w:r>
        <w:instrText xml:space="preserve"> QUOTE </w:instrText>
      </w:r>
      <m:oMath>
        <m:r>
          <m:rPr>
            <m:sty m:val="bi"/>
          </m:rPr>
          <w:rPr>
            <w:rFonts w:ascii="Cambria Math" w:hAnsi="Cambria Math"/>
          </w:rPr>
          <m:t>p</m:t>
        </m:r>
      </m:oMath>
      <w:r>
        <w:instrText xml:space="preserve"> </w:instrText>
      </w:r>
      <w:r w:rsidR="00D938B1">
        <w:fldChar w:fldCharType="separate"/>
      </w:r>
      <w:r>
        <w:rPr>
          <w:rFonts w:hint="eastAsia"/>
          <w:lang w:val="en-US"/>
        </w:rPr>
        <w:t>p</w:t>
      </w:r>
      <w:r w:rsidR="00D938B1">
        <w:fldChar w:fldCharType="end"/>
      </w:r>
      <w:r>
        <w:rPr>
          <w:rFonts w:hint="eastAsia"/>
          <w:lang w:val="en-US"/>
        </w:rPr>
        <w:t xml:space="preserve"> is used</w:t>
      </w:r>
      <w:r>
        <w:t xml:space="preserve">. </w:t>
      </w:r>
      <w:bookmarkEnd w:id="61"/>
    </w:p>
    <w:p w:rsidR="00177470" w:rsidRDefault="00177470" w:rsidP="00177470">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Energy detection threshold adaptation</w:t>
      </w:r>
    </w:p>
    <w:p w:rsidR="00177470" w:rsidRDefault="00177470" w:rsidP="00177470">
      <w:pPr>
        <w:pStyle w:val="YJ--"/>
        <w:spacing w:before="120" w:after="120" w:line="276" w:lineRule="auto"/>
        <w:ind w:firstLineChars="0" w:firstLine="0"/>
      </w:pPr>
      <w:r>
        <w:t>In NR-U, either the default threshold or the value configured based on high-layer parameters is used for the maximum energy detection threshold in LBT process.</w:t>
      </w:r>
    </w:p>
    <w:p w:rsidR="00177470" w:rsidRDefault="00177470" w:rsidP="00177470">
      <w:pPr>
        <w:pStyle w:val="a9"/>
        <w:numPr>
          <w:ilvl w:val="0"/>
          <w:numId w:val="11"/>
        </w:numPr>
        <w:spacing w:before="120" w:after="120"/>
        <w:rPr>
          <w:sz w:val="20"/>
        </w:rPr>
      </w:pPr>
      <w:r>
        <w:rPr>
          <w:sz w:val="20"/>
        </w:rPr>
        <w:t xml:space="preserve">The default maximum energy detection threshold. When the default maximum energy detection threshold is </w:t>
      </w:r>
      <w:r>
        <w:rPr>
          <w:rFonts w:eastAsia="宋体" w:hint="eastAsia"/>
          <w:sz w:val="20"/>
          <w:szCs w:val="20"/>
        </w:rPr>
        <w:t>used</w:t>
      </w:r>
      <w:r>
        <w:rPr>
          <w:sz w:val="20"/>
        </w:rPr>
        <w:t>, an UE calculates default maximum energy detection threshold through the formula, which does not include any high-layer configuration parameters.</w:t>
      </w:r>
    </w:p>
    <w:p w:rsidR="00177470" w:rsidRDefault="00177470" w:rsidP="00177470">
      <w:pPr>
        <w:pStyle w:val="a9"/>
        <w:numPr>
          <w:ilvl w:val="0"/>
          <w:numId w:val="11"/>
        </w:numPr>
        <w:spacing w:before="120" w:after="120"/>
        <w:rPr>
          <w:sz w:val="20"/>
        </w:rPr>
      </w:pPr>
      <w:r>
        <w:rPr>
          <w:sz w:val="20"/>
        </w:rPr>
        <w:t xml:space="preserve">The maximum energy detection threshold based on high-layer parameters. There are two methods for the maximum energy detection threshold based on high-layer parameters. In the first method, the specific value of </w:t>
      </w:r>
      <w:r>
        <w:rPr>
          <w:sz w:val="20"/>
        </w:rPr>
        <w:lastRenderedPageBreak/>
        <w:t>the energy detection threshold is configured by high-layer parameters. In the second method, an offset value is configured by the high-layer parameter, and the final maximum energy detection threshold is calculated based on the default maximum energy detection threshold and the offset value.</w:t>
      </w:r>
    </w:p>
    <w:p w:rsidR="00177470" w:rsidRDefault="00177470" w:rsidP="00177470">
      <w:pPr>
        <w:pStyle w:val="YJ--"/>
        <w:spacing w:before="120" w:after="120" w:line="276" w:lineRule="auto"/>
        <w:ind w:firstLineChars="0" w:firstLine="0"/>
      </w:pPr>
      <w:r>
        <w:t>According TR 37.213[</w:t>
      </w:r>
      <w:r>
        <w:rPr>
          <w:rFonts w:hint="eastAsia"/>
        </w:rPr>
        <w:t>4</w:t>
      </w:r>
      <w:r>
        <w:t xml:space="preserve">], for the default maximum energy detection threshold, </w:t>
      </w:r>
      <w:r>
        <w:rPr>
          <w:rFonts w:hint="eastAsia"/>
        </w:rPr>
        <w:t>the</w:t>
      </w:r>
      <w:r>
        <w:t xml:space="preserve"> calculation formula is shown as follows.</w:t>
      </w:r>
    </w:p>
    <w:tbl>
      <w:tblPr>
        <w:tblStyle w:val="a8"/>
        <w:tblW w:w="0" w:type="auto"/>
        <w:jc w:val="center"/>
        <w:tblLook w:val="04A0"/>
      </w:tblPr>
      <w:tblGrid>
        <w:gridCol w:w="9876"/>
      </w:tblGrid>
      <w:tr w:rsidR="00177470" w:rsidTr="00F02129">
        <w:trPr>
          <w:jc w:val="center"/>
        </w:trPr>
        <w:tc>
          <w:tcPr>
            <w:tcW w:w="9876" w:type="dxa"/>
          </w:tcPr>
          <w:p w:rsidR="00177470" w:rsidRDefault="00177470" w:rsidP="00F02129">
            <w:pPr>
              <w:spacing w:before="120" w:after="120"/>
            </w:pPr>
            <w:r>
              <w:t xml:space="preserve">If the higher layer parameter </w:t>
            </w:r>
            <w:r>
              <w:rPr>
                <w:i/>
              </w:rPr>
              <w:t xml:space="preserve">absenceOfAnyOtherTechnology-r14 </w:t>
            </w:r>
            <w:r>
              <w:t>or</w:t>
            </w:r>
            <w:r>
              <w:rPr>
                <w:i/>
              </w:rPr>
              <w:t xml:space="preserve"> absenceOfAnyOtherTechnology-r16</w:t>
            </w:r>
            <w:r>
              <w:t xml:space="preserve"> is provided</w:t>
            </w:r>
          </w:p>
          <w:p w:rsidR="00177470" w:rsidRDefault="00177470" w:rsidP="00F02129">
            <w:pPr>
              <w:pStyle w:val="B1"/>
              <w:spacing w:before="120" w:after="120"/>
            </w:pPr>
            <w:r>
              <w:t>-</w:t>
            </w:r>
            <w: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t xml:space="preserve"> where </w:t>
            </w:r>
          </w:p>
          <w:p w:rsidR="00177470" w:rsidRDefault="00177470" w:rsidP="00F02129">
            <w:pPr>
              <w:pStyle w:val="B2"/>
              <w:spacing w:before="120" w:after="120"/>
            </w:pPr>
            <w:r>
              <w:t>-</w:t>
            </w:r>
            <w:r>
              <w:tab/>
            </w:r>
            <m:oMath>
              <m:sSub>
                <m:sSubPr>
                  <m:ctrlPr>
                    <w:rPr>
                      <w:rFonts w:ascii="Cambria Math" w:hAnsi="Cambria Math"/>
                      <w:i/>
                    </w:rPr>
                  </m:ctrlPr>
                </m:sSubPr>
                <m:e>
                  <m:r>
                    <w:rPr>
                      <w:rFonts w:ascii="Cambria Math" w:hAnsi="Cambria Math"/>
                    </w:rPr>
                    <m:t>X</m:t>
                  </m:r>
                </m:e>
                <m:sub>
                  <m:r>
                    <w:rPr>
                      <w:rFonts w:ascii="Cambria Math" w:hAnsi="Cambria Math"/>
                    </w:rPr>
                    <m:t>r</m:t>
                  </m:r>
                </m:sub>
              </m:sSub>
            </m:oMath>
            <w: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rsidR="00177470" w:rsidRDefault="00177470" w:rsidP="00F02129">
            <w:pPr>
              <w:spacing w:before="120" w:after="120"/>
            </w:pPr>
            <w:r>
              <w:t>otherwise</w:t>
            </w:r>
          </w:p>
          <w:p w:rsidR="00177470" w:rsidRDefault="00177470" w:rsidP="00F02129">
            <w:pPr>
              <w:pStyle w:val="B1"/>
              <w:spacing w:before="120" w:after="120"/>
            </w:pPr>
            <w:r>
              <w:t>-</w:t>
            </w:r>
            <w: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rsidR="00177470" w:rsidRDefault="00177470" w:rsidP="00F02129">
            <w:pPr>
              <w:spacing w:before="120" w:after="120"/>
            </w:pPr>
            <w:r>
              <w:t>where</w:t>
            </w:r>
          </w:p>
          <w:p w:rsidR="00177470" w:rsidRDefault="00177470" w:rsidP="00F02129">
            <w:pPr>
              <w:pStyle w:val="B1"/>
              <w:spacing w:before="120" w:after="120"/>
            </w:pPr>
            <w:r>
              <w:t>-</w:t>
            </w:r>
            <w:r>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rsidR="00177470" w:rsidRDefault="00177470" w:rsidP="00F02129">
            <w:pPr>
              <w:pStyle w:val="B1"/>
              <w:spacing w:before="120" w:after="120"/>
            </w:pPr>
            <w:r>
              <w:t>-</w:t>
            </w:r>
            <w:r>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t>;</w:t>
            </w:r>
          </w:p>
          <w:p w:rsidR="00177470" w:rsidRDefault="00177470" w:rsidP="00F02129">
            <w:pPr>
              <w:pStyle w:val="B1"/>
              <w:spacing w:before="120" w:after="120"/>
              <w:rPr>
                <w:rFonts w:eastAsia="MS Mincho"/>
                <w:lang w:eastAsia="ja-JP"/>
              </w:rPr>
            </w:pPr>
            <w:r>
              <w:t>-</w:t>
            </w:r>
            <w:r>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is </w:t>
            </w:r>
            <w:r>
              <w:rPr>
                <w:rFonts w:eastAsia="MS Mincho"/>
                <w:lang w:eastAsia="ja-JP"/>
              </w:rPr>
              <w:t xml:space="preserve">the set to the value of </w:t>
            </w:r>
            <w:r>
              <w:rPr>
                <w:lang w:bidi="bn-IN"/>
              </w:rPr>
              <w:t>P</w:t>
            </w:r>
            <w:r>
              <w:rPr>
                <w:vertAlign w:val="subscript"/>
                <w:lang w:bidi="bn-IN"/>
              </w:rPr>
              <w:t>CMAX_H,</w:t>
            </w:r>
            <w:r>
              <w:rPr>
                <w:i/>
                <w:vertAlign w:val="subscript"/>
                <w:lang w:bidi="bn-IN"/>
              </w:rPr>
              <w:t>c</w:t>
            </w:r>
            <w:r>
              <w:rPr>
                <w:vertAlign w:val="subscript"/>
                <w:lang w:bidi="bn-IN"/>
              </w:rPr>
              <w:t xml:space="preserve"> </w:t>
            </w:r>
            <w:r>
              <w:rPr>
                <w:lang w:bidi="bn-IN"/>
              </w:rPr>
              <w:t>as defined in [3];</w:t>
            </w:r>
          </w:p>
          <w:p w:rsidR="00177470" w:rsidRDefault="00177470" w:rsidP="00F02129">
            <w:pPr>
              <w:pStyle w:val="B1"/>
              <w:spacing w:before="120" w:after="120"/>
            </w:pPr>
            <w:r>
              <w:t>-</w:t>
            </w:r>
            <w:r>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(mW/MHz)???BWMHz?(MHz)</m:t>
                  </m:r>
                </m:e>
              </m:d>
            </m:oMath>
            <w:r>
              <w:t>;</w:t>
            </w:r>
          </w:p>
          <w:p w:rsidR="00177470" w:rsidRDefault="00177470" w:rsidP="00F02129">
            <w:pPr>
              <w:pStyle w:val="B2"/>
              <w:spacing w:before="120" w:after="120"/>
            </w:pPr>
            <w:r>
              <w:t>-</w:t>
            </w:r>
            <w:r>
              <w:tab/>
            </w:r>
            <m:oMath>
              <m:r>
                <w:rPr>
                  <w:rFonts w:ascii="Cambria Math" w:hAnsi="Cambria Math"/>
                </w:rPr>
                <m:t>BWMHz</m:t>
              </m:r>
            </m:oMath>
            <w:r>
              <w:t xml:space="preserve"> is the single channel bandwidth in MHz.</w:t>
            </w:r>
          </w:p>
        </w:tc>
      </w:tr>
    </w:tbl>
    <w:p w:rsidR="00177470" w:rsidRDefault="00177470" w:rsidP="00177470">
      <w:pPr>
        <w:pStyle w:val="YJ--"/>
        <w:spacing w:before="120" w:after="120" w:line="276" w:lineRule="auto"/>
        <w:ind w:firstLineChars="0" w:firstLine="0"/>
      </w:pPr>
      <w:r>
        <w:rPr>
          <w:rFonts w:hint="eastAsia"/>
        </w:rPr>
        <w:t>In SL-U, a UE can be in or out of network coverage. If the high-layer parameters is used for the maximum energy detection threshold, this may result in different maximum energy detection thresholds for UEs in coverage and those out of coverage, and the fairness of channel access will be affected. In order to ensure the fairness of channel access, it is suggested that SL-U at least support the default maximum energy detection threshold. Whether to support the maximum energy detection threshold based on high-layer configuration should be further discussed.</w:t>
      </w:r>
    </w:p>
    <w:p w:rsidR="00177470" w:rsidRDefault="00177470" w:rsidP="00177470">
      <w:pPr>
        <w:pStyle w:val="ZTE-Proposal-20210505"/>
        <w:numPr>
          <w:ilvl w:val="0"/>
          <w:numId w:val="10"/>
        </w:numPr>
        <w:ind w:left="1132" w:hanging="1132"/>
      </w:pPr>
      <w:bookmarkStart w:id="62" w:name="_Toc115338297"/>
      <w:bookmarkStart w:id="63" w:name="_Toc115341125"/>
      <w:bookmarkStart w:id="64" w:name="_Toc115339311"/>
      <w:r>
        <w:rPr>
          <w:rFonts w:hint="eastAsia"/>
        </w:rPr>
        <w:t>For SL-U, at least the default maximum energy detection threshold is supported .</w:t>
      </w:r>
      <w:bookmarkEnd w:id="62"/>
      <w:bookmarkEnd w:id="63"/>
      <w:bookmarkEnd w:id="64"/>
    </w:p>
    <w:p w:rsidR="00177470" w:rsidRDefault="00177470" w:rsidP="00177470">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Multi-channel access procedures</w:t>
      </w:r>
    </w:p>
    <w:p w:rsidR="00177470" w:rsidRDefault="00177470" w:rsidP="00177470">
      <w:pPr>
        <w:spacing w:before="120" w:after="120"/>
        <w:rPr>
          <w:rFonts w:cs="宋体"/>
        </w:rPr>
      </w:pPr>
      <w:r>
        <w:rPr>
          <w:rFonts w:cs="宋体" w:hint="eastAsia"/>
        </w:rPr>
        <w:t>In RAN1 # 109-e meeting, the following conclusions are agreed for channel access procedures for transmission (s) on multiple channels.</w:t>
      </w:r>
    </w:p>
    <w:tbl>
      <w:tblPr>
        <w:tblStyle w:val="a8"/>
        <w:tblW w:w="0" w:type="auto"/>
        <w:tblLook w:val="04A0"/>
      </w:tblPr>
      <w:tblGrid>
        <w:gridCol w:w="9876"/>
      </w:tblGrid>
      <w:tr w:rsidR="00177470" w:rsidTr="00F02129">
        <w:tc>
          <w:tcPr>
            <w:tcW w:w="9876" w:type="dxa"/>
          </w:tcPr>
          <w:p w:rsidR="00177470" w:rsidRDefault="00177470" w:rsidP="00F02129">
            <w:pPr>
              <w:spacing w:before="120" w:after="120"/>
              <w:rPr>
                <w:highlight w:val="green"/>
              </w:rPr>
            </w:pPr>
            <w:r>
              <w:rPr>
                <w:highlight w:val="green"/>
              </w:rPr>
              <w:t>Agreement</w:t>
            </w:r>
          </w:p>
          <w:p w:rsidR="00177470" w:rsidRDefault="00177470" w:rsidP="00F02129">
            <w:pPr>
              <w:pStyle w:val="a9"/>
              <w:autoSpaceDE w:val="0"/>
              <w:autoSpaceDN w:val="0"/>
              <w:spacing w:after="120"/>
              <w:ind w:left="0"/>
              <w:rPr>
                <w:rFonts w:cs="Times"/>
                <w:sz w:val="20"/>
                <w:szCs w:val="20"/>
              </w:rPr>
            </w:pPr>
            <w:r>
              <w:rPr>
                <w:rFonts w:cs="Times"/>
                <w:sz w:val="20"/>
                <w:szCs w:val="20"/>
              </w:rPr>
              <w:t>Channel access procedures for transmission(s) on multiple channels are supported for NR sidelink operation as defined by TS37.213 for NR-U (wherever applicable)</w:t>
            </w:r>
          </w:p>
          <w:p w:rsidR="00177470" w:rsidRDefault="00177470" w:rsidP="00F02129">
            <w:pPr>
              <w:pStyle w:val="a9"/>
              <w:numPr>
                <w:ilvl w:val="0"/>
                <w:numId w:val="9"/>
              </w:numPr>
              <w:autoSpaceDE w:val="0"/>
              <w:autoSpaceDN w:val="0"/>
              <w:spacing w:after="120"/>
              <w:rPr>
                <w:rFonts w:eastAsia="宋体"/>
              </w:rPr>
            </w:pPr>
            <w:r>
              <w:rPr>
                <w:rFonts w:cs="Times"/>
                <w:sz w:val="20"/>
                <w:szCs w:val="20"/>
              </w:rPr>
              <w:t>FFS whether the downlink, uplink and/or semi-static multiple channel access procedure(s) (if supported) from NR-U should be used as a baseline and whether/how they are applied in SL mode 1 and mode 2 operation</w:t>
            </w:r>
          </w:p>
        </w:tc>
      </w:tr>
    </w:tbl>
    <w:p w:rsidR="00177470" w:rsidRDefault="00177470" w:rsidP="00177470">
      <w:pPr>
        <w:pStyle w:val="YJ--"/>
        <w:spacing w:before="120" w:after="120" w:line="276" w:lineRule="auto"/>
        <w:ind w:firstLineChars="0" w:firstLine="0"/>
      </w:pPr>
      <w:r>
        <w:rPr>
          <w:rFonts w:hint="eastAsia"/>
        </w:rPr>
        <w:t xml:space="preserve">For PSCCH/PSSCH transmission, a transmission originates from a single UE and may traverse and occupy multiple channels. For PSCCH/PSSCH transmission, both DL </w:t>
      </w:r>
      <w:r>
        <w:t>and</w:t>
      </w:r>
      <w:r>
        <w:rPr>
          <w:rFonts w:hint="eastAsia"/>
        </w:rPr>
        <w:t xml:space="preserve"> UL Multi-channel access mechanism can be adopted before a UE transmit one transmission across multiple channels.</w:t>
      </w:r>
    </w:p>
    <w:p w:rsidR="00177470" w:rsidRDefault="00177470" w:rsidP="00177470">
      <w:pPr>
        <w:pStyle w:val="YJ--"/>
        <w:spacing w:before="120" w:after="120" w:line="276" w:lineRule="auto"/>
        <w:ind w:firstLineChars="0" w:firstLine="0"/>
      </w:pPr>
      <w:r>
        <w:rPr>
          <w:rFonts w:hint="eastAsia"/>
        </w:rPr>
        <w:t xml:space="preserve">As for the PFSCH transmission, the channel access mechanism of the PSFCH has not been determined. For example, it is not determined whether the short control signaling is supported for the initial channel access of the PSFCH. Therefore, it </w:t>
      </w:r>
      <w:r>
        <w:rPr>
          <w:rFonts w:hint="eastAsia"/>
        </w:rPr>
        <w:lastRenderedPageBreak/>
        <w:t>is suggested to discuss and study the multi-channel access mechanism of PSFCH after determining the single channel access mechanism of PSFCH.</w:t>
      </w:r>
    </w:p>
    <w:p w:rsidR="00177470" w:rsidRDefault="00177470" w:rsidP="00177470">
      <w:pPr>
        <w:pStyle w:val="ZTE-Proposal-20210505"/>
        <w:numPr>
          <w:ilvl w:val="0"/>
          <w:numId w:val="10"/>
        </w:numPr>
        <w:ind w:left="1132" w:hanging="1132"/>
        <w:jc w:val="both"/>
      </w:pPr>
      <w:bookmarkStart w:id="65" w:name="_Toc115339313"/>
      <w:bookmarkStart w:id="66" w:name="_Toc32526"/>
      <w:bookmarkStart w:id="67" w:name="_Toc32357"/>
      <w:bookmarkStart w:id="68" w:name="_Toc115338299"/>
      <w:bookmarkStart w:id="69" w:name="_Toc12920"/>
      <w:bookmarkStart w:id="70" w:name="_Toc115341126"/>
      <w:bookmarkStart w:id="71" w:name="_Toc30784"/>
      <w:r>
        <w:rPr>
          <w:rFonts w:hint="eastAsia"/>
        </w:rPr>
        <w:t>The DL or UL multi-channel access mechanism in NR-U should be used as a baseline for a PSCCH/PSSCH transmission.</w:t>
      </w:r>
      <w:bookmarkEnd w:id="65"/>
      <w:bookmarkEnd w:id="66"/>
      <w:bookmarkEnd w:id="67"/>
      <w:bookmarkEnd w:id="68"/>
      <w:bookmarkEnd w:id="69"/>
      <w:bookmarkEnd w:id="70"/>
      <w:bookmarkEnd w:id="71"/>
    </w:p>
    <w:p w:rsidR="00177470" w:rsidRDefault="00177470" w:rsidP="00177470">
      <w:pPr>
        <w:pStyle w:val="sub-proposal"/>
      </w:pPr>
      <w:bookmarkStart w:id="72" w:name="_Toc115338300"/>
      <w:bookmarkStart w:id="73" w:name="_Toc115339314"/>
      <w:bookmarkStart w:id="74" w:name="_Toc115341127"/>
      <w:r>
        <w:rPr>
          <w:rFonts w:hint="eastAsia"/>
        </w:rPr>
        <w:t>FFS: The Multi-channel access mechanism for PSFCH</w:t>
      </w:r>
      <w:bookmarkEnd w:id="72"/>
      <w:bookmarkEnd w:id="73"/>
      <w:bookmarkEnd w:id="74"/>
    </w:p>
    <w:p w:rsidR="00177470" w:rsidRDefault="00177470" w:rsidP="00177470">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UE-UE COT sharing</w:t>
      </w:r>
    </w:p>
    <w:p w:rsidR="00177470" w:rsidRDefault="00177470" w:rsidP="00177470">
      <w:pPr>
        <w:pStyle w:val="YJ--"/>
        <w:spacing w:before="120" w:after="120" w:line="276" w:lineRule="auto"/>
        <w:ind w:firstLineChars="0" w:firstLine="0"/>
      </w:pPr>
      <w:r>
        <w:t xml:space="preserve">In the following discussion, we </w:t>
      </w:r>
      <w:r>
        <w:rPr>
          <w:rFonts w:hint="eastAsia"/>
        </w:rPr>
        <w:t xml:space="preserve">will </w:t>
      </w:r>
      <w:r>
        <w:t xml:space="preserve">discuss </w:t>
      </w:r>
      <w:r>
        <w:rPr>
          <w:rFonts w:hint="eastAsia"/>
        </w:rPr>
        <w:t>COT</w:t>
      </w:r>
      <w:r>
        <w:t xml:space="preserve"> sharing </w:t>
      </w:r>
      <w:r>
        <w:rPr>
          <w:rFonts w:hint="eastAsia"/>
        </w:rPr>
        <w:t>with the assumption of</w:t>
      </w:r>
      <w:r>
        <w:t xml:space="preserve"> LB</w:t>
      </w:r>
      <w:r>
        <w:rPr>
          <w:rFonts w:eastAsia="宋体" w:hint="eastAsia"/>
        </w:rPr>
        <w:t>T</w:t>
      </w:r>
      <w:r>
        <w:t xml:space="preserve"> channel </w:t>
      </w:r>
      <w:r>
        <w:rPr>
          <w:rFonts w:hint="eastAsia"/>
        </w:rPr>
        <w:t xml:space="preserve">access </w:t>
      </w:r>
      <w:r>
        <w:t>type.</w:t>
      </w:r>
      <w:r>
        <w:rPr>
          <w:rFonts w:hint="eastAsia"/>
        </w:rPr>
        <w:t xml:space="preserve"> </w:t>
      </w:r>
      <w:r>
        <w:t>With regard to adaptivity for Load Based Equipment, a device that initiates a sequence of one or more transmissions is</w:t>
      </w:r>
      <w:r>
        <w:rPr>
          <w:rFonts w:hint="eastAsia"/>
        </w:rPr>
        <w:t xml:space="preserve"> </w:t>
      </w:r>
      <w:r>
        <w:t xml:space="preserve">denoted as the Initiating Device. Otherwise, the device is denoted as a Responding Device. </w:t>
      </w:r>
      <w:r>
        <w:rPr>
          <w:rFonts w:hint="eastAsia"/>
        </w:rPr>
        <w:t xml:space="preserve">For </w:t>
      </w:r>
      <w:r>
        <w:t xml:space="preserve">the </w:t>
      </w:r>
      <w:r>
        <w:rPr>
          <w:rFonts w:hint="eastAsia"/>
        </w:rPr>
        <w:t xml:space="preserve">sidelink COT </w:t>
      </w:r>
      <w:r>
        <w:t xml:space="preserve">sharing, </w:t>
      </w:r>
      <w:r>
        <w:rPr>
          <w:rFonts w:hint="eastAsia"/>
        </w:rPr>
        <w:t xml:space="preserve">it is </w:t>
      </w:r>
      <w:r>
        <w:t>suggest</w:t>
      </w:r>
      <w:r>
        <w:rPr>
          <w:rFonts w:hint="eastAsia"/>
        </w:rPr>
        <w:t>ed</w:t>
      </w:r>
      <w:r>
        <w:t xml:space="preserve"> that an Initiating Device can initiate </w:t>
      </w:r>
      <w:r>
        <w:rPr>
          <w:rFonts w:hint="eastAsia"/>
        </w:rPr>
        <w:t>COT</w:t>
      </w:r>
      <w:r>
        <w:t xml:space="preserve"> </w:t>
      </w:r>
      <w:r>
        <w:rPr>
          <w:rFonts w:hint="eastAsia"/>
        </w:rPr>
        <w:t>s</w:t>
      </w:r>
      <w:r>
        <w:t>haring, and</w:t>
      </w:r>
      <w:r>
        <w:rPr>
          <w:rFonts w:hint="eastAsia"/>
        </w:rPr>
        <w:t xml:space="preserve"> </w:t>
      </w:r>
      <w:r>
        <w:t xml:space="preserve">a responding device can inherit or forward </w:t>
      </w:r>
      <w:r>
        <w:rPr>
          <w:rFonts w:hint="eastAsia"/>
        </w:rPr>
        <w:t xml:space="preserve">COT </w:t>
      </w:r>
      <w:r>
        <w:t xml:space="preserve">sharing parameters. For the indication </w:t>
      </w:r>
      <w:r>
        <w:rPr>
          <w:rFonts w:hint="eastAsia"/>
        </w:rPr>
        <w:t>of</w:t>
      </w:r>
      <w:r>
        <w:t xml:space="preserve"> </w:t>
      </w:r>
      <w:r>
        <w:rPr>
          <w:rFonts w:hint="eastAsia"/>
        </w:rPr>
        <w:t xml:space="preserve">COT </w:t>
      </w:r>
      <w:r>
        <w:t xml:space="preserve">sharing parameters, </w:t>
      </w:r>
      <w:r>
        <w:rPr>
          <w:rFonts w:hint="eastAsia"/>
        </w:rPr>
        <w:t xml:space="preserve">it is suggested that at least </w:t>
      </w:r>
      <w:r>
        <w:t xml:space="preserve">the remaining </w:t>
      </w:r>
      <w:r>
        <w:rPr>
          <w:rFonts w:hint="eastAsia"/>
        </w:rPr>
        <w:t>COT</w:t>
      </w:r>
      <w:r>
        <w:t xml:space="preserve"> duration</w:t>
      </w:r>
      <w:r>
        <w:rPr>
          <w:rFonts w:hint="eastAsia"/>
        </w:rPr>
        <w:t xml:space="preserve"> should be indicated, by </w:t>
      </w:r>
      <w:r>
        <w:t>an Initiating Device or the responding device</w:t>
      </w:r>
      <w:r>
        <w:rPr>
          <w:rFonts w:hint="eastAsia"/>
        </w:rPr>
        <w:t xml:space="preserve">, such that the transmissions </w:t>
      </w:r>
      <w:r>
        <w:t>inherit</w:t>
      </w:r>
      <w:r>
        <w:rPr>
          <w:rFonts w:hint="eastAsia"/>
        </w:rPr>
        <w:t>ing a shared COT does not exceed the shared COT duration.</w:t>
      </w:r>
    </w:p>
    <w:p w:rsidR="00177470" w:rsidRDefault="00177470" w:rsidP="00177470">
      <w:pPr>
        <w:pStyle w:val="ZTE-Proposal-20210505"/>
        <w:numPr>
          <w:ilvl w:val="0"/>
          <w:numId w:val="10"/>
        </w:numPr>
        <w:ind w:left="1132" w:hanging="1132"/>
      </w:pPr>
      <w:bookmarkStart w:id="75" w:name="_Toc115341128"/>
      <w:bookmarkStart w:id="76" w:name="_Toc31491"/>
      <w:bookmarkStart w:id="77" w:name="_Toc115338301"/>
      <w:bookmarkStart w:id="78" w:name="_Toc115339315"/>
      <w:r>
        <w:rPr>
          <w:rFonts w:hint="eastAsia"/>
        </w:rPr>
        <w:t>For the UE-UE COT sharing, at least the remaining COT duration should be indicated by an Initiating Device or the responding device.</w:t>
      </w:r>
      <w:bookmarkEnd w:id="75"/>
      <w:bookmarkEnd w:id="76"/>
      <w:bookmarkEnd w:id="77"/>
      <w:bookmarkEnd w:id="78"/>
    </w:p>
    <w:p w:rsidR="00177470" w:rsidRDefault="00177470" w:rsidP="00177470">
      <w:pPr>
        <w:pStyle w:val="YJ--"/>
        <w:spacing w:before="120" w:after="120" w:line="276" w:lineRule="auto"/>
        <w:ind w:firstLineChars="0" w:firstLine="0"/>
      </w:pPr>
      <w:r>
        <w:rPr>
          <w:rFonts w:hint="eastAsia"/>
        </w:rPr>
        <w:t>In addition, another issue that needs to be discussed is whether the UE-UE COT sharing is</w:t>
      </w:r>
      <w:r>
        <w:rPr>
          <w:rFonts w:eastAsia="宋体" w:hint="eastAsia"/>
        </w:rPr>
        <w:t xml:space="preserve"> always</w:t>
      </w:r>
      <w:r>
        <w:rPr>
          <w:rFonts w:hint="eastAsia"/>
        </w:rPr>
        <w:t xml:space="preserve"> restricted by the CAPC or the destination ID</w:t>
      </w:r>
      <w:r>
        <w:rPr>
          <w:rFonts w:eastAsia="宋体" w:hint="eastAsia"/>
        </w:rPr>
        <w:t xml:space="preserve"> for all SL transmissions</w:t>
      </w:r>
      <w:r>
        <w:rPr>
          <w:rFonts w:hint="eastAsia"/>
        </w:rPr>
        <w:t xml:space="preserve">. </w:t>
      </w:r>
      <w:r>
        <w:t xml:space="preserve">If the </w:t>
      </w:r>
      <w:r>
        <w:rPr>
          <w:rFonts w:hint="eastAsia"/>
        </w:rPr>
        <w:t xml:space="preserve">COT </w:t>
      </w:r>
      <w:r>
        <w:t>sharing</w:t>
      </w:r>
      <w:r>
        <w:rPr>
          <w:rFonts w:hint="eastAsia"/>
        </w:rPr>
        <w:t xml:space="preserve"> is subject to </w:t>
      </w:r>
      <w:r>
        <w:t>CAPC</w:t>
      </w:r>
      <w:r>
        <w:rPr>
          <w:rFonts w:hint="eastAsia"/>
        </w:rPr>
        <w:t xml:space="preserve"> and/or destination ID</w:t>
      </w:r>
      <w:r>
        <w:t xml:space="preserve">, it means that </w:t>
      </w:r>
      <w:r>
        <w:rPr>
          <w:rFonts w:hint="eastAsia"/>
        </w:rPr>
        <w:t>fewer UE can use a shared COT</w:t>
      </w:r>
      <w:r>
        <w:t>.</w:t>
      </w:r>
      <w:r>
        <w:rPr>
          <w:rFonts w:hint="eastAsia"/>
        </w:rPr>
        <w:t xml:space="preserve"> At least for PSFCH transmission, it is suggested </w:t>
      </w:r>
      <w:r>
        <w:rPr>
          <w:rFonts w:eastAsia="宋体" w:hint="eastAsia"/>
        </w:rPr>
        <w:t xml:space="preserve">that </w:t>
      </w:r>
      <w:r>
        <w:rPr>
          <w:rFonts w:hint="eastAsia"/>
        </w:rPr>
        <w:t xml:space="preserve">UE-UE COT sharing is not restricted by the CAPC/destination ID. In Figure 1, UE1 and UE2 share a COT respectively, and UE1 and UE2 send PSCCH/PSSCH to UE3 respectively in their shared COTs. When UE1 sends PSCCH/PSSCH in the last slot of the COT shared by itself , the PSFCH associated with this PSCCH/PSSCH transmission falls into the COT shared by UE2. If UE-UE COT sharing is restricted by the CAPC/destination ID for PSFCH transmission and only type 1 LBT can be used for PSFCH transmission, and then the PSFCH, associated with this PSCCH/PSSCH transmission in the last slot of the COT shared by UE1, can be blocked by PSCCH/PSSCH transmission in first slot in the COT shared by UE2. </w:t>
      </w:r>
    </w:p>
    <w:p w:rsidR="00177470" w:rsidRDefault="00177470" w:rsidP="00177470">
      <w:pPr>
        <w:spacing w:before="120" w:after="120"/>
        <w:jc w:val="center"/>
        <w:rPr>
          <w:rFonts w:cs="宋体"/>
        </w:rPr>
      </w:pPr>
      <w:r>
        <w:object w:dxaOrig="6349" w:dyaOrig="4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5pt;height:204.3pt" o:ole="">
            <v:imagedata r:id="rId9" o:title=""/>
          </v:shape>
          <o:OLEObject Type="Embed" ProgID="Visio.Drawing.11" ShapeID="_x0000_i1025" DrawAspect="Content" ObjectID="_1726070058" r:id="rId10"/>
        </w:object>
      </w:r>
    </w:p>
    <w:p w:rsidR="00177470" w:rsidRDefault="00177470" w:rsidP="00177470">
      <w:pPr>
        <w:spacing w:before="120" w:after="120"/>
        <w:ind w:firstLineChars="200" w:firstLine="402"/>
        <w:jc w:val="center"/>
        <w:rPr>
          <w:b/>
          <w:bCs/>
        </w:rPr>
      </w:pPr>
      <w:r>
        <w:rPr>
          <w:rFonts w:hint="eastAsia"/>
          <w:b/>
          <w:bCs/>
        </w:rPr>
        <w:t>Figure 1: PSFCH opportunity falls into another COT</w:t>
      </w:r>
    </w:p>
    <w:p w:rsidR="00177470" w:rsidRDefault="00177470" w:rsidP="00177470">
      <w:pPr>
        <w:pStyle w:val="ZTE-Proposal-20210505"/>
        <w:numPr>
          <w:ilvl w:val="0"/>
          <w:numId w:val="10"/>
        </w:numPr>
        <w:ind w:left="1132" w:hanging="1132"/>
      </w:pPr>
      <w:bookmarkStart w:id="79" w:name="_Toc115338305"/>
      <w:bookmarkStart w:id="80" w:name="_Toc115339316"/>
      <w:bookmarkStart w:id="81" w:name="_Toc115341129"/>
      <w:r>
        <w:rPr>
          <w:rFonts w:hint="eastAsia"/>
        </w:rPr>
        <w:t>At least for PSFCH transmission, UE-UE COT sharing is not restricted by the CAPC/destination ID.</w:t>
      </w:r>
      <w:bookmarkEnd w:id="79"/>
      <w:bookmarkEnd w:id="80"/>
      <w:bookmarkEnd w:id="81"/>
    </w:p>
    <w:p w:rsidR="00177470" w:rsidRDefault="00177470" w:rsidP="00177470">
      <w:pPr>
        <w:pStyle w:val="1"/>
        <w:numPr>
          <w:ilvl w:val="0"/>
          <w:numId w:val="8"/>
        </w:numPr>
        <w:spacing w:before="120" w:afterLines="0"/>
        <w:ind w:left="0"/>
      </w:pPr>
      <w:r>
        <w:rPr>
          <w:rFonts w:hint="eastAsia"/>
        </w:rPr>
        <w:lastRenderedPageBreak/>
        <w:t xml:space="preserve">Resource </w:t>
      </w:r>
      <w:r>
        <w:t>a</w:t>
      </w:r>
      <w:r>
        <w:rPr>
          <w:rFonts w:hint="eastAsia"/>
        </w:rPr>
        <w:t>llocation</w:t>
      </w:r>
    </w:p>
    <w:p w:rsidR="00177470" w:rsidRDefault="00177470" w:rsidP="00177470">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 xml:space="preserve">Resource indication </w:t>
      </w:r>
    </w:p>
    <w:p w:rsidR="00177470" w:rsidRDefault="00177470" w:rsidP="00177470">
      <w:pPr>
        <w:spacing w:before="120" w:after="120" w:line="276" w:lineRule="auto"/>
      </w:pPr>
      <w:r>
        <w:rPr>
          <w:rFonts w:hint="eastAsia"/>
        </w:rPr>
        <w:t>In RAN1 #110 meeting, the following conclusions are agreed for</w:t>
      </w:r>
      <w:r>
        <w:t xml:space="preserve"> resource indication</w:t>
      </w:r>
      <w:r>
        <w:rPr>
          <w:rFonts w:hint="eastAsia"/>
        </w:rPr>
        <w:t xml:space="preserve"> and multi-consecutive slots transmission.</w:t>
      </w:r>
    </w:p>
    <w:tbl>
      <w:tblPr>
        <w:tblStyle w:val="a8"/>
        <w:tblW w:w="0" w:type="auto"/>
        <w:tblLook w:val="04A0"/>
      </w:tblPr>
      <w:tblGrid>
        <w:gridCol w:w="9876"/>
      </w:tblGrid>
      <w:tr w:rsidR="00177470" w:rsidTr="00F02129">
        <w:tc>
          <w:tcPr>
            <w:tcW w:w="9876" w:type="dxa"/>
          </w:tcPr>
          <w:p w:rsidR="00177470" w:rsidRDefault="00177470" w:rsidP="00F02129">
            <w:pPr>
              <w:spacing w:before="120" w:after="120"/>
              <w:rPr>
                <w:b/>
                <w:highlight w:val="green"/>
              </w:rPr>
            </w:pPr>
            <w:r>
              <w:rPr>
                <w:b/>
                <w:highlight w:val="green"/>
              </w:rPr>
              <w:t>Agreement</w:t>
            </w:r>
          </w:p>
          <w:p w:rsidR="00177470" w:rsidRDefault="00177470" w:rsidP="00F02129">
            <w:pPr>
              <w:spacing w:before="120" w:after="120"/>
            </w:pPr>
            <w:r>
              <w:t>For PSCCH and PSSCH resource indication in time/frequency domain:</w:t>
            </w:r>
          </w:p>
          <w:p w:rsidR="00177470" w:rsidRDefault="00177470" w:rsidP="00F02129">
            <w:pPr>
              <w:numPr>
                <w:ilvl w:val="0"/>
                <w:numId w:val="12"/>
              </w:numPr>
              <w:spacing w:before="120" w:after="120"/>
            </w:pPr>
            <w:r>
              <w:t>For time domain: R16 NR SL TRIV is reused as baseline</w:t>
            </w:r>
          </w:p>
          <w:p w:rsidR="00177470" w:rsidRDefault="00177470" w:rsidP="00F02129">
            <w:pPr>
              <w:numPr>
                <w:ilvl w:val="0"/>
                <w:numId w:val="12"/>
              </w:numPr>
              <w:spacing w:before="120" w:after="120"/>
            </w:pPr>
            <w:r>
              <w:t xml:space="preserve">For frequency domain: </w:t>
            </w:r>
          </w:p>
          <w:p w:rsidR="00177470" w:rsidRDefault="00177470" w:rsidP="00F02129">
            <w:pPr>
              <w:numPr>
                <w:ilvl w:val="1"/>
                <w:numId w:val="12"/>
              </w:numPr>
              <w:spacing w:before="120" w:after="120"/>
              <w:rPr>
                <w:strike/>
              </w:rPr>
            </w:pPr>
            <w:r>
              <w:t xml:space="preserve">further study sub-channel indexing and resource indication </w:t>
            </w:r>
          </w:p>
          <w:p w:rsidR="00177470" w:rsidRDefault="00177470" w:rsidP="00F02129">
            <w:pPr>
              <w:autoSpaceDE w:val="0"/>
              <w:autoSpaceDN w:val="0"/>
              <w:spacing w:before="120" w:after="120"/>
              <w:rPr>
                <w:rFonts w:ascii="Calibri" w:hAnsi="Calibri" w:cs="Calibri"/>
              </w:rPr>
            </w:pPr>
            <w:r>
              <w:rPr>
                <w:rFonts w:ascii="Calibri" w:hAnsi="Calibri" w:cs="Calibri"/>
                <w:b/>
                <w:bCs/>
                <w:highlight w:val="green"/>
              </w:rPr>
              <w:t>Agreement</w:t>
            </w:r>
          </w:p>
          <w:p w:rsidR="00177470" w:rsidRDefault="00177470" w:rsidP="00F02129">
            <w:pPr>
              <w:pStyle w:val="a9"/>
              <w:autoSpaceDE w:val="0"/>
              <w:autoSpaceDN w:val="0"/>
              <w:spacing w:after="120"/>
              <w:ind w:left="0"/>
              <w:rPr>
                <w:sz w:val="20"/>
                <w:szCs w:val="20"/>
              </w:rPr>
            </w:pPr>
            <w:r>
              <w:rPr>
                <w:sz w:val="20"/>
                <w:szCs w:val="20"/>
              </w:rPr>
              <w:t>Multi-consecutive slots transmission (MCSt) is supported for Mode 1 and Mode 2 resource allocation in SL-U.</w:t>
            </w:r>
          </w:p>
          <w:p w:rsidR="00177470" w:rsidRDefault="00177470" w:rsidP="00F02129">
            <w:pPr>
              <w:pStyle w:val="a9"/>
              <w:numPr>
                <w:ilvl w:val="0"/>
                <w:numId w:val="9"/>
              </w:numPr>
              <w:autoSpaceDE w:val="0"/>
              <w:autoSpaceDN w:val="0"/>
              <w:spacing w:after="120"/>
              <w:rPr>
                <w:sz w:val="20"/>
              </w:rPr>
            </w:pPr>
            <w:r>
              <w:rPr>
                <w:sz w:val="21"/>
                <w:szCs w:val="21"/>
                <w:lang w:val="en-AU"/>
              </w:rPr>
              <w:t>FFS details</w:t>
            </w:r>
          </w:p>
        </w:tc>
      </w:tr>
    </w:tbl>
    <w:p w:rsidR="00177470" w:rsidRDefault="00177470" w:rsidP="00177470">
      <w:pPr>
        <w:pStyle w:val="YJ--"/>
        <w:spacing w:before="120" w:after="120" w:line="276" w:lineRule="auto"/>
        <w:ind w:firstLineChars="0" w:firstLine="0"/>
      </w:pPr>
      <w:r>
        <w:t xml:space="preserve">According to the above RAN1 # 110 meeting conclusion, it is suggested to reuse R16 SL TRIV as baseline in order to indicate at least a set of </w:t>
      </w:r>
      <w:r>
        <w:rPr>
          <w:rFonts w:hint="eastAsia"/>
        </w:rPr>
        <w:t>m</w:t>
      </w:r>
      <w:r>
        <w:t xml:space="preserve">ulti-consecutive slots transmission. In addition, it is also necessary to indicate </w:t>
      </w:r>
      <w:r>
        <w:rPr>
          <w:rFonts w:hint="eastAsia"/>
        </w:rPr>
        <w:t>m</w:t>
      </w:r>
      <w:r>
        <w:t>ulti</w:t>
      </w:r>
      <w:r>
        <w:rPr>
          <w:rFonts w:hint="eastAsia"/>
        </w:rPr>
        <w:t>ple non</w:t>
      </w:r>
      <w:r>
        <w:t>-consecutive slots transmission</w:t>
      </w:r>
      <w:r>
        <w:rPr>
          <w:rFonts w:hint="eastAsia"/>
        </w:rPr>
        <w:t xml:space="preserve">. More specifically, </w:t>
      </w:r>
      <w:r>
        <w:t xml:space="preserve">when a UE only transmits one TB for a period of time, and the transmission interval not less than HARQ RTT needs to be guaranteed between two adjacent transmissions of one TB. In this case, R16 NR SL TRIV mechanism should be used to indicate multiple </w:t>
      </w:r>
      <w:r>
        <w:rPr>
          <w:rFonts w:hint="eastAsia"/>
        </w:rPr>
        <w:t>non</w:t>
      </w:r>
      <w:r>
        <w:t>-consecutive slots transmission</w:t>
      </w:r>
      <w:r>
        <w:rPr>
          <w:rFonts w:hint="eastAsia"/>
        </w:rPr>
        <w:t>.</w:t>
      </w:r>
    </w:p>
    <w:p w:rsidR="00177470" w:rsidRDefault="00177470" w:rsidP="00177470">
      <w:pPr>
        <w:pStyle w:val="ZTE-Proposal-20210505"/>
        <w:numPr>
          <w:ilvl w:val="0"/>
          <w:numId w:val="10"/>
        </w:numPr>
        <w:ind w:left="1132" w:hanging="1132"/>
      </w:pPr>
      <w:bookmarkStart w:id="82" w:name="_Toc115339317"/>
      <w:bookmarkStart w:id="83" w:name="_Toc115341130"/>
      <w:bookmarkStart w:id="84" w:name="_Toc115338306"/>
      <w:r>
        <w:rPr>
          <w:rFonts w:hint="eastAsia"/>
        </w:rPr>
        <w:t>I</w:t>
      </w:r>
      <w:r>
        <w:t xml:space="preserve">t is suggested to reuse R16 SL TRIV to indicate </w:t>
      </w:r>
      <w:r>
        <w:rPr>
          <w:rFonts w:hint="eastAsia"/>
          <w:lang w:val="en-US"/>
        </w:rPr>
        <w:t>either</w:t>
      </w:r>
      <w:r>
        <w:t xml:space="preserve"> at least a set of multi-consecutive slots transmission </w:t>
      </w:r>
      <w:r>
        <w:rPr>
          <w:rFonts w:hint="eastAsia"/>
          <w:lang w:val="en-US"/>
        </w:rPr>
        <w:t>or</w:t>
      </w:r>
      <w:r>
        <w:t xml:space="preserve"> multiple non-consecutive slots transmission.</w:t>
      </w:r>
      <w:bookmarkEnd w:id="82"/>
      <w:bookmarkEnd w:id="83"/>
      <w:bookmarkEnd w:id="84"/>
    </w:p>
    <w:p w:rsidR="00177470" w:rsidRDefault="00177470" w:rsidP="00177470">
      <w:pPr>
        <w:pStyle w:val="YJ--"/>
        <w:spacing w:before="120" w:after="120" w:line="276" w:lineRule="auto"/>
        <w:ind w:firstLineChars="0" w:firstLine="0"/>
      </w:pPr>
      <w:r>
        <w:rPr>
          <w:rFonts w:hint="eastAsia"/>
        </w:rPr>
        <w:t xml:space="preserve">As shown in Figure 2 ~4, for the indication of time-domain resource for </w:t>
      </w:r>
      <w:r>
        <w:t>Multi-consecutive slots transmission (MCSt)</w:t>
      </w:r>
      <w:r>
        <w:rPr>
          <w:rFonts w:hint="eastAsia"/>
        </w:rPr>
        <w:t xml:space="preserve">, it is necessary to indicate the duration of at least a set of consecutive slots. When indicating multiple sets of consecutive slots, the starting time of one or more multiple sets of consecutive slots also needs to be indicated. Considering the flexibility of indicating the starting time, it is suggested that one slot is used as the granularity of indicating the start time. In addition, to save signaling overhead, it is suggested that the duration values of different sets of consecutive slots should be same as each other. With reference to Figures 2~ 4, it is suggested that at least 1~2 sets of consecutive slots can be indicated based on </w:t>
      </w:r>
      <w:r>
        <w:t>R16 NR SL TRIV</w:t>
      </w:r>
      <w:r>
        <w:rPr>
          <w:rFonts w:hint="eastAsia"/>
        </w:rPr>
        <w:t>. Whether to support the indication of more than two sets of consecutive slots need to be further discussed.</w:t>
      </w:r>
    </w:p>
    <w:p w:rsidR="00177470" w:rsidRDefault="00177470" w:rsidP="00177470">
      <w:pPr>
        <w:spacing w:before="120" w:after="120"/>
        <w:ind w:firstLineChars="200" w:firstLine="400"/>
      </w:pPr>
    </w:p>
    <w:p w:rsidR="00177470" w:rsidRDefault="00177470" w:rsidP="00177470">
      <w:pPr>
        <w:spacing w:before="120" w:after="120"/>
        <w:ind w:firstLineChars="200" w:firstLine="400"/>
        <w:jc w:val="center"/>
      </w:pPr>
      <w:r>
        <w:object w:dxaOrig="5284" w:dyaOrig="4195">
          <v:shape id="_x0000_i1026" type="#_x0000_t75" style="width:264pt;height:209.85pt" o:ole="">
            <v:imagedata r:id="rId11" o:title=""/>
          </v:shape>
          <o:OLEObject Type="Embed" ProgID="Visio.Drawing.11" ShapeID="_x0000_i1026" DrawAspect="Content" ObjectID="_1726070059" r:id="rId12"/>
        </w:object>
      </w:r>
    </w:p>
    <w:p w:rsidR="00177470" w:rsidRDefault="00177470" w:rsidP="00177470">
      <w:pPr>
        <w:spacing w:before="120" w:after="120"/>
        <w:ind w:firstLineChars="200" w:firstLine="402"/>
        <w:jc w:val="center"/>
        <w:rPr>
          <w:b/>
          <w:bCs/>
        </w:rPr>
      </w:pPr>
      <w:r>
        <w:rPr>
          <w:rFonts w:hint="eastAsia"/>
          <w:b/>
          <w:bCs/>
        </w:rPr>
        <w:t xml:space="preserve">Figure 2: Indicate a set of </w:t>
      </w:r>
      <w:r>
        <w:rPr>
          <w:b/>
          <w:bCs/>
        </w:rPr>
        <w:t>consecutive slots</w:t>
      </w:r>
    </w:p>
    <w:p w:rsidR="00177470" w:rsidRDefault="00177470" w:rsidP="00177470">
      <w:pPr>
        <w:spacing w:before="120" w:after="120"/>
        <w:ind w:firstLineChars="200" w:firstLine="400"/>
        <w:jc w:val="center"/>
      </w:pPr>
      <w:r>
        <w:object w:dxaOrig="7100" w:dyaOrig="4195">
          <v:shape id="_x0000_i1027" type="#_x0000_t75" style="width:355.1pt;height:209.85pt" o:ole="">
            <v:imagedata r:id="rId13" o:title=""/>
          </v:shape>
          <o:OLEObject Type="Embed" ProgID="Visio.Drawing.11" ShapeID="_x0000_i1027" DrawAspect="Content" ObjectID="_1726070060" r:id="rId14"/>
        </w:object>
      </w:r>
    </w:p>
    <w:p w:rsidR="00177470" w:rsidRDefault="00177470" w:rsidP="00177470">
      <w:pPr>
        <w:spacing w:before="120" w:after="120"/>
        <w:ind w:firstLineChars="200" w:firstLine="402"/>
        <w:jc w:val="center"/>
      </w:pPr>
      <w:r>
        <w:rPr>
          <w:rFonts w:hint="eastAsia"/>
          <w:b/>
          <w:bCs/>
        </w:rPr>
        <w:t>Figure 3:</w:t>
      </w:r>
      <w:r>
        <w:rPr>
          <w:b/>
          <w:bCs/>
        </w:rPr>
        <w:t xml:space="preserve"> </w:t>
      </w:r>
      <w:r>
        <w:rPr>
          <w:rFonts w:hint="eastAsia"/>
          <w:b/>
          <w:bCs/>
        </w:rPr>
        <w:t>Indicate two sets of consecutive slots</w:t>
      </w:r>
    </w:p>
    <w:p w:rsidR="00177470" w:rsidRDefault="00177470" w:rsidP="00177470">
      <w:pPr>
        <w:spacing w:before="120" w:after="120"/>
        <w:ind w:firstLineChars="200" w:firstLine="400"/>
        <w:jc w:val="center"/>
      </w:pPr>
      <w:r>
        <w:object w:dxaOrig="8803" w:dyaOrig="4195">
          <v:shape id="_x0000_i1028" type="#_x0000_t75" style="width:440pt;height:209.85pt" o:ole="">
            <v:imagedata r:id="rId15" o:title=""/>
          </v:shape>
          <o:OLEObject Type="Embed" ProgID="Visio.Drawing.11" ShapeID="_x0000_i1028" DrawAspect="Content" ObjectID="_1726070061" r:id="rId16"/>
        </w:object>
      </w:r>
    </w:p>
    <w:p w:rsidR="00177470" w:rsidRDefault="00177470" w:rsidP="00177470">
      <w:pPr>
        <w:spacing w:before="120" w:after="120"/>
        <w:ind w:firstLineChars="200" w:firstLine="402"/>
        <w:jc w:val="center"/>
        <w:rPr>
          <w:b/>
          <w:bCs/>
        </w:rPr>
      </w:pPr>
      <w:r>
        <w:rPr>
          <w:rFonts w:hint="eastAsia"/>
          <w:b/>
          <w:bCs/>
        </w:rPr>
        <w:t>Figure 4:</w:t>
      </w:r>
      <w:r>
        <w:rPr>
          <w:b/>
          <w:bCs/>
        </w:rPr>
        <w:t xml:space="preserve"> </w:t>
      </w:r>
      <w:r>
        <w:rPr>
          <w:rFonts w:hint="eastAsia"/>
          <w:b/>
          <w:bCs/>
        </w:rPr>
        <w:t>Indicate three sets of consecutive slots</w:t>
      </w:r>
    </w:p>
    <w:p w:rsidR="00177470" w:rsidRDefault="00177470" w:rsidP="00177470">
      <w:pPr>
        <w:pStyle w:val="YJ--"/>
        <w:spacing w:before="120" w:after="120" w:line="276" w:lineRule="auto"/>
        <w:ind w:firstLineChars="0" w:firstLine="0"/>
      </w:pPr>
      <w:r>
        <w:rPr>
          <w:rFonts w:hint="eastAsia"/>
        </w:rPr>
        <w:t>With enabled HARQ-ACK, the time gap between two adjacent transmissions of a TB should not</w:t>
      </w:r>
      <w:r w:rsidR="00153BE0">
        <w:rPr>
          <w:rFonts w:eastAsiaTheme="minorEastAsia" w:hint="eastAsia"/>
        </w:rPr>
        <w:t xml:space="preserve"> be</w:t>
      </w:r>
      <w:r>
        <w:rPr>
          <w:rFonts w:hint="eastAsia"/>
        </w:rPr>
        <w:t xml:space="preserve"> less than HARQ RTT. If the resources reserved by a SCI can only be used for the transmission of a TB, the resource allocation mechanism of indicating at least a set of consecutive slots cannot be used for transmissions with enabled HARQ-ACK. As a result, the application scenario of indicating at least a set of consecutive slots is very limited. Therefore, it is suggested that at least a set of consecutive slots reserved based on </w:t>
      </w:r>
      <w:r>
        <w:t>R16 NR SL TRIV</w:t>
      </w:r>
      <w:r w:rsidR="009B7332">
        <w:rPr>
          <w:rFonts w:hint="eastAsia"/>
        </w:rPr>
        <w:t xml:space="preserve"> can be used for transmissions</w:t>
      </w:r>
      <w:r w:rsidR="00BA59BC">
        <w:rPr>
          <w:rFonts w:eastAsiaTheme="minorEastAsia" w:hint="eastAsia"/>
        </w:rPr>
        <w:t xml:space="preserve"> </w:t>
      </w:r>
      <w:r>
        <w:rPr>
          <w:rFonts w:hint="eastAsia"/>
        </w:rPr>
        <w:t>of different TBs.</w:t>
      </w:r>
    </w:p>
    <w:p w:rsidR="00177470" w:rsidRDefault="00177470" w:rsidP="00177470">
      <w:pPr>
        <w:pStyle w:val="ZTE-Proposal-20210505"/>
        <w:numPr>
          <w:ilvl w:val="0"/>
          <w:numId w:val="10"/>
        </w:numPr>
        <w:ind w:left="1132" w:hanging="1132"/>
      </w:pPr>
      <w:bookmarkStart w:id="85" w:name="_Toc115338307"/>
      <w:bookmarkStart w:id="86" w:name="_Toc115339318"/>
      <w:bookmarkStart w:id="87" w:name="_Toc115341131"/>
      <w:r>
        <w:rPr>
          <w:rFonts w:hint="eastAsia"/>
        </w:rPr>
        <w:t>At least 1~2 sets of consecutive slots can be indicated based on R16 NR SL TRIV.</w:t>
      </w:r>
      <w:bookmarkEnd w:id="85"/>
      <w:bookmarkEnd w:id="86"/>
      <w:bookmarkEnd w:id="87"/>
    </w:p>
    <w:p w:rsidR="00177470" w:rsidRDefault="00177470" w:rsidP="00177470">
      <w:pPr>
        <w:pStyle w:val="ZTE-Proposal-20210505"/>
        <w:numPr>
          <w:ilvl w:val="0"/>
          <w:numId w:val="10"/>
        </w:numPr>
        <w:ind w:left="1132" w:hanging="1132"/>
      </w:pPr>
      <w:bookmarkStart w:id="88" w:name="_Toc115341132"/>
      <w:bookmarkStart w:id="89" w:name="_Toc115339319"/>
      <w:bookmarkStart w:id="90" w:name="_Toc115338308"/>
      <w:r>
        <w:rPr>
          <w:rFonts w:hint="eastAsia"/>
        </w:rPr>
        <w:t>Based on R16 NR SL TRIV, both the starting time and duration of a set of consecutive slots should be indicated.</w:t>
      </w:r>
      <w:bookmarkEnd w:id="88"/>
      <w:bookmarkEnd w:id="89"/>
      <w:bookmarkEnd w:id="90"/>
    </w:p>
    <w:p w:rsidR="00177470" w:rsidRDefault="00177470" w:rsidP="00177470">
      <w:pPr>
        <w:pStyle w:val="ZTE-Proposal-20210505"/>
        <w:numPr>
          <w:ilvl w:val="0"/>
          <w:numId w:val="10"/>
        </w:numPr>
        <w:ind w:left="1132" w:hanging="1132"/>
      </w:pPr>
      <w:bookmarkStart w:id="91" w:name="_Toc115341133"/>
      <w:bookmarkStart w:id="92" w:name="_Toc115338309"/>
      <w:bookmarkStart w:id="93" w:name="_Toc115339320"/>
      <w:r>
        <w:rPr>
          <w:rFonts w:hint="eastAsia"/>
          <w:lang w:val="en-US"/>
        </w:rPr>
        <w:t>For a</w:t>
      </w:r>
      <w:r>
        <w:rPr>
          <w:rFonts w:hint="eastAsia"/>
        </w:rPr>
        <w:t xml:space="preserve"> set of consecutive slots indicated based on R16 NR SL TRIV</w:t>
      </w:r>
      <w:r>
        <w:rPr>
          <w:rFonts w:hint="eastAsia"/>
          <w:lang w:val="en-US"/>
        </w:rPr>
        <w:t>, it</w:t>
      </w:r>
      <w:r>
        <w:rPr>
          <w:rFonts w:hint="eastAsia"/>
        </w:rPr>
        <w:t xml:space="preserve"> can be used for transmissions of different TBs</w:t>
      </w:r>
      <w:bookmarkEnd w:id="91"/>
      <w:bookmarkEnd w:id="92"/>
      <w:bookmarkEnd w:id="93"/>
    </w:p>
    <w:p w:rsidR="00177470" w:rsidRDefault="00177470" w:rsidP="00177470">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Mode 2 resource allocation enhancement</w:t>
      </w:r>
    </w:p>
    <w:p w:rsidR="00177470" w:rsidRDefault="00177470" w:rsidP="00177470">
      <w:pPr>
        <w:spacing w:before="120" w:after="120" w:line="276" w:lineRule="auto"/>
      </w:pPr>
      <w:r>
        <w:rPr>
          <w:rFonts w:hint="eastAsia"/>
        </w:rPr>
        <w:t>In RAN1 #110 meeting, the following conclusions are agreed for multi-consecutive slots transmission.</w:t>
      </w:r>
    </w:p>
    <w:tbl>
      <w:tblPr>
        <w:tblStyle w:val="a8"/>
        <w:tblW w:w="0" w:type="auto"/>
        <w:tblLook w:val="04A0"/>
      </w:tblPr>
      <w:tblGrid>
        <w:gridCol w:w="9876"/>
      </w:tblGrid>
      <w:tr w:rsidR="00177470" w:rsidTr="00F02129">
        <w:tc>
          <w:tcPr>
            <w:tcW w:w="9876" w:type="dxa"/>
          </w:tcPr>
          <w:p w:rsidR="00177470" w:rsidRDefault="00177470" w:rsidP="00F02129">
            <w:pPr>
              <w:autoSpaceDE w:val="0"/>
              <w:autoSpaceDN w:val="0"/>
              <w:spacing w:before="120" w:after="120"/>
              <w:rPr>
                <w:rFonts w:ascii="Calibri" w:hAnsi="Calibri" w:cs="Calibri"/>
                <w:szCs w:val="21"/>
              </w:rPr>
            </w:pPr>
            <w:r>
              <w:rPr>
                <w:rFonts w:ascii="Calibri" w:hAnsi="Calibri" w:cs="Calibri"/>
                <w:b/>
                <w:bCs/>
                <w:szCs w:val="21"/>
                <w:highlight w:val="green"/>
              </w:rPr>
              <w:t>Agreement</w:t>
            </w:r>
          </w:p>
          <w:p w:rsidR="00177470" w:rsidRDefault="00177470" w:rsidP="00F02129">
            <w:pPr>
              <w:pStyle w:val="a9"/>
              <w:autoSpaceDE w:val="0"/>
              <w:autoSpaceDN w:val="0"/>
              <w:spacing w:after="120"/>
              <w:ind w:left="0"/>
              <w:rPr>
                <w:sz w:val="20"/>
                <w:szCs w:val="20"/>
              </w:rPr>
            </w:pPr>
            <w:r>
              <w:rPr>
                <w:sz w:val="20"/>
                <w:szCs w:val="20"/>
              </w:rPr>
              <w:t>Multi-consecutive slots transmission (MCSt) is supported for Mode 1 and Mode 2 resource allocation in SL-U.</w:t>
            </w:r>
          </w:p>
          <w:p w:rsidR="00177470" w:rsidRDefault="00177470" w:rsidP="00F02129">
            <w:pPr>
              <w:pStyle w:val="a9"/>
              <w:numPr>
                <w:ilvl w:val="0"/>
                <w:numId w:val="9"/>
              </w:numPr>
              <w:autoSpaceDE w:val="0"/>
              <w:autoSpaceDN w:val="0"/>
              <w:spacing w:after="120"/>
              <w:rPr>
                <w:rFonts w:eastAsia="宋体"/>
                <w:szCs w:val="22"/>
              </w:rPr>
            </w:pPr>
            <w:r>
              <w:rPr>
                <w:sz w:val="20"/>
                <w:szCs w:val="20"/>
                <w:lang w:val="en-AU"/>
              </w:rPr>
              <w:t>FFS details</w:t>
            </w:r>
          </w:p>
        </w:tc>
      </w:tr>
    </w:tbl>
    <w:p w:rsidR="00177470" w:rsidRDefault="00177470" w:rsidP="00177470">
      <w:pPr>
        <w:spacing w:before="120" w:after="120" w:line="276" w:lineRule="auto"/>
      </w:pPr>
      <w:r>
        <w:rPr>
          <w:rFonts w:hint="eastAsia"/>
        </w:rPr>
        <w:t>In order to support the multi-consecutive slots transmission, it is suggested that the enhanced mode 2 resource allocation mechanism is introduced with frequency resources of multi-consecutive slots transmission in the same channel(s). One way is to ensure the above frequency resources in the same channel(s) by sensing process of physical layer. In another way, the MAC layer ensures that the selected time-frequency resources are in the same channel(s).</w:t>
      </w:r>
    </w:p>
    <w:p w:rsidR="00177470" w:rsidRDefault="00177470" w:rsidP="00177470">
      <w:pPr>
        <w:pStyle w:val="ZTE-Proposal-20210505"/>
        <w:numPr>
          <w:ilvl w:val="0"/>
          <w:numId w:val="10"/>
        </w:numPr>
        <w:ind w:left="1132" w:hanging="1132"/>
      </w:pPr>
      <w:bookmarkStart w:id="94" w:name="_Toc18736"/>
      <w:bookmarkStart w:id="95" w:name="_Toc14335"/>
      <w:bookmarkStart w:id="96" w:name="_Toc115341134"/>
      <w:bookmarkStart w:id="97" w:name="_Toc11706"/>
      <w:bookmarkStart w:id="98" w:name="_Toc115339321"/>
      <w:bookmarkStart w:id="99" w:name="_Toc115338310"/>
      <w:bookmarkStart w:id="100" w:name="_Toc28679"/>
      <w:r>
        <w:rPr>
          <w:rFonts w:hint="eastAsia"/>
        </w:rPr>
        <w:t xml:space="preserve">The enhanced mode 2 resource allocation mechanism is introduced with </w:t>
      </w:r>
      <w:r>
        <w:t>supporting multiple selected resources in the same channel(s)</w:t>
      </w:r>
      <w:r>
        <w:rPr>
          <w:rFonts w:hint="eastAsia"/>
        </w:rPr>
        <w:t>.</w:t>
      </w:r>
      <w:bookmarkEnd w:id="94"/>
      <w:bookmarkEnd w:id="95"/>
      <w:bookmarkEnd w:id="96"/>
      <w:bookmarkEnd w:id="97"/>
      <w:bookmarkEnd w:id="98"/>
      <w:bookmarkEnd w:id="99"/>
      <w:bookmarkEnd w:id="100"/>
    </w:p>
    <w:p w:rsidR="00177470" w:rsidRDefault="00177470" w:rsidP="00177470">
      <w:pPr>
        <w:pStyle w:val="ZTE-Proposal-20210505"/>
        <w:numPr>
          <w:ilvl w:val="0"/>
          <w:numId w:val="10"/>
        </w:numPr>
        <w:ind w:left="1132" w:hanging="1132"/>
      </w:pPr>
      <w:bookmarkStart w:id="101" w:name="_Toc14613"/>
      <w:bookmarkStart w:id="102" w:name="_Toc25750"/>
      <w:bookmarkStart w:id="103" w:name="_Toc659"/>
      <w:bookmarkStart w:id="104" w:name="_Toc20182"/>
      <w:bookmarkStart w:id="105" w:name="_Toc115339322"/>
      <w:bookmarkStart w:id="106" w:name="_Toc115338311"/>
      <w:bookmarkStart w:id="107" w:name="_Toc115341135"/>
      <w:r>
        <w:rPr>
          <w:rFonts w:hint="eastAsia"/>
        </w:rPr>
        <w:t>For the enhanced mode 2 resource allocation mechanism, it should be guarante</w:t>
      </w:r>
      <w:r>
        <w:t>e</w:t>
      </w:r>
      <w:r>
        <w:rPr>
          <w:rFonts w:hint="eastAsia"/>
        </w:rPr>
        <w:t>d that</w:t>
      </w:r>
      <w:r>
        <w:t xml:space="preserve"> frequency resources of multi-consecutive slots transmission are in the same channel(s) by MAC layer or by sensing process of physical layer</w:t>
      </w:r>
      <w:bookmarkEnd w:id="101"/>
      <w:bookmarkEnd w:id="102"/>
      <w:bookmarkEnd w:id="103"/>
      <w:bookmarkEnd w:id="104"/>
      <w:r>
        <w:rPr>
          <w:rFonts w:hint="eastAsia"/>
        </w:rPr>
        <w:t>.</w:t>
      </w:r>
      <w:bookmarkEnd w:id="105"/>
      <w:bookmarkEnd w:id="106"/>
      <w:bookmarkEnd w:id="107"/>
    </w:p>
    <w:p w:rsidR="00177470" w:rsidRDefault="00177470" w:rsidP="00177470">
      <w:pPr>
        <w:pStyle w:val="YJ--"/>
        <w:spacing w:before="120" w:after="120" w:line="276" w:lineRule="auto"/>
        <w:ind w:firstLineChars="0" w:firstLine="0"/>
      </w:pPr>
      <w:r>
        <w:rPr>
          <w:rFonts w:hint="eastAsia"/>
        </w:rPr>
        <w:t xml:space="preserve">In addition, due to the existence of PSFCH symbols, even if a UE transmits sidelink information in continuous slots, continuous sidelink transmissions are still not guaranteed. To solve this problem, it may be considered that occupying </w:t>
      </w:r>
      <w:r>
        <w:rPr>
          <w:rFonts w:hint="eastAsia"/>
        </w:rPr>
        <w:lastRenderedPageBreak/>
        <w:t>signals may be transmitted on a PSFCH occasion among the continuous slots, even if a UE does not transmit PSFCH in the PSFCH occasion.</w:t>
      </w:r>
    </w:p>
    <w:p w:rsidR="00177470" w:rsidRDefault="00177470" w:rsidP="00177470">
      <w:pPr>
        <w:pStyle w:val="ZTE-Proposal-20210505"/>
        <w:numPr>
          <w:ilvl w:val="0"/>
          <w:numId w:val="10"/>
        </w:numPr>
        <w:ind w:left="1132" w:hanging="1132"/>
      </w:pPr>
      <w:bookmarkStart w:id="108" w:name="_Toc115341136"/>
      <w:bookmarkStart w:id="109" w:name="_Toc20002"/>
      <w:bookmarkStart w:id="110" w:name="_Toc1748"/>
      <w:bookmarkStart w:id="111" w:name="_Toc115338312"/>
      <w:bookmarkStart w:id="112" w:name="_Toc15349"/>
      <w:bookmarkStart w:id="113" w:name="_Toc23216"/>
      <w:bookmarkStart w:id="114" w:name="_Toc115339323"/>
      <w:r>
        <w:rPr>
          <w:rFonts w:hint="eastAsia"/>
        </w:rPr>
        <w:t>In order to avoid the interruption due to PSFCH symbols, it is suggested that occupying signals may be transmitted on a PSFCH occasion within the continuous sidelink slots.</w:t>
      </w:r>
      <w:bookmarkEnd w:id="108"/>
      <w:bookmarkEnd w:id="109"/>
      <w:bookmarkEnd w:id="110"/>
      <w:bookmarkEnd w:id="111"/>
      <w:bookmarkEnd w:id="112"/>
      <w:bookmarkEnd w:id="113"/>
      <w:bookmarkEnd w:id="114"/>
    </w:p>
    <w:p w:rsidR="00177470" w:rsidRDefault="00177470" w:rsidP="00177470">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More resources for a TB</w:t>
      </w:r>
    </w:p>
    <w:p w:rsidR="00177470" w:rsidRDefault="00177470" w:rsidP="00177470">
      <w:pPr>
        <w:pStyle w:val="YJ--"/>
        <w:spacing w:before="120" w:after="120" w:line="276" w:lineRule="auto"/>
        <w:ind w:firstLineChars="0" w:firstLine="0"/>
      </w:pPr>
      <w:r>
        <w:rPr>
          <w:rFonts w:hint="eastAsia"/>
        </w:rPr>
        <w:t xml:space="preserve">In </w:t>
      </w:r>
      <w:r>
        <w:t>SL-U</w:t>
      </w:r>
      <w:r>
        <w:rPr>
          <w:rFonts w:hint="eastAsia"/>
        </w:rPr>
        <w:t xml:space="preserve">, a resource cannot be used for SL transmission with LBT failure. Therefore, </w:t>
      </w:r>
      <w:r>
        <w:t xml:space="preserve">it is suggested that more resources, compared with Rel-16/Rel-17 sidelink, should be </w:t>
      </w:r>
      <w:r>
        <w:rPr>
          <w:rFonts w:hint="eastAsia"/>
        </w:rPr>
        <w:t>allocat</w:t>
      </w:r>
      <w:r>
        <w:t>ed</w:t>
      </w:r>
      <w:r>
        <w:rPr>
          <w:rFonts w:hint="eastAsia"/>
        </w:rPr>
        <w:t>/select</w:t>
      </w:r>
      <w:r>
        <w:t>ed</w:t>
      </w:r>
      <w:r>
        <w:rPr>
          <w:rFonts w:hint="eastAsia"/>
        </w:rPr>
        <w:t xml:space="preserve"> for a TB</w:t>
      </w:r>
      <w:r>
        <w:t xml:space="preserve"> in SL-U</w:t>
      </w:r>
      <w:r>
        <w:rPr>
          <w:rFonts w:hint="eastAsia"/>
        </w:rPr>
        <w:t xml:space="preserve">. In this case, the utilization efficiency of resources needs to be further considered. </w:t>
      </w:r>
      <w:r>
        <w:t>More specifically, a</w:t>
      </w:r>
      <w:r>
        <w:rPr>
          <w:rFonts w:hint="eastAsia"/>
        </w:rPr>
        <w:t>fter a TB is successfully transmitted, the UE may no longer use the remaining resources corresponding to the TB, resulting in resource waste if left as is.</w:t>
      </w:r>
      <w:r>
        <w:t xml:space="preserve"> </w:t>
      </w:r>
      <w:r>
        <w:rPr>
          <w:rFonts w:hint="eastAsia"/>
        </w:rPr>
        <w:t xml:space="preserve">In order to improve resource utilization efficiency, </w:t>
      </w:r>
      <w:r>
        <w:t xml:space="preserve">it should be </w:t>
      </w:r>
      <w:r>
        <w:rPr>
          <w:rFonts w:hint="eastAsia"/>
        </w:rPr>
        <w:t>discuss</w:t>
      </w:r>
      <w:r>
        <w:t>ed</w:t>
      </w:r>
      <w:r>
        <w:rPr>
          <w:rFonts w:hint="eastAsia"/>
        </w:rPr>
        <w:t xml:space="preserve"> how to use these wasted resources. One solution is to allow one resource to be selected or allocated to multiple </w:t>
      </w:r>
      <w:r>
        <w:t>UE</w:t>
      </w:r>
      <w:r>
        <w:rPr>
          <w:rFonts w:hint="eastAsia"/>
        </w:rPr>
        <w:t xml:space="preserve"> (e.g., </w:t>
      </w:r>
      <w:r>
        <w:t xml:space="preserve">these UEs are </w:t>
      </w:r>
      <w:r>
        <w:rPr>
          <w:rFonts w:hint="eastAsia"/>
        </w:rPr>
        <w:t>geographically adjacent).</w:t>
      </w:r>
      <w:r>
        <w:t xml:space="preserve"> </w:t>
      </w:r>
      <w:r>
        <w:rPr>
          <w:rFonts w:hint="eastAsia"/>
        </w:rPr>
        <w:t xml:space="preserve">When a resource is selected/allocated to multiple </w:t>
      </w:r>
      <w:r>
        <w:t>UEs</w:t>
      </w:r>
      <w:r>
        <w:rPr>
          <w:rFonts w:hint="eastAsia"/>
        </w:rPr>
        <w:t xml:space="preserve">, transmission conflict is likely to occur among </w:t>
      </w:r>
      <w:r>
        <w:t>these UE</w:t>
      </w:r>
      <w:r>
        <w:rPr>
          <w:rFonts w:hint="eastAsia"/>
        </w:rPr>
        <w:t xml:space="preserve">s on the </w:t>
      </w:r>
      <w:r>
        <w:t xml:space="preserve">same </w:t>
      </w:r>
      <w:r>
        <w:rPr>
          <w:rFonts w:hint="eastAsia"/>
        </w:rPr>
        <w:t xml:space="preserve">resource. How to resolve transmission conflict among </w:t>
      </w:r>
      <w:r>
        <w:t>these UEs</w:t>
      </w:r>
      <w:r>
        <w:rPr>
          <w:rFonts w:hint="eastAsia"/>
        </w:rPr>
        <w:t xml:space="preserve"> needs </w:t>
      </w:r>
      <w:r>
        <w:t xml:space="preserve">to be </w:t>
      </w:r>
      <w:r>
        <w:rPr>
          <w:rFonts w:hint="eastAsia"/>
        </w:rPr>
        <w:t>further discuss</w:t>
      </w:r>
      <w:r>
        <w:t xml:space="preserve">ed </w:t>
      </w:r>
      <w:r>
        <w:rPr>
          <w:rFonts w:hint="eastAsia"/>
        </w:rPr>
        <w:t>and resolved.</w:t>
      </w:r>
    </w:p>
    <w:p w:rsidR="00177470" w:rsidRDefault="00177470" w:rsidP="00177470">
      <w:pPr>
        <w:pStyle w:val="ZTE-Proposal-20210505"/>
        <w:numPr>
          <w:ilvl w:val="0"/>
          <w:numId w:val="10"/>
        </w:numPr>
        <w:ind w:left="1132" w:hanging="1132"/>
      </w:pPr>
      <w:bookmarkStart w:id="115" w:name="_Toc115337777"/>
      <w:bookmarkStart w:id="116" w:name="_Toc115338313"/>
      <w:bookmarkStart w:id="117" w:name="_Toc20140"/>
      <w:bookmarkStart w:id="118" w:name="_Toc115341137"/>
      <w:bookmarkStart w:id="119" w:name="_Toc115339324"/>
      <w:r>
        <w:rPr>
          <w:rFonts w:hint="eastAsia"/>
        </w:rPr>
        <w:t>It is suggested that more resources can be selected/allocated for a TB in SL-U.</w:t>
      </w:r>
      <w:bookmarkEnd w:id="115"/>
      <w:bookmarkEnd w:id="116"/>
      <w:bookmarkEnd w:id="117"/>
      <w:bookmarkEnd w:id="118"/>
      <w:bookmarkEnd w:id="119"/>
    </w:p>
    <w:p w:rsidR="00177470" w:rsidRDefault="00177470" w:rsidP="00177470">
      <w:pPr>
        <w:pStyle w:val="ZTE-Proposal-20210505"/>
        <w:numPr>
          <w:ilvl w:val="0"/>
          <w:numId w:val="10"/>
        </w:numPr>
        <w:ind w:left="1132" w:hanging="1132"/>
      </w:pPr>
      <w:bookmarkStart w:id="120" w:name="_Toc115337778"/>
      <w:bookmarkStart w:id="121" w:name="_Toc115339325"/>
      <w:bookmarkStart w:id="122" w:name="_Toc115341138"/>
      <w:bookmarkStart w:id="123" w:name="_Toc3217"/>
      <w:bookmarkStart w:id="124" w:name="_Toc115338314"/>
      <w:r>
        <w:rPr>
          <w:rFonts w:hint="eastAsia"/>
        </w:rPr>
        <w:t>With more resources allocated/selected for a TB, it is suggested that the same resource can be selected or allocated for multiple different UEs.</w:t>
      </w:r>
      <w:bookmarkEnd w:id="120"/>
      <w:bookmarkEnd w:id="121"/>
      <w:bookmarkEnd w:id="122"/>
      <w:bookmarkEnd w:id="123"/>
      <w:bookmarkEnd w:id="124"/>
    </w:p>
    <w:p w:rsidR="00177470" w:rsidRDefault="00177470" w:rsidP="00177470">
      <w:pPr>
        <w:pStyle w:val="sub-proposal"/>
      </w:pPr>
      <w:bookmarkStart w:id="125" w:name="_Toc115338315"/>
      <w:bookmarkStart w:id="126" w:name="_Toc5684"/>
      <w:bookmarkStart w:id="127" w:name="_Toc115339326"/>
      <w:bookmarkStart w:id="128" w:name="_Toc115341139"/>
      <w:r>
        <w:rPr>
          <w:rFonts w:hint="eastAsia"/>
        </w:rPr>
        <w:t>FFS: How to resolve the transmission conflict from different UEs on the same resource.</w:t>
      </w:r>
      <w:bookmarkEnd w:id="125"/>
      <w:bookmarkEnd w:id="126"/>
      <w:bookmarkEnd w:id="127"/>
      <w:bookmarkEnd w:id="128"/>
    </w:p>
    <w:p w:rsidR="00177470" w:rsidRDefault="00177470" w:rsidP="00177470">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Evaluation methodology</w:t>
      </w:r>
    </w:p>
    <w:p w:rsidR="00177470" w:rsidRDefault="00177470" w:rsidP="00177470">
      <w:pPr>
        <w:spacing w:before="120" w:after="120"/>
      </w:pPr>
      <w:r>
        <w:rPr>
          <w:rFonts w:hint="eastAsia"/>
        </w:rPr>
        <w:t>In RAN1 #110 meeting, the following conclusions were agreed for SL-U evaluation methodology. Based on these conclusions, this section will discuss some remaining problems of SL-U evaluation methodology.</w:t>
      </w:r>
    </w:p>
    <w:tbl>
      <w:tblPr>
        <w:tblStyle w:val="a8"/>
        <w:tblW w:w="0" w:type="auto"/>
        <w:tblLook w:val="04A0"/>
      </w:tblPr>
      <w:tblGrid>
        <w:gridCol w:w="9876"/>
      </w:tblGrid>
      <w:tr w:rsidR="00177470" w:rsidTr="00F02129">
        <w:tc>
          <w:tcPr>
            <w:tcW w:w="9876" w:type="dxa"/>
          </w:tcPr>
          <w:p w:rsidR="00177470" w:rsidRDefault="00177470" w:rsidP="00F02129">
            <w:pPr>
              <w:pStyle w:val="a9"/>
              <w:numPr>
                <w:ilvl w:val="0"/>
                <w:numId w:val="9"/>
              </w:numPr>
              <w:spacing w:after="120"/>
              <w:rPr>
                <w:sz w:val="20"/>
                <w:szCs w:val="20"/>
              </w:rPr>
            </w:pPr>
            <w:r>
              <w:rPr>
                <w:sz w:val="20"/>
                <w:szCs w:val="20"/>
              </w:rPr>
              <w:t>Scenario 1 (</w:t>
            </w:r>
            <w:r>
              <w:rPr>
                <w:color w:val="000000"/>
                <w:sz w:val="20"/>
                <w:szCs w:val="20"/>
              </w:rPr>
              <w:t>commercial use cases) – recommended:</w:t>
            </w:r>
          </w:p>
          <w:p w:rsidR="00177470" w:rsidRDefault="00177470" w:rsidP="00F02129">
            <w:pPr>
              <w:pStyle w:val="a9"/>
              <w:numPr>
                <w:ilvl w:val="1"/>
                <w:numId w:val="9"/>
              </w:numPr>
              <w:spacing w:after="120"/>
              <w:rPr>
                <w:sz w:val="20"/>
                <w:szCs w:val="20"/>
              </w:rPr>
            </w:pPr>
            <w:r>
              <w:rPr>
                <w:sz w:val="20"/>
                <w:szCs w:val="20"/>
              </w:rPr>
              <w:t>Evaluation methodology baseline is NR-U from TR 38.889 with the following updates.</w:t>
            </w:r>
          </w:p>
          <w:p w:rsidR="00177470" w:rsidRDefault="00177470" w:rsidP="00F02129">
            <w:pPr>
              <w:pStyle w:val="a9"/>
              <w:numPr>
                <w:ilvl w:val="1"/>
                <w:numId w:val="9"/>
              </w:numPr>
              <w:spacing w:after="120"/>
              <w:rPr>
                <w:sz w:val="20"/>
                <w:szCs w:val="20"/>
              </w:rPr>
            </w:pPr>
            <w:r>
              <w:rPr>
                <w:sz w:val="20"/>
                <w:szCs w:val="20"/>
              </w:rPr>
              <w:t xml:space="preserve">Indoor layout </w:t>
            </w:r>
          </w:p>
          <w:p w:rsidR="00177470" w:rsidRDefault="00177470" w:rsidP="00F02129">
            <w:pPr>
              <w:pStyle w:val="a9"/>
              <w:numPr>
                <w:ilvl w:val="2"/>
                <w:numId w:val="9"/>
              </w:numPr>
              <w:spacing w:after="120"/>
              <w:rPr>
                <w:color w:val="000000"/>
                <w:sz w:val="20"/>
                <w:szCs w:val="20"/>
              </w:rPr>
            </w:pPr>
            <w:r>
              <w:rPr>
                <w:sz w:val="20"/>
                <w:szCs w:val="20"/>
              </w:rPr>
              <w:t xml:space="preserve">Option 1: a pairs topology for SL-U </w:t>
            </w:r>
            <w:r>
              <w:rPr>
                <w:color w:val="000000"/>
                <w:sz w:val="20"/>
                <w:szCs w:val="20"/>
              </w:rPr>
              <w:t>from R1-2205033 – recommended</w:t>
            </w:r>
          </w:p>
          <w:p w:rsidR="00177470" w:rsidRDefault="00177470" w:rsidP="00F02129">
            <w:pPr>
              <w:pStyle w:val="a9"/>
              <w:spacing w:after="120"/>
              <w:ind w:leftChars="1063" w:left="2126" w:firstLine="400"/>
              <w:rPr>
                <w:rFonts w:eastAsia="等线"/>
                <w:sz w:val="20"/>
                <w:szCs w:val="20"/>
              </w:rPr>
            </w:pPr>
            <w:r>
              <w:rPr>
                <w:noProof/>
                <w:sz w:val="20"/>
                <w:szCs w:val="20"/>
              </w:rPr>
              <w:drawing>
                <wp:inline distT="0" distB="0" distL="114300" distR="114300">
                  <wp:extent cx="2430780" cy="1043940"/>
                  <wp:effectExtent l="0" t="0" r="7620" b="381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7" cstate="print"/>
                          <a:stretch>
                            <a:fillRect/>
                          </a:stretch>
                        </pic:blipFill>
                        <pic:spPr>
                          <a:xfrm>
                            <a:off x="0" y="0"/>
                            <a:ext cx="2430780" cy="1043940"/>
                          </a:xfrm>
                          <a:prstGeom prst="rect">
                            <a:avLst/>
                          </a:prstGeom>
                          <a:noFill/>
                          <a:ln>
                            <a:noFill/>
                          </a:ln>
                        </pic:spPr>
                      </pic:pic>
                    </a:graphicData>
                  </a:graphic>
                </wp:inline>
              </w:drawing>
            </w:r>
          </w:p>
          <w:p w:rsidR="00177470" w:rsidRDefault="00177470" w:rsidP="00F02129">
            <w:pPr>
              <w:pStyle w:val="a9"/>
              <w:numPr>
                <w:ilvl w:val="3"/>
                <w:numId w:val="9"/>
              </w:numPr>
              <w:spacing w:after="120"/>
              <w:rPr>
                <w:color w:val="000000"/>
                <w:sz w:val="20"/>
                <w:szCs w:val="20"/>
              </w:rPr>
            </w:pPr>
            <w:r>
              <w:rPr>
                <w:color w:val="111112"/>
                <w:sz w:val="20"/>
                <w:szCs w:val="20"/>
                <w:shd w:val="clear" w:color="auto" w:fill="FFFFFF"/>
              </w:rPr>
              <w:t>a = 20m, b = 60m, c = 20m, d = 80 m</w:t>
            </w:r>
          </w:p>
          <w:p w:rsidR="00177470" w:rsidRDefault="00177470" w:rsidP="00F02129">
            <w:pPr>
              <w:pStyle w:val="a9"/>
              <w:numPr>
                <w:ilvl w:val="3"/>
                <w:numId w:val="9"/>
              </w:numPr>
              <w:spacing w:after="120"/>
              <w:rPr>
                <w:sz w:val="20"/>
                <w:szCs w:val="20"/>
              </w:rPr>
            </w:pPr>
            <w:r>
              <w:rPr>
                <w:sz w:val="20"/>
                <w:szCs w:val="20"/>
              </w:rPr>
              <w:t>There are two operators to model two RATs at a time. The red one is SL-U UE, the blue one is Wi-Fi or NR-U.</w:t>
            </w:r>
          </w:p>
          <w:p w:rsidR="00177470" w:rsidRDefault="00177470" w:rsidP="00F02129">
            <w:pPr>
              <w:pStyle w:val="a9"/>
              <w:numPr>
                <w:ilvl w:val="3"/>
                <w:numId w:val="9"/>
              </w:numPr>
              <w:spacing w:after="120"/>
              <w:rPr>
                <w:sz w:val="20"/>
                <w:szCs w:val="20"/>
              </w:rPr>
            </w:pPr>
            <w:r>
              <w:rPr>
                <w:sz w:val="20"/>
                <w:szCs w:val="20"/>
              </w:rPr>
              <w:t>For NR-U / Wi-Fi, the same number of UEs / Wi-Fi STA as the total number of SL-U devices are dropped in the area. The NR-U UE / Wi-Fi nodes are dropped uniformly per gNB/AP per 20 MHz.</w:t>
            </w:r>
          </w:p>
          <w:p w:rsidR="00177470" w:rsidRDefault="00177470" w:rsidP="00F02129">
            <w:pPr>
              <w:pStyle w:val="a9"/>
              <w:numPr>
                <w:ilvl w:val="4"/>
                <w:numId w:val="9"/>
              </w:numPr>
              <w:spacing w:after="120"/>
              <w:rPr>
                <w:sz w:val="20"/>
                <w:szCs w:val="20"/>
              </w:rPr>
            </w:pPr>
            <w:r>
              <w:rPr>
                <w:sz w:val="20"/>
                <w:szCs w:val="20"/>
              </w:rPr>
              <w:t>Companies should report if they used a different number of UEs / Wi-Fi STA as the total number of SL-U devices, as an additional evaluation scenario.</w:t>
            </w:r>
          </w:p>
          <w:p w:rsidR="00177470" w:rsidRDefault="00177470" w:rsidP="00F02129">
            <w:pPr>
              <w:pStyle w:val="a9"/>
              <w:numPr>
                <w:ilvl w:val="3"/>
                <w:numId w:val="9"/>
              </w:numPr>
              <w:spacing w:after="120"/>
              <w:rPr>
                <w:sz w:val="20"/>
                <w:szCs w:val="20"/>
              </w:rPr>
            </w:pPr>
            <w:r>
              <w:rPr>
                <w:sz w:val="20"/>
                <w:szCs w:val="20"/>
              </w:rPr>
              <w:t xml:space="preserve">For evaluation of unicast traffic, the topology of SL-U is pair topology and the SL-U UEs are dropped uniformly at random in the area. </w:t>
            </w:r>
          </w:p>
          <w:p w:rsidR="00177470" w:rsidRDefault="00177470" w:rsidP="00F02129">
            <w:pPr>
              <w:pStyle w:val="a9"/>
              <w:numPr>
                <w:ilvl w:val="4"/>
                <w:numId w:val="9"/>
              </w:numPr>
              <w:spacing w:after="120"/>
              <w:rPr>
                <w:sz w:val="20"/>
                <w:szCs w:val="20"/>
              </w:rPr>
            </w:pPr>
            <w:r>
              <w:rPr>
                <w:rFonts w:hint="eastAsia"/>
                <w:sz w:val="20"/>
                <w:szCs w:val="20"/>
              </w:rPr>
              <w:t>C</w:t>
            </w:r>
            <w:r>
              <w:rPr>
                <w:sz w:val="20"/>
                <w:szCs w:val="20"/>
              </w:rPr>
              <w:t>ompanies should report how SL-U UEs are paired</w:t>
            </w:r>
          </w:p>
          <w:p w:rsidR="00177470" w:rsidRDefault="00177470" w:rsidP="00F02129">
            <w:pPr>
              <w:pStyle w:val="a9"/>
              <w:numPr>
                <w:ilvl w:val="4"/>
                <w:numId w:val="9"/>
              </w:numPr>
              <w:spacing w:after="120"/>
              <w:rPr>
                <w:sz w:val="20"/>
                <w:szCs w:val="20"/>
              </w:rPr>
            </w:pPr>
            <w:r>
              <w:rPr>
                <w:sz w:val="20"/>
                <w:szCs w:val="20"/>
              </w:rPr>
              <w:t>6 SL-U pairs and 4 NR-U UEs / Wi-Fi nodes per gNB/AP per 20 MHz</w:t>
            </w:r>
          </w:p>
          <w:p w:rsidR="00177470" w:rsidRDefault="00177470" w:rsidP="00F02129">
            <w:pPr>
              <w:pStyle w:val="a9"/>
              <w:numPr>
                <w:ilvl w:val="3"/>
                <w:numId w:val="9"/>
              </w:numPr>
              <w:spacing w:after="120"/>
              <w:rPr>
                <w:sz w:val="20"/>
                <w:szCs w:val="20"/>
              </w:rPr>
            </w:pPr>
            <w:r>
              <w:rPr>
                <w:sz w:val="20"/>
                <w:szCs w:val="20"/>
              </w:rPr>
              <w:t xml:space="preserve">For evaluation of groupcast traffic, SL-U UEs are dropped uniformly at random in the area, SL-UEs form groupcast UE group based on TX-RX UE distancing, the distance is provided by each company. </w:t>
            </w:r>
          </w:p>
          <w:p w:rsidR="00177470" w:rsidRDefault="00177470" w:rsidP="00F02129">
            <w:pPr>
              <w:pStyle w:val="a9"/>
              <w:numPr>
                <w:ilvl w:val="4"/>
                <w:numId w:val="9"/>
              </w:numPr>
              <w:spacing w:after="120"/>
              <w:rPr>
                <w:sz w:val="20"/>
                <w:szCs w:val="20"/>
              </w:rPr>
            </w:pPr>
            <w:r>
              <w:rPr>
                <w:rFonts w:hint="eastAsia"/>
                <w:sz w:val="20"/>
                <w:szCs w:val="20"/>
              </w:rPr>
              <w:t>C</w:t>
            </w:r>
            <w:r>
              <w:rPr>
                <w:sz w:val="20"/>
                <w:szCs w:val="20"/>
              </w:rPr>
              <w:t>ompanies should report how SL-U UEs form a group</w:t>
            </w:r>
          </w:p>
          <w:p w:rsidR="00177470" w:rsidRDefault="00177470" w:rsidP="00F02129">
            <w:pPr>
              <w:pStyle w:val="a9"/>
              <w:numPr>
                <w:ilvl w:val="4"/>
                <w:numId w:val="9"/>
              </w:numPr>
              <w:spacing w:after="120"/>
              <w:rPr>
                <w:sz w:val="20"/>
                <w:szCs w:val="20"/>
              </w:rPr>
            </w:pPr>
            <w:r>
              <w:rPr>
                <w:rFonts w:eastAsia="等线"/>
                <w:sz w:val="20"/>
                <w:szCs w:val="20"/>
              </w:rPr>
              <w:t xml:space="preserve">12 SL-U UEs and 4 </w:t>
            </w:r>
            <w:r>
              <w:rPr>
                <w:sz w:val="20"/>
                <w:szCs w:val="20"/>
              </w:rPr>
              <w:t>NR-U UEs / Wi-Fi nodes per gNB/AP per 20 MHz</w:t>
            </w:r>
          </w:p>
          <w:p w:rsidR="00177470" w:rsidRDefault="00177470" w:rsidP="00F02129">
            <w:pPr>
              <w:pStyle w:val="a9"/>
              <w:numPr>
                <w:ilvl w:val="3"/>
                <w:numId w:val="9"/>
              </w:numPr>
              <w:spacing w:after="120"/>
              <w:rPr>
                <w:sz w:val="20"/>
                <w:szCs w:val="20"/>
              </w:rPr>
            </w:pPr>
            <w:r>
              <w:rPr>
                <w:sz w:val="20"/>
                <w:szCs w:val="20"/>
              </w:rPr>
              <w:lastRenderedPageBreak/>
              <w:t>For evaluation of broadcast traffic, SL-U UEs are dropped uniformly at random in the area.</w:t>
            </w:r>
          </w:p>
          <w:p w:rsidR="00177470" w:rsidRDefault="00177470" w:rsidP="00F02129">
            <w:pPr>
              <w:pStyle w:val="a9"/>
              <w:numPr>
                <w:ilvl w:val="4"/>
                <w:numId w:val="9"/>
              </w:numPr>
              <w:spacing w:after="120"/>
              <w:rPr>
                <w:sz w:val="20"/>
                <w:szCs w:val="20"/>
              </w:rPr>
            </w:pPr>
            <w:r>
              <w:rPr>
                <w:rFonts w:eastAsia="等线"/>
                <w:sz w:val="20"/>
                <w:szCs w:val="20"/>
              </w:rPr>
              <w:t>12 SL-U UEs</w:t>
            </w:r>
            <w:r>
              <w:rPr>
                <w:sz w:val="20"/>
                <w:szCs w:val="20"/>
              </w:rPr>
              <w:t xml:space="preserve"> and 4 NR-U UEs / Wi-Fi nodes per gNB/AP per 20 MHz</w:t>
            </w:r>
          </w:p>
          <w:p w:rsidR="00177470" w:rsidRDefault="00177470" w:rsidP="00F02129">
            <w:pPr>
              <w:pStyle w:val="a9"/>
              <w:numPr>
                <w:ilvl w:val="1"/>
                <w:numId w:val="9"/>
              </w:numPr>
              <w:spacing w:after="120"/>
              <w:rPr>
                <w:sz w:val="20"/>
                <w:szCs w:val="20"/>
              </w:rPr>
            </w:pPr>
            <w:r>
              <w:rPr>
                <w:sz w:val="20"/>
                <w:szCs w:val="20"/>
              </w:rPr>
              <w:t>Channel model follows NR InH Mixed Office model used in NR-U (TR38.889)</w:t>
            </w:r>
          </w:p>
          <w:p w:rsidR="00177470" w:rsidRDefault="00177470" w:rsidP="00F02129">
            <w:pPr>
              <w:pStyle w:val="a9"/>
              <w:numPr>
                <w:ilvl w:val="1"/>
                <w:numId w:val="9"/>
              </w:numPr>
              <w:spacing w:after="120"/>
              <w:rPr>
                <w:sz w:val="20"/>
                <w:szCs w:val="20"/>
              </w:rPr>
            </w:pPr>
            <w:r>
              <w:rPr>
                <w:sz w:val="20"/>
                <w:szCs w:val="20"/>
              </w:rPr>
              <w:t xml:space="preserve">Traffic model </w:t>
            </w:r>
          </w:p>
          <w:p w:rsidR="00177470" w:rsidRDefault="00177470" w:rsidP="00F02129">
            <w:pPr>
              <w:pStyle w:val="a9"/>
              <w:numPr>
                <w:ilvl w:val="2"/>
                <w:numId w:val="9"/>
              </w:numPr>
              <w:spacing w:after="120"/>
              <w:rPr>
                <w:sz w:val="20"/>
                <w:szCs w:val="20"/>
              </w:rPr>
            </w:pPr>
            <w:r>
              <w:rPr>
                <w:sz w:val="20"/>
                <w:szCs w:val="20"/>
              </w:rPr>
              <w:t>Option 1: R17 sidelink commercial traffic model with periodic model 3 with packet size reduced by a factor of (high: 1; mid: 5; low: 10)</w:t>
            </w:r>
          </w:p>
          <w:p w:rsidR="00177470" w:rsidRDefault="00177470" w:rsidP="00F02129">
            <w:pPr>
              <w:pStyle w:val="a9"/>
              <w:numPr>
                <w:ilvl w:val="3"/>
                <w:numId w:val="9"/>
              </w:numPr>
              <w:spacing w:after="120"/>
              <w:rPr>
                <w:sz w:val="20"/>
                <w:szCs w:val="20"/>
              </w:rPr>
            </w:pPr>
            <w:r>
              <w:rPr>
                <w:sz w:val="20"/>
                <w:szCs w:val="20"/>
              </w:rPr>
              <w:t>FFS whether/how the PDB requirement can be captured</w:t>
            </w:r>
          </w:p>
          <w:p w:rsidR="00177470" w:rsidRDefault="00177470" w:rsidP="00F02129">
            <w:pPr>
              <w:pStyle w:val="a9"/>
              <w:numPr>
                <w:ilvl w:val="2"/>
                <w:numId w:val="9"/>
              </w:numPr>
              <w:spacing w:after="120"/>
              <w:rPr>
                <w:sz w:val="20"/>
                <w:szCs w:val="20"/>
              </w:rPr>
            </w:pPr>
            <w:r>
              <w:rPr>
                <w:sz w:val="20"/>
                <w:szCs w:val="20"/>
              </w:rPr>
              <w:t>Option 2: FTP model 3 with arrival rate satisfying one of the followings:</w:t>
            </w:r>
          </w:p>
          <w:p w:rsidR="00177470" w:rsidRDefault="00177470" w:rsidP="00F02129">
            <w:pPr>
              <w:pStyle w:val="a9"/>
              <w:numPr>
                <w:ilvl w:val="3"/>
                <w:numId w:val="9"/>
              </w:numPr>
              <w:spacing w:after="120"/>
              <w:rPr>
                <w:sz w:val="20"/>
                <w:szCs w:val="20"/>
              </w:rPr>
            </w:pPr>
            <w:r>
              <w:rPr>
                <w:sz w:val="20"/>
                <w:szCs w:val="20"/>
              </w:rPr>
              <w:t>BO Low load: 10%~25%</w:t>
            </w:r>
          </w:p>
          <w:p w:rsidR="00177470" w:rsidRDefault="00177470" w:rsidP="00F02129">
            <w:pPr>
              <w:pStyle w:val="a9"/>
              <w:numPr>
                <w:ilvl w:val="3"/>
                <w:numId w:val="9"/>
              </w:numPr>
              <w:spacing w:after="120"/>
              <w:rPr>
                <w:sz w:val="20"/>
                <w:szCs w:val="20"/>
              </w:rPr>
            </w:pPr>
            <w:r>
              <w:rPr>
                <w:sz w:val="20"/>
                <w:szCs w:val="20"/>
              </w:rPr>
              <w:t>BO Mid load: 35%~50%</w:t>
            </w:r>
          </w:p>
          <w:p w:rsidR="00177470" w:rsidRDefault="00177470" w:rsidP="00F02129">
            <w:pPr>
              <w:pStyle w:val="a9"/>
              <w:numPr>
                <w:ilvl w:val="3"/>
                <w:numId w:val="9"/>
              </w:numPr>
              <w:spacing w:after="120"/>
              <w:rPr>
                <w:sz w:val="20"/>
                <w:szCs w:val="20"/>
              </w:rPr>
            </w:pPr>
            <w:r>
              <w:rPr>
                <w:sz w:val="20"/>
                <w:szCs w:val="20"/>
              </w:rPr>
              <w:t>BO High load: above 55%</w:t>
            </w:r>
          </w:p>
          <w:p w:rsidR="00177470" w:rsidRDefault="00177470" w:rsidP="00F02129">
            <w:pPr>
              <w:pStyle w:val="a9"/>
              <w:numPr>
                <w:ilvl w:val="2"/>
                <w:numId w:val="9"/>
              </w:numPr>
              <w:spacing w:after="120"/>
              <w:rPr>
                <w:sz w:val="20"/>
                <w:szCs w:val="20"/>
              </w:rPr>
            </w:pPr>
            <w:r>
              <w:rPr>
                <w:sz w:val="20"/>
                <w:szCs w:val="20"/>
              </w:rPr>
              <w:t>Option 3: XR cloud gaming model in TR38.838</w:t>
            </w:r>
          </w:p>
          <w:p w:rsidR="00177470" w:rsidRDefault="00177470" w:rsidP="00F02129">
            <w:pPr>
              <w:pStyle w:val="a9"/>
              <w:numPr>
                <w:ilvl w:val="3"/>
                <w:numId w:val="9"/>
              </w:numPr>
              <w:spacing w:after="120"/>
              <w:rPr>
                <w:sz w:val="20"/>
                <w:szCs w:val="20"/>
              </w:rPr>
            </w:pPr>
            <w:r>
              <w:rPr>
                <w:sz w:val="20"/>
                <w:szCs w:val="20"/>
              </w:rPr>
              <w:t>FFS whether/how the PDB requirement can be captured</w:t>
            </w:r>
          </w:p>
          <w:p w:rsidR="00177470" w:rsidRDefault="00177470" w:rsidP="00F02129">
            <w:pPr>
              <w:pStyle w:val="a9"/>
              <w:numPr>
                <w:ilvl w:val="2"/>
                <w:numId w:val="9"/>
              </w:numPr>
              <w:spacing w:after="120"/>
              <w:rPr>
                <w:sz w:val="20"/>
                <w:szCs w:val="20"/>
              </w:rPr>
            </w:pPr>
            <w:r>
              <w:rPr>
                <w:sz w:val="20"/>
                <w:szCs w:val="20"/>
              </w:rPr>
              <w:t>It is up to each company to use either Option 1 or 2 or Option 3 or mixed of them</w:t>
            </w:r>
          </w:p>
          <w:p w:rsidR="00177470" w:rsidRDefault="00177470" w:rsidP="00F02129">
            <w:pPr>
              <w:pStyle w:val="a9"/>
              <w:numPr>
                <w:ilvl w:val="1"/>
                <w:numId w:val="9"/>
              </w:numPr>
              <w:spacing w:after="120"/>
              <w:rPr>
                <w:sz w:val="20"/>
                <w:szCs w:val="20"/>
              </w:rPr>
            </w:pPr>
            <w:r>
              <w:rPr>
                <w:sz w:val="20"/>
                <w:szCs w:val="20"/>
              </w:rPr>
              <w:t xml:space="preserve">Interference model: </w:t>
            </w:r>
          </w:p>
          <w:p w:rsidR="00177470" w:rsidRDefault="00177470" w:rsidP="00F02129">
            <w:pPr>
              <w:pStyle w:val="a9"/>
              <w:numPr>
                <w:ilvl w:val="2"/>
                <w:numId w:val="9"/>
              </w:numPr>
              <w:spacing w:after="120"/>
              <w:rPr>
                <w:sz w:val="20"/>
                <w:szCs w:val="20"/>
              </w:rPr>
            </w:pPr>
            <w:r>
              <w:rPr>
                <w:sz w:val="20"/>
                <w:szCs w:val="20"/>
              </w:rPr>
              <w:t xml:space="preserve">Layout option 1: </w:t>
            </w:r>
            <w:r>
              <w:rPr>
                <w:sz w:val="20"/>
                <w:szCs w:val="20"/>
                <w:lang w:val="en-AU"/>
              </w:rPr>
              <w:t>Explicit modelling of NR-U / WiFi transmissions (as per TR38.889)</w:t>
            </w:r>
          </w:p>
          <w:p w:rsidR="00177470" w:rsidRDefault="00177470" w:rsidP="00F02129">
            <w:pPr>
              <w:pStyle w:val="a9"/>
              <w:numPr>
                <w:ilvl w:val="2"/>
                <w:numId w:val="9"/>
              </w:numPr>
              <w:spacing w:after="120"/>
              <w:rPr>
                <w:sz w:val="20"/>
                <w:szCs w:val="20"/>
              </w:rPr>
            </w:pPr>
            <w:r>
              <w:rPr>
                <w:sz w:val="20"/>
                <w:szCs w:val="20"/>
              </w:rPr>
              <w:t>Note, for the interference traffic model:</w:t>
            </w:r>
          </w:p>
          <w:p w:rsidR="00177470" w:rsidRDefault="00177470" w:rsidP="00F02129">
            <w:pPr>
              <w:pStyle w:val="a9"/>
              <w:numPr>
                <w:ilvl w:val="3"/>
                <w:numId w:val="9"/>
              </w:numPr>
              <w:spacing w:after="120"/>
              <w:rPr>
                <w:sz w:val="20"/>
                <w:szCs w:val="20"/>
              </w:rPr>
            </w:pPr>
            <w:r>
              <w:rPr>
                <w:sz w:val="20"/>
                <w:szCs w:val="20"/>
              </w:rPr>
              <w:t xml:space="preserve">The same or equivalent traffic model setting as SL-U should be used as much as possible to achieve equal load (e.g., SL-U RAT offered load equal the interfering RAT’s offered load). </w:t>
            </w:r>
          </w:p>
          <w:p w:rsidR="00177470" w:rsidRDefault="00177470" w:rsidP="00F02129">
            <w:pPr>
              <w:pStyle w:val="a9"/>
              <w:numPr>
                <w:ilvl w:val="3"/>
                <w:numId w:val="9"/>
              </w:numPr>
              <w:spacing w:after="120"/>
              <w:rPr>
                <w:sz w:val="20"/>
                <w:szCs w:val="20"/>
              </w:rPr>
            </w:pPr>
            <w:r>
              <w:rPr>
                <w:sz w:val="20"/>
                <w:szCs w:val="20"/>
              </w:rPr>
              <w:t>The same number of traffic flows should be used between SL-U and the interfering RAT (e.g., 10 UEs with 10 flows, and 5 STAs with 2 flows each, one for DL and one for UL)</w:t>
            </w:r>
          </w:p>
          <w:p w:rsidR="00177470" w:rsidRDefault="00177470" w:rsidP="00F02129">
            <w:pPr>
              <w:pStyle w:val="a9"/>
              <w:numPr>
                <w:ilvl w:val="4"/>
                <w:numId w:val="9"/>
              </w:numPr>
              <w:spacing w:after="120"/>
              <w:rPr>
                <w:sz w:val="20"/>
                <w:szCs w:val="20"/>
              </w:rPr>
            </w:pPr>
            <w:r>
              <w:rPr>
                <w:sz w:val="20"/>
                <w:szCs w:val="20"/>
              </w:rPr>
              <w:t>Companies should report if they used a different assumption, as an additional evaluation scenario.</w:t>
            </w:r>
          </w:p>
          <w:p w:rsidR="00177470" w:rsidRDefault="00177470" w:rsidP="00F02129">
            <w:pPr>
              <w:pStyle w:val="a9"/>
              <w:numPr>
                <w:ilvl w:val="1"/>
                <w:numId w:val="9"/>
              </w:numPr>
              <w:spacing w:after="120"/>
              <w:rPr>
                <w:sz w:val="20"/>
                <w:szCs w:val="20"/>
              </w:rPr>
            </w:pPr>
            <w:r>
              <w:rPr>
                <w:sz w:val="20"/>
                <w:szCs w:val="20"/>
              </w:rPr>
              <w:t xml:space="preserve">Performance metric: </w:t>
            </w:r>
            <w:r>
              <w:rPr>
                <w:sz w:val="20"/>
                <w:szCs w:val="20"/>
                <w:lang w:val="en-AU"/>
              </w:rPr>
              <w:t xml:space="preserve">UPT, latency, and PRR which regards the packet whose delay exceeding the remaining PDB as transmission failure. </w:t>
            </w:r>
          </w:p>
          <w:p w:rsidR="00177470" w:rsidRDefault="00177470" w:rsidP="00F02129">
            <w:pPr>
              <w:pStyle w:val="a9"/>
              <w:numPr>
                <w:ilvl w:val="2"/>
                <w:numId w:val="9"/>
              </w:numPr>
              <w:spacing w:after="120"/>
              <w:rPr>
                <w:sz w:val="20"/>
                <w:szCs w:val="20"/>
              </w:rPr>
            </w:pPr>
            <w:r>
              <w:rPr>
                <w:sz w:val="20"/>
                <w:szCs w:val="20"/>
              </w:rPr>
              <w:t>FFS: UE satisfaction/system capacity as section 7.2 in TR 38.838 for XR traffic evaluation</w:t>
            </w:r>
          </w:p>
          <w:p w:rsidR="00177470" w:rsidRDefault="00177470" w:rsidP="00F02129">
            <w:pPr>
              <w:pStyle w:val="a9"/>
              <w:numPr>
                <w:ilvl w:val="2"/>
                <w:numId w:val="9"/>
              </w:numPr>
              <w:spacing w:after="120"/>
              <w:rPr>
                <w:sz w:val="20"/>
                <w:szCs w:val="20"/>
              </w:rPr>
            </w:pPr>
            <w:r>
              <w:rPr>
                <w:sz w:val="20"/>
                <w:szCs w:val="20"/>
              </w:rPr>
              <w:t>FFS for groupcast and broadcast</w:t>
            </w:r>
          </w:p>
          <w:p w:rsidR="00177470" w:rsidRDefault="00177470" w:rsidP="00F02129">
            <w:pPr>
              <w:pStyle w:val="a9"/>
              <w:numPr>
                <w:ilvl w:val="1"/>
                <w:numId w:val="9"/>
              </w:numPr>
              <w:spacing w:after="120"/>
              <w:rPr>
                <w:sz w:val="20"/>
                <w:szCs w:val="20"/>
              </w:rPr>
            </w:pPr>
            <w:r>
              <w:rPr>
                <w:sz w:val="20"/>
                <w:szCs w:val="20"/>
                <w:lang w:val="en-AU"/>
              </w:rPr>
              <w:t xml:space="preserve">Fair coexistence criterion </w:t>
            </w:r>
            <w:r>
              <w:rPr>
                <w:sz w:val="20"/>
                <w:szCs w:val="20"/>
              </w:rPr>
              <w:t xml:space="preserve">between SL-U and the interfering RAT (e.g., </w:t>
            </w:r>
            <w:r>
              <w:rPr>
                <w:sz w:val="20"/>
                <w:szCs w:val="20"/>
                <w:lang w:val="en-AU"/>
              </w:rPr>
              <w:t>according to NR-U TR38.889)</w:t>
            </w:r>
          </w:p>
          <w:p w:rsidR="00177470" w:rsidRDefault="00177470" w:rsidP="00F02129">
            <w:pPr>
              <w:spacing w:before="120" w:after="120" w:line="260" w:lineRule="auto"/>
              <w:rPr>
                <w:rFonts w:cs="宋体"/>
              </w:rPr>
            </w:pPr>
          </w:p>
        </w:tc>
      </w:tr>
    </w:tbl>
    <w:p w:rsidR="00177470" w:rsidRDefault="00177470" w:rsidP="00177470">
      <w:pPr>
        <w:spacing w:before="120" w:after="120" w:line="260" w:lineRule="auto"/>
        <w:rPr>
          <w:rFonts w:cs="宋体"/>
        </w:rPr>
      </w:pPr>
      <w:r>
        <w:rPr>
          <w:rFonts w:cs="宋体"/>
        </w:rPr>
        <w:lastRenderedPageBreak/>
        <w:t>In SL-U, interleaving resource allocation is an important feature,</w:t>
      </w:r>
      <w:r>
        <w:rPr>
          <w:rFonts w:cs="宋体" w:hint="eastAsia"/>
        </w:rPr>
        <w:t xml:space="preserve"> </w:t>
      </w:r>
      <w:r>
        <w:rPr>
          <w:rFonts w:cs="宋体"/>
        </w:rPr>
        <w:t>and the IBE of interleaving resource allocation is obviously different from that of centralized resource allocation. Therefore, it is suggest that at least interleaving resource allocation should be considered in SL-U evaluation.</w:t>
      </w:r>
    </w:p>
    <w:p w:rsidR="00177470" w:rsidRDefault="00177470" w:rsidP="00177470">
      <w:pPr>
        <w:pStyle w:val="ZTE-Proposal-20210505"/>
        <w:numPr>
          <w:ilvl w:val="0"/>
          <w:numId w:val="10"/>
        </w:numPr>
        <w:ind w:left="1132" w:hanging="1132"/>
      </w:pPr>
      <w:bookmarkStart w:id="129" w:name="_Toc115337779"/>
      <w:bookmarkStart w:id="130" w:name="_Toc115339327"/>
      <w:bookmarkStart w:id="131" w:name="_Toc115338316"/>
      <w:bookmarkStart w:id="132" w:name="_Toc32199"/>
      <w:bookmarkStart w:id="133" w:name="_Toc14848"/>
      <w:bookmarkStart w:id="134" w:name="_Toc5296"/>
      <w:bookmarkStart w:id="135" w:name="_Toc31729"/>
      <w:bookmarkStart w:id="136" w:name="_Toc24884"/>
      <w:bookmarkStart w:id="137" w:name="_Toc19006"/>
      <w:bookmarkStart w:id="138" w:name="_Toc115341140"/>
      <w:r>
        <w:rPr>
          <w:rFonts w:hint="eastAsia"/>
        </w:rPr>
        <w:t>In SL-U evaluation, the following assumptions are added to the simulation parameters of deployment scenarios :</w:t>
      </w:r>
      <w:bookmarkEnd w:id="129"/>
      <w:bookmarkEnd w:id="130"/>
      <w:bookmarkEnd w:id="131"/>
      <w:bookmarkEnd w:id="132"/>
      <w:bookmarkEnd w:id="133"/>
      <w:bookmarkEnd w:id="134"/>
      <w:bookmarkEnd w:id="135"/>
      <w:bookmarkEnd w:id="136"/>
      <w:bookmarkEnd w:id="137"/>
      <w:bookmarkEnd w:id="138"/>
    </w:p>
    <w:p w:rsidR="00177470" w:rsidRDefault="00177470" w:rsidP="00177470">
      <w:pPr>
        <w:pStyle w:val="sub-proposal"/>
      </w:pPr>
      <w:bookmarkStart w:id="139" w:name="_Toc6694"/>
      <w:bookmarkStart w:id="140" w:name="_Toc115338317"/>
      <w:bookmarkStart w:id="141" w:name="_Toc1612"/>
      <w:bookmarkStart w:id="142" w:name="_Toc8731"/>
      <w:bookmarkStart w:id="143" w:name="_Toc115339328"/>
      <w:bookmarkStart w:id="144" w:name="_Toc11563"/>
      <w:bookmarkStart w:id="145" w:name="_Toc2070"/>
      <w:bookmarkStart w:id="146" w:name="_Toc115341141"/>
      <w:bookmarkStart w:id="147" w:name="_Toc12641"/>
      <w:r>
        <w:rPr>
          <w:rFonts w:hint="eastAsia"/>
        </w:rPr>
        <w:t>Interleaving resource allocation is used as the baseline simulation assumption.</w:t>
      </w:r>
      <w:bookmarkEnd w:id="139"/>
      <w:bookmarkEnd w:id="140"/>
      <w:bookmarkEnd w:id="141"/>
      <w:bookmarkEnd w:id="142"/>
      <w:bookmarkEnd w:id="143"/>
      <w:bookmarkEnd w:id="144"/>
      <w:bookmarkEnd w:id="145"/>
      <w:bookmarkEnd w:id="146"/>
      <w:bookmarkEnd w:id="147"/>
    </w:p>
    <w:p w:rsidR="00177470" w:rsidRDefault="00177470" w:rsidP="00177470">
      <w:pPr>
        <w:pStyle w:val="sub-proposal"/>
      </w:pPr>
      <w:bookmarkStart w:id="148" w:name="_Toc16787"/>
      <w:bookmarkStart w:id="149" w:name="_Toc25525"/>
      <w:bookmarkStart w:id="150" w:name="_Toc14212"/>
      <w:bookmarkStart w:id="151" w:name="_Toc18929"/>
      <w:bookmarkStart w:id="152" w:name="_Toc21062"/>
      <w:bookmarkStart w:id="153" w:name="_Toc115341142"/>
      <w:bookmarkStart w:id="154" w:name="_Toc115339329"/>
      <w:bookmarkStart w:id="155" w:name="_Toc16875"/>
      <w:bookmarkStart w:id="156" w:name="_Toc115338318"/>
      <w:r>
        <w:rPr>
          <w:rFonts w:hint="eastAsia"/>
        </w:rPr>
        <w:t>Non interleaving resource allocation is optional for SL-U evaluation.</w:t>
      </w:r>
      <w:bookmarkEnd w:id="148"/>
      <w:bookmarkEnd w:id="149"/>
      <w:bookmarkEnd w:id="150"/>
      <w:bookmarkEnd w:id="151"/>
      <w:bookmarkEnd w:id="152"/>
      <w:bookmarkEnd w:id="153"/>
      <w:bookmarkEnd w:id="154"/>
      <w:bookmarkEnd w:id="155"/>
      <w:bookmarkEnd w:id="156"/>
    </w:p>
    <w:p w:rsidR="00177470" w:rsidRDefault="00177470" w:rsidP="00177470">
      <w:pPr>
        <w:pStyle w:val="YJ--"/>
        <w:spacing w:before="120" w:after="120" w:line="276" w:lineRule="auto"/>
        <w:ind w:firstLineChars="0" w:firstLine="0"/>
      </w:pPr>
      <w:r>
        <w:rPr>
          <w:rFonts w:hint="eastAsia"/>
        </w:rPr>
        <w:t xml:space="preserve">According to the </w:t>
      </w:r>
      <w:r w:rsidR="0033283F">
        <w:rPr>
          <w:rFonts w:eastAsiaTheme="minorEastAsia" w:hint="eastAsia"/>
        </w:rPr>
        <w:t>RAN1</w:t>
      </w:r>
      <w:r w:rsidR="0054405D">
        <w:rPr>
          <w:rFonts w:eastAsiaTheme="minorEastAsia" w:hint="eastAsia"/>
        </w:rPr>
        <w:t>#</w:t>
      </w:r>
      <w:r>
        <w:rPr>
          <w:rFonts w:hint="eastAsia"/>
        </w:rPr>
        <w:t>110 meeting, NR InH Mixed Office channel model is used for the SL-U evaluation. Note that the pathloss according to the InH Mixed Office channel model will be less than zero, if UE-UE distance is very small, such as 0.001 m. To avoid this problem, it is sugge</w:t>
      </w:r>
      <w:r>
        <w:t>s</w:t>
      </w:r>
      <w:r>
        <w:rPr>
          <w:rFonts w:hint="eastAsia"/>
        </w:rPr>
        <w:t>ted that the final pa</w:t>
      </w:r>
      <w:r>
        <w:t>th-</w:t>
      </w:r>
      <w:r>
        <w:rPr>
          <w:rFonts w:hint="eastAsia"/>
        </w:rPr>
        <w:t>loss should be the maximum value of InH Mixed Office pathloss and zero value.</w:t>
      </w:r>
    </w:p>
    <w:p w:rsidR="00177470" w:rsidRDefault="00177470" w:rsidP="00177470">
      <w:pPr>
        <w:pStyle w:val="ZTE-Proposal-20210505"/>
        <w:numPr>
          <w:ilvl w:val="0"/>
          <w:numId w:val="10"/>
        </w:numPr>
        <w:ind w:left="1132" w:hanging="1132"/>
      </w:pPr>
      <w:bookmarkStart w:id="157" w:name="_Toc115341144"/>
      <w:bookmarkStart w:id="158" w:name="_Toc115338320"/>
      <w:bookmarkStart w:id="159" w:name="_Toc115339331"/>
      <w:bookmarkStart w:id="160" w:name="_Toc115337781"/>
      <w:r>
        <w:rPr>
          <w:rFonts w:hint="eastAsia"/>
        </w:rPr>
        <w:t>For SL-U evaluation, the final pa</w:t>
      </w:r>
      <w:r>
        <w:t>th</w:t>
      </w:r>
      <w:r>
        <w:rPr>
          <w:rFonts w:hint="eastAsia"/>
        </w:rPr>
        <w:t>loss should be the maximum value of InH Mixed Office pathloss and zero value.</w:t>
      </w:r>
      <w:bookmarkEnd w:id="157"/>
      <w:bookmarkEnd w:id="158"/>
      <w:bookmarkEnd w:id="159"/>
      <w:bookmarkEnd w:id="160"/>
    </w:p>
    <w:p w:rsidR="00177470" w:rsidRDefault="00177470" w:rsidP="00177470">
      <w:pPr>
        <w:pStyle w:val="YJ--"/>
        <w:spacing w:before="120" w:after="120" w:line="276" w:lineRule="auto"/>
        <w:ind w:firstLineChars="0" w:firstLine="0"/>
      </w:pPr>
      <w:r>
        <w:rPr>
          <w:rFonts w:hint="eastAsia"/>
        </w:rPr>
        <w:t>In TR 37.885, l</w:t>
      </w:r>
      <w:r>
        <w:t>atency requiremen</w:t>
      </w:r>
      <w:r>
        <w:rPr>
          <w:rFonts w:hint="eastAsia"/>
        </w:rPr>
        <w:t xml:space="preserve">t of </w:t>
      </w:r>
      <w:r>
        <w:t>periodic model 3</w:t>
      </w:r>
      <w:r>
        <w:rPr>
          <w:rFonts w:hint="eastAsia"/>
        </w:rPr>
        <w:t xml:space="preserve"> is defined as 30ms. Considering that the packet size of </w:t>
      </w:r>
      <w:r>
        <w:t>periodic model 3</w:t>
      </w:r>
      <w:r>
        <w:rPr>
          <w:rFonts w:hint="eastAsia"/>
        </w:rPr>
        <w:t xml:space="preserve"> is up to 60000 bytes, usually, the packets of the periodic model 3 need to be split into multiple TBs for sidelink transmissions. For example, a packet of </w:t>
      </w:r>
      <w:r>
        <w:t>periodic model 3</w:t>
      </w:r>
      <w:r>
        <w:rPr>
          <w:rFonts w:hint="eastAsia"/>
        </w:rPr>
        <w:t xml:space="preserve"> is split into more than ten TBs.</w:t>
      </w:r>
    </w:p>
    <w:p w:rsidR="00177470" w:rsidRDefault="00177470" w:rsidP="00177470">
      <w:pPr>
        <w:pStyle w:val="YJ--"/>
        <w:spacing w:before="120" w:after="120" w:line="276" w:lineRule="auto"/>
        <w:ind w:firstLineChars="0" w:firstLine="0"/>
      </w:pPr>
      <w:r>
        <w:rPr>
          <w:rFonts w:hint="eastAsia"/>
        </w:rPr>
        <w:lastRenderedPageBreak/>
        <w:t xml:space="preserve">In the case of lower transmission efficiency in the </w:t>
      </w:r>
      <w:r>
        <w:rPr>
          <w:rFonts w:eastAsia="宋体" w:hint="eastAsia"/>
        </w:rPr>
        <w:t xml:space="preserve">unlicensed </w:t>
      </w:r>
      <w:r>
        <w:rPr>
          <w:rFonts w:hint="eastAsia"/>
        </w:rPr>
        <w:t>spectrum, it is very challenging to successfully transmit such a large packet of periodic model 3 within 30ms. Considering that the l</w:t>
      </w:r>
      <w:r>
        <w:t>atency requirement</w:t>
      </w:r>
      <w:r>
        <w:rPr>
          <w:rFonts w:hint="eastAsia"/>
        </w:rPr>
        <w:t xml:space="preserve"> of periodic traffic model 2 is changed from 30ms in TR 37.885 to 50ms in TR 38.885, we can also consider changing the latency requirement of periodic model 3 from 30ms to 50ms. Therefore, 50ms latency requirement can be used to determine the PDB requirement.</w:t>
      </w:r>
    </w:p>
    <w:p w:rsidR="00177470" w:rsidRDefault="00177470" w:rsidP="00177470">
      <w:pPr>
        <w:pStyle w:val="ZTE-Proposal-20210505"/>
        <w:numPr>
          <w:ilvl w:val="0"/>
          <w:numId w:val="10"/>
        </w:numPr>
        <w:ind w:left="1132" w:hanging="1132"/>
      </w:pPr>
      <w:bookmarkStart w:id="161" w:name="_Toc115337782"/>
      <w:bookmarkStart w:id="162" w:name="_Toc115341145"/>
      <w:bookmarkStart w:id="163" w:name="_Toc115338321"/>
      <w:bookmarkStart w:id="164" w:name="_Toc115339332"/>
      <w:bookmarkStart w:id="165" w:name="_Toc27414"/>
      <w:r>
        <w:rPr>
          <w:rFonts w:hint="eastAsia"/>
        </w:rPr>
        <w:t>For R17 sidelink commercial traffic model with periodic model 3:</w:t>
      </w:r>
      <w:bookmarkEnd w:id="161"/>
      <w:bookmarkEnd w:id="162"/>
      <w:bookmarkEnd w:id="163"/>
      <w:bookmarkEnd w:id="164"/>
    </w:p>
    <w:p w:rsidR="00177470" w:rsidRDefault="00177470" w:rsidP="00177470">
      <w:pPr>
        <w:pStyle w:val="sub-proposal"/>
      </w:pPr>
      <w:bookmarkStart w:id="166" w:name="_Toc115339333"/>
      <w:bookmarkStart w:id="167" w:name="_Toc115341146"/>
      <w:bookmarkStart w:id="168" w:name="_Toc115338322"/>
      <w:r>
        <w:t>C</w:t>
      </w:r>
      <w:r>
        <w:rPr>
          <w:rFonts w:hint="eastAsia"/>
        </w:rPr>
        <w:t>hange the latency requirement from 30ms to 50ms</w:t>
      </w:r>
      <w:bookmarkEnd w:id="166"/>
      <w:bookmarkEnd w:id="167"/>
      <w:bookmarkEnd w:id="168"/>
    </w:p>
    <w:p w:rsidR="00177470" w:rsidRDefault="00177470" w:rsidP="00177470">
      <w:pPr>
        <w:pStyle w:val="sub-proposal"/>
      </w:pPr>
      <w:bookmarkStart w:id="169" w:name="_Toc115338323"/>
      <w:bookmarkStart w:id="170" w:name="_Toc115341147"/>
      <w:bookmarkStart w:id="171" w:name="_Toc115339334"/>
      <w:r>
        <w:rPr>
          <w:rFonts w:hint="eastAsia"/>
        </w:rPr>
        <w:t>50ms latency requirement can be used to determine the PDB requirement</w:t>
      </w:r>
      <w:bookmarkEnd w:id="165"/>
      <w:bookmarkEnd w:id="169"/>
      <w:bookmarkEnd w:id="170"/>
      <w:bookmarkEnd w:id="171"/>
    </w:p>
    <w:p w:rsidR="00177470" w:rsidRDefault="00177470" w:rsidP="00177470">
      <w:pPr>
        <w:pStyle w:val="YJ--"/>
        <w:spacing w:before="120" w:after="120" w:line="276" w:lineRule="auto"/>
        <w:ind w:firstLineChars="0" w:firstLine="0"/>
      </w:pPr>
      <w:r>
        <w:rPr>
          <w:rFonts w:hint="eastAsia"/>
        </w:rPr>
        <w:t xml:space="preserve">According to the RAN1 # 110 meeting, the performance metric of groupcast and broadcast need to be further discussed, including </w:t>
      </w:r>
      <w:r>
        <w:t>UPT, latency, and PRR</w:t>
      </w:r>
      <w:r>
        <w:rPr>
          <w:rFonts w:hint="eastAsia"/>
        </w:rPr>
        <w:t>, etc.</w:t>
      </w:r>
    </w:p>
    <w:p w:rsidR="00177470" w:rsidRDefault="00177470" w:rsidP="00177470">
      <w:pPr>
        <w:pStyle w:val="YJ--"/>
        <w:spacing w:before="120" w:after="120" w:line="276" w:lineRule="auto"/>
        <w:ind w:firstLineChars="0" w:firstLine="0"/>
      </w:pPr>
      <w:r>
        <w:rPr>
          <w:rFonts w:hint="eastAsia"/>
        </w:rPr>
        <w:t>For PRR of groupcast and broadcast, it is suggested to reuse the PRR type 1/2 statistics defined in TR 37.885. More specifically, for one TX packet, the PRR is calculated by X/Y, where Y is the number of UEs that located in the range (a, b) from the TX UE. The range (a, b) can be selected by each company and reported in the simulation assumptions.</w:t>
      </w:r>
    </w:p>
    <w:p w:rsidR="00177470" w:rsidRDefault="00177470" w:rsidP="00177470">
      <w:pPr>
        <w:pStyle w:val="YJ--"/>
        <w:spacing w:before="120" w:after="120" w:line="276" w:lineRule="auto"/>
        <w:ind w:firstLineChars="0" w:firstLine="0"/>
      </w:pPr>
      <w:r>
        <w:rPr>
          <w:rFonts w:hint="eastAsia"/>
        </w:rPr>
        <w:t>As for UPT of groupcast and broadcast, UPT can be define from the perspective of TX UE or RX UE. If UPT is defined from the perspective of a TX UE, and then the sum of data received successfully at the side of RX UEs can be used to calculate the user throughput. Otherwise, UPT is determined for each RX UE, that is, UPT is determined at per-link level. In the above two options, we prefer the second option. In addition, it is also suggested to calculate the latenc</w:t>
      </w:r>
      <w:r>
        <w:t>y</w:t>
      </w:r>
      <w:r>
        <w:rPr>
          <w:rFonts w:hint="eastAsia"/>
        </w:rPr>
        <w:t xml:space="preserve"> of groupcast and broadcast at the per-link level.</w:t>
      </w:r>
    </w:p>
    <w:p w:rsidR="00177470" w:rsidRDefault="00177470" w:rsidP="00177470">
      <w:pPr>
        <w:pStyle w:val="YJ--"/>
        <w:spacing w:before="120" w:after="120" w:line="276" w:lineRule="auto"/>
        <w:ind w:firstLineChars="0" w:firstLine="0"/>
      </w:pPr>
      <w:r>
        <w:rPr>
          <w:rFonts w:hint="eastAsia"/>
        </w:rPr>
        <w:t>In addition, for the statistics of both UPT and latency for broadcast, it suggested that the statistics of them should be carried out within a certain distance range, which can be determined and reported by each company.</w:t>
      </w:r>
    </w:p>
    <w:p w:rsidR="00177470" w:rsidRDefault="00177470" w:rsidP="00177470">
      <w:pPr>
        <w:pStyle w:val="ZTE-Proposal-20210505"/>
        <w:numPr>
          <w:ilvl w:val="0"/>
          <w:numId w:val="10"/>
        </w:numPr>
        <w:ind w:left="1132" w:hanging="1132"/>
      </w:pPr>
      <w:bookmarkStart w:id="172" w:name="_Toc115338324"/>
      <w:bookmarkStart w:id="173" w:name="_Toc115341148"/>
      <w:bookmarkStart w:id="174" w:name="_Toc115339335"/>
      <w:bookmarkStart w:id="175" w:name="_Toc115337783"/>
      <w:r>
        <w:rPr>
          <w:rFonts w:hint="eastAsia"/>
        </w:rPr>
        <w:t>For groupcast and broadcast,</w:t>
      </w:r>
      <w:r>
        <w:t xml:space="preserve"> </w:t>
      </w:r>
      <w:r>
        <w:rPr>
          <w:rFonts w:hint="eastAsia"/>
        </w:rPr>
        <w:t xml:space="preserve">both UPT and </w:t>
      </w:r>
      <w:r>
        <w:t xml:space="preserve">latency </w:t>
      </w:r>
      <w:r>
        <w:rPr>
          <w:rFonts w:hint="eastAsia"/>
        </w:rPr>
        <w:t>are calculate</w:t>
      </w:r>
      <w:r>
        <w:t>d</w:t>
      </w:r>
      <w:r>
        <w:rPr>
          <w:rFonts w:hint="eastAsia"/>
        </w:rPr>
        <w:t xml:space="preserve"> at the per-link level.</w:t>
      </w:r>
      <w:bookmarkEnd w:id="172"/>
      <w:bookmarkEnd w:id="173"/>
      <w:bookmarkEnd w:id="174"/>
      <w:bookmarkEnd w:id="175"/>
    </w:p>
    <w:p w:rsidR="00177470" w:rsidRDefault="00177470" w:rsidP="00177470">
      <w:pPr>
        <w:pStyle w:val="ZTE-Proposal-20210505"/>
        <w:numPr>
          <w:ilvl w:val="0"/>
          <w:numId w:val="10"/>
        </w:numPr>
        <w:ind w:left="1132" w:hanging="1132"/>
        <w:jc w:val="both"/>
      </w:pPr>
      <w:bookmarkStart w:id="176" w:name="_Toc115337784"/>
      <w:bookmarkStart w:id="177" w:name="_Toc115338325"/>
      <w:bookmarkStart w:id="178" w:name="_Toc115341149"/>
      <w:bookmarkStart w:id="179" w:name="_Toc115339336"/>
      <w:r>
        <w:rPr>
          <w:rFonts w:hint="eastAsia"/>
        </w:rPr>
        <w:t>For the UPT/latency of broadcast,</w:t>
      </w:r>
      <w:r>
        <w:t xml:space="preserve"> </w:t>
      </w:r>
      <w:r>
        <w:rPr>
          <w:rFonts w:hint="eastAsia"/>
        </w:rPr>
        <w:t>statistics of them should be carried out within a certain distance range.</w:t>
      </w:r>
      <w:bookmarkEnd w:id="176"/>
      <w:bookmarkEnd w:id="177"/>
      <w:bookmarkEnd w:id="178"/>
      <w:bookmarkEnd w:id="179"/>
    </w:p>
    <w:p w:rsidR="00177470" w:rsidRDefault="00177470" w:rsidP="00177470">
      <w:pPr>
        <w:pStyle w:val="ZTE-Proposal-20210505"/>
        <w:numPr>
          <w:ilvl w:val="0"/>
          <w:numId w:val="10"/>
        </w:numPr>
        <w:ind w:left="1132" w:hanging="1132"/>
        <w:jc w:val="both"/>
      </w:pPr>
      <w:bookmarkStart w:id="180" w:name="_Toc115338326"/>
      <w:bookmarkStart w:id="181" w:name="_Toc115339337"/>
      <w:bookmarkStart w:id="182" w:name="_Toc115337785"/>
      <w:bookmarkStart w:id="183" w:name="_Toc115341150"/>
      <w:bookmarkStart w:id="184" w:name="_Toc27712"/>
      <w:r>
        <w:rPr>
          <w:rFonts w:hint="eastAsia"/>
        </w:rPr>
        <w:t>F</w:t>
      </w:r>
      <w:r>
        <w:t xml:space="preserve">or the </w:t>
      </w:r>
      <w:r>
        <w:rPr>
          <w:rFonts w:hint="eastAsia"/>
        </w:rPr>
        <w:t>PRR of</w:t>
      </w:r>
      <w:r>
        <w:t xml:space="preserve"> groupcast and broadcast, </w:t>
      </w:r>
      <w:r>
        <w:rPr>
          <w:rFonts w:hint="eastAsia"/>
        </w:rPr>
        <w:t>it is suggested to reuse the PRR type 1/2 statistics defined in TR 37.885, and the range (a, b) can be selected and reported by each company.</w:t>
      </w:r>
      <w:bookmarkEnd w:id="180"/>
      <w:bookmarkEnd w:id="181"/>
      <w:bookmarkEnd w:id="182"/>
      <w:bookmarkEnd w:id="183"/>
    </w:p>
    <w:bookmarkEnd w:id="184"/>
    <w:p w:rsidR="00177470" w:rsidRDefault="00177470" w:rsidP="00177470">
      <w:pPr>
        <w:pStyle w:val="1"/>
        <w:numPr>
          <w:ilvl w:val="0"/>
          <w:numId w:val="8"/>
        </w:numPr>
        <w:spacing w:before="120" w:afterLines="0"/>
        <w:ind w:left="0"/>
        <w:rPr>
          <w:rFonts w:eastAsia="宋体"/>
        </w:rPr>
      </w:pPr>
      <w:r>
        <w:rPr>
          <w:rFonts w:eastAsia="宋体"/>
        </w:rPr>
        <w:t>Conclusion</w:t>
      </w:r>
    </w:p>
    <w:p w:rsidR="00177470" w:rsidRDefault="00177470" w:rsidP="00177470">
      <w:pPr>
        <w:spacing w:before="120" w:after="120" w:line="259" w:lineRule="auto"/>
      </w:pPr>
      <w:r>
        <w:rPr>
          <w:rFonts w:hint="eastAsia"/>
        </w:rPr>
        <w:t>In this contribution, the c</w:t>
      </w:r>
      <w:r>
        <w:rPr>
          <w:lang w:eastAsia="ko-KR"/>
        </w:rPr>
        <w:t>hannel access mechanisms</w:t>
      </w:r>
      <w:r>
        <w:rPr>
          <w:rFonts w:hint="eastAsia"/>
        </w:rPr>
        <w:t xml:space="preserve"> related topics are discussed. Based on the discussion, we have the following proposals:</w:t>
      </w:r>
    </w:p>
    <w:p w:rsidR="00177470" w:rsidRDefault="00D938B1" w:rsidP="00177470">
      <w:pPr>
        <w:pStyle w:val="ZTE-C-proposal"/>
      </w:pPr>
      <w:r>
        <w:fldChar w:fldCharType="begin"/>
      </w:r>
      <w:r w:rsidR="00177470">
        <w:instrText xml:space="preserve"> TOC \n \t "!ZTE-Proposal-2021 + 段前: 0.5 行 段后: 0.5 行,1,sub-proposal,2,3rd level proposal,3" </w:instrText>
      </w:r>
      <w:r>
        <w:fldChar w:fldCharType="separate"/>
      </w:r>
      <w:r w:rsidR="00177470">
        <w:t xml:space="preserve">Proposal </w:t>
      </w:r>
      <w:r w:rsidR="00177470">
        <w:rPr>
          <w:bCs/>
          <w:iCs/>
        </w:rPr>
        <w:t xml:space="preserve">1: </w:t>
      </w:r>
      <w:r w:rsidR="00177470">
        <w:rPr>
          <w:rFonts w:hint="eastAsia"/>
        </w:rPr>
        <w:t xml:space="preserve">For the initial channel access mechanism, a UE can initiate a COT by Type 1 </w:t>
      </w:r>
      <w:r w:rsidR="00177470">
        <w:t>LBT</w:t>
      </w:r>
      <w:r w:rsidR="00177470">
        <w:rPr>
          <w:rFonts w:hint="eastAsia"/>
        </w:rPr>
        <w:t xml:space="preserve"> procedure for PSCCH/PSSCH/PSFCH transmissions.</w:t>
      </w:r>
    </w:p>
    <w:p w:rsidR="00177470" w:rsidRDefault="00177470" w:rsidP="00177470">
      <w:pPr>
        <w:pStyle w:val="ZTE-C-proposal"/>
      </w:pPr>
      <w:r>
        <w:t xml:space="preserve">Proposal </w:t>
      </w:r>
      <w:r>
        <w:rPr>
          <w:bCs/>
          <w:iCs/>
        </w:rPr>
        <w:t xml:space="preserve">2: </w:t>
      </w:r>
      <w:r>
        <w:rPr>
          <w:rFonts w:hint="eastAsia"/>
        </w:rPr>
        <w:t>In order to improve the reliability of PSFCH transmissions in SL-U, it is suggested to support multiple PSFCH transmission opportunities associated with one PSSCH.</w:t>
      </w:r>
    </w:p>
    <w:p w:rsidR="00177470" w:rsidRDefault="00177470" w:rsidP="00177470">
      <w:pPr>
        <w:pStyle w:val="ZTE-C-subProposal"/>
      </w:pPr>
      <w:r>
        <w:rPr>
          <w:rFonts w:ascii="Arial" w:hAnsi="Arial" w:cs="Arial"/>
        </w:rPr>
        <w:t xml:space="preserve">• </w:t>
      </w:r>
      <w:r>
        <w:rPr>
          <w:rFonts w:hint="eastAsia"/>
        </w:rPr>
        <w:t>FFS whether the same or different channel access mechanism should be used for these PSFCH transmission opportunities.</w:t>
      </w:r>
    </w:p>
    <w:p w:rsidR="00177470" w:rsidRDefault="00177470" w:rsidP="00177470">
      <w:pPr>
        <w:pStyle w:val="ZTE-C-proposal"/>
      </w:pPr>
      <w:r>
        <w:t xml:space="preserve">Proposal </w:t>
      </w:r>
      <w:r>
        <w:rPr>
          <w:bCs/>
          <w:iCs/>
        </w:rPr>
        <w:t xml:space="preserve">3: </w:t>
      </w:r>
      <w:r>
        <w:rPr>
          <w:rFonts w:hint="eastAsia"/>
        </w:rPr>
        <w:t>For the channel access mechanism of S-SSB transmission within a shared COT：</w:t>
      </w:r>
    </w:p>
    <w:p w:rsidR="00177470" w:rsidRDefault="00177470" w:rsidP="00177470">
      <w:pPr>
        <w:pStyle w:val="ZTE-C-subProposal"/>
      </w:pPr>
      <w:r>
        <w:rPr>
          <w:rFonts w:ascii="Arial" w:hAnsi="Arial" w:cs="Arial"/>
        </w:rPr>
        <w:t xml:space="preserve">• </w:t>
      </w:r>
      <w:r>
        <w:rPr>
          <w:rFonts w:hint="eastAsia"/>
        </w:rPr>
        <w:t>Type 2A/2B channel access mechanism is supported, which one to be used depends on gap length in SL-U</w:t>
      </w:r>
    </w:p>
    <w:p w:rsidR="00177470" w:rsidRDefault="00177470" w:rsidP="00177470">
      <w:pPr>
        <w:pStyle w:val="ZTE-C-subProposal"/>
      </w:pPr>
      <w:r>
        <w:rPr>
          <w:rFonts w:ascii="Arial" w:hAnsi="Arial" w:cs="Arial"/>
        </w:rPr>
        <w:t xml:space="preserve">• </w:t>
      </w:r>
      <w:r>
        <w:rPr>
          <w:rFonts w:hint="eastAsia"/>
        </w:rPr>
        <w:t>When the duration of S-SSB transmission is greater than 584 us, type 2C LBT procedure is not allowed for COT sharing.</w:t>
      </w:r>
    </w:p>
    <w:p w:rsidR="00177470" w:rsidRDefault="00177470" w:rsidP="00177470">
      <w:pPr>
        <w:pStyle w:val="ZTE-C-proposal"/>
      </w:pPr>
      <w:r>
        <w:t xml:space="preserve">Proposal </w:t>
      </w:r>
      <w:r>
        <w:rPr>
          <w:bCs/>
          <w:iCs/>
        </w:rPr>
        <w:t xml:space="preserve">4: </w:t>
      </w:r>
      <w:r>
        <w:rPr>
          <w:rFonts w:hint="eastAsia"/>
        </w:rPr>
        <w:t>For the channel access mechanism of PSFCH transmission during the shared COT：</w:t>
      </w:r>
    </w:p>
    <w:p w:rsidR="00177470" w:rsidRDefault="00177470" w:rsidP="00177470">
      <w:pPr>
        <w:pStyle w:val="ZTE-C-subProposal"/>
      </w:pPr>
      <w:r>
        <w:rPr>
          <w:rFonts w:ascii="Arial" w:hAnsi="Arial" w:cs="Arial"/>
        </w:rPr>
        <w:t xml:space="preserve">• </w:t>
      </w:r>
      <w:r>
        <w:rPr>
          <w:rFonts w:hint="eastAsia"/>
        </w:rPr>
        <w:t>Type 2A/2B/2C channel access procedure is supported, which one to be used depends on gap length between a PSFCH and a precedent SL transmission such as PSCCH/PSSCH.</w:t>
      </w:r>
    </w:p>
    <w:p w:rsidR="00177470" w:rsidRDefault="00177470" w:rsidP="00177470">
      <w:pPr>
        <w:pStyle w:val="ZTE-C-proposal"/>
      </w:pPr>
      <w:r>
        <w:lastRenderedPageBreak/>
        <w:t xml:space="preserve">Proposal </w:t>
      </w:r>
      <w:r>
        <w:rPr>
          <w:bCs/>
          <w:iCs/>
        </w:rPr>
        <w:t xml:space="preserve">5: </w:t>
      </w:r>
      <w:r>
        <w:rPr>
          <w:rFonts w:hint="eastAsia"/>
        </w:rPr>
        <w:t>For the channel access mechanism of PSCCH/PSSCH transmission within the shared COT：</w:t>
      </w:r>
    </w:p>
    <w:p w:rsidR="00177470" w:rsidRDefault="00177470" w:rsidP="00177470">
      <w:pPr>
        <w:pStyle w:val="ZTE-C-subProposal"/>
      </w:pPr>
      <w:r>
        <w:rPr>
          <w:rFonts w:ascii="Arial" w:hAnsi="Arial" w:cs="Arial"/>
        </w:rPr>
        <w:t xml:space="preserve">• </w:t>
      </w:r>
      <w:r>
        <w:rPr>
          <w:rFonts w:hint="eastAsia"/>
        </w:rPr>
        <w:t>When the duration of PSCCH/PSSCH transmission is greater than 584 us, Type 2C channel access is not allowed for transmission within a shared COT.</w:t>
      </w:r>
    </w:p>
    <w:p w:rsidR="00177470" w:rsidRDefault="00177470" w:rsidP="00177470">
      <w:pPr>
        <w:pStyle w:val="ZTE-C-subProposal"/>
      </w:pPr>
      <w:r>
        <w:rPr>
          <w:rFonts w:ascii="Arial" w:hAnsi="Arial" w:cs="Arial"/>
        </w:rPr>
        <w:t xml:space="preserve">• </w:t>
      </w:r>
      <w:r>
        <w:rPr>
          <w:rFonts w:hint="eastAsia"/>
        </w:rPr>
        <w:t>Type 2A/2B channel access procedure is supported, which one to be used depends on gap length between the PSCCH/PSSCH and its preceding SL transmission.</w:t>
      </w:r>
    </w:p>
    <w:p w:rsidR="00177470" w:rsidRDefault="00177470" w:rsidP="00177470">
      <w:pPr>
        <w:pStyle w:val="ZTE-C-proposal"/>
      </w:pPr>
      <w:r>
        <w:t xml:space="preserve">Proposal </w:t>
      </w:r>
      <w:r>
        <w:rPr>
          <w:bCs/>
          <w:iCs/>
        </w:rPr>
        <w:t xml:space="preserve">6: </w:t>
      </w:r>
      <w:r>
        <w:t>I</w:t>
      </w:r>
      <w:r>
        <w:rPr>
          <w:rFonts w:hint="eastAsia"/>
        </w:rPr>
        <w:t>n case of a gap of 16us</w:t>
      </w:r>
      <w:r>
        <w:t>，</w:t>
      </w:r>
      <w:r>
        <w:rPr>
          <w:rFonts w:hint="eastAsia"/>
        </w:rPr>
        <w:t xml:space="preserve">it is up to UE implementation </w:t>
      </w:r>
      <w:r>
        <w:t xml:space="preserve">to use </w:t>
      </w:r>
      <w:r>
        <w:rPr>
          <w:rFonts w:hint="eastAsia"/>
        </w:rPr>
        <w:t xml:space="preserve">either </w:t>
      </w:r>
      <w:r>
        <w:t xml:space="preserve">Type 2B or Type 2C in a shared </w:t>
      </w:r>
      <w:r>
        <w:rPr>
          <w:rFonts w:hint="eastAsia"/>
        </w:rPr>
        <w:t>COT</w:t>
      </w:r>
      <w:r>
        <w:t>.</w:t>
      </w:r>
    </w:p>
    <w:p w:rsidR="00177470" w:rsidRDefault="00177470" w:rsidP="00177470">
      <w:pPr>
        <w:pStyle w:val="ZTE-C-proposal"/>
      </w:pPr>
      <w:r>
        <w:t xml:space="preserve">Proposal </w:t>
      </w:r>
      <w:r>
        <w:rPr>
          <w:bCs/>
          <w:iCs/>
        </w:rPr>
        <w:t xml:space="preserve">7: </w:t>
      </w:r>
      <w:r>
        <w:rPr>
          <w:rFonts w:hint="eastAsia"/>
        </w:rPr>
        <w:t xml:space="preserve">A UE is supported to initiate </w:t>
      </w:r>
      <w:r>
        <w:t>one</w:t>
      </w:r>
      <w:r>
        <w:rPr>
          <w:rFonts w:hint="eastAsia"/>
        </w:rPr>
        <w:t xml:space="preserve"> S-SSB transmission by Type 2A LBT procedure as short control signaling.</w:t>
      </w:r>
    </w:p>
    <w:p w:rsidR="00177470" w:rsidRDefault="00177470" w:rsidP="00177470">
      <w:pPr>
        <w:pStyle w:val="ZTE-C-proposal"/>
      </w:pPr>
      <w:r>
        <w:t xml:space="preserve">Proposal </w:t>
      </w:r>
      <w:r>
        <w:rPr>
          <w:bCs/>
          <w:iCs/>
        </w:rPr>
        <w:t xml:space="preserve">8: </w:t>
      </w:r>
      <w:r>
        <w:rPr>
          <w:rFonts w:hint="eastAsia"/>
        </w:rPr>
        <w:t>For the initial channel access mechanism of PSFCH transmissions, one of the following is supported:</w:t>
      </w:r>
    </w:p>
    <w:p w:rsidR="00177470" w:rsidRDefault="00177470" w:rsidP="00177470">
      <w:pPr>
        <w:pStyle w:val="ZTE-C-subProposal"/>
      </w:pPr>
      <w:r>
        <w:rPr>
          <w:rFonts w:ascii="Arial" w:hAnsi="Arial" w:cs="Arial"/>
        </w:rPr>
        <w:t xml:space="preserve">• </w:t>
      </w:r>
      <w:r>
        <w:t>S</w:t>
      </w:r>
      <w:r>
        <w:rPr>
          <w:rFonts w:hint="eastAsia"/>
        </w:rPr>
        <w:t>hort control signaling transmission for PSFCH is not supported</w:t>
      </w:r>
    </w:p>
    <w:p w:rsidR="00177470" w:rsidRDefault="00177470" w:rsidP="00177470">
      <w:pPr>
        <w:pStyle w:val="ZTE-C-subProposal"/>
      </w:pPr>
      <w:r>
        <w:rPr>
          <w:rFonts w:ascii="Arial" w:hAnsi="Arial" w:cs="Arial"/>
        </w:rPr>
        <w:t xml:space="preserve">• </w:t>
      </w:r>
      <w:r>
        <w:rPr>
          <w:rFonts w:hint="eastAsia"/>
        </w:rPr>
        <w:t>Short control signaling mechanism can be used for only part of PSFCH occasions</w:t>
      </w:r>
    </w:p>
    <w:p w:rsidR="00177470" w:rsidRDefault="00177470" w:rsidP="00177470">
      <w:pPr>
        <w:pStyle w:val="ZTE-C-proposal"/>
      </w:pPr>
      <w:r>
        <w:t xml:space="preserve">Proposal </w:t>
      </w:r>
      <w:r>
        <w:rPr>
          <w:bCs/>
          <w:iCs/>
        </w:rPr>
        <w:t xml:space="preserve">9: </w:t>
      </w:r>
      <w:r>
        <w:rPr>
          <w:rFonts w:hint="eastAsia"/>
        </w:rPr>
        <w:t>The CAPC parameter for UL in NR-U are reused for SL-U.</w:t>
      </w:r>
    </w:p>
    <w:p w:rsidR="00177470" w:rsidRDefault="00177470" w:rsidP="00177470">
      <w:pPr>
        <w:pStyle w:val="ZTE-C-proposal"/>
      </w:pPr>
      <w:r>
        <w:rPr>
          <w:bCs/>
          <w:iCs/>
        </w:rPr>
        <w:t xml:space="preserve">Proposal 10: </w:t>
      </w:r>
      <w:r>
        <w:rPr>
          <w:rFonts w:hint="eastAsia"/>
        </w:rPr>
        <w:t>For CW adjustment of groupcast type 1, common ACK feedback should be introduced on top of common NACK.</w:t>
      </w:r>
    </w:p>
    <w:p w:rsidR="00177470" w:rsidRDefault="00177470" w:rsidP="00177470">
      <w:pPr>
        <w:pStyle w:val="ZTE-C-proposal"/>
      </w:pPr>
      <w:r>
        <w:t xml:space="preserve">Proposal </w:t>
      </w:r>
      <w:r>
        <w:rPr>
          <w:bCs/>
          <w:iCs/>
        </w:rPr>
        <w:t xml:space="preserve">11: </w:t>
      </w:r>
      <w:r>
        <w:rPr>
          <w:rFonts w:hint="eastAsia"/>
        </w:rPr>
        <w:t>For groupcast type 2, it is suggested to adjust CW based on the ratio of ACK.</w:t>
      </w:r>
    </w:p>
    <w:p w:rsidR="00177470" w:rsidRDefault="00177470" w:rsidP="00177470">
      <w:pPr>
        <w:pStyle w:val="ZTE-C-proposal"/>
      </w:pPr>
      <w:r>
        <w:t xml:space="preserve">Proposal </w:t>
      </w:r>
      <w:r>
        <w:rPr>
          <w:bCs/>
          <w:iCs/>
        </w:rPr>
        <w:t xml:space="preserve">12: </w:t>
      </w:r>
      <w:r>
        <w:rPr>
          <w:rFonts w:hint="eastAsia"/>
          <w:szCs w:val="21"/>
        </w:rPr>
        <w:t xml:space="preserve">For SL transmission with CAPC p and </w:t>
      </w:r>
      <w:r>
        <w:rPr>
          <w:szCs w:val="21"/>
        </w:rPr>
        <w:t>SL-HARQ feedback</w:t>
      </w:r>
      <w:r>
        <w:rPr>
          <w:rFonts w:hint="eastAsia"/>
          <w:szCs w:val="21"/>
        </w:rPr>
        <w:t xml:space="preserve"> disabled in SCI, </w:t>
      </w:r>
      <w:r>
        <w:rPr>
          <w:rFonts w:eastAsia="Malgun Gothic"/>
          <w:lang w:eastAsia="ko-KR"/>
        </w:rPr>
        <w:t>the latest</w:t>
      </w:r>
      <w:r>
        <w:rPr>
          <w:rFonts w:eastAsia="宋体" w:hint="eastAsia"/>
        </w:rPr>
        <w:t xml:space="preserve"> </w:t>
      </w:r>
      <w:r>
        <w:t>CW</w:t>
      </w:r>
      <w:r>
        <w:rPr>
          <w:vertAlign w:val="subscript"/>
        </w:rPr>
        <w:t>p</w:t>
      </w:r>
      <w:r>
        <w:t xml:space="preserve"> used for </w:t>
      </w:r>
      <w:r>
        <w:rPr>
          <w:rFonts w:hint="eastAsia"/>
        </w:rPr>
        <w:t>any S</w:t>
      </w:r>
      <w:r>
        <w:t xml:space="preserve">L transmissions on the channel using Type 1 channel access procedures associated with the channel access priority class </w:t>
      </w:r>
      <w:r>
        <w:rPr>
          <w:rFonts w:hint="eastAsia"/>
        </w:rPr>
        <w:t>p is used</w:t>
      </w:r>
      <w:r>
        <w:t>.</w:t>
      </w:r>
    </w:p>
    <w:p w:rsidR="00177470" w:rsidRDefault="00177470" w:rsidP="00177470">
      <w:pPr>
        <w:pStyle w:val="ZTE-C-proposal"/>
      </w:pPr>
      <w:r>
        <w:t xml:space="preserve">Proposal </w:t>
      </w:r>
      <w:r>
        <w:rPr>
          <w:bCs/>
          <w:iCs/>
        </w:rPr>
        <w:t xml:space="preserve">13: </w:t>
      </w:r>
      <w:r>
        <w:rPr>
          <w:rFonts w:hint="eastAsia"/>
        </w:rPr>
        <w:t>For SL-U, at least the default maximum energy detection threshold is supported .</w:t>
      </w:r>
    </w:p>
    <w:p w:rsidR="00177470" w:rsidRDefault="00177470" w:rsidP="00177470">
      <w:pPr>
        <w:pStyle w:val="ZTE-C-proposal"/>
      </w:pPr>
      <w:r>
        <w:t xml:space="preserve">Proposal </w:t>
      </w:r>
      <w:r>
        <w:rPr>
          <w:bCs/>
          <w:iCs/>
        </w:rPr>
        <w:t xml:space="preserve">14: </w:t>
      </w:r>
      <w:r>
        <w:rPr>
          <w:rFonts w:hint="eastAsia"/>
        </w:rPr>
        <w:t>The DL or UL multi-channel access mechanism in NR-U should be used as a baseline for a PSCCH/PSSCH transmission.</w:t>
      </w:r>
    </w:p>
    <w:p w:rsidR="00177470" w:rsidRDefault="00177470" w:rsidP="00177470">
      <w:pPr>
        <w:pStyle w:val="ZTE-C-subProposal"/>
      </w:pPr>
      <w:r>
        <w:rPr>
          <w:rFonts w:ascii="Arial" w:hAnsi="Arial" w:cs="Arial"/>
        </w:rPr>
        <w:t xml:space="preserve">• </w:t>
      </w:r>
      <w:r>
        <w:rPr>
          <w:rFonts w:hint="eastAsia"/>
        </w:rPr>
        <w:t>FFS: The Multi-channel access mechanism for PSFCH</w:t>
      </w:r>
    </w:p>
    <w:p w:rsidR="00177470" w:rsidRDefault="00177470" w:rsidP="00177470">
      <w:pPr>
        <w:pStyle w:val="ZTE-C-proposal"/>
      </w:pPr>
      <w:r>
        <w:t xml:space="preserve">Proposal </w:t>
      </w:r>
      <w:r>
        <w:rPr>
          <w:bCs/>
          <w:iCs/>
        </w:rPr>
        <w:t xml:space="preserve">15: </w:t>
      </w:r>
      <w:r>
        <w:rPr>
          <w:rFonts w:hint="eastAsia"/>
        </w:rPr>
        <w:t>For the UE-UE COT sharing, at least the remaining COT duration should be indicated by an Initiating Device or the responding device.</w:t>
      </w:r>
    </w:p>
    <w:p w:rsidR="00177470" w:rsidRDefault="00177470" w:rsidP="00177470">
      <w:pPr>
        <w:pStyle w:val="ZTE-C-proposal"/>
      </w:pPr>
      <w:r>
        <w:t xml:space="preserve">Proposal </w:t>
      </w:r>
      <w:r>
        <w:rPr>
          <w:bCs/>
          <w:iCs/>
        </w:rPr>
        <w:t xml:space="preserve">16: </w:t>
      </w:r>
      <w:r>
        <w:rPr>
          <w:rFonts w:hint="eastAsia"/>
        </w:rPr>
        <w:t>At least for PSFCH transmission, UE-UE COT sharing is not restricted by the CAPC/destination ID.</w:t>
      </w:r>
    </w:p>
    <w:p w:rsidR="00177470" w:rsidRDefault="00177470" w:rsidP="00177470">
      <w:pPr>
        <w:pStyle w:val="ZTE-C-proposal"/>
      </w:pPr>
      <w:r>
        <w:t xml:space="preserve">Proposal </w:t>
      </w:r>
      <w:r>
        <w:rPr>
          <w:bCs/>
          <w:iCs/>
        </w:rPr>
        <w:t xml:space="preserve">17: </w:t>
      </w:r>
      <w:r>
        <w:rPr>
          <w:rFonts w:hint="eastAsia"/>
        </w:rPr>
        <w:t>I</w:t>
      </w:r>
      <w:r>
        <w:t xml:space="preserve">t is suggested to reuse R16 SL TRIV to indicate </w:t>
      </w:r>
      <w:r>
        <w:rPr>
          <w:rFonts w:hint="eastAsia"/>
        </w:rPr>
        <w:t>either</w:t>
      </w:r>
      <w:r>
        <w:t xml:space="preserve"> at least a set of multi-consecutive slots transmission </w:t>
      </w:r>
      <w:r>
        <w:rPr>
          <w:rFonts w:hint="eastAsia"/>
        </w:rPr>
        <w:t>or</w:t>
      </w:r>
      <w:r>
        <w:t xml:space="preserve"> multiple non-consecutive slots transmission.</w:t>
      </w:r>
    </w:p>
    <w:p w:rsidR="00177470" w:rsidRDefault="00177470" w:rsidP="00177470">
      <w:pPr>
        <w:pStyle w:val="ZTE-C-proposal"/>
      </w:pPr>
      <w:r>
        <w:t xml:space="preserve">Proposal </w:t>
      </w:r>
      <w:r>
        <w:rPr>
          <w:bCs/>
          <w:iCs/>
        </w:rPr>
        <w:t xml:space="preserve">18: </w:t>
      </w:r>
      <w:r>
        <w:rPr>
          <w:rFonts w:hint="eastAsia"/>
        </w:rPr>
        <w:t>At least 1~2 sets of consecutive slots can be indicated based on R16 NR SL TRIV.</w:t>
      </w:r>
    </w:p>
    <w:p w:rsidR="00177470" w:rsidRDefault="00177470" w:rsidP="00177470">
      <w:pPr>
        <w:pStyle w:val="ZTE-C-proposal"/>
      </w:pPr>
      <w:r>
        <w:t xml:space="preserve">Proposal </w:t>
      </w:r>
      <w:r>
        <w:rPr>
          <w:bCs/>
          <w:iCs/>
        </w:rPr>
        <w:t xml:space="preserve">19: </w:t>
      </w:r>
      <w:r>
        <w:rPr>
          <w:rFonts w:hint="eastAsia"/>
        </w:rPr>
        <w:t>Based on R16 NR SL TRIV, both the starting time and duration of a set of consecutive slots should be indicated .</w:t>
      </w:r>
    </w:p>
    <w:p w:rsidR="00177470" w:rsidRDefault="00177470" w:rsidP="00177470">
      <w:pPr>
        <w:pStyle w:val="ZTE-C-proposal"/>
      </w:pPr>
      <w:r>
        <w:t xml:space="preserve">Proposal </w:t>
      </w:r>
      <w:r>
        <w:rPr>
          <w:bCs/>
          <w:iCs/>
        </w:rPr>
        <w:t xml:space="preserve">20: </w:t>
      </w:r>
      <w:r>
        <w:rPr>
          <w:rFonts w:hint="eastAsia"/>
        </w:rPr>
        <w:t>For a set of consecutive slots indicated based on R16 NR SL TRIV, it can be used for transmissions of different TBs</w:t>
      </w:r>
    </w:p>
    <w:p w:rsidR="00177470" w:rsidRDefault="00177470" w:rsidP="00177470">
      <w:pPr>
        <w:pStyle w:val="ZTE-C-proposal"/>
      </w:pPr>
      <w:r>
        <w:t xml:space="preserve">Proposal </w:t>
      </w:r>
      <w:r>
        <w:rPr>
          <w:bCs/>
          <w:iCs/>
        </w:rPr>
        <w:t xml:space="preserve">21: </w:t>
      </w:r>
      <w:r>
        <w:rPr>
          <w:rFonts w:hint="eastAsia"/>
        </w:rPr>
        <w:t xml:space="preserve">The enhanced mode 2 resource allocation mechanism is introduced with </w:t>
      </w:r>
      <w:r>
        <w:t>supporting multiple selected resources in the same channel(s)</w:t>
      </w:r>
      <w:r>
        <w:rPr>
          <w:rFonts w:hint="eastAsia"/>
        </w:rPr>
        <w:t>.</w:t>
      </w:r>
    </w:p>
    <w:p w:rsidR="00177470" w:rsidRDefault="00177470" w:rsidP="00177470">
      <w:pPr>
        <w:pStyle w:val="ZTE-C-proposal"/>
      </w:pPr>
      <w:r>
        <w:t xml:space="preserve">Proposal </w:t>
      </w:r>
      <w:r>
        <w:rPr>
          <w:bCs/>
          <w:iCs/>
        </w:rPr>
        <w:t xml:space="preserve">22: </w:t>
      </w:r>
      <w:r>
        <w:rPr>
          <w:rFonts w:hint="eastAsia"/>
        </w:rPr>
        <w:t>For the enhanced mode 2 resource allocation mechanism, it should be guarante</w:t>
      </w:r>
      <w:r>
        <w:t>e</w:t>
      </w:r>
      <w:r>
        <w:rPr>
          <w:rFonts w:hint="eastAsia"/>
        </w:rPr>
        <w:t>d that</w:t>
      </w:r>
      <w:r>
        <w:t xml:space="preserve"> frequency resources of multi-consecutive slots transmission are in the same channel(s) by MAC layer or by sensing process of physical layer</w:t>
      </w:r>
      <w:r>
        <w:rPr>
          <w:rFonts w:hint="eastAsia"/>
        </w:rPr>
        <w:t>.</w:t>
      </w:r>
    </w:p>
    <w:p w:rsidR="00177470" w:rsidRDefault="00177470" w:rsidP="00177470">
      <w:pPr>
        <w:pStyle w:val="ZTE-C-proposal"/>
      </w:pPr>
      <w:r>
        <w:rPr>
          <w:bCs/>
          <w:iCs/>
        </w:rPr>
        <w:t xml:space="preserve">Proposal 23: </w:t>
      </w:r>
      <w:r>
        <w:rPr>
          <w:rFonts w:hint="eastAsia"/>
        </w:rPr>
        <w:t>In order to avoid the interruption due to PSFCH symbols, it is suggested that occupying signals may be transmitted on a PSFCH occasion within the continuous sidelink slots.</w:t>
      </w:r>
    </w:p>
    <w:p w:rsidR="00177470" w:rsidRDefault="00177470" w:rsidP="00177470">
      <w:pPr>
        <w:pStyle w:val="ZTE-C-proposal"/>
      </w:pPr>
      <w:r>
        <w:t xml:space="preserve">Proposal </w:t>
      </w:r>
      <w:r>
        <w:rPr>
          <w:bCs/>
          <w:iCs/>
        </w:rPr>
        <w:t xml:space="preserve">24: </w:t>
      </w:r>
      <w:r>
        <w:rPr>
          <w:rFonts w:hint="eastAsia"/>
        </w:rPr>
        <w:t>It is suggested that more resources can be selected/allocated for a TB in SL-U.</w:t>
      </w:r>
    </w:p>
    <w:p w:rsidR="00177470" w:rsidRDefault="00177470" w:rsidP="00177470">
      <w:pPr>
        <w:pStyle w:val="ZTE-C-proposal"/>
      </w:pPr>
      <w:r>
        <w:rPr>
          <w:bCs/>
          <w:iCs/>
        </w:rPr>
        <w:t xml:space="preserve">Proposal 25: </w:t>
      </w:r>
      <w:r>
        <w:rPr>
          <w:rFonts w:hint="eastAsia"/>
        </w:rPr>
        <w:t>With more resources allocated/selected for a TB, it is suggested that the same resource can be selected or allocated for multiple different UEs.</w:t>
      </w:r>
    </w:p>
    <w:p w:rsidR="00177470" w:rsidRDefault="00177470" w:rsidP="00177470">
      <w:pPr>
        <w:pStyle w:val="ZTE-C-subProposal"/>
      </w:pPr>
      <w:r>
        <w:rPr>
          <w:rFonts w:ascii="Arial" w:hAnsi="Arial" w:cs="Arial"/>
        </w:rPr>
        <w:lastRenderedPageBreak/>
        <w:t xml:space="preserve">• </w:t>
      </w:r>
      <w:r>
        <w:rPr>
          <w:rFonts w:hint="eastAsia"/>
        </w:rPr>
        <w:t>FFS: How to resolve the transmission conflict from different UEs on the same resource.</w:t>
      </w:r>
    </w:p>
    <w:p w:rsidR="00177470" w:rsidRDefault="00177470" w:rsidP="00177470">
      <w:pPr>
        <w:pStyle w:val="ZTE-C-proposal"/>
      </w:pPr>
      <w:r>
        <w:t xml:space="preserve">Proposal </w:t>
      </w:r>
      <w:r>
        <w:rPr>
          <w:bCs/>
          <w:iCs/>
        </w:rPr>
        <w:t xml:space="preserve">26: </w:t>
      </w:r>
      <w:r>
        <w:rPr>
          <w:rFonts w:hint="eastAsia"/>
        </w:rPr>
        <w:t>In SL-U evaluation, the following assumptions are added to the simulation parameters of deployment scenarios :</w:t>
      </w:r>
    </w:p>
    <w:p w:rsidR="00177470" w:rsidRDefault="00177470" w:rsidP="00177470">
      <w:pPr>
        <w:pStyle w:val="ZTE-C-subProposal"/>
      </w:pPr>
      <w:r>
        <w:rPr>
          <w:rFonts w:ascii="Arial" w:hAnsi="Arial" w:cs="Arial"/>
        </w:rPr>
        <w:t xml:space="preserve">• </w:t>
      </w:r>
      <w:r>
        <w:rPr>
          <w:rFonts w:hint="eastAsia"/>
        </w:rPr>
        <w:t>Interleaving resource allocation is used as the baseline simulation assumption.</w:t>
      </w:r>
    </w:p>
    <w:p w:rsidR="00177470" w:rsidRDefault="00177470" w:rsidP="00177470">
      <w:pPr>
        <w:pStyle w:val="ZTE-C-subProposal"/>
      </w:pPr>
      <w:r>
        <w:rPr>
          <w:rFonts w:ascii="Arial" w:hAnsi="Arial" w:cs="Arial"/>
        </w:rPr>
        <w:t xml:space="preserve">• </w:t>
      </w:r>
      <w:r>
        <w:rPr>
          <w:rFonts w:hint="eastAsia"/>
        </w:rPr>
        <w:t>Non interleaving resource allocation is opti</w:t>
      </w:r>
      <w:bookmarkStart w:id="185" w:name="_GoBack"/>
      <w:bookmarkEnd w:id="185"/>
      <w:r>
        <w:rPr>
          <w:rFonts w:hint="eastAsia"/>
        </w:rPr>
        <w:t>onal for SL-U evaluation.</w:t>
      </w:r>
    </w:p>
    <w:p w:rsidR="00177470" w:rsidRDefault="00177470" w:rsidP="00177470">
      <w:pPr>
        <w:pStyle w:val="ZTE-C-proposal"/>
      </w:pPr>
      <w:r>
        <w:t xml:space="preserve">Proposal </w:t>
      </w:r>
      <w:r>
        <w:rPr>
          <w:bCs/>
          <w:iCs/>
        </w:rPr>
        <w:t xml:space="preserve">27: </w:t>
      </w:r>
      <w:r>
        <w:rPr>
          <w:rFonts w:hint="eastAsia"/>
        </w:rPr>
        <w:t>For SL-U evaluation, the final pa</w:t>
      </w:r>
      <w:r>
        <w:t>th</w:t>
      </w:r>
      <w:r>
        <w:rPr>
          <w:rFonts w:hint="eastAsia"/>
        </w:rPr>
        <w:t>loss should be the maximum value of InH Mixed Office pathloss and zero value.</w:t>
      </w:r>
    </w:p>
    <w:p w:rsidR="00177470" w:rsidRDefault="00177470" w:rsidP="00177470">
      <w:pPr>
        <w:pStyle w:val="ZTE-C-proposal"/>
      </w:pPr>
      <w:r>
        <w:t xml:space="preserve">Proposal </w:t>
      </w:r>
      <w:r>
        <w:rPr>
          <w:bCs/>
          <w:iCs/>
        </w:rPr>
        <w:t xml:space="preserve">28: </w:t>
      </w:r>
      <w:r>
        <w:rPr>
          <w:rFonts w:hint="eastAsia"/>
        </w:rPr>
        <w:t>For R17 sidelink commercial traffic model with periodic model 3:</w:t>
      </w:r>
    </w:p>
    <w:p w:rsidR="00177470" w:rsidRDefault="00177470" w:rsidP="00177470">
      <w:pPr>
        <w:pStyle w:val="ZTE-C-subProposal"/>
      </w:pPr>
      <w:r>
        <w:rPr>
          <w:rFonts w:ascii="Arial" w:hAnsi="Arial" w:cs="Arial"/>
        </w:rPr>
        <w:t xml:space="preserve">• </w:t>
      </w:r>
      <w:r>
        <w:t>C</w:t>
      </w:r>
      <w:r>
        <w:rPr>
          <w:rFonts w:hint="eastAsia"/>
        </w:rPr>
        <w:t>hange the latency requirement from 30ms to 50ms</w:t>
      </w:r>
    </w:p>
    <w:p w:rsidR="00177470" w:rsidRDefault="00177470" w:rsidP="00177470">
      <w:pPr>
        <w:pStyle w:val="ZTE-C-subProposal"/>
      </w:pPr>
      <w:r>
        <w:rPr>
          <w:rFonts w:ascii="Arial" w:hAnsi="Arial" w:cs="Arial"/>
        </w:rPr>
        <w:t xml:space="preserve">• </w:t>
      </w:r>
      <w:r>
        <w:rPr>
          <w:rFonts w:hint="eastAsia"/>
        </w:rPr>
        <w:t>50</w:t>
      </w:r>
      <w:r>
        <w:t>m</w:t>
      </w:r>
      <w:r>
        <w:rPr>
          <w:rFonts w:hint="eastAsia"/>
        </w:rPr>
        <w:t>s latency requirement can be used to determine the PDB requirement</w:t>
      </w:r>
    </w:p>
    <w:p w:rsidR="00177470" w:rsidRDefault="00177470" w:rsidP="00177470">
      <w:pPr>
        <w:pStyle w:val="ZTE-C-proposal"/>
      </w:pPr>
      <w:r>
        <w:rPr>
          <w:bCs/>
          <w:iCs/>
        </w:rPr>
        <w:t xml:space="preserve">Proposal 29: </w:t>
      </w:r>
      <w:r>
        <w:rPr>
          <w:rFonts w:hint="eastAsia"/>
        </w:rPr>
        <w:t>For groupcast and broadcast,</w:t>
      </w:r>
      <w:r>
        <w:t xml:space="preserve"> </w:t>
      </w:r>
      <w:r>
        <w:rPr>
          <w:rFonts w:hint="eastAsia"/>
        </w:rPr>
        <w:t xml:space="preserve">both UPT and </w:t>
      </w:r>
      <w:r>
        <w:t xml:space="preserve">latency </w:t>
      </w:r>
      <w:r>
        <w:rPr>
          <w:rFonts w:hint="eastAsia"/>
        </w:rPr>
        <w:t>are calculate</w:t>
      </w:r>
      <w:r>
        <w:t>d</w:t>
      </w:r>
      <w:r>
        <w:rPr>
          <w:rFonts w:hint="eastAsia"/>
        </w:rPr>
        <w:t xml:space="preserve"> at the per-link level.</w:t>
      </w:r>
    </w:p>
    <w:p w:rsidR="00177470" w:rsidRDefault="00177470" w:rsidP="00177470">
      <w:pPr>
        <w:pStyle w:val="ZTE-C-proposal"/>
      </w:pPr>
      <w:r>
        <w:t xml:space="preserve">Proposal </w:t>
      </w:r>
      <w:r>
        <w:rPr>
          <w:bCs/>
          <w:iCs/>
        </w:rPr>
        <w:t xml:space="preserve">30: </w:t>
      </w:r>
      <w:r>
        <w:rPr>
          <w:rFonts w:hint="eastAsia"/>
        </w:rPr>
        <w:t>For the UPT/latency of broadcast,</w:t>
      </w:r>
      <w:r>
        <w:t xml:space="preserve"> </w:t>
      </w:r>
      <w:r>
        <w:rPr>
          <w:rFonts w:hint="eastAsia"/>
        </w:rPr>
        <w:t>statistics of them should be carried out within a certain distance range.</w:t>
      </w:r>
    </w:p>
    <w:p w:rsidR="00177470" w:rsidRDefault="00177470" w:rsidP="00177470">
      <w:pPr>
        <w:pStyle w:val="ZTE-C-proposal"/>
      </w:pPr>
      <w:r>
        <w:rPr>
          <w:bCs/>
          <w:iCs/>
        </w:rPr>
        <w:t xml:space="preserve">Proposal 31: </w:t>
      </w:r>
      <w:r>
        <w:rPr>
          <w:rFonts w:hint="eastAsia"/>
        </w:rPr>
        <w:t>F</w:t>
      </w:r>
      <w:r>
        <w:t xml:space="preserve">or the </w:t>
      </w:r>
      <w:r>
        <w:rPr>
          <w:rFonts w:hint="eastAsia"/>
        </w:rPr>
        <w:t>PRR of</w:t>
      </w:r>
      <w:r>
        <w:t xml:space="preserve"> groupcast and broadcast, </w:t>
      </w:r>
      <w:r>
        <w:rPr>
          <w:rFonts w:hint="eastAsia"/>
        </w:rPr>
        <w:t>it is suggested to reuse the PRR type 1/2 statistics defined in TR 37.885, and the range (a, b) can be selected and reported by each company.</w:t>
      </w:r>
    </w:p>
    <w:p w:rsidR="00177470" w:rsidRDefault="00D938B1" w:rsidP="00177470">
      <w:pPr>
        <w:pStyle w:val="ZTE-C-proposal"/>
        <w:spacing w:line="259" w:lineRule="auto"/>
        <w:rPr>
          <w:sz w:val="21"/>
        </w:rPr>
      </w:pPr>
      <w:r>
        <w:fldChar w:fldCharType="end"/>
      </w:r>
    </w:p>
    <w:p w:rsidR="00177470" w:rsidRDefault="00177470" w:rsidP="00177470">
      <w:pPr>
        <w:pStyle w:val="1"/>
        <w:numPr>
          <w:ilvl w:val="0"/>
          <w:numId w:val="8"/>
        </w:numPr>
        <w:spacing w:before="120" w:afterLines="0"/>
        <w:ind w:left="0"/>
        <w:rPr>
          <w:rFonts w:eastAsia="宋体"/>
        </w:rPr>
      </w:pPr>
      <w:r>
        <w:rPr>
          <w:rFonts w:eastAsia="宋体" w:hint="eastAsia"/>
        </w:rPr>
        <w:t>Reference</w:t>
      </w:r>
      <w:r>
        <w:rPr>
          <w:rFonts w:eastAsia="宋体"/>
        </w:rPr>
        <w:t>s</w:t>
      </w:r>
    </w:p>
    <w:p w:rsidR="00177470" w:rsidRDefault="00177470" w:rsidP="00177470">
      <w:pPr>
        <w:pStyle w:val="References"/>
        <w:numPr>
          <w:ilvl w:val="0"/>
          <w:numId w:val="13"/>
        </w:numPr>
        <w:spacing w:before="120" w:after="120"/>
        <w:ind w:left="720"/>
        <w:rPr>
          <w:bCs/>
          <w:szCs w:val="20"/>
          <w:lang w:eastAsia="ja-JP"/>
        </w:rPr>
      </w:pPr>
      <w:r>
        <w:rPr>
          <w:rFonts w:hint="eastAsia"/>
          <w:bCs/>
          <w:szCs w:val="20"/>
          <w:lang w:eastAsia="ja-JP"/>
        </w:rPr>
        <w:t xml:space="preserve">RP-213678, </w:t>
      </w:r>
      <w:r>
        <w:rPr>
          <w:rFonts w:hint="eastAsia"/>
          <w:szCs w:val="20"/>
        </w:rPr>
        <w:t>"</w:t>
      </w:r>
      <w:r>
        <w:rPr>
          <w:rFonts w:hint="eastAsia"/>
          <w:bCs/>
          <w:szCs w:val="20"/>
        </w:rPr>
        <w:t>New WID on NR sidelink evolution</w:t>
      </w:r>
      <w:r>
        <w:rPr>
          <w:rFonts w:hint="eastAsia"/>
          <w:szCs w:val="20"/>
        </w:rPr>
        <w:t>"</w:t>
      </w:r>
      <w:r>
        <w:rPr>
          <w:rFonts w:hint="eastAsia"/>
          <w:bCs/>
          <w:szCs w:val="20"/>
        </w:rPr>
        <w:t xml:space="preserve">, </w:t>
      </w:r>
      <w:r>
        <w:rPr>
          <w:rFonts w:hint="eastAsia"/>
          <w:bCs/>
          <w:szCs w:val="20"/>
          <w:lang w:eastAsia="ko-KR"/>
        </w:rPr>
        <w:t>OPPO, LG Electronics</w:t>
      </w:r>
      <w:r>
        <w:rPr>
          <w:rFonts w:hint="eastAsia"/>
          <w:bCs/>
          <w:szCs w:val="20"/>
        </w:rPr>
        <w:t xml:space="preserve">, RAN #94-e, </w:t>
      </w:r>
      <w:r>
        <w:rPr>
          <w:rFonts w:hint="eastAsia"/>
          <w:bCs/>
          <w:szCs w:val="20"/>
          <w:lang w:eastAsia="ja-JP"/>
        </w:rPr>
        <w:t>December</w:t>
      </w:r>
      <w:r>
        <w:rPr>
          <w:rFonts w:hint="eastAsia"/>
          <w:bCs/>
          <w:szCs w:val="20"/>
        </w:rPr>
        <w:t xml:space="preserve"> 2021</w:t>
      </w:r>
    </w:p>
    <w:p w:rsidR="00177470" w:rsidRDefault="00177470" w:rsidP="00177470">
      <w:pPr>
        <w:pStyle w:val="References"/>
        <w:numPr>
          <w:ilvl w:val="0"/>
          <w:numId w:val="13"/>
        </w:numPr>
        <w:spacing w:before="120" w:after="120"/>
        <w:ind w:left="723" w:hanging="363"/>
        <w:rPr>
          <w:rFonts w:eastAsiaTheme="minorEastAsia"/>
          <w:szCs w:val="20"/>
        </w:rPr>
      </w:pPr>
      <w:r>
        <w:rPr>
          <w:rFonts w:hint="eastAsia"/>
          <w:bCs/>
          <w:szCs w:val="20"/>
          <w:lang w:eastAsia="ja-JP"/>
        </w:rPr>
        <w:t xml:space="preserve">RP-220300, </w:t>
      </w:r>
      <w:r>
        <w:rPr>
          <w:rFonts w:hint="eastAsia"/>
          <w:szCs w:val="20"/>
        </w:rPr>
        <w:t>"</w:t>
      </w:r>
      <w:r>
        <w:rPr>
          <w:rFonts w:hint="eastAsia"/>
          <w:bCs/>
          <w:szCs w:val="20"/>
        </w:rPr>
        <w:t>WID revision: NR sidelink evolution</w:t>
      </w:r>
      <w:r>
        <w:rPr>
          <w:rFonts w:hint="eastAsia"/>
          <w:szCs w:val="20"/>
        </w:rPr>
        <w:t>"</w:t>
      </w:r>
      <w:r>
        <w:rPr>
          <w:rFonts w:hint="eastAsia"/>
          <w:bCs/>
          <w:szCs w:val="20"/>
        </w:rPr>
        <w:t xml:space="preserve">, </w:t>
      </w:r>
      <w:r>
        <w:rPr>
          <w:rFonts w:hint="eastAsia"/>
          <w:bCs/>
          <w:szCs w:val="20"/>
          <w:lang w:eastAsia="ko-KR"/>
        </w:rPr>
        <w:t>OPPO</w:t>
      </w:r>
      <w:r>
        <w:rPr>
          <w:rFonts w:hint="eastAsia"/>
          <w:bCs/>
          <w:szCs w:val="20"/>
        </w:rPr>
        <w:t>, RAN #95-e, March 2022</w:t>
      </w:r>
    </w:p>
    <w:p w:rsidR="00177470" w:rsidRDefault="00177470" w:rsidP="00177470">
      <w:pPr>
        <w:pStyle w:val="References"/>
        <w:numPr>
          <w:ilvl w:val="0"/>
          <w:numId w:val="13"/>
        </w:numPr>
        <w:spacing w:before="120" w:after="120"/>
        <w:ind w:left="723" w:hanging="363"/>
        <w:rPr>
          <w:bCs/>
          <w:szCs w:val="20"/>
          <w:lang w:eastAsia="ja-JP"/>
        </w:rPr>
      </w:pPr>
      <w:r>
        <w:rPr>
          <w:rFonts w:hint="eastAsia"/>
          <w:bCs/>
          <w:szCs w:val="20"/>
          <w:lang w:eastAsia="ja-JP"/>
        </w:rPr>
        <w:t>Draft Report of 3GPP TSG RAN WG1 #110 v0.2.0,</w:t>
      </w:r>
      <w:r>
        <w:rPr>
          <w:rFonts w:hint="eastAsia"/>
          <w:bCs/>
          <w:szCs w:val="20"/>
        </w:rPr>
        <w:t xml:space="preserve"> </w:t>
      </w:r>
      <w:r>
        <w:t>22</w:t>
      </w:r>
      <w:r>
        <w:rPr>
          <w:vertAlign w:val="superscript"/>
        </w:rPr>
        <w:t>nd</w:t>
      </w:r>
      <w:r>
        <w:t xml:space="preserve"> – 26</w:t>
      </w:r>
      <w:r>
        <w:rPr>
          <w:vertAlign w:val="superscript"/>
        </w:rPr>
        <w:t>th</w:t>
      </w:r>
      <w:r>
        <w:t xml:space="preserve"> </w:t>
      </w:r>
      <w:r>
        <w:rPr>
          <w:rFonts w:hint="eastAsia"/>
          <w:bCs/>
          <w:szCs w:val="20"/>
          <w:lang w:eastAsia="ja-JP"/>
        </w:rPr>
        <w:t>August 2022</w:t>
      </w:r>
    </w:p>
    <w:p w:rsidR="00177470" w:rsidRDefault="00177470" w:rsidP="00177470">
      <w:pPr>
        <w:pStyle w:val="References"/>
        <w:numPr>
          <w:ilvl w:val="0"/>
          <w:numId w:val="13"/>
        </w:numPr>
        <w:spacing w:before="120" w:after="120"/>
        <w:ind w:left="723" w:hanging="363"/>
        <w:rPr>
          <w:rFonts w:eastAsiaTheme="minorEastAsia"/>
          <w:szCs w:val="20"/>
        </w:rPr>
      </w:pPr>
      <w:r>
        <w:rPr>
          <w:rFonts w:eastAsiaTheme="minorEastAsia"/>
          <w:szCs w:val="20"/>
        </w:rPr>
        <w:t>3GPP TS 3</w:t>
      </w:r>
      <w:r>
        <w:rPr>
          <w:rFonts w:eastAsiaTheme="minorEastAsia" w:hint="eastAsia"/>
          <w:szCs w:val="20"/>
        </w:rPr>
        <w:t>7</w:t>
      </w:r>
      <w:r>
        <w:rPr>
          <w:rFonts w:eastAsiaTheme="minorEastAsia"/>
          <w:szCs w:val="20"/>
        </w:rPr>
        <w:t>.21</w:t>
      </w:r>
      <w:r>
        <w:rPr>
          <w:rFonts w:eastAsiaTheme="minorEastAsia" w:hint="eastAsia"/>
          <w:szCs w:val="20"/>
        </w:rPr>
        <w:t>3</w:t>
      </w:r>
      <w:r>
        <w:rPr>
          <w:rFonts w:eastAsiaTheme="minorEastAsia"/>
          <w:szCs w:val="20"/>
        </w:rPr>
        <w:t xml:space="preserve"> </w:t>
      </w:r>
      <w:r>
        <w:rPr>
          <w:rFonts w:eastAsiaTheme="minorEastAsia" w:hint="eastAsia"/>
          <w:szCs w:val="20"/>
        </w:rPr>
        <w:t>h1</w:t>
      </w:r>
      <w:r>
        <w:rPr>
          <w:rFonts w:eastAsiaTheme="minorEastAsia"/>
          <w:szCs w:val="20"/>
        </w:rPr>
        <w:t>0</w:t>
      </w:r>
      <w:r>
        <w:rPr>
          <w:rFonts w:eastAsiaTheme="minorEastAsia" w:hint="eastAsia"/>
          <w:szCs w:val="20"/>
        </w:rPr>
        <w:t>: "Physical layer procedures for shared spectrum channel access</w:t>
      </w:r>
      <w:r>
        <w:rPr>
          <w:rFonts w:eastAsiaTheme="minorEastAsia"/>
          <w:szCs w:val="20"/>
        </w:rPr>
        <w:t>"</w:t>
      </w:r>
    </w:p>
    <w:p w:rsidR="00177470" w:rsidRDefault="00177470" w:rsidP="00177470">
      <w:pPr>
        <w:pStyle w:val="References"/>
        <w:numPr>
          <w:ilvl w:val="0"/>
          <w:numId w:val="13"/>
        </w:numPr>
        <w:spacing w:before="120" w:after="120"/>
        <w:ind w:left="723" w:hanging="363"/>
        <w:rPr>
          <w:rFonts w:eastAsiaTheme="minorEastAsia"/>
          <w:szCs w:val="20"/>
        </w:rPr>
      </w:pPr>
      <w:r>
        <w:rPr>
          <w:rFonts w:eastAsiaTheme="minorEastAsia" w:hint="eastAsia"/>
          <w:szCs w:val="20"/>
        </w:rPr>
        <w:t>ETSI EN 301 893 (V2.1.1) :"5 GHz RLAN; Harmonised Standard covering the essential requirements of article 3.2 of Directive 2014/53/EU".</w:t>
      </w:r>
    </w:p>
    <w:p w:rsidR="00177470" w:rsidRDefault="00177470" w:rsidP="00177470">
      <w:pPr>
        <w:pStyle w:val="References"/>
        <w:numPr>
          <w:ilvl w:val="0"/>
          <w:numId w:val="13"/>
        </w:numPr>
        <w:spacing w:before="120" w:after="120"/>
        <w:ind w:left="723" w:hanging="363"/>
        <w:rPr>
          <w:rFonts w:eastAsiaTheme="minorEastAsia"/>
          <w:szCs w:val="20"/>
        </w:rPr>
      </w:pPr>
      <w:r>
        <w:rPr>
          <w:rFonts w:hint="eastAsia"/>
          <w:bCs/>
          <w:szCs w:val="20"/>
        </w:rPr>
        <w:t>R1-2208723,</w:t>
      </w:r>
      <w:r>
        <w:rPr>
          <w:rFonts w:hint="eastAsia"/>
          <w:bCs/>
          <w:szCs w:val="20"/>
          <w:lang w:eastAsia="ja-JP"/>
        </w:rPr>
        <w:t xml:space="preserve"> </w:t>
      </w:r>
      <w:r>
        <w:rPr>
          <w:rFonts w:hint="eastAsia"/>
          <w:szCs w:val="20"/>
        </w:rPr>
        <w:t>"</w:t>
      </w:r>
      <w:r>
        <w:rPr>
          <w:rFonts w:hint="eastAsia"/>
          <w:bCs/>
          <w:szCs w:val="20"/>
        </w:rPr>
        <w:t>Discussion on physical layer structures and procedures for SL-U</w:t>
      </w:r>
      <w:r>
        <w:rPr>
          <w:rFonts w:hint="eastAsia"/>
          <w:szCs w:val="20"/>
        </w:rPr>
        <w:t>"</w:t>
      </w:r>
      <w:r>
        <w:rPr>
          <w:rFonts w:hint="eastAsia"/>
          <w:bCs/>
          <w:szCs w:val="20"/>
        </w:rPr>
        <w:t xml:space="preserve">, </w:t>
      </w:r>
      <w:r>
        <w:rPr>
          <w:rFonts w:hint="eastAsia"/>
          <w:bCs/>
          <w:szCs w:val="20"/>
          <w:lang w:eastAsia="ko-KR"/>
        </w:rPr>
        <w:t>ZTE, Sanechips</w:t>
      </w:r>
    </w:p>
    <w:p w:rsidR="00177470" w:rsidRDefault="00177470" w:rsidP="00177470">
      <w:pPr>
        <w:spacing w:before="120" w:after="120"/>
      </w:pPr>
    </w:p>
    <w:p w:rsidR="00177470" w:rsidRDefault="00177470" w:rsidP="00177470">
      <w:pPr>
        <w:spacing w:before="120" w:after="120"/>
      </w:pPr>
    </w:p>
    <w:p w:rsidR="00177470" w:rsidRDefault="00177470" w:rsidP="00177470">
      <w:pPr>
        <w:spacing w:before="120" w:after="120"/>
      </w:pPr>
    </w:p>
    <w:p w:rsidR="00177470" w:rsidRDefault="00177470" w:rsidP="00177470">
      <w:pPr>
        <w:spacing w:before="120" w:after="120"/>
      </w:pPr>
    </w:p>
    <w:p w:rsidR="00177470" w:rsidRDefault="00177470" w:rsidP="00177470">
      <w:pPr>
        <w:spacing w:before="120" w:after="120"/>
      </w:pPr>
    </w:p>
    <w:p w:rsidR="00EB637C" w:rsidRPr="00177470" w:rsidRDefault="00EB637C" w:rsidP="00177470">
      <w:pPr>
        <w:spacing w:before="120" w:after="120"/>
      </w:pPr>
    </w:p>
    <w:sectPr w:rsidR="00EB637C" w:rsidRPr="00177470" w:rsidSect="00EB637C">
      <w:headerReference w:type="even" r:id="rId18"/>
      <w:footerReference w:type="even" r:id="rId19"/>
      <w:headerReference w:type="first" r:id="rId20"/>
      <w:footerReference w:type="first" r:id="rId21"/>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A1D" w:rsidRDefault="00AE0A1D" w:rsidP="00401D3A">
      <w:pPr>
        <w:spacing w:before="120" w:after="120"/>
      </w:pPr>
      <w:r>
        <w:separator/>
      </w:r>
    </w:p>
  </w:endnote>
  <w:endnote w:type="continuationSeparator" w:id="0">
    <w:p w:rsidR="00AE0A1D" w:rsidRDefault="00AE0A1D" w:rsidP="00401D3A">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37C" w:rsidRDefault="00EB637C">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37C" w:rsidRDefault="00EB637C">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A1D" w:rsidRDefault="00AE0A1D" w:rsidP="00401D3A">
      <w:pPr>
        <w:spacing w:before="120" w:after="120"/>
      </w:pPr>
      <w:r>
        <w:separator/>
      </w:r>
    </w:p>
  </w:footnote>
  <w:footnote w:type="continuationSeparator" w:id="0">
    <w:p w:rsidR="00AE0A1D" w:rsidRDefault="00AE0A1D" w:rsidP="00401D3A">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37C" w:rsidRDefault="00EB637C">
    <w:pPr>
      <w:pStyle w:val="a5"/>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37C" w:rsidRDefault="00EB637C">
    <w:pPr>
      <w:pStyle w:val="a5"/>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8"/>
  </w:num>
  <w:num w:numId="3">
    <w:abstractNumId w:val="7"/>
  </w:num>
  <w:num w:numId="4">
    <w:abstractNumId w:val="9"/>
  </w:num>
  <w:num w:numId="5">
    <w:abstractNumId w:val="0"/>
  </w:num>
  <w:num w:numId="6">
    <w:abstractNumId w:val="6"/>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 w:numId="13">
    <w:abstractNumId w:val="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bordersDoNotSurroundHeader/>
  <w:bordersDoNotSurroundFooter/>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FC2"/>
    <w:rsid w:val="00025098"/>
    <w:rsid w:val="00044B96"/>
    <w:rsid w:val="00053593"/>
    <w:rsid w:val="000B1211"/>
    <w:rsid w:val="000B1599"/>
    <w:rsid w:val="000D65FC"/>
    <w:rsid w:val="001340F6"/>
    <w:rsid w:val="00153BE0"/>
    <w:rsid w:val="00172A27"/>
    <w:rsid w:val="001768FE"/>
    <w:rsid w:val="00177470"/>
    <w:rsid w:val="00193046"/>
    <w:rsid w:val="001A2BEB"/>
    <w:rsid w:val="001B502E"/>
    <w:rsid w:val="002376AE"/>
    <w:rsid w:val="002C0735"/>
    <w:rsid w:val="002E478D"/>
    <w:rsid w:val="00301063"/>
    <w:rsid w:val="003161BA"/>
    <w:rsid w:val="00324214"/>
    <w:rsid w:val="0033283F"/>
    <w:rsid w:val="00395F21"/>
    <w:rsid w:val="003C0B54"/>
    <w:rsid w:val="003D17AE"/>
    <w:rsid w:val="00401D3A"/>
    <w:rsid w:val="00422D64"/>
    <w:rsid w:val="00475B67"/>
    <w:rsid w:val="00525E65"/>
    <w:rsid w:val="005317CA"/>
    <w:rsid w:val="0054405D"/>
    <w:rsid w:val="00572097"/>
    <w:rsid w:val="0059672B"/>
    <w:rsid w:val="005B065E"/>
    <w:rsid w:val="005F7B99"/>
    <w:rsid w:val="006807E6"/>
    <w:rsid w:val="006F26CE"/>
    <w:rsid w:val="00724E53"/>
    <w:rsid w:val="0077477E"/>
    <w:rsid w:val="007E7A15"/>
    <w:rsid w:val="00820E09"/>
    <w:rsid w:val="00885FE5"/>
    <w:rsid w:val="00890F3B"/>
    <w:rsid w:val="008F30BC"/>
    <w:rsid w:val="008F3CF6"/>
    <w:rsid w:val="009141DD"/>
    <w:rsid w:val="009401EC"/>
    <w:rsid w:val="00945B44"/>
    <w:rsid w:val="00954A8B"/>
    <w:rsid w:val="0096044C"/>
    <w:rsid w:val="009B7332"/>
    <w:rsid w:val="009D3B70"/>
    <w:rsid w:val="009F756D"/>
    <w:rsid w:val="00A37B97"/>
    <w:rsid w:val="00A40102"/>
    <w:rsid w:val="00A50086"/>
    <w:rsid w:val="00AC4CB5"/>
    <w:rsid w:val="00AE0A1D"/>
    <w:rsid w:val="00B03CE5"/>
    <w:rsid w:val="00B23BAD"/>
    <w:rsid w:val="00B428B5"/>
    <w:rsid w:val="00B66CB1"/>
    <w:rsid w:val="00BA59BC"/>
    <w:rsid w:val="00BB0B7F"/>
    <w:rsid w:val="00BB4FEC"/>
    <w:rsid w:val="00BB6518"/>
    <w:rsid w:val="00C6294E"/>
    <w:rsid w:val="00CB6631"/>
    <w:rsid w:val="00D20EC2"/>
    <w:rsid w:val="00D316E9"/>
    <w:rsid w:val="00D44606"/>
    <w:rsid w:val="00D938B1"/>
    <w:rsid w:val="00DA7FC2"/>
    <w:rsid w:val="00DD5091"/>
    <w:rsid w:val="00DE79EC"/>
    <w:rsid w:val="00DF0709"/>
    <w:rsid w:val="00DF75DB"/>
    <w:rsid w:val="00E245BF"/>
    <w:rsid w:val="00E35DE6"/>
    <w:rsid w:val="00E479BD"/>
    <w:rsid w:val="00E74F94"/>
    <w:rsid w:val="00EB637C"/>
    <w:rsid w:val="00EE5F9D"/>
    <w:rsid w:val="00F509E9"/>
    <w:rsid w:val="00F65BA8"/>
    <w:rsid w:val="00FC6E1D"/>
    <w:rsid w:val="00FD2DE4"/>
    <w:rsid w:val="00FE3A28"/>
    <w:rsid w:val="00FF38B8"/>
    <w:rsid w:val="01764F01"/>
    <w:rsid w:val="024D6B6A"/>
    <w:rsid w:val="029B04E7"/>
    <w:rsid w:val="03073BDC"/>
    <w:rsid w:val="030C5976"/>
    <w:rsid w:val="033F44DC"/>
    <w:rsid w:val="043168B5"/>
    <w:rsid w:val="0555228E"/>
    <w:rsid w:val="059D1E39"/>
    <w:rsid w:val="05E078B3"/>
    <w:rsid w:val="077D0583"/>
    <w:rsid w:val="079724D0"/>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A20BEC"/>
    <w:rsid w:val="1B7F6005"/>
    <w:rsid w:val="1B9D73EE"/>
    <w:rsid w:val="1C132CB9"/>
    <w:rsid w:val="1CCC26CA"/>
    <w:rsid w:val="1E056606"/>
    <w:rsid w:val="1E9D6342"/>
    <w:rsid w:val="204E6676"/>
    <w:rsid w:val="2195668B"/>
    <w:rsid w:val="21BE5AD4"/>
    <w:rsid w:val="23081A49"/>
    <w:rsid w:val="2334383D"/>
    <w:rsid w:val="23CE335E"/>
    <w:rsid w:val="245C52F8"/>
    <w:rsid w:val="2463385E"/>
    <w:rsid w:val="250D568B"/>
    <w:rsid w:val="25134332"/>
    <w:rsid w:val="257E508F"/>
    <w:rsid w:val="26BF5712"/>
    <w:rsid w:val="27AB7429"/>
    <w:rsid w:val="27FC67A2"/>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E93760"/>
    <w:rsid w:val="377E620D"/>
    <w:rsid w:val="3784394E"/>
    <w:rsid w:val="38AE3BB0"/>
    <w:rsid w:val="3AC71DA2"/>
    <w:rsid w:val="3ACB5746"/>
    <w:rsid w:val="3BB20883"/>
    <w:rsid w:val="3C935077"/>
    <w:rsid w:val="3CCC3EC3"/>
    <w:rsid w:val="3CD06756"/>
    <w:rsid w:val="3DA8275C"/>
    <w:rsid w:val="3E441C7D"/>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3F53B8A"/>
    <w:rsid w:val="54AF6B42"/>
    <w:rsid w:val="55DD6F2A"/>
    <w:rsid w:val="56E23970"/>
    <w:rsid w:val="57155486"/>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8CB171E"/>
    <w:rsid w:val="690F418B"/>
    <w:rsid w:val="69FB7936"/>
    <w:rsid w:val="6A154B1E"/>
    <w:rsid w:val="6A7A2736"/>
    <w:rsid w:val="6A7B4B9C"/>
    <w:rsid w:val="6C89456C"/>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header" w:semiHidden="0" w:unhideWhenUsed="0" w:qFormat="1"/>
    <w:lsdException w:name="footer" w:semiHidden="0" w:qFormat="1"/>
    <w:lsdException w:name="table of figures" w:qFormat="1"/>
    <w:lsdException w:name="List" w:semiHidden="0" w:uiPriority="0" w:unhideWhenUsed="0" w:qFormat="1"/>
    <w:lsdException w:name="List 2" w:semiHidden="0" w:uiPriority="0" w:unhideWhenUsed="0" w:qFormat="1"/>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37C"/>
    <w:pPr>
      <w:spacing w:beforeLines="50" w:afterLines="50"/>
      <w:jc w:val="both"/>
    </w:pPr>
    <w:rPr>
      <w:rFonts w:eastAsia="Times New Roman"/>
      <w:kern w:val="2"/>
    </w:rPr>
  </w:style>
  <w:style w:type="paragraph" w:styleId="1">
    <w:name w:val="heading 1"/>
    <w:basedOn w:val="a"/>
    <w:next w:val="a"/>
    <w:qFormat/>
    <w:rsid w:val="00EB637C"/>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EB637C"/>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EB637C"/>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2"/>
    <w:basedOn w:val="a3"/>
    <w:qFormat/>
    <w:rsid w:val="00EB637C"/>
    <w:pPr>
      <w:ind w:left="851"/>
    </w:pPr>
  </w:style>
  <w:style w:type="paragraph" w:styleId="a3">
    <w:name w:val="List"/>
    <w:basedOn w:val="a"/>
    <w:qFormat/>
    <w:rsid w:val="00EB637C"/>
    <w:pPr>
      <w:ind w:left="568" w:hanging="284"/>
    </w:pPr>
  </w:style>
  <w:style w:type="paragraph" w:styleId="30">
    <w:name w:val="toc 3"/>
    <w:basedOn w:val="a"/>
    <w:next w:val="a"/>
    <w:link w:val="3Char"/>
    <w:uiPriority w:val="39"/>
    <w:unhideWhenUsed/>
    <w:qFormat/>
    <w:rsid w:val="00EB637C"/>
    <w:pPr>
      <w:ind w:leftChars="400" w:left="880"/>
    </w:pPr>
    <w:rPr>
      <w:b/>
      <w:i/>
    </w:rPr>
  </w:style>
  <w:style w:type="paragraph" w:styleId="a4">
    <w:name w:val="footer"/>
    <w:link w:val="Char"/>
    <w:uiPriority w:val="99"/>
    <w:unhideWhenUsed/>
    <w:qFormat/>
    <w:rsid w:val="00EB637C"/>
    <w:pPr>
      <w:tabs>
        <w:tab w:val="center" w:pos="4153"/>
        <w:tab w:val="right" w:pos="8306"/>
      </w:tabs>
      <w:snapToGrid w:val="0"/>
    </w:pPr>
    <w:rPr>
      <w:rFonts w:eastAsia="Times New Roman"/>
      <w:kern w:val="2"/>
      <w:sz w:val="18"/>
      <w:szCs w:val="18"/>
    </w:rPr>
  </w:style>
  <w:style w:type="paragraph" w:styleId="a5">
    <w:name w:val="header"/>
    <w:next w:val="a6"/>
    <w:link w:val="Char0"/>
    <w:uiPriority w:val="99"/>
    <w:qFormat/>
    <w:rsid w:val="00401D3A"/>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EB637C"/>
    <w:rPr>
      <w:b/>
      <w:i/>
    </w:rPr>
  </w:style>
  <w:style w:type="paragraph" w:styleId="a7">
    <w:name w:val="table of figures"/>
    <w:basedOn w:val="a"/>
    <w:next w:val="a"/>
    <w:uiPriority w:val="99"/>
    <w:semiHidden/>
    <w:unhideWhenUsed/>
    <w:qFormat/>
    <w:rsid w:val="00EB637C"/>
    <w:pPr>
      <w:ind w:leftChars="200" w:left="200" w:hangingChars="200" w:hanging="200"/>
    </w:pPr>
  </w:style>
  <w:style w:type="paragraph" w:styleId="21">
    <w:name w:val="toc 2"/>
    <w:basedOn w:val="a"/>
    <w:next w:val="a"/>
    <w:link w:val="2Char"/>
    <w:uiPriority w:val="39"/>
    <w:unhideWhenUsed/>
    <w:qFormat/>
    <w:rsid w:val="00EB637C"/>
    <w:pPr>
      <w:snapToGrid w:val="0"/>
      <w:ind w:leftChars="200" w:left="618"/>
    </w:pPr>
    <w:rPr>
      <w:b/>
      <w:i/>
    </w:rPr>
  </w:style>
  <w:style w:type="table" w:styleId="a8">
    <w:name w:val="Table Grid"/>
    <w:basedOn w:val="a1"/>
    <w:uiPriority w:val="59"/>
    <w:qFormat/>
    <w:rsid w:val="00EB637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ial1101987050">
    <w:name w:val="样式 Arial 11 磅 加粗 左侧:  0 厘米 悬挂缩进: 19.87 字符 段前: 0.5 行 段后: 0...."/>
    <w:basedOn w:val="a"/>
    <w:qFormat/>
    <w:rsid w:val="00EB637C"/>
    <w:pPr>
      <w:spacing w:afterLines="0"/>
      <w:ind w:left="1985" w:hanging="1985"/>
    </w:pPr>
    <w:rPr>
      <w:rFonts w:ascii="Arial" w:hAnsi="Arial" w:cs="宋体"/>
      <w:b/>
      <w:bCs/>
      <w:sz w:val="22"/>
    </w:rPr>
  </w:style>
  <w:style w:type="paragraph" w:customStyle="1" w:styleId="ZTE-Observation-2021">
    <w:name w:val="!ZTE-Observation-2021"/>
    <w:basedOn w:val="a"/>
    <w:qFormat/>
    <w:rsid w:val="00EB637C"/>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EB637C"/>
    <w:pPr>
      <w:numPr>
        <w:numId w:val="3"/>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next w:val="a"/>
    <w:qFormat/>
    <w:rsid w:val="00EB637C"/>
    <w:pPr>
      <w:numPr>
        <w:numId w:val="4"/>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EB637C"/>
  </w:style>
  <w:style w:type="paragraph" w:customStyle="1" w:styleId="3rdlevelproposal">
    <w:name w:val="3rd level proposal"/>
    <w:basedOn w:val="sub-proposal"/>
    <w:qFormat/>
    <w:rsid w:val="00EB637C"/>
    <w:pPr>
      <w:numPr>
        <w:numId w:val="5"/>
      </w:numPr>
      <w:ind w:leftChars="496" w:left="1199" w:hangingChars="103" w:hanging="207"/>
    </w:pPr>
  </w:style>
  <w:style w:type="paragraph" w:customStyle="1" w:styleId="3rdlevelobservation">
    <w:name w:val="3rd level observation"/>
    <w:basedOn w:val="sub-observation"/>
    <w:qFormat/>
    <w:rsid w:val="00EB637C"/>
    <w:pPr>
      <w:numPr>
        <w:numId w:val="6"/>
      </w:numPr>
      <w:tabs>
        <w:tab w:val="clear" w:pos="993"/>
        <w:tab w:val="left" w:pos="1134"/>
      </w:tabs>
      <w:ind w:leftChars="496" w:left="1131" w:hangingChars="69" w:hanging="139"/>
    </w:pPr>
  </w:style>
  <w:style w:type="paragraph" w:customStyle="1" w:styleId="References">
    <w:name w:val="References"/>
    <w:basedOn w:val="a"/>
    <w:qFormat/>
    <w:rsid w:val="00EB637C"/>
    <w:pPr>
      <w:numPr>
        <w:numId w:val="7"/>
      </w:numPr>
      <w:spacing w:after="60"/>
    </w:pPr>
    <w:rPr>
      <w:szCs w:val="16"/>
    </w:rPr>
  </w:style>
  <w:style w:type="paragraph" w:styleId="a9">
    <w:name w:val="List Paragraph"/>
    <w:basedOn w:val="a"/>
    <w:uiPriority w:val="34"/>
    <w:qFormat/>
    <w:rsid w:val="00EB637C"/>
    <w:pPr>
      <w:spacing w:beforeLines="0"/>
      <w:ind w:left="720"/>
      <w:contextualSpacing/>
    </w:pPr>
    <w:rPr>
      <w:sz w:val="24"/>
      <w:szCs w:val="24"/>
    </w:rPr>
  </w:style>
  <w:style w:type="character" w:customStyle="1" w:styleId="Char0">
    <w:name w:val="页眉 Char"/>
    <w:basedOn w:val="a0"/>
    <w:link w:val="a5"/>
    <w:uiPriority w:val="99"/>
    <w:qFormat/>
    <w:rsid w:val="00401D3A"/>
    <w:rPr>
      <w:rFonts w:eastAsia="Times New Roman"/>
      <w:kern w:val="2"/>
      <w:sz w:val="18"/>
      <w:szCs w:val="18"/>
    </w:rPr>
  </w:style>
  <w:style w:type="paragraph" w:customStyle="1" w:styleId="ZTE-C-proposal">
    <w:name w:val="ZTE-C-proposal"/>
    <w:basedOn w:val="10"/>
    <w:link w:val="ZTE-C-proposal0"/>
    <w:qFormat/>
    <w:rsid w:val="00EB637C"/>
    <w:pPr>
      <w:spacing w:before="120" w:after="120"/>
      <w:ind w:left="1104" w:hangingChars="550" w:hanging="1104"/>
    </w:pPr>
  </w:style>
  <w:style w:type="paragraph" w:customStyle="1" w:styleId="ZTE-C-subProposal">
    <w:name w:val="ZTE-C-subProposal"/>
    <w:basedOn w:val="21"/>
    <w:link w:val="ZTE-C-subProposal0"/>
    <w:qFormat/>
    <w:rsid w:val="00EB637C"/>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EB637C"/>
    <w:rPr>
      <w:rFonts w:eastAsia="Times New Roman"/>
      <w:b/>
      <w:i/>
      <w:kern w:val="2"/>
    </w:rPr>
  </w:style>
  <w:style w:type="character" w:customStyle="1" w:styleId="ZTE-C-proposal0">
    <w:name w:val="ZTE-C-proposal 字符"/>
    <w:basedOn w:val="1Char"/>
    <w:link w:val="ZTE-C-proposal"/>
    <w:qFormat/>
    <w:rsid w:val="00EB637C"/>
    <w:rPr>
      <w:rFonts w:eastAsia="Times New Roman"/>
      <w:color w:val="000000"/>
      <w:kern w:val="2"/>
    </w:rPr>
  </w:style>
  <w:style w:type="paragraph" w:customStyle="1" w:styleId="ZTE-C-3rdlevelproposal">
    <w:name w:val="ZTE-C-3rd level proposal"/>
    <w:basedOn w:val="30"/>
    <w:link w:val="ZTE-C-3rdlevelproposal0"/>
    <w:qFormat/>
    <w:rsid w:val="00EB637C"/>
    <w:pPr>
      <w:tabs>
        <w:tab w:val="left" w:pos="1276"/>
        <w:tab w:val="right" w:leader="dot" w:pos="9650"/>
      </w:tabs>
      <w:spacing w:before="120" w:after="120"/>
      <w:ind w:leftChars="567" w:left="1134"/>
    </w:pPr>
  </w:style>
  <w:style w:type="character" w:customStyle="1" w:styleId="2Char">
    <w:name w:val="目录 2 Char"/>
    <w:basedOn w:val="a0"/>
    <w:link w:val="21"/>
    <w:uiPriority w:val="39"/>
    <w:qFormat/>
    <w:rsid w:val="00EB637C"/>
    <w:rPr>
      <w:rFonts w:eastAsia="Times New Roman"/>
      <w:b/>
      <w:i/>
      <w:kern w:val="2"/>
    </w:rPr>
  </w:style>
  <w:style w:type="character" w:customStyle="1" w:styleId="ZTE-C-subProposal0">
    <w:name w:val="ZTE-C-subProposal 字符"/>
    <w:basedOn w:val="2Char"/>
    <w:link w:val="ZTE-C-subProposal"/>
    <w:qFormat/>
    <w:rsid w:val="00EB637C"/>
    <w:rPr>
      <w:rFonts w:eastAsia="Times New Roman"/>
      <w:kern w:val="2"/>
    </w:rPr>
  </w:style>
  <w:style w:type="paragraph" w:customStyle="1" w:styleId="ZTE-C-Observation">
    <w:name w:val="ZTE-C-Observation"/>
    <w:basedOn w:val="10"/>
    <w:link w:val="ZTE-C-Observation0"/>
    <w:qFormat/>
    <w:rsid w:val="00EB637C"/>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EB637C"/>
    <w:rPr>
      <w:rFonts w:eastAsia="Times New Roman"/>
      <w:b/>
      <w:i/>
      <w:kern w:val="2"/>
    </w:rPr>
  </w:style>
  <w:style w:type="character" w:customStyle="1" w:styleId="ZTE-C-3rdlevelproposal0">
    <w:name w:val="ZTE-C-3rd level proposal 字符"/>
    <w:basedOn w:val="3Char"/>
    <w:link w:val="ZTE-C-3rdlevelproposal"/>
    <w:qFormat/>
    <w:rsid w:val="00EB637C"/>
    <w:rPr>
      <w:rFonts w:eastAsia="Times New Roman"/>
      <w:kern w:val="2"/>
    </w:rPr>
  </w:style>
  <w:style w:type="paragraph" w:customStyle="1" w:styleId="ZTE-C-sub-Observation">
    <w:name w:val="ZTE-C-sub-Observation"/>
    <w:basedOn w:val="21"/>
    <w:link w:val="ZTE-C-sub-Observation0"/>
    <w:qFormat/>
    <w:rsid w:val="00EB637C"/>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EB637C"/>
    <w:rPr>
      <w:rFonts w:eastAsia="Times New Roman"/>
      <w:kern w:val="2"/>
    </w:rPr>
  </w:style>
  <w:style w:type="paragraph" w:customStyle="1" w:styleId="ZTE-C-3rdlevelObservation">
    <w:name w:val="ZTE-C-3rd level Observation"/>
    <w:basedOn w:val="30"/>
    <w:link w:val="ZTE-C-3rdlevelObservation0"/>
    <w:qFormat/>
    <w:rsid w:val="00EB637C"/>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EB637C"/>
    <w:rPr>
      <w:rFonts w:eastAsia="Times New Roman"/>
      <w:kern w:val="2"/>
    </w:rPr>
  </w:style>
  <w:style w:type="character" w:customStyle="1" w:styleId="ZTE-C-3rdlevelObservation0">
    <w:name w:val="ZTE-C-3rd level Observation 字符"/>
    <w:basedOn w:val="3Char"/>
    <w:link w:val="ZTE-C-3rdlevelObservation"/>
    <w:qFormat/>
    <w:rsid w:val="00EB637C"/>
    <w:rPr>
      <w:rFonts w:eastAsia="Times New Roman"/>
      <w:kern w:val="2"/>
    </w:rPr>
  </w:style>
  <w:style w:type="character" w:customStyle="1" w:styleId="Char">
    <w:name w:val="页脚 Char"/>
    <w:basedOn w:val="a0"/>
    <w:link w:val="a4"/>
    <w:uiPriority w:val="99"/>
    <w:qFormat/>
    <w:rsid w:val="00EB637C"/>
    <w:rPr>
      <w:rFonts w:eastAsia="Times New Roman"/>
      <w:kern w:val="2"/>
      <w:sz w:val="18"/>
      <w:szCs w:val="18"/>
    </w:rPr>
  </w:style>
  <w:style w:type="paragraph" w:customStyle="1" w:styleId="TH">
    <w:name w:val="TH"/>
    <w:basedOn w:val="a"/>
    <w:qFormat/>
    <w:rsid w:val="00EB637C"/>
    <w:pPr>
      <w:keepNext/>
      <w:keepLines/>
      <w:spacing w:before="60"/>
      <w:jc w:val="center"/>
    </w:pPr>
    <w:rPr>
      <w:rFonts w:ascii="Arial" w:hAnsi="Arial"/>
      <w:b/>
    </w:rPr>
  </w:style>
  <w:style w:type="paragraph" w:customStyle="1" w:styleId="TAH">
    <w:name w:val="TAH"/>
    <w:basedOn w:val="TAC"/>
    <w:qFormat/>
    <w:rsid w:val="00EB637C"/>
    <w:rPr>
      <w:b/>
    </w:rPr>
  </w:style>
  <w:style w:type="paragraph" w:customStyle="1" w:styleId="TAC">
    <w:name w:val="TAC"/>
    <w:basedOn w:val="TAL"/>
    <w:qFormat/>
    <w:rsid w:val="00EB637C"/>
    <w:pPr>
      <w:jc w:val="center"/>
    </w:pPr>
  </w:style>
  <w:style w:type="paragraph" w:customStyle="1" w:styleId="TAL">
    <w:name w:val="TAL"/>
    <w:basedOn w:val="a"/>
    <w:qFormat/>
    <w:rsid w:val="00EB637C"/>
    <w:pPr>
      <w:keepNext/>
      <w:keepLines/>
    </w:pPr>
    <w:rPr>
      <w:rFonts w:ascii="Arial" w:hAnsi="Arial"/>
      <w:sz w:val="18"/>
    </w:rPr>
  </w:style>
  <w:style w:type="paragraph" w:customStyle="1" w:styleId="YJ--">
    <w:name w:val="YJ--正文"/>
    <w:basedOn w:val="a"/>
    <w:qFormat/>
    <w:rsid w:val="00EB637C"/>
    <w:pPr>
      <w:ind w:firstLineChars="200" w:firstLine="1440"/>
    </w:pPr>
    <w:rPr>
      <w:rFonts w:cs="宋体"/>
    </w:rPr>
  </w:style>
  <w:style w:type="paragraph" w:customStyle="1" w:styleId="B1">
    <w:name w:val="B1"/>
    <w:basedOn w:val="a3"/>
    <w:qFormat/>
    <w:rsid w:val="00EB637C"/>
  </w:style>
  <w:style w:type="paragraph" w:customStyle="1" w:styleId="B2">
    <w:name w:val="B2"/>
    <w:basedOn w:val="20"/>
    <w:qFormat/>
    <w:rsid w:val="00EB637C"/>
  </w:style>
  <w:style w:type="paragraph" w:styleId="aa">
    <w:name w:val="Document Map"/>
    <w:basedOn w:val="a"/>
    <w:link w:val="Char1"/>
    <w:uiPriority w:val="99"/>
    <w:semiHidden/>
    <w:unhideWhenUsed/>
    <w:rsid w:val="00401D3A"/>
    <w:rPr>
      <w:rFonts w:ascii="宋体" w:eastAsia="宋体"/>
      <w:sz w:val="18"/>
      <w:szCs w:val="18"/>
    </w:rPr>
  </w:style>
  <w:style w:type="character" w:customStyle="1" w:styleId="Char1">
    <w:name w:val="文档结构图 Char"/>
    <w:basedOn w:val="a0"/>
    <w:link w:val="aa"/>
    <w:uiPriority w:val="99"/>
    <w:semiHidden/>
    <w:rsid w:val="00401D3A"/>
    <w:rPr>
      <w:rFonts w:ascii="宋体"/>
      <w:kern w:val="2"/>
      <w:sz w:val="18"/>
      <w:szCs w:val="18"/>
    </w:rPr>
  </w:style>
  <w:style w:type="paragraph" w:styleId="ab">
    <w:name w:val="Balloon Text"/>
    <w:basedOn w:val="a"/>
    <w:link w:val="Char2"/>
    <w:uiPriority w:val="99"/>
    <w:semiHidden/>
    <w:unhideWhenUsed/>
    <w:rsid w:val="00401D3A"/>
    <w:rPr>
      <w:sz w:val="18"/>
      <w:szCs w:val="18"/>
    </w:rPr>
  </w:style>
  <w:style w:type="character" w:customStyle="1" w:styleId="Char2">
    <w:name w:val="批注框文本 Char"/>
    <w:basedOn w:val="a0"/>
    <w:link w:val="ab"/>
    <w:uiPriority w:val="99"/>
    <w:semiHidden/>
    <w:rsid w:val="00401D3A"/>
    <w:rPr>
      <w:rFonts w:eastAsia="Times New Roman"/>
      <w:kern w:val="2"/>
      <w:sz w:val="18"/>
      <w:szCs w:val="18"/>
    </w:rPr>
  </w:style>
  <w:style w:type="paragraph" w:styleId="a6">
    <w:name w:val="No Spacing"/>
    <w:uiPriority w:val="99"/>
    <w:unhideWhenUsed/>
    <w:rsid w:val="00401D3A"/>
    <w:pPr>
      <w:spacing w:beforeLines="50" w:afterLines="50"/>
      <w:jc w:val="both"/>
    </w:pPr>
    <w:rPr>
      <w:rFonts w:eastAsia="Times New Roman"/>
      <w:kern w:val="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BC3CFF-C5DB-453A-B357-020C16BAF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5787</Words>
  <Characters>32991</Characters>
  <Application>Microsoft Office Word</Application>
  <DocSecurity>0</DocSecurity>
  <Lines>274</Lines>
  <Paragraphs>77</Paragraphs>
  <ScaleCrop>false</ScaleCrop>
  <Company>ZTE</Company>
  <LinksUpToDate>false</LinksUpToDate>
  <CharactersWithSpaces>38701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33</cp:revision>
  <dcterms:created xsi:type="dcterms:W3CDTF">2022-09-27T08:30:00Z</dcterms:created>
  <dcterms:modified xsi:type="dcterms:W3CDTF">2022-09-30T11:08:00Z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