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gNB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take into account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strong concern on complexity/cost saving gain for Rel-18 </w:t>
            </w:r>
            <w:proofErr w:type="spellStart"/>
            <w:r w:rsidRPr="00C641F0">
              <w:rPr>
                <w:rFonts w:eastAsia="Yu Mincho"/>
                <w:lang w:val="en-US" w:eastAsia="ja-JP"/>
              </w:rPr>
              <w:t>eRedCap</w:t>
            </w:r>
            <w:proofErr w:type="spellEnd"/>
            <w:r w:rsidRPr="00C641F0">
              <w:rPr>
                <w:rFonts w:eastAsia="Yu Mincho"/>
                <w:lang w:val="en-US" w:eastAsia="ja-JP"/>
              </w:rPr>
              <w:t xml:space="preserve">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lastRenderedPageBreak/>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proofErr w:type="spellStart"/>
            <w:r>
              <w:rPr>
                <w:rFonts w:eastAsia="Yu Mincho"/>
                <w:lang w:val="en-US" w:eastAsia="ja-JP"/>
              </w:rPr>
              <w:lastRenderedPageBreak/>
              <w:t>Spreadtrum</w:t>
            </w:r>
            <w:proofErr w:type="spellEnd"/>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lastRenderedPageBreak/>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lastRenderedPageBreak/>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MHz. However, if payload of Msg3 is very small (e.g. less than 80 bits, no SDT), it is natural to schedule a Msg3 within 5 MHz. It should </w:t>
            </w:r>
            <w:r w:rsidRPr="00413411">
              <w:rPr>
                <w:rFonts w:eastAsiaTheme="minorEastAsia"/>
                <w:lang w:val="en-US" w:eastAsia="zh-CN"/>
              </w:rPr>
              <w:lastRenderedPageBreak/>
              <w:t>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lastRenderedPageBreak/>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 xml:space="preserve">gNB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lastRenderedPageBreak/>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lastRenderedPageBreak/>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r>
              <w:rPr>
                <w:rFonts w:eastAsiaTheme="minorEastAsia"/>
                <w:lang w:val="en-US" w:eastAsia="zh-CN"/>
              </w:rPr>
              <w:t>shared</w:t>
            </w:r>
            <w:proofErr w:type="spell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w:t>
            </w:r>
            <w:r>
              <w:rPr>
                <w:rFonts w:eastAsia="Yu Mincho"/>
                <w:lang w:val="en-US" w:eastAsia="ja-JP"/>
              </w:rPr>
              <w:lastRenderedPageBreak/>
              <w:t>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gNB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gNB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lastRenderedPageBreak/>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gNB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lastRenderedPageBreak/>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w:t>
            </w:r>
            <w:r>
              <w:rPr>
                <w:i/>
                <w:iCs/>
                <w:lang w:val="en-US"/>
              </w:rPr>
              <w:lastRenderedPageBreak/>
              <w: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gNB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gNB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MHz.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lastRenderedPageBreak/>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lastRenderedPageBreak/>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 xml:space="preserve">Secondly, gNB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8A7C7A">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027B6F">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027B6F">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027B6F">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lastRenderedPageBreak/>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lastRenderedPageBreak/>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lastRenderedPageBreak/>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RedCap)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lastRenderedPageBreak/>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r>
              <w:rPr>
                <w:rFonts w:eastAsiaTheme="minorEastAsia" w:hint="eastAsia"/>
                <w:lang w:val="en-US" w:eastAsia="zh-CN"/>
              </w:rPr>
              <w:t>a</w:t>
            </w:r>
            <w:proofErr w:type="spell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lastRenderedPageBreak/>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r>
              <w:rPr>
                <w:rFonts w:eastAsiaTheme="minorEastAsia" w:hint="eastAsia"/>
                <w:lang w:val="en-US" w:eastAsia="zh-CN"/>
              </w:rPr>
              <w:t>a</w:t>
            </w:r>
            <w:proofErr w:type="spell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ListParagraph"/>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 xml:space="preserve">Such much better granularity increases scheduling flexibility for </w:t>
            </w:r>
            <w:proofErr w:type="spellStart"/>
            <w:r w:rsidR="00196975">
              <w:rPr>
                <w:rFonts w:eastAsia="Malgun Gothic"/>
                <w:lang w:val="en-US" w:eastAsia="ko-KR"/>
              </w:rPr>
              <w:t>eRedCap</w:t>
            </w:r>
            <w:proofErr w:type="spellEnd"/>
            <w:r w:rsidR="00196975">
              <w:rPr>
                <w:rFonts w:eastAsia="Malgun Gothic"/>
                <w:lang w:val="en-US" w:eastAsia="ko-KR"/>
              </w:rPr>
              <w:t xml:space="preserve"> UEs.</w:t>
            </w:r>
          </w:p>
          <w:p w14:paraId="095998E3" w14:textId="77777777" w:rsidR="00196975" w:rsidRDefault="00196975" w:rsidP="00AB77BA">
            <w:pPr>
              <w:pStyle w:val="ListParagraph"/>
              <w:ind w:left="0"/>
              <w:rPr>
                <w:rFonts w:eastAsia="Malgun Gothic"/>
                <w:sz w:val="20"/>
                <w:lang w:val="en-US" w:eastAsia="ko-KR"/>
              </w:rPr>
            </w:pPr>
          </w:p>
          <w:p w14:paraId="0F2816FD" w14:textId="6DC2CACF" w:rsidR="00027B6F" w:rsidRPr="00196975" w:rsidRDefault="00196975" w:rsidP="00AB77BA">
            <w:pPr>
              <w:pStyle w:val="ListParagraph"/>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ListParagraph"/>
              <w:ind w:left="0"/>
              <w:rPr>
                <w:rFonts w:eastAsia="Malgun Gothic"/>
                <w:sz w:val="20"/>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w:t>
      </w:r>
      <w:r>
        <w:rPr>
          <w:rFonts w:ascii="Times New Roman" w:eastAsia="Microsoft YaHei UI" w:hAnsi="Times New Roman" w:cs="Times New Roman"/>
          <w:sz w:val="20"/>
          <w:szCs w:val="20"/>
          <w:lang w:val="en-US" w:eastAsia="zh-CN"/>
        </w:rPr>
        <w:lastRenderedPageBreak/>
        <w:t xml:space="preserve">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lastRenderedPageBreak/>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lastRenderedPageBreak/>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lastRenderedPageBreak/>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lastRenderedPageBreak/>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lastRenderedPageBreak/>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lastRenderedPageBreak/>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lastRenderedPageBreak/>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000000">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000000">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000000">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000000">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000000">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000000">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000000">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000000">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000000">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lastRenderedPageBreak/>
              <w:t>[10]</w:t>
            </w:r>
          </w:p>
        </w:tc>
        <w:tc>
          <w:tcPr>
            <w:tcW w:w="1456" w:type="dxa"/>
            <w:tcMar>
              <w:top w:w="0" w:type="dxa"/>
              <w:left w:w="70" w:type="dxa"/>
              <w:bottom w:w="0" w:type="dxa"/>
              <w:right w:w="70" w:type="dxa"/>
            </w:tcMar>
          </w:tcPr>
          <w:p w14:paraId="3E32ED36" w14:textId="77777777" w:rsidR="00D12078" w:rsidRDefault="00000000">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000000">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000000">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000000">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000000">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000000">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000000">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000000">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000000">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000000">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000000">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000000">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000000">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000000">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000000">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000000">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000000">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000000">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000000">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000000">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000000">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000000">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000000">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000000">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000000">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000000">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000000">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000000">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01B61A75" w14:textId="77777777" w:rsidR="00D12078" w:rsidRDefault="00000000">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7DA7" w14:textId="77777777" w:rsidR="006F39D7" w:rsidRDefault="006F39D7">
      <w:pPr>
        <w:spacing w:line="240" w:lineRule="auto"/>
      </w:pPr>
      <w:r>
        <w:separator/>
      </w:r>
    </w:p>
  </w:endnote>
  <w:endnote w:type="continuationSeparator" w:id="0">
    <w:p w14:paraId="739706B8" w14:textId="77777777" w:rsidR="006F39D7" w:rsidRDefault="006F39D7">
      <w:pPr>
        <w:spacing w:line="240" w:lineRule="auto"/>
      </w:pPr>
      <w:r>
        <w:continuationSeparator/>
      </w:r>
    </w:p>
  </w:endnote>
  <w:endnote w:type="continuationNotice" w:id="1">
    <w:p w14:paraId="3580CA7F" w14:textId="77777777" w:rsidR="006F39D7" w:rsidRDefault="006F3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D685" w14:textId="77777777" w:rsidR="006F39D7" w:rsidRDefault="006F39D7">
      <w:pPr>
        <w:spacing w:after="0"/>
      </w:pPr>
      <w:r>
        <w:separator/>
      </w:r>
    </w:p>
  </w:footnote>
  <w:footnote w:type="continuationSeparator" w:id="0">
    <w:p w14:paraId="202237A0" w14:textId="77777777" w:rsidR="006F39D7" w:rsidRDefault="006F39D7">
      <w:pPr>
        <w:spacing w:after="0"/>
      </w:pPr>
      <w:r>
        <w:continuationSeparator/>
      </w:r>
    </w:p>
  </w:footnote>
  <w:footnote w:type="continuationNotice" w:id="1">
    <w:p w14:paraId="738B005A" w14:textId="77777777" w:rsidR="006F39D7" w:rsidRDefault="006F39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39714774">
    <w:abstractNumId w:val="3"/>
  </w:num>
  <w:num w:numId="2" w16cid:durableId="2005433143">
    <w:abstractNumId w:val="10"/>
  </w:num>
  <w:num w:numId="3" w16cid:durableId="493881801">
    <w:abstractNumId w:val="2"/>
  </w:num>
  <w:num w:numId="4" w16cid:durableId="1478106215">
    <w:abstractNumId w:val="1"/>
  </w:num>
  <w:num w:numId="5" w16cid:durableId="612638108">
    <w:abstractNumId w:val="18"/>
  </w:num>
  <w:num w:numId="6" w16cid:durableId="1378968564">
    <w:abstractNumId w:val="23"/>
    <w:lvlOverride w:ilvl="0">
      <w:startOverride w:val="1"/>
    </w:lvlOverride>
  </w:num>
  <w:num w:numId="7" w16cid:durableId="1621179801">
    <w:abstractNumId w:val="24"/>
  </w:num>
  <w:num w:numId="8" w16cid:durableId="495463568">
    <w:abstractNumId w:val="34"/>
  </w:num>
  <w:num w:numId="9" w16cid:durableId="1919440694">
    <w:abstractNumId w:val="44"/>
  </w:num>
  <w:num w:numId="10" w16cid:durableId="377899754">
    <w:abstractNumId w:val="37"/>
  </w:num>
  <w:num w:numId="11" w16cid:durableId="2129395800">
    <w:abstractNumId w:val="19"/>
  </w:num>
  <w:num w:numId="12" w16cid:durableId="946423368">
    <w:abstractNumId w:val="29"/>
  </w:num>
  <w:num w:numId="13" w16cid:durableId="129203205">
    <w:abstractNumId w:val="13"/>
  </w:num>
  <w:num w:numId="14" w16cid:durableId="1627810612">
    <w:abstractNumId w:val="39"/>
  </w:num>
  <w:num w:numId="15" w16cid:durableId="1850216913">
    <w:abstractNumId w:val="21"/>
  </w:num>
  <w:num w:numId="16" w16cid:durableId="970865856">
    <w:abstractNumId w:val="14"/>
  </w:num>
  <w:num w:numId="17" w16cid:durableId="387919920">
    <w:abstractNumId w:val="25"/>
  </w:num>
  <w:num w:numId="18" w16cid:durableId="251622479">
    <w:abstractNumId w:val="17"/>
  </w:num>
  <w:num w:numId="19" w16cid:durableId="1381244732">
    <w:abstractNumId w:val="38"/>
  </w:num>
  <w:num w:numId="20" w16cid:durableId="1978297275">
    <w:abstractNumId w:val="35"/>
  </w:num>
  <w:num w:numId="21" w16cid:durableId="614095822">
    <w:abstractNumId w:val="4"/>
  </w:num>
  <w:num w:numId="22" w16cid:durableId="591473677">
    <w:abstractNumId w:val="46"/>
  </w:num>
  <w:num w:numId="23" w16cid:durableId="1939214846">
    <w:abstractNumId w:val="12"/>
  </w:num>
  <w:num w:numId="24" w16cid:durableId="1076438468">
    <w:abstractNumId w:val="42"/>
  </w:num>
  <w:num w:numId="25" w16cid:durableId="216359315">
    <w:abstractNumId w:val="20"/>
  </w:num>
  <w:num w:numId="26" w16cid:durableId="411203454">
    <w:abstractNumId w:val="16"/>
  </w:num>
  <w:num w:numId="27" w16cid:durableId="189685754">
    <w:abstractNumId w:val="7"/>
  </w:num>
  <w:num w:numId="28" w16cid:durableId="887303029">
    <w:abstractNumId w:val="31"/>
  </w:num>
  <w:num w:numId="29" w16cid:durableId="524177508">
    <w:abstractNumId w:val="47"/>
  </w:num>
  <w:num w:numId="30" w16cid:durableId="501356779">
    <w:abstractNumId w:val="27"/>
  </w:num>
  <w:num w:numId="31" w16cid:durableId="1916209416">
    <w:abstractNumId w:val="33"/>
  </w:num>
  <w:num w:numId="32" w16cid:durableId="2027829166">
    <w:abstractNumId w:val="43"/>
  </w:num>
  <w:num w:numId="33" w16cid:durableId="1878855858">
    <w:abstractNumId w:val="26"/>
  </w:num>
  <w:num w:numId="34" w16cid:durableId="234314906">
    <w:abstractNumId w:val="36"/>
  </w:num>
  <w:num w:numId="35" w16cid:durableId="1889147593">
    <w:abstractNumId w:val="8"/>
  </w:num>
  <w:num w:numId="36" w16cid:durableId="1975938780">
    <w:abstractNumId w:val="5"/>
  </w:num>
  <w:num w:numId="37" w16cid:durableId="860363691">
    <w:abstractNumId w:val="28"/>
  </w:num>
  <w:num w:numId="38" w16cid:durableId="467557691">
    <w:abstractNumId w:val="0"/>
  </w:num>
  <w:num w:numId="39" w16cid:durableId="1518734704">
    <w:abstractNumId w:val="11"/>
  </w:num>
  <w:num w:numId="40" w16cid:durableId="1566180226">
    <w:abstractNumId w:val="41"/>
  </w:num>
  <w:num w:numId="41" w16cid:durableId="880017927">
    <w:abstractNumId w:val="30"/>
  </w:num>
  <w:num w:numId="42" w16cid:durableId="1459108108">
    <w:abstractNumId w:val="32"/>
  </w:num>
  <w:num w:numId="43" w16cid:durableId="2035186983">
    <w:abstractNumId w:val="40"/>
  </w:num>
  <w:num w:numId="44" w16cid:durableId="457576238">
    <w:abstractNumId w:val="22"/>
  </w:num>
  <w:num w:numId="45" w16cid:durableId="1383015595">
    <w:abstractNumId w:val="6"/>
  </w:num>
  <w:num w:numId="46" w16cid:durableId="2013294625">
    <w:abstractNumId w:val="9"/>
  </w:num>
  <w:num w:numId="47" w16cid:durableId="353310575">
    <w:abstractNumId w:val="15"/>
  </w:num>
  <w:num w:numId="48" w16cid:durableId="1093013636">
    <w:abstractNumId w:val="45"/>
  </w:num>
  <w:num w:numId="49" w16cid:durableId="175134558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38981</Words>
  <Characters>222195</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2022-10-18T16:53:00Z</dcterms:created>
  <dcterms:modified xsi:type="dcterms:W3CDTF">2022-10-18T17:09:00Z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