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A8E9A" w14:textId="1C86C12E" w:rsidR="00FE1D11" w:rsidRDefault="006A145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2F47F8"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r>
              <w:rPr>
                <w:rFonts w:eastAsia="Yu Mincho"/>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Yu Mincho"/>
                <w:lang w:val="en-US" w:eastAsia="ja-JP"/>
              </w:rPr>
            </w:pPr>
            <w:r>
              <w:rPr>
                <w:rFonts w:eastAsia="Yu Mincho"/>
                <w:lang w:val="en-US" w:eastAsia="ja-JP"/>
              </w:rPr>
              <w:t>v</w:t>
            </w:r>
            <w:r w:rsidR="006A1451">
              <w:rPr>
                <w:rFonts w:eastAsia="Yu Mincho"/>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宋体"/>
                <w:lang w:val="en-US" w:eastAsia="zh-CN"/>
              </w:rPr>
            </w:pPr>
            <w:r>
              <w:rPr>
                <w:rFonts w:eastAsia="宋体" w:hint="eastAsia"/>
                <w:lang w:val="en-US" w:eastAsia="zh-CN"/>
              </w:rPr>
              <w:t>ZTE, Sanechips</w:t>
            </w:r>
          </w:p>
        </w:tc>
        <w:tc>
          <w:tcPr>
            <w:tcW w:w="2977" w:type="dxa"/>
          </w:tcPr>
          <w:p w14:paraId="2D5CD06B" w14:textId="77777777" w:rsidR="00FE1D11" w:rsidRDefault="006A145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宋体"/>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宋体"/>
                <w:lang w:val="en-US" w:eastAsia="zh-CN"/>
              </w:rPr>
            </w:pPr>
            <w:r>
              <w:rPr>
                <w:rFonts w:eastAsia="宋体"/>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r>
              <w:rPr>
                <w:rFonts w:eastAsiaTheme="minorEastAsia"/>
                <w:lang w:val="en-US" w:eastAsia="zh-CN"/>
              </w:rPr>
              <w:t>Lijie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lastRenderedPageBreak/>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r>
              <w:rPr>
                <w:rFonts w:eastAsia="Yu Mincho"/>
                <w:lang w:val="en-US" w:eastAsia="ja-JP"/>
              </w:rPr>
              <w:t>Efstathios Katranaras</w:t>
            </w:r>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aff"/>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aff"/>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aff"/>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778288BA" w14:textId="77777777" w:rsidR="00FE1D11" w:rsidRDefault="006A145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lastRenderedPageBreak/>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lastRenderedPageBreak/>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w:t>
            </w:r>
            <w:r>
              <w:rPr>
                <w:rFonts w:eastAsiaTheme="minorEastAsia"/>
                <w:lang w:val="en-US" w:eastAsia="zh-CN"/>
              </w:rPr>
              <w:lastRenderedPageBreak/>
              <w:t xml:space="preserve">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lastRenderedPageBreak/>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1E5E662C" w14:textId="77777777" w:rsidR="00FE1D11" w:rsidRDefault="006A145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aff"/>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aff"/>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aff"/>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aff"/>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w:t>
            </w:r>
            <w:r>
              <w:rPr>
                <w:rFonts w:eastAsia="Yu Mincho"/>
                <w:lang w:val="en-US" w:eastAsia="ja-JP"/>
              </w:rPr>
              <w:lastRenderedPageBreak/>
              <w:t>supporting Option 3 and Option 4 for PDSCH, e.g., in terms of UE complexity, and then it is fair to support Option 3 even for PDSCH. For the implementation simplicity, we prefer to align the number of PRBs between PDSCH and PUSCH.</w:t>
            </w:r>
          </w:p>
          <w:p w14:paraId="2F06474A" w14:textId="77777777" w:rsidR="00FE1D11" w:rsidRDefault="006A145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aff"/>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aff"/>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aff"/>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aff"/>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 xml:space="preserve">a PDSCH (for both unicast </w:t>
            </w:r>
            <w:r>
              <w:rPr>
                <w:rFonts w:eastAsiaTheme="minorEastAsia"/>
                <w:b/>
                <w:bCs/>
                <w:color w:val="FF0000"/>
                <w:lang w:val="en-US" w:eastAsia="zh-CN"/>
              </w:rPr>
              <w:lastRenderedPageBreak/>
              <w:t>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lastRenderedPageBreak/>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words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ZTE, Sanechips</w:t>
            </w:r>
          </w:p>
        </w:tc>
        <w:tc>
          <w:tcPr>
            <w:tcW w:w="8155" w:type="dxa"/>
            <w:gridSpan w:val="2"/>
          </w:tcPr>
          <w:p w14:paraId="78B742B4" w14:textId="77777777" w:rsidR="00FE1D11" w:rsidRDefault="006A145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w:t>
            </w:r>
            <w:r>
              <w:rPr>
                <w:rFonts w:eastAsia="宋体" w:hint="eastAsia"/>
                <w:lang w:val="en-US" w:eastAsia="zh-CN"/>
              </w:rPr>
              <w:lastRenderedPageBreak/>
              <w:t xml:space="preserve">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lastRenderedPageBreak/>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r>
              <w:rPr>
                <w:rFonts w:eastAsiaTheme="minorEastAsia" w:hint="eastAsia"/>
                <w:lang w:eastAsia="zh-CN"/>
              </w:rPr>
              <w:lastRenderedPageBreak/>
              <w:t>Spreadtrum</w:t>
            </w:r>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lastRenderedPageBreak/>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lastRenderedPageBreak/>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PMingLiU"/>
                <w:lang w:eastAsia="zh-TW"/>
              </w:rPr>
            </w:pPr>
            <w:r>
              <w:rPr>
                <w:rFonts w:eastAsia="Yu Mincho" w:hint="eastAsia"/>
                <w:lang w:val="en-US" w:eastAsia="ja-JP"/>
              </w:rPr>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lastRenderedPageBreak/>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lastRenderedPageBreak/>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9D556EC" w14:textId="77777777" w:rsidR="00FE1D11" w:rsidRDefault="006A145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PMingLiU"/>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w:t>
            </w:r>
            <w:r>
              <w:rPr>
                <w:rFonts w:eastAsiaTheme="minorEastAsia"/>
                <w:lang w:val="en-US" w:eastAsia="zh-CN"/>
              </w:rPr>
              <w:lastRenderedPageBreak/>
              <w:t xml:space="preserve">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PMingLiU" w:hint="eastAsia"/>
                <w:lang w:val="en-US" w:eastAsia="zh-TW"/>
              </w:rPr>
              <w:t>M</w:t>
            </w:r>
            <w:r>
              <w:rPr>
                <w:rFonts w:eastAsia="PMingLiU"/>
                <w:lang w:val="en-US" w:eastAsia="zh-TW"/>
              </w:rPr>
              <w:t>ediaTek</w:t>
            </w:r>
          </w:p>
        </w:tc>
        <w:tc>
          <w:tcPr>
            <w:tcW w:w="8155" w:type="dxa"/>
            <w:gridSpan w:val="2"/>
          </w:tcPr>
          <w:p w14:paraId="273429C2" w14:textId="77777777" w:rsidR="000E267F" w:rsidRDefault="000E267F" w:rsidP="000E267F">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PMingLiU"/>
                <w:lang w:val="en-US" w:eastAsia="zh-TW"/>
              </w:rPr>
              <w:t>Huawei, HiSilicon</w:t>
            </w:r>
          </w:p>
        </w:tc>
        <w:tc>
          <w:tcPr>
            <w:tcW w:w="8155" w:type="dxa"/>
            <w:gridSpan w:val="2"/>
          </w:tcPr>
          <w:p w14:paraId="0F8730CA" w14:textId="77777777" w:rsidR="000E267F" w:rsidRDefault="000E267F" w:rsidP="000E267F">
            <w:pPr>
              <w:rPr>
                <w:rFonts w:eastAsia="PMingLiU"/>
                <w:lang w:val="en-US" w:eastAsia="zh-TW"/>
              </w:rPr>
            </w:pPr>
            <w:r>
              <w:rPr>
                <w:rFonts w:eastAsia="PMingLiU"/>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PMingLiU"/>
                <w:lang w:eastAsia="zh-TW"/>
              </w:rPr>
              <w:t xml:space="preserve">Nordic </w:t>
            </w:r>
          </w:p>
        </w:tc>
        <w:tc>
          <w:tcPr>
            <w:tcW w:w="8155" w:type="dxa"/>
            <w:gridSpan w:val="2"/>
          </w:tcPr>
          <w:p w14:paraId="38187ED0" w14:textId="77777777" w:rsidR="000E267F" w:rsidRDefault="000E267F" w:rsidP="000E267F">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1EC5B36D" w14:textId="77777777" w:rsidR="000E267F" w:rsidRDefault="000E267F" w:rsidP="000E267F">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PMingLiU"/>
                <w:lang w:val="en-US" w:eastAsia="zh-TW"/>
              </w:rPr>
              <w:t>W</w:t>
            </w:r>
            <w:r w:rsidR="000E267F">
              <w:rPr>
                <w:rFonts w:eastAsia="PMingLiU"/>
                <w:lang w:val="en-US" w:eastAsia="zh-TW"/>
              </w:rPr>
              <w:t>e support “process per slot”</w:t>
            </w:r>
            <w:r>
              <w:rPr>
                <w:rFonts w:eastAsia="PMingLiU"/>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w:t>
            </w:r>
            <w:r>
              <w:rPr>
                <w:rFonts w:eastAsia="Malgun Gothic"/>
                <w:lang w:val="en-US" w:eastAsia="ko-KR"/>
              </w:rPr>
              <w:lastRenderedPageBreak/>
              <w:t xml:space="preserve">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4133494"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bl>
    <w:p w14:paraId="6B1968AB" w14:textId="77777777" w:rsidR="00FE1D11" w:rsidRPr="00530680" w:rsidRDefault="00FE1D11">
      <w:pPr>
        <w:rPr>
          <w:b/>
          <w:lang w:val="en-US"/>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rsidP="009F3165">
            <w:pPr>
              <w:tabs>
                <w:tab w:val="left" w:pos="551"/>
              </w:tabs>
              <w:jc w:val="left"/>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rsidP="009F3165">
            <w:pPr>
              <w:tabs>
                <w:tab w:val="left" w:pos="551"/>
              </w:tabs>
              <w:jc w:val="left"/>
              <w:rPr>
                <w:rFonts w:eastAsia="Yu Mincho"/>
                <w:lang w:val="en-US" w:eastAsia="zh-CN"/>
              </w:rPr>
            </w:pPr>
            <w:r>
              <w:rPr>
                <w:rFonts w:eastAsia="Yu Mincho"/>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lastRenderedPageBreak/>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t>Huawei, HiSilicon</w:t>
            </w:r>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aff"/>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aff"/>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af8"/>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374212" w14:paraId="218F91AD" w14:textId="77777777" w:rsidTr="00E208BB">
        <w:tc>
          <w:tcPr>
            <w:tcW w:w="1479" w:type="dxa"/>
          </w:tcPr>
          <w:p w14:paraId="6ABD7F18" w14:textId="2990CBCF" w:rsidR="00374212" w:rsidRDefault="00374212" w:rsidP="00E208BB">
            <w:pPr>
              <w:rPr>
                <w:rFonts w:eastAsiaTheme="minorEastAsia"/>
                <w:lang w:val="en-US" w:eastAsia="zh-CN"/>
              </w:rPr>
            </w:pPr>
          </w:p>
        </w:tc>
        <w:tc>
          <w:tcPr>
            <w:tcW w:w="1372" w:type="dxa"/>
          </w:tcPr>
          <w:p w14:paraId="02C1BE53" w14:textId="77777777" w:rsidR="00374212" w:rsidRDefault="00374212" w:rsidP="00E208BB">
            <w:pPr>
              <w:tabs>
                <w:tab w:val="left" w:pos="551"/>
              </w:tabs>
              <w:rPr>
                <w:rFonts w:eastAsiaTheme="minorEastAsia"/>
                <w:lang w:val="en-US" w:eastAsia="zh-CN"/>
              </w:rPr>
            </w:pPr>
          </w:p>
        </w:tc>
        <w:tc>
          <w:tcPr>
            <w:tcW w:w="6780" w:type="dxa"/>
          </w:tcPr>
          <w:p w14:paraId="5DAF1A44" w14:textId="4AEEDD91" w:rsidR="00374212" w:rsidRDefault="00374212" w:rsidP="00E208BB">
            <w:pPr>
              <w:rPr>
                <w:rFonts w:eastAsiaTheme="minorEastAsia"/>
                <w:lang w:val="en-US" w:eastAsia="zh-CN"/>
              </w:rPr>
            </w:pP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aff"/>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aff"/>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af8"/>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w:t>
            </w:r>
            <w:proofErr w:type="spellStart"/>
            <w:r w:rsidR="002D7F24">
              <w:rPr>
                <w:rFonts w:eastAsiaTheme="minorEastAsia"/>
                <w:lang w:val="en-US" w:eastAsia="zh-CN"/>
              </w:rPr>
              <w:t>intraslot</w:t>
            </w:r>
            <w:proofErr w:type="spellEnd"/>
            <w:r w:rsidR="002D7F24">
              <w:rPr>
                <w:rFonts w:eastAsiaTheme="minorEastAsia"/>
                <w:lang w:val="en-US" w:eastAsia="zh-CN"/>
              </w:rPr>
              <w:t xml:space="preserve">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hint="eastAsia"/>
                <w:lang w:val="en-US" w:eastAsia="zh-CN"/>
              </w:rPr>
            </w:pPr>
            <w:r>
              <w:rPr>
                <w:rFonts w:eastAsiaTheme="minorEastAsia"/>
                <w:lang w:val="en-US" w:eastAsia="zh-CN"/>
              </w:rPr>
              <w:t>Option 1 (2ned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aff"/>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separately discussed, since the UL grant for scheduling PUSCH is in RAR, PDSCH, not DCI.</w:t>
            </w:r>
          </w:p>
          <w:p w14:paraId="48F33636" w14:textId="4E891505" w:rsidR="0054282E" w:rsidRPr="00677625" w:rsidRDefault="00F91859" w:rsidP="00F91859">
            <w:pPr>
              <w:pStyle w:val="aff"/>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xml:space="preserve">, whether the FDRA can indicate </w:t>
            </w:r>
            <w:r w:rsidRPr="00F91859">
              <w:rPr>
                <w:rFonts w:ascii="Times New Roman" w:eastAsiaTheme="minorEastAsia" w:hAnsi="Times New Roman" w:cs="Times New Roman"/>
                <w:sz w:val="20"/>
                <w:szCs w:val="20"/>
                <w:lang w:val="en-US" w:eastAsia="zh-CN"/>
              </w:rPr>
              <w:t xml:space="preserve">a resource allocation spanning a bandwidth of more than </w:t>
            </w:r>
            <w:r w:rsidRPr="00F91859">
              <w:rPr>
                <w:rFonts w:ascii="Times New Roman" w:eastAsiaTheme="minorEastAsia" w:hAnsi="Times New Roman" w:cs="Times New Roman"/>
                <w:sz w:val="20"/>
                <w:szCs w:val="20"/>
                <w:lang w:val="en-US" w:eastAsia="zh-CN"/>
              </w:rPr>
              <w:t>5</w:t>
            </w:r>
            <w:r w:rsidRPr="00F91859">
              <w:rPr>
                <w:rFonts w:ascii="Times New Roman" w:eastAsiaTheme="minorEastAsia" w:hAnsi="Times New Roman" w:cs="Times New Roman"/>
                <w:sz w:val="20"/>
                <w:szCs w:val="20"/>
                <w:lang w:val="en-US" w:eastAsia="zh-CN"/>
              </w:rPr>
              <w:t xml:space="preserve"> </w:t>
            </w:r>
            <w:proofErr w:type="spellStart"/>
            <w:r w:rsidRPr="00F91859">
              <w:rPr>
                <w:rFonts w:ascii="Times New Roman" w:eastAsiaTheme="minorEastAsia" w:hAnsi="Times New Roman" w:cs="Times New Roman"/>
                <w:sz w:val="20"/>
                <w:szCs w:val="20"/>
                <w:lang w:val="en-US" w:eastAsia="zh-CN"/>
              </w:rPr>
              <w:t>MHz</w:t>
            </w:r>
            <w:r>
              <w:rPr>
                <w:rFonts w:ascii="Times New Roman" w:eastAsiaTheme="minorEastAsia" w:hAnsi="Times New Roman" w:cs="Times New Roman"/>
                <w:sz w:val="20"/>
                <w:szCs w:val="20"/>
                <w:lang w:val="en-US" w:eastAsia="zh-CN"/>
              </w:rPr>
              <w:t>.</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w:t>
            </w:r>
            <w:r w:rsidR="00677625">
              <w:rPr>
                <w:rFonts w:ascii="Times New Roman" w:eastAsiaTheme="minorEastAsia" w:hAnsi="Times New Roman" w:cs="Times New Roman"/>
                <w:sz w:val="20"/>
                <w:szCs w:val="20"/>
                <w:lang w:val="en-US" w:eastAsia="zh-CN"/>
              </w:rPr>
              <w:t xml:space="preserve">Maybe we can add </w:t>
            </w:r>
            <w:proofErr w:type="gramStart"/>
            <w:r w:rsidR="00677625">
              <w:rPr>
                <w:rFonts w:ascii="Times New Roman" w:eastAsiaTheme="minorEastAsia" w:hAnsi="Times New Roman" w:cs="Times New Roman"/>
                <w:sz w:val="20"/>
                <w:szCs w:val="20"/>
                <w:lang w:val="en-US" w:eastAsia="zh-CN"/>
              </w:rPr>
              <w:t>“ per</w:t>
            </w:r>
            <w:proofErr w:type="gramEnd"/>
            <w:r w:rsidR="00677625">
              <w:rPr>
                <w:rFonts w:ascii="Times New Roman" w:eastAsiaTheme="minorEastAsia" w:hAnsi="Times New Roman" w:cs="Times New Roman"/>
                <w:sz w:val="20"/>
                <w:szCs w:val="20"/>
                <w:lang w:val="en-US" w:eastAsia="zh-CN"/>
              </w:rPr>
              <w:t xml:space="preserve"> hop in case FH is enabled” at the </w:t>
            </w:r>
            <w:r w:rsidR="00677625">
              <w:rPr>
                <w:rFonts w:ascii="Times New Roman" w:eastAsiaTheme="minorEastAsia" w:hAnsi="Times New Roman" w:cs="Times New Roman"/>
                <w:sz w:val="20"/>
                <w:szCs w:val="20"/>
                <w:lang w:val="en-US" w:eastAsia="zh-CN"/>
              </w:rPr>
              <w:lastRenderedPageBreak/>
              <w:t>end of each option.</w:t>
            </w:r>
          </w:p>
          <w:p w14:paraId="36530C3F" w14:textId="1429983B" w:rsidR="00F91859" w:rsidRPr="00F91859" w:rsidRDefault="00677625" w:rsidP="00677625">
            <w:pPr>
              <w:spacing w:after="60"/>
              <w:rPr>
                <w:rFonts w:eastAsiaTheme="minorEastAsia" w:hint="eastAsia"/>
                <w:lang w:val="en-US" w:eastAsia="zh-CN"/>
              </w:rPr>
            </w:pPr>
            <w:r>
              <w:rPr>
                <w:rFonts w:eastAsiaTheme="minorEastAsia"/>
                <w:lang w:val="en-US" w:eastAsia="zh-CN"/>
              </w:rPr>
              <w:t xml:space="preserve">Option 2 allows non-continuous resource allocation for PUSCH. Support Option 2 </w:t>
            </w:r>
            <w:r>
              <w:rPr>
                <w:rFonts w:eastAsiaTheme="minorEastAsia"/>
                <w:lang w:val="en-US" w:eastAsia="zh-CN"/>
              </w:rPr>
              <w:t xml:space="preserve">does not mean UE </w:t>
            </w:r>
            <w:r>
              <w:rPr>
                <w:rFonts w:eastAsiaTheme="minorEastAsia"/>
                <w:lang w:val="en-US" w:eastAsia="zh-CN"/>
              </w:rPr>
              <w:t xml:space="preserve">can </w:t>
            </w:r>
            <w:r>
              <w:rPr>
                <w:rFonts w:eastAsiaTheme="minorEastAsia"/>
                <w:lang w:val="en-US" w:eastAsia="zh-CN"/>
              </w:rPr>
              <w:t xml:space="preserve">support the non-contiguous PUSCH resource allocation. It depends on UE capability. </w:t>
            </w:r>
            <w:r>
              <w:rPr>
                <w:rFonts w:eastAsiaTheme="minorEastAsia"/>
                <w:lang w:val="en-US" w:eastAsia="zh-CN"/>
              </w:rPr>
              <w:t>Per our understanding, c</w:t>
            </w:r>
            <w:r>
              <w:rPr>
                <w:rFonts w:eastAsiaTheme="minorEastAsia"/>
                <w:lang w:val="en-US" w:eastAsia="zh-CN"/>
              </w:rPr>
              <w:t xml:space="preserve">urrently no RAN4 UE features support the non-contiguous PUSCH resource allocation, even </w:t>
            </w:r>
            <w:proofErr w:type="spellStart"/>
            <w:r w:rsidRPr="00677625">
              <w:rPr>
                <w:rFonts w:eastAsiaTheme="minorEastAsia"/>
                <w:i/>
                <w:lang w:val="en-US" w:eastAsia="zh-CN"/>
              </w:rPr>
              <w:t>almostContiguousCP</w:t>
            </w:r>
            <w:proofErr w:type="spellEnd"/>
            <w:r w:rsidRPr="00677625">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w:t>
            </w:r>
            <w:r>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54282E" w14:paraId="0B61E0D7" w14:textId="77777777" w:rsidTr="00E208BB">
        <w:tc>
          <w:tcPr>
            <w:tcW w:w="1479" w:type="dxa"/>
          </w:tcPr>
          <w:p w14:paraId="2BC40574" w14:textId="77777777" w:rsidR="0054282E" w:rsidRDefault="0054282E" w:rsidP="00E208BB">
            <w:pPr>
              <w:rPr>
                <w:rFonts w:eastAsiaTheme="minorEastAsia"/>
                <w:lang w:val="en-US" w:eastAsia="zh-CN"/>
              </w:rPr>
            </w:pPr>
          </w:p>
        </w:tc>
        <w:tc>
          <w:tcPr>
            <w:tcW w:w="1372" w:type="dxa"/>
          </w:tcPr>
          <w:p w14:paraId="1A11EC2A" w14:textId="77777777" w:rsidR="0054282E" w:rsidRDefault="0054282E" w:rsidP="00E208BB">
            <w:pPr>
              <w:tabs>
                <w:tab w:val="left" w:pos="551"/>
              </w:tabs>
              <w:rPr>
                <w:rFonts w:eastAsiaTheme="minorEastAsia"/>
                <w:lang w:val="en-US" w:eastAsia="zh-CN"/>
              </w:rPr>
            </w:pPr>
          </w:p>
        </w:tc>
        <w:tc>
          <w:tcPr>
            <w:tcW w:w="6780" w:type="dxa"/>
          </w:tcPr>
          <w:p w14:paraId="3C9DC380" w14:textId="77777777" w:rsidR="0054282E" w:rsidRDefault="0054282E" w:rsidP="00E208BB">
            <w:pPr>
              <w:rPr>
                <w:rFonts w:eastAsiaTheme="minorEastAsia"/>
                <w:lang w:val="en-US" w:eastAsia="zh-CN"/>
              </w:rPr>
            </w:pP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aff"/>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aff"/>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aff"/>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aff"/>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 xml:space="preserve">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w:t>
      </w:r>
      <w:r>
        <w:rPr>
          <w:rFonts w:eastAsia="Microsoft YaHei UI"/>
          <w:lang w:val="en-US" w:eastAsia="zh-CN"/>
        </w:rPr>
        <w:lastRenderedPageBreak/>
        <w:t>[25]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aff"/>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aff"/>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aff"/>
        <w:numPr>
          <w:ilvl w:val="0"/>
          <w:numId w:val="23"/>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gNB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 xml:space="preserve">We don’t see the need for additional SIB1 link simulations as we already performed </w:t>
            </w:r>
            <w:r>
              <w:rPr>
                <w:rFonts w:eastAsiaTheme="minorEastAsia"/>
                <w:lang w:val="en-US" w:eastAsia="zh-CN"/>
              </w:rPr>
              <w:lastRenderedPageBreak/>
              <w:t>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In our understanding, Option 1 has two sub-options as follows;</w:t>
            </w:r>
          </w:p>
          <w:p w14:paraId="0A3ADCBB" w14:textId="77777777" w:rsidR="00FE1D11" w:rsidRDefault="006A1451">
            <w:pPr>
              <w:pStyle w:val="aff"/>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aff"/>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543CEA" w:rsidR="00FE1D11" w:rsidRDefault="006A1451">
            <w:pPr>
              <w:tabs>
                <w:tab w:val="left" w:pos="551"/>
              </w:tabs>
              <w:rPr>
                <w:rFonts w:eastAsia="Yu Mincho"/>
                <w:lang w:val="en-US" w:eastAsia="zh-CN"/>
              </w:rPr>
            </w:pPr>
            <w:r>
              <w:rPr>
                <w:rFonts w:eastAsia="Yu Mincho"/>
                <w:lang w:val="en-US" w:eastAsia="ja-JP"/>
              </w:rPr>
              <w:t>Option</w:t>
            </w:r>
            <w:r w:rsidR="005F1B89">
              <w:rPr>
                <w:rFonts w:eastAsia="Yu Mincho"/>
                <w:lang w:val="en-US" w:eastAsia="ja-JP"/>
              </w:rPr>
              <w:t xml:space="preserve"> </w:t>
            </w:r>
            <w:r>
              <w:rPr>
                <w:rFonts w:eastAsia="Yu Mincho"/>
                <w:lang w:val="en-US" w:eastAsia="ja-JP"/>
              </w:rPr>
              <w:t>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aff"/>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74900135" w14:textId="6D841EDD" w:rsidR="00F87ED3" w:rsidRPr="00F87ED3" w:rsidRDefault="00F87ED3" w:rsidP="007F5A61">
            <w:pPr>
              <w:pStyle w:val="aff"/>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w:t>
            </w:r>
            <w:r w:rsidRPr="00726FFE">
              <w:rPr>
                <w:rFonts w:ascii="Times New Roman" w:eastAsiaTheme="minorEastAsia" w:hAnsi="Times New Roman" w:cs="Times New Roman"/>
                <w:sz w:val="20"/>
                <w:szCs w:val="20"/>
                <w:lang w:val="en-US" w:eastAsia="zh-CN"/>
              </w:rPr>
              <w:lastRenderedPageBreak/>
              <w:t xml:space="preserve">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lastRenderedPageBreak/>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bookmarkStart w:id="10" w:name="_GoBack"/>
            <w:r>
              <w:rPr>
                <w:rFonts w:eastAsia="Malgun Gothic"/>
                <w:lang w:val="en-US" w:eastAsia="ko-KR"/>
              </w:rPr>
              <w:t>FL</w:t>
            </w:r>
            <w:r w:rsidR="007354F3">
              <w:rPr>
                <w:rFonts w:eastAsia="Malgun Gothic"/>
                <w:lang w:val="en-US" w:eastAsia="ko-KR"/>
              </w:rPr>
              <w:t>6</w:t>
            </w:r>
            <w:bookmarkEnd w:id="10"/>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t>For UE BB bandwidth reduction, for SIB1 (PDSCH)</w:t>
            </w:r>
            <w:r w:rsidRPr="00F27285">
              <w:rPr>
                <w:bCs/>
                <w:strike/>
                <w:color w:val="C00000"/>
                <w:lang w:val="en-US"/>
              </w:rPr>
              <w:t xml:space="preserve"> to Rel-18 RedCap UEs, down-select between the following options</w:t>
            </w:r>
            <w:r w:rsidRPr="008F2928">
              <w:rPr>
                <w:bCs/>
                <w:lang w:val="en-US"/>
              </w:rPr>
              <w:t>,</w:t>
            </w:r>
          </w:p>
          <w:p w14:paraId="7D46BDD2" w14:textId="77777777" w:rsidR="008F2928" w:rsidRPr="00F27285" w:rsidRDefault="008F2928" w:rsidP="008F2928">
            <w:pPr>
              <w:pStyle w:val="aff"/>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aff"/>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aff"/>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1"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bookmarkEnd w:id="11"/>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aff"/>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w:t>
            </w:r>
            <w:r>
              <w:rPr>
                <w:rFonts w:eastAsiaTheme="minorEastAsia"/>
                <w:lang w:val="en-US" w:eastAsia="zh-CN"/>
              </w:rPr>
              <w:lastRenderedPageBreak/>
              <w:t>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w:t>
            </w:r>
            <w:r>
              <w:rPr>
                <w:rFonts w:eastAsiaTheme="minorEastAsia"/>
                <w:lang w:val="en-US" w:eastAsia="zh-CN"/>
              </w:rPr>
              <w:lastRenderedPageBreak/>
              <w:t xml:space="preserve">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lastRenderedPageBreak/>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aff"/>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imply we have separate paging to Rel-18 </w:t>
            </w:r>
            <w:r>
              <w:rPr>
                <w:rFonts w:eastAsiaTheme="minorEastAsia"/>
                <w:lang w:val="en-US" w:eastAsia="zh-CN"/>
              </w:rPr>
              <w:lastRenderedPageBreak/>
              <w:t>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w:t>
            </w:r>
            <w:r>
              <w:rPr>
                <w:rFonts w:eastAsiaTheme="minorEastAsia"/>
                <w:lang w:val="en-US" w:eastAsia="zh-CN"/>
              </w:rPr>
              <w:lastRenderedPageBreak/>
              <w:t xml:space="preserve">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aff"/>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 xml:space="preserve">However, this also depends on whether VRB to PRB interleave is </w:t>
            </w:r>
            <w:r>
              <w:rPr>
                <w:rFonts w:eastAsia="Malgun Gothic"/>
                <w:lang w:val="en-US" w:eastAsia="ko-KR"/>
              </w:rPr>
              <w:lastRenderedPageBreak/>
              <w:t>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gNB more flexibility. </w:t>
            </w:r>
          </w:p>
          <w:p w14:paraId="7CDE7F57" w14:textId="77777777" w:rsidR="00FE1D11" w:rsidRDefault="006A145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宋体"/>
                      <w:color w:val="000000"/>
                    </w:rPr>
                  </w:pPr>
                  <w:r>
                    <w:rPr>
                      <w:rFonts w:eastAsia="宋体"/>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proofErr w:type="gramStart"/>
                  <w:r>
                    <w:rPr>
                      <w:rFonts w:eastAsia="宋体"/>
                      <w:color w:val="000000"/>
                      <w:lang w:val="en-US" w:eastAsia="zh-CN" w:bidi="ar"/>
                    </w:rPr>
                    <w:t>eRedCap,then</w:t>
                  </w:r>
                  <w:proofErr w:type="spellEnd"/>
                  <w:proofErr w:type="gramEnd"/>
                  <w:r>
                    <w:rPr>
                      <w:rFonts w:eastAsia="宋体"/>
                      <w:color w:val="000000"/>
                      <w:lang w:val="en-US" w:eastAsia="zh-CN" w:bidi="ar"/>
                    </w:rPr>
                    <w:t xml:space="preserve"> no problem for R17 RedCap if gNB schedule it within 5MHz, if not, then there will be coverage issue for R18 eRedCap,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w:t>
                  </w:r>
                  <w:proofErr w:type="spellStart"/>
                  <w:r>
                    <w:rPr>
                      <w:rFonts w:eastAsia="宋体"/>
                      <w:color w:val="000000"/>
                      <w:lang w:val="en-US" w:eastAsia="zh-CN" w:bidi="ar"/>
                    </w:rPr>
                    <w:t>RedCap</w:t>
                  </w:r>
                  <w:proofErr w:type="spellEnd"/>
                  <w:r>
                    <w:rPr>
                      <w:rFonts w:eastAsia="宋体"/>
                      <w:color w:val="000000"/>
                      <w:lang w:val="en-US" w:eastAsia="zh-CN" w:bidi="ar"/>
                    </w:rPr>
                    <w:t>.</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宋体"/>
                      <w:color w:val="000000"/>
                    </w:rPr>
                  </w:pPr>
                  <w:r>
                    <w:rPr>
                      <w:rFonts w:eastAsia="宋体"/>
                      <w:color w:val="000000"/>
                      <w:lang w:val="en-US" w:eastAsia="zh-CN" w:bidi="ar"/>
                    </w:rPr>
                    <w:t>of course, gNB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aff"/>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aff"/>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lastRenderedPageBreak/>
              <w:t>For UE BB bandwidth reduction, for paging channel (PDSCH) to Rel-18 RedCap UEs, down-select between the following options:</w:t>
            </w:r>
          </w:p>
          <w:p w14:paraId="096A0D69" w14:textId="77777777" w:rsidR="00FE1D11" w:rsidRDefault="006A1451">
            <w:pPr>
              <w:pStyle w:val="aff"/>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aff"/>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aff"/>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 xml:space="preserve">For OSI, repetition can be used for performance compensation. </w:t>
            </w:r>
            <w:r>
              <w:rPr>
                <w:rFonts w:eastAsiaTheme="minorEastAsia" w:hint="eastAsia"/>
                <w:lang w:val="en-US" w:eastAsia="zh-CN"/>
              </w:rPr>
              <w:lastRenderedPageBreak/>
              <w:t>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lastRenderedPageBreak/>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lastRenderedPageBreak/>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aff"/>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 xml:space="preserve">Similar comment on FFS as in 2-4b, but fine to leave it unchanged for </w:t>
            </w:r>
            <w:r>
              <w:rPr>
                <w:rFonts w:eastAsiaTheme="minorEastAsia" w:hint="eastAsia"/>
                <w:lang w:val="en-US" w:eastAsia="zh-CN"/>
              </w:rPr>
              <w:lastRenderedPageBreak/>
              <w:t>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w:t>
            </w:r>
            <w:r>
              <w:rPr>
                <w:rFonts w:eastAsiaTheme="minorEastAsia" w:hint="eastAsia"/>
                <w:lang w:val="en-US" w:eastAsia="zh-CN"/>
              </w:rPr>
              <w:lastRenderedPageBreak/>
              <w:t>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 xml:space="preserve">FFS: whether 5MHz is assumed to be physically </w:t>
            </w:r>
            <w:r>
              <w:rPr>
                <w:b/>
                <w:bCs/>
                <w:color w:val="FF0000"/>
                <w:szCs w:val="22"/>
                <w:lang w:val="en-US"/>
              </w:rPr>
              <w:lastRenderedPageBreak/>
              <w:t>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t>
      </w:r>
      <w:r>
        <w:rPr>
          <w:lang w:val="en-US"/>
        </w:rPr>
        <w:lastRenderedPageBreak/>
        <w:t>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2"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2"/>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leave it to UE implementation by HARQ combination without reducing </w:t>
            </w:r>
            <w:r>
              <w:rPr>
                <w:rFonts w:eastAsiaTheme="minorEastAsia"/>
                <w:lang w:val="en-US" w:eastAsia="zh-CN"/>
              </w:rPr>
              <w:lastRenderedPageBreak/>
              <w:t>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lastRenderedPageBreak/>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408D8E2" w14:textId="77777777" w:rsidR="00FE1D11" w:rsidRDefault="006A1451">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r>
              <w:rPr>
                <w:rFonts w:eastAsiaTheme="minorEastAsia"/>
                <w:lang w:val="en-US" w:eastAsia="zh-CN"/>
              </w:rPr>
              <w:lastRenderedPageBreak/>
              <w:t>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533D8384" w14:textId="77777777" w:rsidR="00FE1D11" w:rsidRDefault="006A1451">
            <w:pPr>
              <w:pStyle w:val="aff"/>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aff"/>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aff"/>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aff"/>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 xml:space="preserve">We are OK with the proposal from Mediatek, but don’t necessarily agree with all </w:t>
            </w:r>
            <w:r>
              <w:rPr>
                <w:rFonts w:eastAsiaTheme="minorEastAsia"/>
                <w:lang w:val="en-US" w:eastAsia="zh-CN"/>
              </w:rPr>
              <w:lastRenderedPageBreak/>
              <w:t>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lastRenderedPageBreak/>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lastRenderedPageBreak/>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lastRenderedPageBreak/>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w:t>
            </w:r>
            <w:r>
              <w:rPr>
                <w:rFonts w:eastAsiaTheme="minorEastAsia"/>
                <w:lang w:val="en-US" w:eastAsia="zh-CN"/>
              </w:rPr>
              <w:lastRenderedPageBreak/>
              <w:t xml:space="preserve">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ZTE, Sanechips</w:t>
            </w:r>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5F7CA765" w14:textId="77777777" w:rsidR="00FE1D11" w:rsidRDefault="006A145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w:t>
            </w:r>
            <w:r>
              <w:rPr>
                <w:rFonts w:ascii="Times New Roman" w:eastAsiaTheme="minorEastAsia" w:hAnsi="Times New Roman" w:cs="Times New Roman"/>
                <w:sz w:val="20"/>
                <w:szCs w:val="20"/>
                <w:lang w:val="en-US" w:eastAsia="zh-CN"/>
              </w:rPr>
              <w:lastRenderedPageBreak/>
              <w:t xml:space="preserve">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aff"/>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E4E79A1"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aff"/>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aff"/>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aff"/>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aff"/>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aff"/>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aff"/>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aff"/>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lastRenderedPageBreak/>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 xml:space="preserve">Dynamic indication of semi-static configuration of the 5-MHz </w:t>
            </w:r>
            <w:r>
              <w:rPr>
                <w:rFonts w:eastAsiaTheme="minorEastAsia"/>
                <w:b/>
                <w:bCs/>
                <w:color w:val="00B0F0"/>
                <w:sz w:val="20"/>
                <w:szCs w:val="22"/>
                <w:lang w:val="en-US" w:eastAsia="zh-CN"/>
              </w:rPr>
              <w:lastRenderedPageBreak/>
              <w:t>frequency location for PDSCH (for unicast and/or broadcast)</w:t>
            </w:r>
          </w:p>
          <w:p w14:paraId="6E2B9226" w14:textId="77777777" w:rsidR="00FE1D11" w:rsidRDefault="006A145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sidRPr="00104977">
              <w:rPr>
                <w:rFonts w:eastAsia="PMingLiU"/>
                <w:lang w:val="en-US" w:eastAsia="zh-TW"/>
              </w:rPr>
              <w:t>Proposal 2-9</w:t>
            </w:r>
            <w:r>
              <w:rPr>
                <w:rFonts w:eastAsia="PMingLiU"/>
                <w:lang w:val="en-US" w:eastAsia="zh-TW"/>
              </w:rPr>
              <w:t xml:space="preserve">d can be discussed after or together with the discussion on BW3 vs PR3. </w:t>
            </w:r>
          </w:p>
          <w:p w14:paraId="0DD043FC" w14:textId="77777777" w:rsidR="00702F5D" w:rsidRPr="00104977" w:rsidRDefault="00702F5D" w:rsidP="00E208BB">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702F5D" w14:paraId="3FB9E434" w14:textId="77777777" w:rsidTr="00702F5D">
        <w:tc>
          <w:tcPr>
            <w:tcW w:w="1479" w:type="dxa"/>
          </w:tcPr>
          <w:p w14:paraId="11534A7E" w14:textId="77777777" w:rsidR="00702F5D" w:rsidRDefault="00702F5D" w:rsidP="00E208BB">
            <w:pPr>
              <w:rPr>
                <w:rFonts w:eastAsia="PMingLiU"/>
                <w:lang w:val="en-US" w:eastAsia="zh-TW"/>
              </w:rPr>
            </w:pPr>
            <w:r>
              <w:rPr>
                <w:rFonts w:eastAsia="PMingLiU"/>
                <w:lang w:val="en-US" w:eastAsia="zh-TW"/>
              </w:rPr>
              <w:t>Huawei, HiSilicon</w:t>
            </w:r>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PMingLiU"/>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PMingLiU"/>
                <w:lang w:val="en-US" w:eastAsia="zh-TW"/>
              </w:rPr>
            </w:pPr>
            <w:r>
              <w:rPr>
                <w:rFonts w:eastAsia="PMingLiU"/>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PMingLiU"/>
                <w:lang w:val="en-US" w:eastAsia="zh-TW"/>
              </w:rPr>
            </w:pPr>
            <w:r>
              <w:rPr>
                <w:rFonts w:eastAsia="PMingLiU"/>
                <w:lang w:val="en-US" w:eastAsia="zh-TW"/>
              </w:rPr>
              <w:t xml:space="preserve">Based on comments, let us refine </w:t>
            </w:r>
          </w:p>
          <w:p w14:paraId="71281955" w14:textId="2551F023" w:rsidR="00702F5D" w:rsidRDefault="00702F5D" w:rsidP="00E208BB">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aff"/>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aff"/>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PMingLiU"/>
                <w:lang w:val="en-US" w:eastAsia="zh-TW"/>
              </w:rPr>
            </w:pPr>
            <w:r w:rsidRPr="00F87ED3">
              <w:rPr>
                <w:b/>
                <w:bCs/>
                <w:lang w:val="en-US" w:eastAsia="zh-CN"/>
              </w:rPr>
              <w:t>Other solutions are not precluded.</w:t>
            </w:r>
          </w:p>
          <w:p w14:paraId="3166F315" w14:textId="47BB4298" w:rsidR="00702F5D" w:rsidRPr="00702F5D" w:rsidRDefault="00702F5D" w:rsidP="00E208BB">
            <w:pPr>
              <w:rPr>
                <w:rFonts w:eastAsia="PMingLiU"/>
                <w:lang w:val="en-US" w:eastAsia="zh-TW"/>
              </w:rPr>
            </w:pPr>
            <w:r>
              <w:rPr>
                <w:rFonts w:eastAsia="PMingLiU"/>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 xml:space="preserve">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w:t>
            </w:r>
            <w:r>
              <w:rPr>
                <w:rFonts w:eastAsiaTheme="minorEastAsia"/>
                <w:lang w:val="en-US" w:eastAsia="zh-CN"/>
              </w:rPr>
              <w:lastRenderedPageBreak/>
              <w:t>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lastRenderedPageBreak/>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lastRenderedPageBreak/>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lastRenderedPageBreak/>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aff"/>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aff"/>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 xml:space="preserve">[9,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t>
      </w:r>
      <w:r>
        <w:rPr>
          <w:rFonts w:ascii="Times New Roman" w:eastAsia="Microsoft YaHei UI" w:hAnsi="Times New Roman" w:cs="Times New Roman"/>
          <w:sz w:val="20"/>
          <w:szCs w:val="20"/>
          <w:lang w:val="en-US" w:eastAsia="zh-CN"/>
        </w:rPr>
        <w:lastRenderedPageBreak/>
        <w:t>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aff"/>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aff"/>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C233FAD"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aff"/>
              <w:numPr>
                <w:ilvl w:val="0"/>
                <w:numId w:val="32"/>
              </w:numPr>
              <w:rPr>
                <w:b/>
                <w:bCs/>
                <w:sz w:val="20"/>
                <w:szCs w:val="20"/>
                <w:lang w:val="en-US"/>
              </w:rPr>
            </w:pPr>
            <w:r>
              <w:rPr>
                <w:b/>
                <w:bCs/>
                <w:sz w:val="20"/>
                <w:szCs w:val="20"/>
                <w:lang w:val="en-US"/>
              </w:rPr>
              <w:lastRenderedPageBreak/>
              <w:t>If UE peak data rate reduction is supported as an add-on to UE BB bandwidth reduction,</w:t>
            </w:r>
          </w:p>
          <w:p w14:paraId="19552E3F"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73DBEF57" w14:textId="77777777" w:rsidR="00FE1D11" w:rsidRDefault="006A1451">
            <w:pPr>
              <w:pStyle w:val="aff"/>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aff"/>
              <w:ind w:left="0"/>
              <w:rPr>
                <w:sz w:val="20"/>
                <w:szCs w:val="20"/>
                <w:lang w:val="en-US" w:eastAsia="zh-CN"/>
              </w:rPr>
            </w:pPr>
          </w:p>
          <w:p w14:paraId="3A20586D" w14:textId="77777777" w:rsidR="00FE1D11" w:rsidRDefault="006A1451">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aff"/>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aff"/>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 xml:space="preserve">Nokia, </w:t>
            </w:r>
            <w:r>
              <w:rPr>
                <w:lang w:val="en-US" w:eastAsia="zh-CN"/>
              </w:rPr>
              <w:lastRenderedPageBreak/>
              <w:t>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aff"/>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aff"/>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AF7FE6D" w14:textId="77777777" w:rsidR="00FE1D11" w:rsidRDefault="006A1451">
            <w:pPr>
              <w:pStyle w:val="aff"/>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DAF09B7" w14:textId="77777777" w:rsidR="00FE1D11" w:rsidRDefault="006A1451">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Max TBS /per ms</w:t>
                  </w:r>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lastRenderedPageBreak/>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aff"/>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9629E19" w14:textId="77777777" w:rsidR="00FE1D11" w:rsidRDefault="006A1451">
            <w:pPr>
              <w:pStyle w:val="aff"/>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aff"/>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AFDE60B" w14:textId="77777777" w:rsidR="00FE1D11" w:rsidRDefault="006A1451">
            <w:pPr>
              <w:pStyle w:val="aff"/>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lastRenderedPageBreak/>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lastRenderedPageBreak/>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aff"/>
              <w:numPr>
                <w:ilvl w:val="0"/>
                <w:numId w:val="3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BE7A37" w14:textId="77777777" w:rsidR="00FE1D11" w:rsidRDefault="006A1451">
            <w:pPr>
              <w:pStyle w:val="aff"/>
              <w:numPr>
                <w:ilvl w:val="0"/>
                <w:numId w:val="32"/>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lastRenderedPageBreak/>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D5F0BE7"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4529EDB" w14:textId="77777777" w:rsidR="00FE1D11" w:rsidRDefault="006A1451">
            <w:pPr>
              <w:pStyle w:val="aff"/>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w:t>
            </w:r>
            <w:r>
              <w:rPr>
                <w:rFonts w:eastAsiaTheme="minorEastAsia"/>
                <w:lang w:val="en-US" w:eastAsia="zh-CN"/>
              </w:rPr>
              <w:lastRenderedPageBreak/>
              <w:t xml:space="preserve">RedCap can be achieved considering additionally early identification is required. Therefore, we suggest to put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lastRenderedPageBreak/>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aff"/>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aff"/>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aff"/>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aff"/>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aff"/>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aff"/>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aff"/>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51378675" w14:textId="77777777" w:rsidR="00FE1D11" w:rsidRDefault="006A1451">
            <w:pPr>
              <w:pStyle w:val="aff"/>
              <w:numPr>
                <w:ilvl w:val="1"/>
                <w:numId w:val="32"/>
              </w:numPr>
              <w:rPr>
                <w:sz w:val="20"/>
                <w:szCs w:val="20"/>
                <w:lang w:val="en-US"/>
              </w:rPr>
            </w:pPr>
            <w:r>
              <w:rPr>
                <w:sz w:val="20"/>
                <w:szCs w:val="20"/>
                <w:lang w:val="en-US"/>
              </w:rPr>
              <w:t>FFS: the value of X</w:t>
            </w:r>
          </w:p>
          <w:p w14:paraId="5A2E0BC5" w14:textId="77777777" w:rsidR="00FE1D11" w:rsidRDefault="006A1451">
            <w:pPr>
              <w:pStyle w:val="aff"/>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aff"/>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8F11EA3" w14:textId="77777777" w:rsidR="00FE1D11" w:rsidRDefault="006A1451">
            <w:pPr>
              <w:pStyle w:val="aff"/>
              <w:numPr>
                <w:ilvl w:val="1"/>
                <w:numId w:val="32"/>
              </w:numPr>
              <w:rPr>
                <w:sz w:val="20"/>
                <w:szCs w:val="20"/>
                <w:lang w:val="en-US"/>
              </w:rPr>
            </w:pPr>
            <w:r>
              <w:rPr>
                <w:sz w:val="20"/>
                <w:szCs w:val="20"/>
                <w:lang w:val="en-US"/>
              </w:rPr>
              <w:t>FFS: the value of Y</w:t>
            </w:r>
          </w:p>
          <w:p w14:paraId="653130F3" w14:textId="77777777" w:rsidR="00FE1D11" w:rsidRDefault="006A1451">
            <w:pPr>
              <w:pStyle w:val="aff"/>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tcPr>
          <w:p w14:paraId="5EB897B7" w14:textId="77777777" w:rsidR="00FE1D11" w:rsidRDefault="006A145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lastRenderedPageBreak/>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宋体"/>
                <w:lang w:val="en-US" w:eastAsia="zh-CN"/>
              </w:rPr>
            </w:pPr>
            <w:r>
              <w:rPr>
                <w:rFonts w:eastAsia="宋体" w:hint="eastAsia"/>
                <w:lang w:val="en-US" w:eastAsia="zh-CN"/>
              </w:rPr>
              <w:t>ZTE, Sanechips</w:t>
            </w:r>
          </w:p>
        </w:tc>
        <w:tc>
          <w:tcPr>
            <w:tcW w:w="8108" w:type="dxa"/>
          </w:tcPr>
          <w:p w14:paraId="354BAB6C" w14:textId="77777777" w:rsidR="00FE1D11" w:rsidRDefault="006A1451">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RedCap UE should satisfy the 10Mbps peak data rate. For example, for Rel-17 RedCap UE, the 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14:paraId="32FC2DEB" w14:textId="77777777" w:rsidR="00FE1D11" w:rsidRDefault="006A1451">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aff"/>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So the detailed value of X is of course uncertain for now. </w:t>
            </w:r>
            <w:proofErr w:type="spellStart"/>
            <w:r w:rsidRPr="00F87ED3">
              <w:rPr>
                <w:rFonts w:eastAsiaTheme="minorEastAsia"/>
                <w:sz w:val="20"/>
                <w:lang w:val="en-US" w:eastAsia="zh-CN"/>
              </w:rPr>
              <w:t>D</w:t>
            </w:r>
            <w:r w:rsidRPr="00F87ED3">
              <w:rPr>
                <w:rFonts w:eastAsiaTheme="minorEastAsia" w:hint="eastAsia"/>
                <w:sz w:val="20"/>
                <w:lang w:val="en-US" w:eastAsia="zh-CN"/>
              </w:rPr>
              <w:t>etermiation</w:t>
            </w:r>
            <w:proofErr w:type="spellEnd"/>
            <w:r w:rsidRPr="00F87ED3">
              <w:rPr>
                <w:rFonts w:eastAsiaTheme="minorEastAsia" w:hint="eastAsia"/>
                <w:sz w:val="20"/>
                <w:lang w:val="en-US" w:eastAsia="zh-CN"/>
              </w:rPr>
              <w:t xml:space="preserve"> of X should be done after we have aligned understanding for the maximum PRB number.</w:t>
            </w:r>
          </w:p>
          <w:p w14:paraId="4C4403F7" w14:textId="77777777" w:rsidR="00FE1D11" w:rsidRDefault="006A1451">
            <w:pPr>
              <w:pStyle w:val="aff"/>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aff"/>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13B5BE41" w14:textId="77777777" w:rsidR="00FE1D11" w:rsidRDefault="006A1451">
            <w:pPr>
              <w:rPr>
                <w:rFonts w:eastAsia="宋体"/>
                <w:lang w:val="en-US" w:eastAsia="zh-CN"/>
              </w:rPr>
            </w:pPr>
            <w:r>
              <w:rPr>
                <w:rFonts w:eastAsia="宋体" w:hint="eastAsia"/>
                <w:lang w:val="en-US" w:eastAsia="zh-CN"/>
              </w:rPr>
              <w:t>The X can be 2.</w:t>
            </w:r>
          </w:p>
          <w:p w14:paraId="3E506F99" w14:textId="77777777" w:rsidR="00FE1D11" w:rsidRDefault="006A1451">
            <w:pPr>
              <w:rPr>
                <w:rFonts w:eastAsia="宋体"/>
                <w:lang w:val="en-US" w:eastAsia="zh-CN"/>
              </w:rPr>
            </w:pPr>
            <w:r>
              <w:rPr>
                <w:rFonts w:eastAsia="宋体" w:hint="eastAsia"/>
                <w:lang w:val="en-US" w:eastAsia="zh-CN"/>
              </w:rPr>
              <w:t>Firstly, we share the same observations as Nordic and ZTE.</w:t>
            </w:r>
          </w:p>
          <w:p w14:paraId="2ED60BF6" w14:textId="77777777" w:rsidR="00FE1D11" w:rsidRDefault="006A1451">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We have a similar view as ZTE and Spreadtrum.</w:t>
            </w:r>
          </w:p>
          <w:p w14:paraId="33AA7EFC" w14:textId="77777777" w:rsidR="00FE1D11" w:rsidRDefault="006A1451">
            <w:pPr>
              <w:rPr>
                <w:rFonts w:eastAsia="Yu Mincho"/>
                <w:lang w:val="en-US" w:eastAsia="ja-JP"/>
              </w:rPr>
            </w:pPr>
            <w:r>
              <w:rPr>
                <w:rFonts w:eastAsia="Yu Mincho"/>
                <w:lang w:val="en-US" w:eastAsia="ja-JP"/>
              </w:rPr>
              <w:lastRenderedPageBreak/>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宋体"/>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lastRenderedPageBreak/>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lastRenderedPageBreak/>
              <w:t>X=4, DL:11.77Mbps, UL:12.59Mbps;</w:t>
            </w:r>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t>X=3.2, DL:10.27Mbps, UL:10.99Mbps;</w:t>
            </w:r>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lastRenderedPageBreak/>
              <w:t>Intel</w:t>
            </w:r>
          </w:p>
        </w:tc>
        <w:tc>
          <w:tcPr>
            <w:tcW w:w="8108" w:type="dxa"/>
          </w:tcPr>
          <w:p w14:paraId="5B365375" w14:textId="1F58FE22" w:rsidR="00530680" w:rsidRPr="00F87ED3" w:rsidRDefault="00530680" w:rsidP="007F5A61">
            <w:pPr>
              <w:pStyle w:val="aff"/>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Yu Mincho"/>
                <w:lang w:eastAsia="ja-JP"/>
              </w:rPr>
              <w:t>Sequans</w:t>
            </w:r>
          </w:p>
        </w:tc>
        <w:tc>
          <w:tcPr>
            <w:tcW w:w="8108" w:type="dxa"/>
          </w:tcPr>
          <w:p w14:paraId="5A0D3C54" w14:textId="7BE04044" w:rsidR="007A51A0" w:rsidRPr="00F87ED3" w:rsidRDefault="007A51A0" w:rsidP="007F5A61">
            <w:pPr>
              <w:pStyle w:val="aff"/>
              <w:ind w:left="0"/>
              <w:rPr>
                <w:rFonts w:eastAsiaTheme="minorEastAsia"/>
                <w:bCs/>
                <w:sz w:val="20"/>
                <w:lang w:val="en-US" w:eastAsia="zh-CN"/>
              </w:rPr>
            </w:pPr>
            <w:r w:rsidRPr="005137D7">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Yu Mincho"/>
                <w:lang w:eastAsia="ja-JP"/>
              </w:rPr>
            </w:pPr>
            <w:r>
              <w:rPr>
                <w:rFonts w:eastAsia="Yu Mincho"/>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proofErr w:type="spellStart"/>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roofErr w:type="spellEnd"/>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7F5A61">
            <w:pPr>
              <w:pStyle w:val="aff"/>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xml:space="preserve">, since max TBS is not </w:t>
            </w:r>
            <w:r>
              <w:rPr>
                <w:rFonts w:eastAsiaTheme="minorEastAsia"/>
                <w:lang w:val="en-US" w:eastAsia="zh-CN"/>
              </w:rPr>
              <w:lastRenderedPageBreak/>
              <w:t>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Msg1/MsgA PRACH</w:t>
      </w:r>
    </w:p>
    <w:p w14:paraId="64FC5AD3" w14:textId="77777777" w:rsidR="00FE1D11" w:rsidRDefault="006A145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Msg3/MsgA PUSCH</w:t>
      </w:r>
    </w:p>
    <w:p w14:paraId="7488F342" w14:textId="77777777" w:rsidR="00FE1D11" w:rsidRDefault="006A145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02495B7" w14:textId="77777777" w:rsidR="00FE1D11" w:rsidRDefault="006A1451">
      <w:pPr>
        <w:pStyle w:val="aff"/>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 xml:space="preserve">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w:t>
            </w:r>
            <w:r>
              <w:rPr>
                <w:rFonts w:eastAsiaTheme="minorEastAsia"/>
                <w:lang w:val="en-US" w:eastAsia="zh-CN"/>
              </w:rPr>
              <w:lastRenderedPageBreak/>
              <w:t>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lastRenderedPageBreak/>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lastRenderedPageBreak/>
        <w:t>Feature group / UE type / capability reporting</w:t>
      </w:r>
    </w:p>
    <w:p w14:paraId="2B6CAF83"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aff"/>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1"/>
        <w:numPr>
          <w:ilvl w:val="0"/>
          <w:numId w:val="0"/>
        </w:numPr>
        <w:ind w:left="432" w:hanging="432"/>
        <w:rPr>
          <w:lang w:val="en-US"/>
        </w:rPr>
      </w:pPr>
      <w:bookmarkStart w:id="1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3"/>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E208BB">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E208BB">
            <w:pPr>
              <w:jc w:val="left"/>
              <w:rPr>
                <w:rFonts w:eastAsia="Calibri"/>
                <w:color w:val="0000FF"/>
                <w:u w:val="single"/>
                <w:lang w:val="en-US"/>
              </w:rPr>
            </w:pPr>
            <w:hyperlink r:id="rId15" w:history="1">
              <w:r w:rsidR="006A1451">
                <w:rPr>
                  <w:rStyle w:val="afb"/>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E208BB">
            <w:pPr>
              <w:jc w:val="left"/>
              <w:rPr>
                <w:rFonts w:eastAsia="Calibri"/>
                <w:color w:val="0000FF"/>
                <w:szCs w:val="22"/>
                <w:u w:val="single"/>
                <w:lang w:val="en-US"/>
              </w:rPr>
            </w:pPr>
            <w:hyperlink r:id="rId16" w:history="1">
              <w:r w:rsidR="006A1451">
                <w:rPr>
                  <w:rStyle w:val="afb"/>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E208BB">
            <w:pPr>
              <w:jc w:val="left"/>
              <w:rPr>
                <w:rFonts w:eastAsia="Calibri"/>
                <w:szCs w:val="22"/>
                <w:lang w:val="en-US"/>
              </w:rPr>
            </w:pPr>
            <w:hyperlink r:id="rId17" w:history="1">
              <w:r w:rsidR="006A1451">
                <w:rPr>
                  <w:rStyle w:val="afb"/>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E208BB">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E208BB">
            <w:pPr>
              <w:jc w:val="left"/>
              <w:rPr>
                <w:rStyle w:val="afb"/>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E208BB">
            <w:pPr>
              <w:jc w:val="left"/>
              <w:rPr>
                <w:rStyle w:val="afb"/>
                <w:color w:val="0000FF"/>
                <w:lang w:val="en-US" w:eastAsia="sv-SE"/>
              </w:rPr>
            </w:pPr>
            <w:hyperlink r:id="rId20" w:history="1">
              <w:r w:rsidR="006A1451">
                <w:rPr>
                  <w:rStyle w:val="afb"/>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E208BB">
            <w:pPr>
              <w:jc w:val="left"/>
              <w:rPr>
                <w:rStyle w:val="afb"/>
                <w:color w:val="0000FF"/>
                <w:lang w:val="en-US" w:eastAsia="sv-SE"/>
              </w:rPr>
            </w:pPr>
            <w:hyperlink r:id="rId21" w:history="1">
              <w:r w:rsidR="006A1451">
                <w:rPr>
                  <w:rStyle w:val="afb"/>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E208BB">
            <w:pPr>
              <w:jc w:val="left"/>
              <w:rPr>
                <w:rStyle w:val="afb"/>
                <w:color w:val="0000FF"/>
                <w:lang w:val="en-US" w:eastAsia="sv-SE"/>
              </w:rPr>
            </w:pPr>
            <w:hyperlink r:id="rId22" w:history="1">
              <w:r w:rsidR="006A1451">
                <w:rPr>
                  <w:rStyle w:val="afb"/>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E208BB">
            <w:pPr>
              <w:jc w:val="left"/>
              <w:rPr>
                <w:rStyle w:val="afb"/>
                <w:color w:val="0000FF"/>
                <w:lang w:val="en-US" w:eastAsia="sv-SE"/>
              </w:rPr>
            </w:pPr>
            <w:hyperlink r:id="rId23" w:history="1">
              <w:r w:rsidR="006A1451">
                <w:rPr>
                  <w:rStyle w:val="afb"/>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E208BB">
            <w:pPr>
              <w:jc w:val="left"/>
              <w:rPr>
                <w:rStyle w:val="afb"/>
                <w:color w:val="0000FF"/>
                <w:lang w:val="en-US" w:eastAsia="sv-SE"/>
              </w:rPr>
            </w:pPr>
            <w:hyperlink r:id="rId24" w:history="1">
              <w:r w:rsidR="006A1451">
                <w:rPr>
                  <w:rStyle w:val="afb"/>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E208BB">
            <w:pPr>
              <w:jc w:val="left"/>
              <w:rPr>
                <w:rStyle w:val="afb"/>
                <w:color w:val="0000FF"/>
                <w:lang w:val="en-US" w:eastAsia="sv-SE"/>
              </w:rPr>
            </w:pPr>
            <w:hyperlink r:id="rId25" w:history="1">
              <w:r w:rsidR="006A1451">
                <w:rPr>
                  <w:rStyle w:val="afb"/>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E208BB">
            <w:pPr>
              <w:jc w:val="left"/>
              <w:rPr>
                <w:rStyle w:val="afb"/>
                <w:color w:val="0000FF"/>
                <w:lang w:val="en-US" w:eastAsia="sv-SE"/>
              </w:rPr>
            </w:pPr>
            <w:hyperlink r:id="rId26" w:history="1">
              <w:r w:rsidR="006A1451">
                <w:rPr>
                  <w:rStyle w:val="afb"/>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5ED0C9FC" w14:textId="77777777" w:rsidR="00FE1D11" w:rsidRDefault="00E208BB">
            <w:pPr>
              <w:jc w:val="left"/>
              <w:rPr>
                <w:rStyle w:val="afb"/>
                <w:color w:val="0000FF"/>
                <w:lang w:val="en-US" w:eastAsia="sv-SE"/>
              </w:rPr>
            </w:pPr>
            <w:hyperlink r:id="rId27" w:history="1">
              <w:r w:rsidR="006A1451">
                <w:rPr>
                  <w:rStyle w:val="afb"/>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Discussion on further complexity reduction for eRedCap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E208BB">
            <w:pPr>
              <w:jc w:val="left"/>
              <w:rPr>
                <w:rStyle w:val="afb"/>
                <w:color w:val="0000FF"/>
                <w:lang w:val="en-US" w:eastAsia="sv-SE"/>
              </w:rPr>
            </w:pPr>
            <w:hyperlink r:id="rId28" w:history="1">
              <w:r w:rsidR="006A1451">
                <w:rPr>
                  <w:rStyle w:val="afb"/>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E208BB">
            <w:pPr>
              <w:jc w:val="left"/>
              <w:rPr>
                <w:rStyle w:val="afb"/>
                <w:color w:val="0000FF"/>
                <w:lang w:val="en-US" w:eastAsia="sv-SE"/>
              </w:rPr>
            </w:pPr>
            <w:hyperlink r:id="rId29" w:history="1">
              <w:r w:rsidR="006A1451">
                <w:rPr>
                  <w:rStyle w:val="afb"/>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E208BB">
            <w:pPr>
              <w:jc w:val="left"/>
              <w:rPr>
                <w:rStyle w:val="afb"/>
                <w:color w:val="0000FF"/>
                <w:lang w:val="en-US" w:eastAsia="sv-SE"/>
              </w:rPr>
            </w:pPr>
            <w:hyperlink r:id="rId30" w:history="1">
              <w:r w:rsidR="006A1451">
                <w:rPr>
                  <w:rStyle w:val="afb"/>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E208BB">
            <w:pPr>
              <w:jc w:val="left"/>
              <w:rPr>
                <w:rStyle w:val="afb"/>
                <w:color w:val="0000FF"/>
                <w:lang w:val="en-US" w:eastAsia="sv-SE"/>
              </w:rPr>
            </w:pPr>
            <w:hyperlink r:id="rId31" w:history="1">
              <w:r w:rsidR="006A1451">
                <w:rPr>
                  <w:rStyle w:val="afb"/>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E208BB">
            <w:pPr>
              <w:jc w:val="left"/>
              <w:rPr>
                <w:rStyle w:val="afb"/>
                <w:color w:val="0000FF"/>
                <w:lang w:val="en-US" w:eastAsia="sv-SE"/>
              </w:rPr>
            </w:pPr>
            <w:hyperlink r:id="rId32" w:history="1">
              <w:r w:rsidR="006A1451">
                <w:rPr>
                  <w:rStyle w:val="afb"/>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E208BB">
            <w:pPr>
              <w:jc w:val="left"/>
              <w:rPr>
                <w:rStyle w:val="afb"/>
                <w:color w:val="0000FF"/>
                <w:lang w:val="en-US" w:eastAsia="sv-SE"/>
              </w:rPr>
            </w:pPr>
            <w:hyperlink r:id="rId33" w:history="1">
              <w:r w:rsidR="006A1451">
                <w:rPr>
                  <w:rStyle w:val="afb"/>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ZTE, Sanechips</w:t>
            </w:r>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E208BB">
            <w:pPr>
              <w:jc w:val="left"/>
              <w:rPr>
                <w:rStyle w:val="afb"/>
                <w:color w:val="0000FF"/>
                <w:lang w:val="en-US" w:eastAsia="sv-SE"/>
              </w:rPr>
            </w:pPr>
            <w:hyperlink r:id="rId34" w:history="1">
              <w:r w:rsidR="006A1451">
                <w:rPr>
                  <w:rStyle w:val="afb"/>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E208BB">
            <w:pPr>
              <w:jc w:val="left"/>
              <w:rPr>
                <w:rStyle w:val="afb"/>
                <w:color w:val="0000FF"/>
                <w:lang w:val="en-US" w:eastAsia="sv-SE"/>
              </w:rPr>
            </w:pPr>
            <w:hyperlink r:id="rId35" w:history="1">
              <w:r w:rsidR="006A1451">
                <w:rPr>
                  <w:rStyle w:val="afb"/>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E208BB">
            <w:pPr>
              <w:jc w:val="left"/>
              <w:rPr>
                <w:rStyle w:val="afb"/>
                <w:color w:val="0000FF"/>
                <w:lang w:val="en-US" w:eastAsia="sv-SE"/>
              </w:rPr>
            </w:pPr>
            <w:hyperlink r:id="rId36" w:history="1">
              <w:r w:rsidR="006A1451">
                <w:rPr>
                  <w:rStyle w:val="afb"/>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E208BB">
            <w:pPr>
              <w:jc w:val="left"/>
              <w:rPr>
                <w:rStyle w:val="afb"/>
                <w:color w:val="0000FF"/>
                <w:lang w:val="en-US" w:eastAsia="sv-SE"/>
              </w:rPr>
            </w:pPr>
            <w:hyperlink r:id="rId37" w:history="1">
              <w:r w:rsidR="006A1451">
                <w:rPr>
                  <w:rStyle w:val="afb"/>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E208BB">
            <w:pPr>
              <w:jc w:val="left"/>
              <w:rPr>
                <w:rStyle w:val="afb"/>
                <w:color w:val="0000FF"/>
                <w:lang w:val="en-US" w:eastAsia="sv-SE"/>
              </w:rPr>
            </w:pPr>
            <w:hyperlink r:id="rId38" w:history="1">
              <w:r w:rsidR="006A1451">
                <w:rPr>
                  <w:rStyle w:val="afb"/>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E208BB">
            <w:pPr>
              <w:jc w:val="left"/>
              <w:rPr>
                <w:rStyle w:val="afb"/>
                <w:color w:val="0000FF"/>
                <w:lang w:val="en-US" w:eastAsia="sv-SE"/>
              </w:rPr>
            </w:pPr>
            <w:hyperlink r:id="rId39" w:history="1">
              <w:r w:rsidR="006A1451">
                <w:rPr>
                  <w:rStyle w:val="afb"/>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E208BB">
            <w:pPr>
              <w:jc w:val="left"/>
              <w:rPr>
                <w:rStyle w:val="afb"/>
                <w:color w:val="0000FF"/>
                <w:lang w:val="en-US" w:eastAsia="sv-SE"/>
              </w:rPr>
            </w:pPr>
            <w:hyperlink r:id="rId40" w:history="1">
              <w:r w:rsidR="006A1451">
                <w:rPr>
                  <w:rStyle w:val="afb"/>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E208BB">
            <w:pPr>
              <w:jc w:val="left"/>
              <w:rPr>
                <w:rStyle w:val="afb"/>
                <w:color w:val="0000FF"/>
                <w:lang w:val="en-US" w:eastAsia="sv-SE"/>
              </w:rPr>
            </w:pPr>
            <w:hyperlink r:id="rId41" w:history="1">
              <w:r w:rsidR="006A1451">
                <w:rPr>
                  <w:rStyle w:val="afb"/>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E208BB">
            <w:pPr>
              <w:jc w:val="left"/>
              <w:rPr>
                <w:rStyle w:val="afb"/>
                <w:color w:val="0000FF"/>
                <w:lang w:val="en-US" w:eastAsia="sv-SE"/>
              </w:rPr>
            </w:pPr>
            <w:hyperlink r:id="rId42" w:history="1">
              <w:r w:rsidR="006A1451">
                <w:rPr>
                  <w:rStyle w:val="afb"/>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E208BB">
            <w:pPr>
              <w:jc w:val="left"/>
              <w:rPr>
                <w:rStyle w:val="afb"/>
                <w:color w:val="0000FF"/>
                <w:lang w:val="en-US" w:eastAsia="sv-SE"/>
              </w:rPr>
            </w:pPr>
            <w:hyperlink r:id="rId43" w:history="1">
              <w:r w:rsidR="006A1451">
                <w:rPr>
                  <w:rStyle w:val="afb"/>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E208BB">
            <w:pPr>
              <w:jc w:val="left"/>
              <w:rPr>
                <w:rStyle w:val="afb"/>
                <w:color w:val="0000FF"/>
                <w:lang w:val="en-US" w:eastAsia="sv-SE"/>
              </w:rPr>
            </w:pPr>
            <w:hyperlink r:id="rId44" w:history="1">
              <w:r w:rsidR="006A1451">
                <w:rPr>
                  <w:rStyle w:val="afb"/>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E208BB">
            <w:pPr>
              <w:jc w:val="left"/>
              <w:rPr>
                <w:rStyle w:val="afb"/>
                <w:color w:val="0000FF"/>
                <w:lang w:val="en-US" w:eastAsia="sv-SE"/>
              </w:rPr>
            </w:pPr>
            <w:hyperlink r:id="rId45" w:history="1">
              <w:r w:rsidR="006A1451">
                <w:rPr>
                  <w:rStyle w:val="afb"/>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E208BB">
            <w:pPr>
              <w:jc w:val="left"/>
              <w:rPr>
                <w:color w:val="000000"/>
                <w:lang w:val="en-US"/>
              </w:rPr>
            </w:pPr>
            <w:hyperlink r:id="rId46" w:history="1">
              <w:r w:rsidR="006A1451">
                <w:rPr>
                  <w:rStyle w:val="afb"/>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E208BB">
            <w:pPr>
              <w:jc w:val="left"/>
              <w:rPr>
                <w:color w:val="000000"/>
                <w:lang w:val="en-US"/>
              </w:rPr>
            </w:pPr>
            <w:hyperlink r:id="rId47" w:history="1">
              <w:r w:rsidR="006A1451">
                <w:rPr>
                  <w:rStyle w:val="afb"/>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E208BB">
            <w:pPr>
              <w:jc w:val="left"/>
            </w:pPr>
            <w:hyperlink r:id="rId48" w:history="1">
              <w:r w:rsidR="006A1451">
                <w:rPr>
                  <w:rStyle w:val="afb"/>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E208BB">
            <w:pPr>
              <w:jc w:val="left"/>
            </w:pPr>
            <w:hyperlink r:id="rId50" w:history="1">
              <w:r w:rsidR="006A1451">
                <w:rPr>
                  <w:rStyle w:val="afb"/>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E208BB">
            <w:pPr>
              <w:jc w:val="left"/>
            </w:pPr>
            <w:hyperlink r:id="rId51" w:history="1">
              <w:r w:rsidR="006A1451">
                <w:rPr>
                  <w:rStyle w:val="afb"/>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682B1" w14:textId="77777777" w:rsidR="000E7B0A" w:rsidRDefault="000E7B0A">
      <w:pPr>
        <w:spacing w:line="240" w:lineRule="auto"/>
      </w:pPr>
      <w:r>
        <w:separator/>
      </w:r>
    </w:p>
  </w:endnote>
  <w:endnote w:type="continuationSeparator" w:id="0">
    <w:p w14:paraId="08585C7C" w14:textId="77777777" w:rsidR="000E7B0A" w:rsidRDefault="000E7B0A">
      <w:pPr>
        <w:spacing w:line="240" w:lineRule="auto"/>
      </w:pPr>
      <w:r>
        <w:continuationSeparator/>
      </w:r>
    </w:p>
  </w:endnote>
  <w:endnote w:type="continuationNotice" w:id="1">
    <w:p w14:paraId="073B0D33" w14:textId="77777777" w:rsidR="000E7B0A" w:rsidRDefault="000E7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734FC" w14:textId="77777777" w:rsidR="000E7B0A" w:rsidRDefault="000E7B0A">
      <w:pPr>
        <w:spacing w:after="0"/>
      </w:pPr>
      <w:r>
        <w:separator/>
      </w:r>
    </w:p>
  </w:footnote>
  <w:footnote w:type="continuationSeparator" w:id="0">
    <w:p w14:paraId="693BEB5D" w14:textId="77777777" w:rsidR="000E7B0A" w:rsidRDefault="000E7B0A">
      <w:pPr>
        <w:spacing w:after="0"/>
      </w:pPr>
      <w:r>
        <w:continuationSeparator/>
      </w:r>
    </w:p>
  </w:footnote>
  <w:footnote w:type="continuationNotice" w:id="1">
    <w:p w14:paraId="1FE9EC2B" w14:textId="77777777" w:rsidR="000E7B0A" w:rsidRDefault="000E7B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1"/>
  </w:num>
  <w:num w:numId="9">
    <w:abstractNumId w:val="40"/>
  </w:num>
  <w:num w:numId="10">
    <w:abstractNumId w:val="33"/>
  </w:num>
  <w:num w:numId="11">
    <w:abstractNumId w:val="18"/>
  </w:num>
  <w:num w:numId="12">
    <w:abstractNumId w:val="27"/>
  </w:num>
  <w:num w:numId="13">
    <w:abstractNumId w:val="12"/>
  </w:num>
  <w:num w:numId="14">
    <w:abstractNumId w:val="36"/>
  </w:num>
  <w:num w:numId="15">
    <w:abstractNumId w:val="19"/>
  </w:num>
  <w:num w:numId="16">
    <w:abstractNumId w:val="13"/>
  </w:num>
  <w:num w:numId="17">
    <w:abstractNumId w:val="23"/>
  </w:num>
  <w:num w:numId="18">
    <w:abstractNumId w:val="16"/>
  </w:num>
  <w:num w:numId="19">
    <w:abstractNumId w:val="34"/>
  </w:num>
  <w:num w:numId="20">
    <w:abstractNumId w:val="32"/>
  </w:num>
  <w:num w:numId="21">
    <w:abstractNumId w:val="42"/>
  </w:num>
  <w:num w:numId="22">
    <w:abstractNumId w:val="25"/>
  </w:num>
  <w:num w:numId="23">
    <w:abstractNumId w:val="30"/>
  </w:num>
  <w:num w:numId="24">
    <w:abstractNumId w:val="39"/>
  </w:num>
  <w:num w:numId="25">
    <w:abstractNumId w:val="8"/>
  </w:num>
  <w:num w:numId="26">
    <w:abstractNumId w:val="5"/>
  </w:num>
  <w:num w:numId="27">
    <w:abstractNumId w:val="26"/>
  </w:num>
  <w:num w:numId="28">
    <w:abstractNumId w:val="0"/>
  </w:num>
  <w:num w:numId="29">
    <w:abstractNumId w:val="11"/>
  </w:num>
  <w:num w:numId="30">
    <w:abstractNumId w:val="28"/>
  </w:num>
  <w:num w:numId="31">
    <w:abstractNumId w:val="29"/>
  </w:num>
  <w:num w:numId="32">
    <w:abstractNumId w:val="37"/>
  </w:num>
  <w:num w:numId="33">
    <w:abstractNumId w:val="20"/>
  </w:num>
  <w:num w:numId="34">
    <w:abstractNumId w:val="6"/>
  </w:num>
  <w:num w:numId="35">
    <w:abstractNumId w:val="9"/>
  </w:num>
  <w:num w:numId="36">
    <w:abstractNumId w:val="14"/>
  </w:num>
  <w:num w:numId="37">
    <w:abstractNumId w:val="41"/>
  </w:num>
  <w:num w:numId="38">
    <w:abstractNumId w:val="24"/>
  </w:num>
  <w:num w:numId="39">
    <w:abstractNumId w:val="4"/>
  </w:num>
  <w:num w:numId="40">
    <w:abstractNumId w:val="35"/>
  </w:num>
  <w:num w:numId="41">
    <w:abstractNumId w:val="15"/>
  </w:num>
  <w:num w:numId="42">
    <w:abstractNumId w:val="3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rsid w:val="00530680"/>
    <w:rPr>
      <w:color w:val="2B579A"/>
      <w:shd w:val="clear" w:color="auto" w:fill="E1DFDD"/>
    </w:rPr>
  </w:style>
  <w:style w:type="character" w:styleId="aff1">
    <w:name w:val="Unresolved Mention"/>
    <w:basedOn w:val="a1"/>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7DFFE8-06C1-4342-B22C-9B42F8E7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27875</Words>
  <Characters>158894</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186397</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vivo(Lihui)</cp:lastModifiedBy>
  <cp:revision>5</cp:revision>
  <dcterms:created xsi:type="dcterms:W3CDTF">2022-10-13T20:20:00Z</dcterms:created>
  <dcterms:modified xsi:type="dcterms:W3CDTF">2022-10-14T01:50:00Z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