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Yu Mincho"/>
                <w:lang w:val="en-US" w:eastAsia="ja-JP"/>
              </w:rPr>
              <w:t>Efstathios Katranaras</w:t>
            </w:r>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w:t>
            </w:r>
            <w:r>
              <w:rPr>
                <w:rFonts w:ascii="Times New Roman" w:eastAsiaTheme="minorEastAsia" w:hAnsi="Times New Roman" w:cs="Times New Roman"/>
                <w:sz w:val="20"/>
                <w:szCs w:val="20"/>
                <w:lang w:val="en-US" w:eastAsia="zh-CN"/>
              </w:rPr>
              <w:lastRenderedPageBreak/>
              <w:t>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ListParagraph"/>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w:t>
            </w:r>
            <w:r>
              <w:rPr>
                <w:rFonts w:eastAsiaTheme="minorEastAsia"/>
                <w:lang w:val="en-US" w:eastAsia="zh-CN"/>
              </w:rPr>
              <w:lastRenderedPageBreak/>
              <w:t>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ListParagraph"/>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ListParagraph"/>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ListParagraph"/>
              <w:numPr>
                <w:ilvl w:val="0"/>
                <w:numId w:val="16"/>
              </w:numPr>
              <w:rPr>
                <w:b/>
                <w:bCs/>
                <w:sz w:val="20"/>
                <w:szCs w:val="22"/>
                <w:lang w:val="en-US"/>
              </w:rPr>
            </w:pPr>
            <w:r>
              <w:rPr>
                <w:b/>
                <w:bCs/>
                <w:sz w:val="20"/>
                <w:szCs w:val="22"/>
                <w:lang w:val="en-US"/>
              </w:rPr>
              <w:lastRenderedPageBreak/>
              <w:t>Option 3: 25 PRBs for 15 kHz SCS and 12 PRBs for 30 kHz SCS</w:t>
            </w:r>
          </w:p>
          <w:p w14:paraId="055B0071" w14:textId="15F572FD" w:rsidR="00BD0471" w:rsidRPr="00BD0471" w:rsidRDefault="00847EC8" w:rsidP="00BD047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bl>
    <w:p w14:paraId="0668DBAB" w14:textId="77777777" w:rsidR="00D845A9" w:rsidRPr="00B9479C"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lastRenderedPageBreak/>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lastRenderedPageBreak/>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lastRenderedPageBreak/>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gNB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gNB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lastRenderedPageBreak/>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ListParagraph"/>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66FA375F" w14:textId="77777777" w:rsidR="005F0DDD" w:rsidRDefault="005F0DDD" w:rsidP="009219C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lastRenderedPageBreak/>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9219C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lastRenderedPageBreak/>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w:t>
            </w:r>
            <w:r>
              <w:rPr>
                <w:rFonts w:eastAsiaTheme="minorEastAsia"/>
                <w:lang w:val="en-US" w:eastAsia="zh-CN"/>
              </w:rPr>
              <w:lastRenderedPageBreak/>
              <w:t xml:space="preserve">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lastRenderedPageBreak/>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lastRenderedPageBreak/>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lastRenderedPageBreak/>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lastRenderedPageBreak/>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We are OK with the proposal from Medi</w:t>
            </w:r>
            <w:r w:rsidR="0059636F">
              <w:rPr>
                <w:rFonts w:eastAsiaTheme="minorEastAsia"/>
                <w:lang w:val="en-US" w:eastAsia="zh-CN"/>
              </w:rPr>
              <w:t>a</w:t>
            </w:r>
            <w:r>
              <w:rPr>
                <w:rFonts w:eastAsiaTheme="minorEastAsia"/>
                <w:lang w:val="en-US" w:eastAsia="zh-CN"/>
              </w:rPr>
              <w:t>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 xml:space="preserve">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w:t>
            </w:r>
            <w:r>
              <w:rPr>
                <w:rFonts w:eastAsia="Yu Mincho"/>
                <w:lang w:val="en-US" w:eastAsia="ja-JP"/>
              </w:rPr>
              <w:lastRenderedPageBreak/>
              <w:t>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lastRenderedPageBreak/>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 xml:space="preserve">specification </w:t>
            </w:r>
            <w:proofErr w:type="gramStart"/>
            <w:r w:rsidR="00D16DD5">
              <w:rPr>
                <w:rFonts w:eastAsiaTheme="minorEastAsia"/>
                <w:lang w:val="en-US" w:eastAsia="zh-CN"/>
              </w:rPr>
              <w:t>effort</w:t>
            </w:r>
            <w:r w:rsidR="005F6D56">
              <w:rPr>
                <w:rFonts w:eastAsiaTheme="minorEastAsia"/>
                <w:lang w:val="en-US" w:eastAsia="zh-CN"/>
              </w:rPr>
              <w:t>,</w:t>
            </w:r>
            <w:proofErr w:type="gramEnd"/>
            <w:r w:rsidR="005F6D56">
              <w:rPr>
                <w:rFonts w:eastAsiaTheme="minorEastAsia"/>
                <w:lang w:val="en-US" w:eastAsia="zh-CN"/>
              </w:rPr>
              <w:t xml:space="preserve">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w:t>
            </w:r>
            <w:r>
              <w:rPr>
                <w:rFonts w:eastAsiaTheme="minorEastAsia"/>
                <w:lang w:val="en-US" w:eastAsia="zh-CN"/>
              </w:rPr>
              <w:lastRenderedPageBreak/>
              <w:t>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w:t>
            </w:r>
            <w:r>
              <w:rPr>
                <w:rFonts w:eastAsiaTheme="minorEastAsia"/>
                <w:lang w:val="en-US" w:eastAsia="zh-CN"/>
              </w:rPr>
              <w:lastRenderedPageBreak/>
              <w:t xml:space="preserve">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hint="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lastRenderedPageBreak/>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proofErr w:type="gramStart"/>
            <w:r w:rsidR="00D81706">
              <w:rPr>
                <w:rFonts w:eastAsiaTheme="minorEastAsia"/>
                <w:lang w:val="en-US" w:eastAsia="zh-CN"/>
              </w:rPr>
              <w:t>”</w:t>
            </w:r>
            <w:r>
              <w:rPr>
                <w:rFonts w:eastAsiaTheme="minorEastAsia"/>
                <w:lang w:val="en-US" w:eastAsia="zh-CN"/>
              </w:rPr>
              <w:t>, but</w:t>
            </w:r>
            <w:proofErr w:type="gramEnd"/>
            <w:r>
              <w:rPr>
                <w:rFonts w:eastAsiaTheme="minorEastAsia"/>
                <w:lang w:val="en-US" w:eastAsia="zh-CN"/>
              </w:rPr>
              <w:t xml:space="preserve">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lastRenderedPageBreak/>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ListParagraph"/>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1FEE747" w:rsidR="00D845A9" w:rsidRDefault="006E2638">
            <w:pPr>
              <w:pStyle w:val="ListParagraph"/>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ListParagraph"/>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ListParagraph"/>
              <w:ind w:left="0"/>
              <w:rPr>
                <w:b/>
                <w:bCs/>
                <w:sz w:val="20"/>
                <w:szCs w:val="20"/>
                <w:lang w:val="en-US" w:eastAsia="zh-CN"/>
              </w:rPr>
            </w:pPr>
            <w:r w:rsidRPr="005C3E75">
              <w:rPr>
                <w:rFonts w:eastAsia="Yu Mincho"/>
                <w:sz w:val="20"/>
                <w:szCs w:val="20"/>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lastRenderedPageBreak/>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lastRenderedPageBreak/>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ListParagraph"/>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ListParagraph"/>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w:t>
            </w:r>
            <w:proofErr w:type="gramStart"/>
            <w:r w:rsidRPr="00D93E7F">
              <w:rPr>
                <w:rFonts w:eastAsiaTheme="minorEastAsia"/>
                <w:lang w:val="en-US" w:eastAsia="zh-CN"/>
              </w:rPr>
              <w:t>only, or</w:t>
            </w:r>
            <w:proofErr w:type="gramEnd"/>
            <w:r w:rsidRPr="00D93E7F">
              <w:rPr>
                <w:rFonts w:eastAsiaTheme="minorEastAsia"/>
                <w:lang w:val="en-US" w:eastAsia="zh-CN"/>
              </w:rPr>
              <w:t xml:space="preserve">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lastRenderedPageBreak/>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i/>
                          <w:lang w:eastAsia="ja-JP"/>
                        </w:rPr>
                      </m:ctrlPr>
                    </m:dPr>
                    <m:e>
                      <m:r>
                        <w:rPr>
                          <w:rFonts w:ascii="Cambria Math" w:eastAsia="Times New Roman"/>
                          <w:lang w:eastAsia="ja-JP"/>
                        </w:rPr>
                        <m:t>j</m:t>
                      </m:r>
                    </m:e>
                  </m:d>
                </m:sup>
              </m:sSup>
              <m:r>
                <w:rPr>
                  <w:rFonts w:ascii="Cambria Math" w:eastAsia="Times New Roman" w:hAnsi="Cambria Math"/>
                  <w:lang w:eastAsia="ja-JP"/>
                </w:rPr>
                <m:t>=</m:t>
              </m:r>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i/>
                          <w:lang w:eastAsia="ja-JP"/>
                        </w:rPr>
                      </m:ctrlPr>
                    </m:dPr>
                    <m:e>
                      <m:r>
                        <w:rPr>
                          <w:rFonts w:ascii="Cambria Math" w:eastAsia="Times New Roman"/>
                          <w:lang w:eastAsia="ja-JP"/>
                        </w:rPr>
                        <m:t>j</m:t>
                      </m:r>
                    </m:e>
                  </m:d>
                </m:sup>
              </m:sSup>
              <m:r>
                <w:rPr>
                  <w:rFonts w:ascii="Cambria Math" w:eastAsia="Times New Roman" w:hAnsi="Cambria Math"/>
                  <w:lang w:eastAsia="ja-JP"/>
                </w:rPr>
                <m:t>=</m:t>
              </m:r>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007C9510" w14:textId="52F12279" w:rsidR="001674E9" w:rsidRPr="001674E9" w:rsidRDefault="006E2638" w:rsidP="001674E9">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lastRenderedPageBreak/>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Rel-18 RedCap UE shares the same cell access/barring indication and mechanism with Rel-17 RedCap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000000">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000000">
            <w:pPr>
              <w:jc w:val="left"/>
              <w:rPr>
                <w:rFonts w:eastAsia="Calibri"/>
                <w:color w:val="0000FF"/>
                <w:u w:val="single"/>
                <w:lang w:val="en-US"/>
              </w:rPr>
            </w:pPr>
            <w:hyperlink r:id="rId15"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000000">
            <w:pPr>
              <w:jc w:val="left"/>
              <w:rPr>
                <w:rFonts w:eastAsia="Calibri"/>
                <w:color w:val="0000FF"/>
                <w:szCs w:val="22"/>
                <w:u w:val="single"/>
                <w:lang w:val="en-US"/>
              </w:rPr>
            </w:pPr>
            <w:hyperlink r:id="rId16"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000000">
            <w:pPr>
              <w:jc w:val="left"/>
              <w:rPr>
                <w:rFonts w:eastAsia="Calibri"/>
                <w:szCs w:val="22"/>
                <w:lang w:val="en-US"/>
              </w:rPr>
            </w:pPr>
            <w:hyperlink r:id="rId17"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000000">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000000">
            <w:pPr>
              <w:jc w:val="left"/>
              <w:rPr>
                <w:rStyle w:val="Hyperlink"/>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000000">
            <w:pPr>
              <w:jc w:val="left"/>
              <w:rPr>
                <w:rStyle w:val="Hyperlink"/>
                <w:color w:val="0000FF"/>
                <w:lang w:val="en-US" w:eastAsia="sv-SE"/>
              </w:rPr>
            </w:pPr>
            <w:hyperlink r:id="rId20"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lastRenderedPageBreak/>
              <w:t>[8]</w:t>
            </w:r>
          </w:p>
        </w:tc>
        <w:tc>
          <w:tcPr>
            <w:tcW w:w="1456" w:type="dxa"/>
            <w:tcMar>
              <w:top w:w="0" w:type="dxa"/>
              <w:left w:w="70" w:type="dxa"/>
              <w:bottom w:w="0" w:type="dxa"/>
              <w:right w:w="70" w:type="dxa"/>
            </w:tcMar>
          </w:tcPr>
          <w:p w14:paraId="0668DF08" w14:textId="77777777" w:rsidR="00D845A9" w:rsidRDefault="00000000">
            <w:pPr>
              <w:jc w:val="left"/>
              <w:rPr>
                <w:rStyle w:val="Hyperlink"/>
                <w:color w:val="0000FF"/>
                <w:lang w:val="en-US" w:eastAsia="sv-SE"/>
              </w:rPr>
            </w:pPr>
            <w:hyperlink r:id="rId21"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000000">
            <w:pPr>
              <w:jc w:val="left"/>
              <w:rPr>
                <w:rStyle w:val="Hyperlink"/>
                <w:color w:val="0000FF"/>
                <w:lang w:val="en-US" w:eastAsia="sv-SE"/>
              </w:rPr>
            </w:pPr>
            <w:hyperlink r:id="rId22"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000000">
            <w:pPr>
              <w:jc w:val="left"/>
              <w:rPr>
                <w:rStyle w:val="Hyperlink"/>
                <w:color w:val="0000FF"/>
                <w:lang w:val="en-US" w:eastAsia="sv-SE"/>
              </w:rPr>
            </w:pPr>
            <w:hyperlink r:id="rId23"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000000">
            <w:pPr>
              <w:jc w:val="left"/>
              <w:rPr>
                <w:rStyle w:val="Hyperlink"/>
                <w:color w:val="0000FF"/>
                <w:lang w:val="en-US" w:eastAsia="sv-SE"/>
              </w:rPr>
            </w:pPr>
            <w:hyperlink r:id="rId24"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000000">
            <w:pPr>
              <w:jc w:val="left"/>
              <w:rPr>
                <w:rStyle w:val="Hyperlink"/>
                <w:color w:val="0000FF"/>
                <w:lang w:val="en-US" w:eastAsia="sv-SE"/>
              </w:rPr>
            </w:pPr>
            <w:hyperlink r:id="rId25"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000000">
            <w:pPr>
              <w:jc w:val="left"/>
              <w:rPr>
                <w:rStyle w:val="Hyperlink"/>
                <w:color w:val="0000FF"/>
                <w:lang w:val="en-US" w:eastAsia="sv-SE"/>
              </w:rPr>
            </w:pPr>
            <w:hyperlink r:id="rId26"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000000">
            <w:pPr>
              <w:jc w:val="left"/>
              <w:rPr>
                <w:rStyle w:val="Hyperlink"/>
                <w:color w:val="0000FF"/>
                <w:lang w:val="en-US" w:eastAsia="sv-SE"/>
              </w:rPr>
            </w:pPr>
            <w:hyperlink r:id="rId27"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000000">
            <w:pPr>
              <w:jc w:val="left"/>
              <w:rPr>
                <w:rStyle w:val="Hyperlink"/>
                <w:color w:val="0000FF"/>
                <w:lang w:val="en-US" w:eastAsia="sv-SE"/>
              </w:rPr>
            </w:pPr>
            <w:hyperlink r:id="rId28"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000000">
            <w:pPr>
              <w:jc w:val="left"/>
              <w:rPr>
                <w:rStyle w:val="Hyperlink"/>
                <w:color w:val="0000FF"/>
                <w:lang w:val="en-US" w:eastAsia="sv-SE"/>
              </w:rPr>
            </w:pPr>
            <w:hyperlink r:id="rId29"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000000">
            <w:pPr>
              <w:jc w:val="left"/>
              <w:rPr>
                <w:rStyle w:val="Hyperlink"/>
                <w:color w:val="0000FF"/>
                <w:lang w:val="en-US" w:eastAsia="sv-SE"/>
              </w:rPr>
            </w:pPr>
            <w:hyperlink r:id="rId30"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000000">
            <w:pPr>
              <w:jc w:val="left"/>
              <w:rPr>
                <w:rStyle w:val="Hyperlink"/>
                <w:color w:val="0000FF"/>
                <w:lang w:val="en-US" w:eastAsia="sv-SE"/>
              </w:rPr>
            </w:pPr>
            <w:hyperlink r:id="rId31"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000000">
            <w:pPr>
              <w:jc w:val="left"/>
              <w:rPr>
                <w:rStyle w:val="Hyperlink"/>
                <w:color w:val="0000FF"/>
                <w:lang w:val="en-US" w:eastAsia="sv-SE"/>
              </w:rPr>
            </w:pPr>
            <w:hyperlink r:id="rId32"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000000">
            <w:pPr>
              <w:jc w:val="left"/>
              <w:rPr>
                <w:rStyle w:val="Hyperlink"/>
                <w:color w:val="0000FF"/>
                <w:lang w:val="en-US" w:eastAsia="sv-SE"/>
              </w:rPr>
            </w:pPr>
            <w:hyperlink r:id="rId33"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000000">
            <w:pPr>
              <w:jc w:val="left"/>
              <w:rPr>
                <w:rStyle w:val="Hyperlink"/>
                <w:color w:val="0000FF"/>
                <w:lang w:val="en-US" w:eastAsia="sv-SE"/>
              </w:rPr>
            </w:pPr>
            <w:hyperlink r:id="rId34"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000000">
            <w:pPr>
              <w:jc w:val="left"/>
              <w:rPr>
                <w:rStyle w:val="Hyperlink"/>
                <w:color w:val="0000FF"/>
                <w:lang w:val="en-US" w:eastAsia="sv-SE"/>
              </w:rPr>
            </w:pPr>
            <w:hyperlink r:id="rId35"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000000">
            <w:pPr>
              <w:jc w:val="left"/>
              <w:rPr>
                <w:rStyle w:val="Hyperlink"/>
                <w:color w:val="0000FF"/>
                <w:lang w:val="en-US" w:eastAsia="sv-SE"/>
              </w:rPr>
            </w:pPr>
            <w:hyperlink r:id="rId36"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000000">
            <w:pPr>
              <w:jc w:val="left"/>
              <w:rPr>
                <w:rStyle w:val="Hyperlink"/>
                <w:color w:val="0000FF"/>
                <w:lang w:val="en-US" w:eastAsia="sv-SE"/>
              </w:rPr>
            </w:pPr>
            <w:hyperlink r:id="rId37"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000000">
            <w:pPr>
              <w:jc w:val="left"/>
              <w:rPr>
                <w:rStyle w:val="Hyperlink"/>
                <w:color w:val="0000FF"/>
                <w:lang w:val="en-US" w:eastAsia="sv-SE"/>
              </w:rPr>
            </w:pPr>
            <w:hyperlink r:id="rId38"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000000">
            <w:pPr>
              <w:jc w:val="left"/>
              <w:rPr>
                <w:rStyle w:val="Hyperlink"/>
                <w:color w:val="0000FF"/>
                <w:lang w:val="en-US" w:eastAsia="sv-SE"/>
              </w:rPr>
            </w:pPr>
            <w:hyperlink r:id="rId39"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000000">
            <w:pPr>
              <w:jc w:val="left"/>
              <w:rPr>
                <w:rStyle w:val="Hyperlink"/>
                <w:color w:val="0000FF"/>
                <w:lang w:val="en-US" w:eastAsia="sv-SE"/>
              </w:rPr>
            </w:pPr>
            <w:hyperlink r:id="rId40"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000000">
            <w:pPr>
              <w:jc w:val="left"/>
              <w:rPr>
                <w:rStyle w:val="Hyperlink"/>
                <w:color w:val="0000FF"/>
                <w:lang w:val="en-US" w:eastAsia="sv-SE"/>
              </w:rPr>
            </w:pPr>
            <w:hyperlink r:id="rId41"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000000">
            <w:pPr>
              <w:jc w:val="left"/>
              <w:rPr>
                <w:rStyle w:val="Hyperlink"/>
                <w:color w:val="0000FF"/>
                <w:lang w:val="en-US" w:eastAsia="sv-SE"/>
              </w:rPr>
            </w:pPr>
            <w:hyperlink r:id="rId42"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000000">
            <w:pPr>
              <w:jc w:val="left"/>
              <w:rPr>
                <w:rStyle w:val="Hyperlink"/>
                <w:color w:val="0000FF"/>
                <w:lang w:val="en-US" w:eastAsia="sv-SE"/>
              </w:rPr>
            </w:pPr>
            <w:hyperlink r:id="rId43"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000000">
            <w:pPr>
              <w:jc w:val="left"/>
              <w:rPr>
                <w:rStyle w:val="Hyperlink"/>
                <w:color w:val="0000FF"/>
                <w:lang w:val="en-US" w:eastAsia="sv-SE"/>
              </w:rPr>
            </w:pPr>
            <w:hyperlink r:id="rId44"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000000">
            <w:pPr>
              <w:jc w:val="left"/>
              <w:rPr>
                <w:rStyle w:val="Hyperlink"/>
                <w:color w:val="0000FF"/>
                <w:lang w:val="en-US" w:eastAsia="sv-SE"/>
              </w:rPr>
            </w:pPr>
            <w:hyperlink r:id="rId45"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000000">
            <w:pPr>
              <w:jc w:val="left"/>
              <w:rPr>
                <w:color w:val="000000"/>
                <w:lang w:val="en-US"/>
              </w:rPr>
            </w:pPr>
            <w:hyperlink r:id="rId46"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000000">
            <w:pPr>
              <w:jc w:val="left"/>
              <w:rPr>
                <w:color w:val="000000"/>
                <w:lang w:val="en-US"/>
              </w:rPr>
            </w:pPr>
            <w:hyperlink r:id="rId47"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000000">
            <w:pPr>
              <w:jc w:val="left"/>
            </w:pPr>
            <w:hyperlink r:id="rId48"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0668DF94" w14:textId="77777777" w:rsidR="00D845A9" w:rsidRDefault="00000000">
            <w:pPr>
              <w:jc w:val="left"/>
            </w:pPr>
            <w:hyperlink r:id="rId50"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19E55" w14:textId="77777777" w:rsidR="00D00716" w:rsidRDefault="00D00716">
      <w:pPr>
        <w:spacing w:line="240" w:lineRule="auto"/>
      </w:pPr>
      <w:r>
        <w:separator/>
      </w:r>
    </w:p>
  </w:endnote>
  <w:endnote w:type="continuationSeparator" w:id="0">
    <w:p w14:paraId="3D598E0F" w14:textId="77777777" w:rsidR="00D00716" w:rsidRDefault="00D00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Yu Gothi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pitch w:val="default"/>
    <w:sig w:usb0="00000000" w:usb1="00000000" w:usb2="00000000" w:usb3="00000000" w:csb0="00000001" w:csb1="00000000"/>
  </w:font>
  <w:font w:name="Times-Italic">
    <w:altName w:val="Times New Roman"/>
    <w:panose1 w:val="00000500000000090000"/>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C0CB" w14:textId="77777777" w:rsidR="00D00716" w:rsidRDefault="00D00716">
      <w:pPr>
        <w:spacing w:after="0"/>
      </w:pPr>
      <w:r>
        <w:separator/>
      </w:r>
    </w:p>
  </w:footnote>
  <w:footnote w:type="continuationSeparator" w:id="0">
    <w:p w14:paraId="14A30966" w14:textId="77777777" w:rsidR="00D00716" w:rsidRDefault="00D007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2059621961">
    <w:abstractNumId w:val="3"/>
  </w:num>
  <w:num w:numId="2" w16cid:durableId="598559479">
    <w:abstractNumId w:val="6"/>
  </w:num>
  <w:num w:numId="3" w16cid:durableId="1561094953">
    <w:abstractNumId w:val="2"/>
  </w:num>
  <w:num w:numId="4" w16cid:durableId="1232042724">
    <w:abstractNumId w:val="1"/>
  </w:num>
  <w:num w:numId="5" w16cid:durableId="1099060895">
    <w:abstractNumId w:val="10"/>
  </w:num>
  <w:num w:numId="6" w16cid:durableId="943613836">
    <w:abstractNumId w:val="14"/>
    <w:lvlOverride w:ilvl="0">
      <w:startOverride w:val="1"/>
    </w:lvlOverride>
  </w:num>
  <w:num w:numId="7" w16cid:durableId="1714839674">
    <w:abstractNumId w:val="15"/>
  </w:num>
  <w:num w:numId="8" w16cid:durableId="446582317">
    <w:abstractNumId w:val="22"/>
  </w:num>
  <w:num w:numId="9" w16cid:durableId="1056852073">
    <w:abstractNumId w:val="26"/>
  </w:num>
  <w:num w:numId="10" w16cid:durableId="1882787656">
    <w:abstractNumId w:val="23"/>
  </w:num>
  <w:num w:numId="11" w16cid:durableId="320431857">
    <w:abstractNumId w:val="11"/>
  </w:num>
  <w:num w:numId="12" w16cid:durableId="511528187">
    <w:abstractNumId w:val="19"/>
  </w:num>
  <w:num w:numId="13" w16cid:durableId="1824471832">
    <w:abstractNumId w:val="7"/>
  </w:num>
  <w:num w:numId="14" w16cid:durableId="1711035340">
    <w:abstractNumId w:val="24"/>
  </w:num>
  <w:num w:numId="15" w16cid:durableId="824781927">
    <w:abstractNumId w:val="12"/>
  </w:num>
  <w:num w:numId="16" w16cid:durableId="577977440">
    <w:abstractNumId w:val="8"/>
  </w:num>
  <w:num w:numId="17" w16cid:durableId="666909405">
    <w:abstractNumId w:val="16"/>
  </w:num>
  <w:num w:numId="18" w16cid:durableId="819422810">
    <w:abstractNumId w:val="28"/>
  </w:num>
  <w:num w:numId="19" w16cid:durableId="338000729">
    <w:abstractNumId w:val="17"/>
  </w:num>
  <w:num w:numId="20" w16cid:durableId="1905993018">
    <w:abstractNumId w:val="4"/>
  </w:num>
  <w:num w:numId="21" w16cid:durableId="870655870">
    <w:abstractNumId w:val="18"/>
  </w:num>
  <w:num w:numId="22" w16cid:durableId="1947736345">
    <w:abstractNumId w:val="0"/>
  </w:num>
  <w:num w:numId="23" w16cid:durableId="476456148">
    <w:abstractNumId w:val="20"/>
  </w:num>
  <w:num w:numId="24" w16cid:durableId="267932151">
    <w:abstractNumId w:val="21"/>
  </w:num>
  <w:num w:numId="25" w16cid:durableId="515929111">
    <w:abstractNumId w:val="25"/>
  </w:num>
  <w:num w:numId="26" w16cid:durableId="1234854956">
    <w:abstractNumId w:val="13"/>
  </w:num>
  <w:num w:numId="27" w16cid:durableId="1965496794">
    <w:abstractNumId w:val="5"/>
  </w:num>
  <w:num w:numId="28" w16cid:durableId="140118603">
    <w:abstractNumId w:val="9"/>
  </w:num>
  <w:num w:numId="29" w16cid:durableId="2272250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5C305CE-1333-465D-96FF-9BD7BE1F4237}">
  <ds:schemaRefs>
    <ds:schemaRef ds:uri="http://schemas.openxmlformats.org/officeDocument/2006/bibliography"/>
  </ds:schemaRefs>
</ds:datastoreItem>
</file>

<file path=customXml/itemProps3.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34</Pages>
  <Words>14047</Words>
  <Characters>80074</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3</cp:revision>
  <dcterms:created xsi:type="dcterms:W3CDTF">2022-10-11T21:06:00Z</dcterms:created>
  <dcterms:modified xsi:type="dcterms:W3CDTF">2022-10-12T00:37:00Z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