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36"/>
          <w:tab w:val="right" w:pos="7938"/>
          <w:tab w:val="right" w:pos="9639"/>
        </w:tabs>
        <w:ind w:right="2"/>
        <w:rPr>
          <w:rFonts w:hint="default" w:ascii="Arial" w:hAnsi="Arial" w:eastAsia="宋体" w:cs="Arial"/>
          <w:b/>
          <w:bCs/>
          <w:sz w:val="28"/>
          <w:lang w:val="en-US" w:eastAsia="zh-CN"/>
        </w:rPr>
      </w:pPr>
      <w:r>
        <w:rPr>
          <w:rFonts w:ascii="Arial" w:hAnsi="Arial" w:cs="Arial"/>
          <w:b/>
          <w:bCs/>
          <w:sz w:val="28"/>
        </w:rPr>
        <w:t>3GPP TSG RAN WG1 #1</w:t>
      </w:r>
      <w:r>
        <w:rPr>
          <w:rFonts w:hint="eastAsia" w:ascii="Arial" w:hAnsi="Arial" w:eastAsia="宋体" w:cs="Arial"/>
          <w:b/>
          <w:bCs/>
          <w:sz w:val="28"/>
          <w:lang w:val="en-US" w:eastAsia="zh-CN"/>
        </w:rPr>
        <w:t>10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>R1-220</w:t>
      </w:r>
      <w:r>
        <w:rPr>
          <w:rFonts w:hint="eastAsia" w:ascii="Arial" w:hAnsi="Arial" w:eastAsia="宋体" w:cs="Arial"/>
          <w:b/>
          <w:bCs/>
          <w:sz w:val="28"/>
          <w:lang w:val="en-US" w:eastAsia="zh-CN"/>
        </w:rPr>
        <w:t>xxxx</w:t>
      </w:r>
    </w:p>
    <w:p>
      <w:pPr>
        <w:tabs>
          <w:tab w:val="center" w:pos="4536"/>
          <w:tab w:val="right" w:pos="9072"/>
        </w:tabs>
        <w:rPr>
          <w:rFonts w:ascii="Arial" w:hAnsi="Arial" w:eastAsia="MS Mincho" w:cs="Arial"/>
          <w:b/>
          <w:bCs/>
          <w:sz w:val="28"/>
          <w:lang w:eastAsia="ja-JP"/>
        </w:rPr>
      </w:pPr>
      <w:r>
        <w:rPr>
          <w:rFonts w:hint="eastAsia" w:ascii="Arial" w:hAnsi="Arial" w:eastAsia="MS Mincho" w:cs="Arial"/>
          <w:b/>
          <w:bCs/>
          <w:sz w:val="28"/>
          <w:lang w:val="en-US" w:eastAsia="ja-JP"/>
        </w:rPr>
        <w:t>Toulouse, France,</w:t>
      </w:r>
      <w:r>
        <w:rPr>
          <w:rFonts w:ascii="Arial" w:hAnsi="Arial" w:eastAsia="MS Mincho" w:cs="Arial"/>
          <w:b/>
          <w:bCs/>
          <w:sz w:val="28"/>
          <w:lang w:eastAsia="ja-JP"/>
        </w:rPr>
        <w:t xml:space="preserve"> </w:t>
      </w:r>
      <w:r>
        <w:rPr>
          <w:rFonts w:hint="eastAsia" w:ascii="Arial" w:hAnsi="Arial" w:eastAsia="宋体" w:cs="Arial"/>
          <w:b/>
          <w:bCs/>
          <w:sz w:val="28"/>
          <w:lang w:val="en-US" w:eastAsia="zh-CN"/>
        </w:rPr>
        <w:t>Aug</w:t>
      </w:r>
      <w:r>
        <w:rPr>
          <w:rFonts w:ascii="Arial" w:hAnsi="Arial" w:eastAsia="MS Mincho" w:cs="Arial"/>
          <w:b/>
          <w:bCs/>
          <w:sz w:val="28"/>
          <w:lang w:eastAsia="ja-JP"/>
        </w:rPr>
        <w:t xml:space="preserve"> </w:t>
      </w:r>
      <w:r>
        <w:rPr>
          <w:rFonts w:hint="eastAsia" w:ascii="Arial" w:hAnsi="Arial" w:eastAsia="宋体" w:cs="Arial"/>
          <w:b/>
          <w:bCs/>
          <w:sz w:val="28"/>
          <w:lang w:val="en-US" w:eastAsia="zh-CN"/>
        </w:rPr>
        <w:t>22</w:t>
      </w:r>
      <w:r>
        <w:rPr>
          <w:rFonts w:hint="eastAsia" w:ascii="Arial" w:hAnsi="Arial" w:eastAsia="宋体" w:cs="Arial"/>
          <w:b/>
          <w:bCs/>
          <w:sz w:val="28"/>
          <w:vertAlign w:val="superscript"/>
          <w:lang w:val="en-US" w:eastAsia="zh-CN"/>
        </w:rPr>
        <w:t>nd</w:t>
      </w:r>
      <w:r>
        <w:rPr>
          <w:rFonts w:ascii="Arial" w:hAnsi="Arial" w:eastAsia="MS Mincho" w:cs="Arial"/>
          <w:b/>
          <w:bCs/>
          <w:sz w:val="28"/>
          <w:lang w:eastAsia="ja-JP"/>
        </w:rPr>
        <w:t xml:space="preserve"> – 2</w:t>
      </w:r>
      <w:r>
        <w:rPr>
          <w:rFonts w:hint="eastAsia" w:ascii="Arial" w:hAnsi="Arial" w:eastAsia="宋体" w:cs="Arial"/>
          <w:b/>
          <w:bCs/>
          <w:sz w:val="28"/>
          <w:lang w:val="en-US" w:eastAsia="zh-CN"/>
        </w:rPr>
        <w:t>6</w:t>
      </w:r>
      <w:r>
        <w:rPr>
          <w:rFonts w:ascii="Arial" w:hAnsi="Arial" w:eastAsia="MS Mincho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hAnsi="Arial" w:eastAsia="MS Mincho" w:cs="Arial"/>
          <w:b/>
          <w:bCs/>
          <w:sz w:val="28"/>
          <w:lang w:eastAsia="ja-JP"/>
        </w:rPr>
        <w:t>, 2022</w:t>
      </w:r>
    </w:p>
    <w:p>
      <w:pPr>
        <w:pStyle w:val="13"/>
        <w:tabs>
          <w:tab w:val="right" w:pos="9639"/>
        </w:tabs>
        <w:jc w:val="both"/>
        <w:rPr>
          <w:sz w:val="24"/>
        </w:rPr>
      </w:pPr>
      <w:r>
        <w:rPr>
          <w:sz w:val="24"/>
        </w:rPr>
        <w:tab/>
      </w:r>
    </w:p>
    <w:p>
      <w:pPr>
        <w:pStyle w:val="13"/>
        <w:tabs>
          <w:tab w:val="right" w:pos="9639"/>
        </w:tabs>
        <w:jc w:val="both"/>
        <w:rPr>
          <w:i/>
          <w:sz w:val="32"/>
        </w:rPr>
      </w:pPr>
    </w:p>
    <w:p>
      <w:pPr>
        <w:tabs>
          <w:tab w:val="left" w:pos="1985"/>
        </w:tabs>
        <w:jc w:val="both"/>
        <w:rPr>
          <w:rFonts w:hint="default" w:ascii="Arial" w:hAnsi="Arial" w:eastAsia="宋体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ab/>
      </w:r>
      <w:bookmarkStart w:id="0" w:name="Source"/>
      <w:bookmarkEnd w:id="0"/>
      <w:r>
        <w:rPr>
          <w:rFonts w:hint="eastAsia" w:ascii="Arial" w:hAnsi="Arial" w:eastAsia="宋体"/>
          <w:sz w:val="24"/>
          <w:highlight w:val="none"/>
          <w:lang w:val="en-US" w:eastAsia="zh-CN"/>
        </w:rPr>
        <w:t>7.2.1</w:t>
      </w:r>
    </w:p>
    <w:p>
      <w:pPr>
        <w:tabs>
          <w:tab w:val="left" w:pos="1985"/>
        </w:tabs>
        <w:jc w:val="both"/>
        <w:rPr>
          <w:rFonts w:hint="default" w:ascii="Arial" w:hAnsi="Arial" w:eastAsia="宋体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>
        <w:rPr>
          <w:rFonts w:hint="eastAsia" w:ascii="Arial" w:hAnsi="Arial" w:eastAsia="宋体"/>
          <w:b w:val="0"/>
          <w:bCs/>
          <w:sz w:val="24"/>
          <w:lang w:val="en-US" w:eastAsia="zh-CN"/>
        </w:rPr>
        <w:t>Moderator(ZTE)</w:t>
      </w:r>
    </w:p>
    <w:p>
      <w:pPr>
        <w:ind w:left="1988" w:hanging="1988"/>
        <w:jc w:val="both"/>
        <w:rPr>
          <w:rFonts w:hint="default" w:ascii="Arial" w:hAnsi="Arial" w:eastAsia="宋体"/>
          <w:sz w:val="28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2"/>
          <w:lang w:val="en-US"/>
        </w:rPr>
        <w:tab/>
      </w:r>
      <w:r>
        <w:rPr>
          <w:rFonts w:hint="eastAsia" w:ascii="Arial" w:hAnsi="Arial" w:eastAsia="宋体"/>
          <w:sz w:val="22"/>
          <w:lang w:val="en-US" w:eastAsia="zh-CN"/>
        </w:rPr>
        <w:t>Summary of draft CR on parallel MsgA and other channels</w:t>
      </w:r>
    </w:p>
    <w:p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/>
        </w:rPr>
        <w:t>Discussion</w:t>
      </w:r>
    </w:p>
    <w:p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</w:p>
    <w:p>
      <w:pPr>
        <w:pStyle w:val="2"/>
        <w:numPr>
          <w:ilvl w:val="0"/>
          <w:numId w:val="2"/>
        </w:numPr>
        <w:tabs>
          <w:tab w:val="left" w:pos="720"/>
          <w:tab w:val="clear" w:pos="1140"/>
        </w:tabs>
        <w:ind w:left="720" w:hanging="720"/>
        <w:jc w:val="both"/>
        <w:rPr>
          <w:rFonts w:hint="default" w:eastAsia="宋体"/>
          <w:lang w:val="en-US" w:eastAsia="zh-CN"/>
        </w:rPr>
      </w:pPr>
      <w:r>
        <w:rPr>
          <w:lang w:val="en-US"/>
        </w:rPr>
        <w:t>Background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This document contains the summary of draft CR on parallel MsgA and other channels using the following email thread:</w:t>
      </w:r>
    </w:p>
    <w:p>
      <w:pPr>
        <w:rPr>
          <w:lang w:val="en-US"/>
        </w:rPr>
      </w:pPr>
      <w:r>
        <w:rPr>
          <w:highlight w:val="cyan"/>
        </w:rPr>
        <w:t>[110-R16-NR] To be used for sharing updates on online/offline schedule, details on what is to be discussed in online/offline sessions, tdoc number of the moderator summary for online session, etc – RAN1 Chair</w:t>
      </w:r>
    </w:p>
    <w:p>
      <w:pPr>
        <w:keepNext/>
        <w:keepLines/>
        <w:numPr>
          <w:ilvl w:val="0"/>
          <w:numId w:val="2"/>
        </w:numPr>
        <w:pBdr>
          <w:top w:val="single" w:color="auto" w:sz="12" w:space="3"/>
        </w:pBdr>
        <w:tabs>
          <w:tab w:val="left" w:pos="720"/>
        </w:tabs>
        <w:overflowPunct w:val="0"/>
        <w:autoSpaceDE w:val="0"/>
        <w:autoSpaceDN w:val="0"/>
        <w:adjustRightInd w:val="0"/>
        <w:spacing w:before="240"/>
        <w:ind w:left="720" w:hanging="720"/>
        <w:jc w:val="both"/>
        <w:textAlignment w:val="baseline"/>
        <w:outlineLvl w:val="0"/>
        <w:rPr>
          <w:rFonts w:ascii="Arial" w:hAnsi="Arial" w:eastAsia="宋体"/>
          <w:sz w:val="36"/>
          <w:lang w:val="en-US"/>
        </w:rPr>
      </w:pPr>
      <w:r>
        <w:rPr>
          <w:rFonts w:ascii="Arial" w:hAnsi="Arial" w:eastAsia="宋体"/>
          <w:sz w:val="36"/>
          <w:lang w:val="en-US"/>
        </w:rPr>
        <w:t>Discussion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In</w:t>
      </w:r>
      <w:r>
        <w:rPr>
          <w:lang w:val="en-US"/>
        </w:rPr>
        <w:t xml:space="preserve"> Rel-15, the parallel transmission of SRS and other channels</w:t>
      </w:r>
      <w:r>
        <w:rPr>
          <w:rFonts w:hint="eastAsia" w:eastAsia="宋体"/>
          <w:lang w:val="en-US" w:eastAsia="zh-CN"/>
        </w:rPr>
        <w:t>, PRACH and other channels</w:t>
      </w:r>
      <w:r>
        <w:rPr>
          <w:lang w:val="en-US"/>
        </w:rPr>
        <w:t xml:space="preserve"> for inter-band CA is </w:t>
      </w:r>
      <w:r>
        <w:rPr>
          <w:rFonts w:hint="eastAsia" w:eastAsia="宋体"/>
          <w:lang w:val="en-US" w:eastAsia="zh-CN"/>
        </w:rPr>
        <w:t>conducted</w:t>
      </w:r>
      <w:r>
        <w:rPr>
          <w:lang w:val="en-US"/>
        </w:rPr>
        <w:t xml:space="preserve"> by the following UE capabilities </w:t>
      </w:r>
      <w:r>
        <w:rPr>
          <w:rFonts w:hint="eastAsia" w:eastAsia="宋体"/>
          <w:lang w:val="en-US" w:eastAsia="zh-CN"/>
        </w:rPr>
        <w:t>respectively</w:t>
      </w:r>
      <w:r>
        <w:rPr>
          <w:lang w:val="en-US"/>
        </w:rPr>
        <w:t xml:space="preserve"> in TS 38.306</w:t>
      </w:r>
      <w:r>
        <w:rPr>
          <w:rFonts w:hint="eastAsia" w:eastAsia="宋体"/>
          <w:lang w:val="en-US" w:eastAsia="zh-CN"/>
        </w:rPr>
        <w:t>.</w:t>
      </w:r>
    </w:p>
    <w:tbl>
      <w:tblPr>
        <w:tblStyle w:val="18"/>
        <w:tblW w:w="9630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7"/>
        <w:gridCol w:w="709"/>
        <w:gridCol w:w="567"/>
        <w:gridCol w:w="709"/>
        <w:gridCol w:w="728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</w:tcPr>
          <w:p>
            <w:pPr>
              <w:pStyle w:val="35"/>
              <w:rPr>
                <w:b/>
                <w:i/>
              </w:rPr>
            </w:pPr>
            <w:r>
              <w:rPr>
                <w:b/>
                <w:i/>
              </w:rPr>
              <w:t>parallelTxSRS-PUCCH-PUSCH</w:t>
            </w:r>
          </w:p>
          <w:p>
            <w:pPr>
              <w:pStyle w:val="35"/>
            </w:pPr>
            <w:r>
              <w:rPr>
                <w:rFonts w:cs="Arial"/>
                <w:szCs w:val="18"/>
              </w:rPr>
              <w:t>Indicates whether the UE supports parallel transmission of SRS and PUCCH/ PUSCH across CCs in an inter-band CA band combination.</w:t>
            </w:r>
          </w:p>
        </w:tc>
        <w:tc>
          <w:tcPr>
            <w:tcW w:w="709" w:type="dxa"/>
          </w:tcPr>
          <w:p>
            <w:pPr>
              <w:pStyle w:val="35"/>
              <w:jc w:val="center"/>
            </w:pPr>
            <w:r>
              <w:rPr>
                <w:rFonts w:cs="Arial"/>
                <w:szCs w:val="18"/>
              </w:rPr>
              <w:t>BC</w:t>
            </w:r>
          </w:p>
        </w:tc>
        <w:tc>
          <w:tcPr>
            <w:tcW w:w="567" w:type="dxa"/>
          </w:tcPr>
          <w:p>
            <w:pPr>
              <w:pStyle w:val="35"/>
              <w:jc w:val="center"/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>
            <w:pPr>
              <w:pStyle w:val="35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>
            <w:pPr>
              <w:pStyle w:val="35"/>
              <w:jc w:val="center"/>
            </w:pPr>
            <w:r>
              <w:rPr>
                <w:bCs/>
                <w:iCs/>
              </w:rPr>
              <w:t>N/A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</w:tcPr>
          <w:p>
            <w:pPr>
              <w:pStyle w:val="35"/>
              <w:rPr>
                <w:b/>
                <w:i/>
              </w:rPr>
            </w:pPr>
            <w:r>
              <w:rPr>
                <w:b/>
                <w:i/>
              </w:rPr>
              <w:t>parallelTxPRACH-SRS-PUCCH-PUSCH</w:t>
            </w:r>
          </w:p>
          <w:p>
            <w:pPr>
              <w:pStyle w:val="35"/>
            </w:pPr>
            <w:r>
              <w:rPr>
                <w:rFonts w:cs="Arial"/>
                <w:szCs w:val="18"/>
              </w:rPr>
              <w:t>Indicates whether the UE supports parallel transmission of PRACH and SRS/PUCCH/PUSCH across CCs in an inter-band CA band combination.</w:t>
            </w:r>
          </w:p>
        </w:tc>
        <w:tc>
          <w:tcPr>
            <w:tcW w:w="709" w:type="dxa"/>
          </w:tcPr>
          <w:p>
            <w:pPr>
              <w:pStyle w:val="35"/>
              <w:jc w:val="center"/>
            </w:pPr>
            <w:r>
              <w:rPr>
                <w:rFonts w:cs="Arial"/>
                <w:szCs w:val="18"/>
              </w:rPr>
              <w:t>BC</w:t>
            </w:r>
          </w:p>
        </w:tc>
        <w:tc>
          <w:tcPr>
            <w:tcW w:w="567" w:type="dxa"/>
          </w:tcPr>
          <w:p>
            <w:pPr>
              <w:pStyle w:val="35"/>
              <w:jc w:val="center"/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>
            <w:pPr>
              <w:pStyle w:val="35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>
            <w:pPr>
              <w:pStyle w:val="35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Meanwhile, the UE</w:t>
      </w:r>
      <w:r>
        <w:rPr>
          <w:rFonts w:hint="default" w:eastAsia="宋体"/>
          <w:lang w:val="en-US" w:eastAsia="zh-CN"/>
        </w:rPr>
        <w:t>’</w:t>
      </w:r>
      <w:r>
        <w:rPr>
          <w:rFonts w:hint="eastAsia" w:eastAsia="宋体"/>
          <w:lang w:val="en-US" w:eastAsia="zh-CN"/>
        </w:rPr>
        <w:t>s behaviors of above UE capabilities are also captured in TS 38.214 as shown below:</w:t>
      </w:r>
    </w:p>
    <w:tbl>
      <w:tblPr>
        <w:tblStyle w:val="19"/>
        <w:tblpPr w:leftFromText="180" w:rightFromText="180" w:vertAnchor="text" w:horzAnchor="margin" w:tblpY="14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307" w:type="dxa"/>
          </w:tcPr>
          <w:p>
            <w:pPr>
              <w:pStyle w:val="4"/>
              <w:rPr>
                <w:color w:val="000000"/>
              </w:rPr>
            </w:pPr>
            <w:r>
              <w:rPr>
                <w:color w:val="000000"/>
              </w:rPr>
              <w:t>6.2.1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UE sounding procedure</w:t>
            </w:r>
          </w:p>
          <w:p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&lt;Unchanged parts are omitted&gt;</w:t>
            </w:r>
          </w:p>
          <w:p/>
          <w:p>
            <w:r>
              <w:t xml:space="preserve">In case of intra-band carrier aggregation or in inter-band CA band combination if </w:t>
            </w:r>
            <w:r>
              <w:rPr>
                <w:highlight w:val="yellow"/>
              </w:rPr>
              <w:t>simultaneous SRS and PUCCH/PUSCH transmissions</w:t>
            </w:r>
            <w:r>
              <w:t xml:space="preserve"> are not </w:t>
            </w:r>
            <w:r>
              <w:rPr>
                <w:rFonts w:hint="eastAsia"/>
                <w:lang w:val="en-US" w:eastAsia="zh-CN"/>
              </w:rPr>
              <w:t>supported by UE</w:t>
            </w:r>
            <w:r>
              <w:t>, the UE is not expected to be indicated with a SRS transmission from a carrier and to be configured or scheduled with a PUSCH/UL DM-RS/UL PT-RS/PUCCH transmission from a different carrier in the same symbol.</w:t>
            </w:r>
          </w:p>
          <w:p>
            <w:r>
              <w:t xml:space="preserve">In case of intra-band carrier aggregation or in inter-band CA band combination if </w:t>
            </w:r>
            <w:r>
              <w:rPr>
                <w:highlight w:val="yellow"/>
              </w:rPr>
              <w:t>simultaneous SRS and PRACH transmissions</w:t>
            </w:r>
            <w:r>
              <w:t xml:space="preserve"> are not </w:t>
            </w:r>
            <w:r>
              <w:rPr>
                <w:rFonts w:hint="eastAsia"/>
                <w:lang w:val="en-US" w:eastAsia="zh-CN"/>
              </w:rPr>
              <w:t>supported by UE</w:t>
            </w:r>
            <w:r>
              <w:t xml:space="preserve">, the UE shall not transmit simultaneously SRS resource(s) from a carrier and PRACH from a different carrier. </w:t>
            </w:r>
          </w:p>
          <w:p>
            <w:pPr>
              <w:pBdr>
                <w:bottom w:val="double" w:color="auto" w:sz="6" w:space="1"/>
              </w:pBd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&lt;Unchanged parts are omitted&gt;</w:t>
            </w:r>
          </w:p>
          <w:p>
            <w:pPr>
              <w:pStyle w:val="29"/>
              <w:widowControl w:val="0"/>
              <w:numPr>
                <w:ilvl w:val="0"/>
                <w:numId w:val="3"/>
              </w:numPr>
              <w:overflowPunct w:val="0"/>
              <w:snapToGrid/>
              <w:spacing w:after="180"/>
              <w:ind w:left="738" w:firstLineChars="0"/>
              <w:jc w:val="left"/>
              <w:textAlignment w:val="baseline"/>
              <w:rPr>
                <w:szCs w:val="20"/>
                <w:lang w:val="en-GB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bookmarkStart w:id="2" w:name="_GoBack"/>
      <w:bookmarkEnd w:id="2"/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In Rel-16, a similar UE capability is introduced for parallel transmission of MsgA and other channels in TS 38.306</w:t>
      </w:r>
    </w:p>
    <w:tbl>
      <w:tblPr>
        <w:tblStyle w:val="18"/>
        <w:tblW w:w="9630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7"/>
        <w:gridCol w:w="709"/>
        <w:gridCol w:w="567"/>
        <w:gridCol w:w="709"/>
        <w:gridCol w:w="728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  <w:vAlign w:val="top"/>
          </w:tcPr>
          <w:p>
            <w:pPr>
              <w:pStyle w:val="35"/>
              <w:rPr>
                <w:b/>
                <w:i/>
                <w:highlight w:val="yellow"/>
              </w:rPr>
            </w:pPr>
            <w:r>
              <w:rPr>
                <w:b/>
                <w:i/>
                <w:highlight w:val="yellow"/>
              </w:rPr>
              <w:t>parallelTxMsgA-SRS-PUCCH-PUSCH-r16</w:t>
            </w:r>
          </w:p>
          <w:p>
            <w:pPr>
              <w:pStyle w:val="3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Indicates whether the UE supports parallel transmission of MsgA and SRS/ PUCCH/ PUSCH across CCs in an inter-band CA band combination. A UE supporting this feature shall also indicate support of </w:t>
            </w:r>
            <w:r>
              <w:rPr>
                <w:rFonts w:cs="Arial"/>
                <w:i/>
                <w:szCs w:val="18"/>
              </w:rPr>
              <w:t>parallelTxPRACH-SRS-PUCCH-PUSCH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  <w:vAlign w:val="top"/>
          </w:tcPr>
          <w:p>
            <w:pPr>
              <w:pStyle w:val="35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BC</w:t>
            </w:r>
          </w:p>
        </w:tc>
        <w:tc>
          <w:tcPr>
            <w:tcW w:w="567" w:type="dxa"/>
            <w:vAlign w:val="top"/>
          </w:tcPr>
          <w:p>
            <w:pPr>
              <w:pStyle w:val="35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  <w:vAlign w:val="top"/>
          </w:tcPr>
          <w:p>
            <w:pPr>
              <w:pStyle w:val="35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  <w:vAlign w:val="top"/>
          </w:tcPr>
          <w:p>
            <w:pPr>
              <w:pStyle w:val="35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However, although such UE capability is similar as previous ones, the corresponding UE</w:t>
      </w:r>
      <w:r>
        <w:rPr>
          <w:rFonts w:hint="default" w:eastAsia="宋体"/>
          <w:lang w:val="en-US" w:eastAsia="zh-CN"/>
        </w:rPr>
        <w:t>’</w:t>
      </w:r>
      <w:r>
        <w:rPr>
          <w:rFonts w:hint="eastAsia" w:eastAsia="宋体"/>
          <w:lang w:val="en-US" w:eastAsia="zh-CN"/>
        </w:rPr>
        <w:t xml:space="preserve">s behaviors are not reflected in TS 38.214, so the draft CR shown below is to capture the following changes in TS 38.214 </w:t>
      </w:r>
      <w:r>
        <w:rPr>
          <w:rFonts w:hint="eastAsia" w:eastAsia="宋体"/>
          <w:highlight w:val="yellow"/>
          <w:lang w:val="en-US" w:eastAsia="zh-CN"/>
        </w:rPr>
        <w:t>v16.10.0</w:t>
      </w:r>
      <w:r>
        <w:rPr>
          <w:rFonts w:hint="eastAsia" w:eastAsia="宋体"/>
          <w:lang w:val="en-US" w:eastAsia="zh-CN"/>
        </w:rPr>
        <w:t xml:space="preserve"> to avoid potential ambiguity on UE</w:t>
      </w:r>
      <w:r>
        <w:rPr>
          <w:rFonts w:hint="default" w:eastAsia="宋体"/>
          <w:lang w:val="en-US" w:eastAsia="zh-CN"/>
        </w:rPr>
        <w:t>’</w:t>
      </w:r>
      <w:r>
        <w:rPr>
          <w:rFonts w:hint="eastAsia" w:eastAsia="宋体"/>
          <w:lang w:val="en-US" w:eastAsia="zh-CN"/>
        </w:rPr>
        <w:t>s behavior.</w:t>
      </w:r>
    </w:p>
    <w:tbl>
      <w:tblPr>
        <w:tblStyle w:val="19"/>
        <w:tblpPr w:leftFromText="180" w:rightFromText="180" w:vertAnchor="text" w:horzAnchor="margin" w:tblpY="14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307" w:type="dxa"/>
          </w:tcPr>
          <w:p>
            <w:pPr>
              <w:pStyle w:val="4"/>
              <w:rPr>
                <w:color w:val="000000"/>
              </w:rPr>
            </w:pPr>
          </w:p>
          <w:p>
            <w:pPr>
              <w:pStyle w:val="4"/>
              <w:rPr>
                <w:color w:val="000000"/>
              </w:rPr>
            </w:pPr>
            <w:r>
              <w:rPr>
                <w:color w:val="000000"/>
              </w:rPr>
              <w:t>6.2.1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UE sounding procedure</w:t>
            </w:r>
          </w:p>
          <w:p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&lt;Unchanged parts are omitted&gt;</w:t>
            </w:r>
          </w:p>
          <w:p/>
          <w:p>
            <w:r>
              <w:t xml:space="preserve">In case of intra-band carrier aggregation or in inter-band CA band combination if simultaneous SRS and PUCCH/PUSCH transmissions are not </w:t>
            </w:r>
            <w:r>
              <w:rPr>
                <w:rFonts w:hint="eastAsia"/>
                <w:lang w:val="en-US" w:eastAsia="zh-CN"/>
              </w:rPr>
              <w:t>supported by UE</w:t>
            </w:r>
            <w:r>
              <w:t>, the UE is not expected to be indicated with a SRS transmission from a carrier and to be configured or scheduled with a PUSCH/UL DM-RS/UL PT-RS/PUCCH transmission from a different carrier in the same symbol.</w:t>
            </w:r>
          </w:p>
          <w:p>
            <w:r>
              <w:t>In case of intra-band carrier aggregation or in inter-band CA band combination if simultaneous SRS and PRACH</w:t>
            </w:r>
            <w:r>
              <w:rPr>
                <w:rFonts w:hint="eastAsia" w:eastAsia="宋体"/>
                <w:color w:val="FF0000"/>
                <w:lang w:val="en-US" w:eastAsia="zh-CN"/>
              </w:rPr>
              <w:t>/MsgA PUSCH</w:t>
            </w:r>
            <w:r>
              <w:t xml:space="preserve"> transmissions are not </w:t>
            </w:r>
            <w:r>
              <w:rPr>
                <w:rFonts w:hint="eastAsia"/>
                <w:lang w:val="en-US" w:eastAsia="zh-CN"/>
              </w:rPr>
              <w:t>supported by UE</w:t>
            </w:r>
            <w:r>
              <w:t>, the UE shall not transmit simultaneously SRS resource(s) from a carrier and PRACH</w:t>
            </w:r>
            <w:r>
              <w:rPr>
                <w:rFonts w:hint="eastAsia" w:eastAsia="宋体"/>
                <w:color w:val="FF0000"/>
                <w:lang w:val="en-US" w:eastAsia="zh-CN"/>
              </w:rPr>
              <w:t>/MsgA PUSCH</w:t>
            </w:r>
            <w:r>
              <w:t xml:space="preserve"> from a different carrier. </w:t>
            </w:r>
          </w:p>
          <w:p>
            <w:pPr>
              <w:pBdr>
                <w:bottom w:val="double" w:color="auto" w:sz="6" w:space="1"/>
              </w:pBd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&lt;Unchanged parts are omitted&gt;</w:t>
            </w:r>
          </w:p>
          <w:p>
            <w:pPr>
              <w:pStyle w:val="29"/>
              <w:widowControl w:val="0"/>
              <w:numPr>
                <w:ilvl w:val="0"/>
                <w:numId w:val="3"/>
              </w:numPr>
              <w:overflowPunct w:val="0"/>
              <w:snapToGrid/>
              <w:spacing w:after="180"/>
              <w:ind w:left="738" w:firstLineChars="0"/>
              <w:jc w:val="left"/>
              <w:textAlignment w:val="baseline"/>
              <w:rPr>
                <w:szCs w:val="20"/>
                <w:lang w:val="en-GB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Any comments on the draft CR?</w:t>
      </w:r>
    </w:p>
    <w:tbl>
      <w:tblPr>
        <w:tblStyle w:val="19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widowControl w:val="0"/>
            </w:pPr>
            <w:r>
              <w:rPr>
                <w:rFonts w:hint="eastAsia"/>
              </w:rPr>
              <w:t>Company</w:t>
            </w:r>
          </w:p>
        </w:tc>
        <w:tc>
          <w:tcPr>
            <w:tcW w:w="7611" w:type="dxa"/>
          </w:tcPr>
          <w:p>
            <w:pPr>
              <w:widowControl w:val="0"/>
            </w:pPr>
            <w:r>
              <w:rPr>
                <w:rFonts w:hint="eastAsia"/>
              </w:rP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7611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7611" w:type="dxa"/>
          </w:tcPr>
          <w:p>
            <w:pPr>
              <w:widowControl w:val="0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widowControl w:val="0"/>
              <w:rPr>
                <w:lang w:eastAsia="zh-CN"/>
              </w:rPr>
            </w:pPr>
          </w:p>
        </w:tc>
        <w:tc>
          <w:tcPr>
            <w:tcW w:w="7611" w:type="dxa"/>
          </w:tcPr>
          <w:p>
            <w:pPr>
              <w:widowControl w:val="0"/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p>
      <w:pPr>
        <w:rPr>
          <w:b/>
          <w:bCs/>
          <w:lang w:val="en-US"/>
        </w:rPr>
      </w:pPr>
    </w:p>
    <w:p>
      <w:pPr>
        <w:keepNext/>
        <w:keepLines/>
        <w:numPr>
          <w:ilvl w:val="0"/>
          <w:numId w:val="2"/>
        </w:numPr>
        <w:pBdr>
          <w:top w:val="single" w:color="auto" w:sz="12" w:space="3"/>
        </w:pBdr>
        <w:tabs>
          <w:tab w:val="left" w:pos="720"/>
        </w:tabs>
        <w:overflowPunct w:val="0"/>
        <w:autoSpaceDE w:val="0"/>
        <w:autoSpaceDN w:val="0"/>
        <w:adjustRightInd w:val="0"/>
        <w:spacing w:before="240"/>
        <w:ind w:left="720" w:hanging="720"/>
        <w:jc w:val="both"/>
        <w:textAlignment w:val="baseline"/>
        <w:outlineLvl w:val="0"/>
        <w:rPr>
          <w:rFonts w:ascii="Arial" w:hAnsi="Arial" w:eastAsia="宋体"/>
          <w:sz w:val="36"/>
          <w:lang w:val="en-US"/>
        </w:rPr>
      </w:pPr>
      <w:r>
        <w:rPr>
          <w:rFonts w:ascii="Arial" w:hAnsi="Arial" w:eastAsia="宋体"/>
          <w:sz w:val="36"/>
          <w:lang w:val="en-US"/>
        </w:rPr>
        <w:t>Summary</w:t>
      </w:r>
    </w:p>
    <w:p>
      <w:pPr>
        <w:numPr>
          <w:ilvl w:val="0"/>
          <w:numId w:val="0"/>
        </w:numPr>
        <w:bidi w:val="0"/>
        <w:ind w:leftChars="0"/>
        <w:rPr>
          <w:lang w:val="en-US"/>
        </w:rPr>
      </w:pPr>
      <w:r>
        <w:rPr>
          <w:rFonts w:hint="eastAsia"/>
          <w:lang w:val="en-US" w:eastAsia="zh-CN"/>
        </w:rPr>
        <w:t>TBD</w:t>
      </w:r>
    </w:p>
    <w:p>
      <w:pPr>
        <w:keepNext/>
        <w:keepLines/>
        <w:numPr>
          <w:ilvl w:val="0"/>
          <w:numId w:val="2"/>
        </w:numPr>
        <w:pBdr>
          <w:top w:val="single" w:color="auto" w:sz="12" w:space="3"/>
        </w:pBdr>
        <w:tabs>
          <w:tab w:val="left" w:pos="720"/>
        </w:tabs>
        <w:overflowPunct w:val="0"/>
        <w:autoSpaceDE w:val="0"/>
        <w:autoSpaceDN w:val="0"/>
        <w:adjustRightInd w:val="0"/>
        <w:spacing w:before="240"/>
        <w:ind w:left="720" w:hanging="720"/>
        <w:jc w:val="both"/>
        <w:textAlignment w:val="baseline"/>
        <w:outlineLvl w:val="0"/>
        <w:rPr>
          <w:rFonts w:ascii="Arial" w:hAnsi="Arial" w:eastAsia="宋体"/>
          <w:sz w:val="36"/>
          <w:lang w:val="en-US"/>
        </w:rPr>
      </w:pPr>
      <w:r>
        <w:rPr>
          <w:rFonts w:hint="eastAsia" w:ascii="Arial" w:hAnsi="Arial" w:eastAsia="宋体"/>
          <w:sz w:val="36"/>
          <w:lang w:val="en-US" w:eastAsia="zh-CN"/>
        </w:rPr>
        <w:t>Reference</w:t>
      </w:r>
    </w:p>
    <w:p>
      <w:pPr>
        <w:widowControl w:val="0"/>
        <w:numPr>
          <w:ilvl w:val="0"/>
          <w:numId w:val="4"/>
        </w:numPr>
        <w:autoSpaceDE/>
        <w:adjustRightInd/>
        <w:snapToGrid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R1-2206089 Correction o</w:t>
      </w:r>
      <w:r>
        <w:rPr>
          <w:lang w:val="en-US"/>
        </w:rPr>
        <w:t xml:space="preserve">n parallel transmission of </w:t>
      </w:r>
      <w:r>
        <w:rPr>
          <w:rFonts w:hint="eastAsia"/>
          <w:lang w:val="en-US" w:eastAsia="zh-CN"/>
        </w:rPr>
        <w:t>MsgA</w:t>
      </w:r>
      <w:r>
        <w:rPr>
          <w:lang w:val="en-US"/>
        </w:rPr>
        <w:t xml:space="preserve"> and other channels</w:t>
      </w:r>
      <w:r>
        <w:rPr>
          <w:rFonts w:hint="eastAsia"/>
          <w:lang w:val="en-US" w:eastAsia="zh-CN"/>
        </w:rPr>
        <w:t xml:space="preserve"> in TS 38.214, ZTE, Sanechips</w:t>
      </w:r>
    </w:p>
    <w:p>
      <w:pPr>
        <w:pStyle w:val="49"/>
        <w:spacing w:after="0"/>
        <w:ind w:left="100"/>
        <w:rPr>
          <w:rFonts w:hint="default" w:eastAsia="宋体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바탕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/>
    </w:pPr>
    <w:r>
      <w:rPr>
        <w:rStyle w:val="22"/>
      </w:rPr>
      <w:fldChar w:fldCharType="begin"/>
    </w:r>
    <w:r>
      <w:rPr>
        <w:rStyle w:val="22"/>
      </w:rPr>
      <w:instrText xml:space="preserve"> PAGE </w:instrText>
    </w:r>
    <w:r>
      <w:rPr>
        <w:rStyle w:val="22"/>
      </w:rPr>
      <w:fldChar w:fldCharType="separate"/>
    </w:r>
    <w:r>
      <w:rPr>
        <w:rStyle w:val="22"/>
      </w:rPr>
      <w:t>1</w:t>
    </w:r>
    <w:r>
      <w:rPr>
        <w:rStyle w:val="22"/>
      </w:rPr>
      <w:fldChar w:fldCharType="end"/>
    </w:r>
    <w:r>
      <w:rPr>
        <w:rStyle w:val="22"/>
      </w:rPr>
      <w:t>/</w:t>
    </w:r>
    <w:r>
      <w:rPr>
        <w:rStyle w:val="22"/>
      </w:rPr>
      <w:fldChar w:fldCharType="begin"/>
    </w:r>
    <w:r>
      <w:rPr>
        <w:rStyle w:val="22"/>
      </w:rPr>
      <w:instrText xml:space="preserve"> NUMPAGES </w:instrText>
    </w:r>
    <w:r>
      <w:rPr>
        <w:rStyle w:val="22"/>
      </w:rPr>
      <w:fldChar w:fldCharType="separate"/>
    </w:r>
    <w:r>
      <w:rPr>
        <w:rStyle w:val="22"/>
      </w:rPr>
      <w:t>2</w:t>
    </w:r>
    <w:r>
      <w:rPr>
        <w:rStyle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right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5959"/>
    <w:multiLevelType w:val="multilevel"/>
    <w:tmpl w:val="05E95959"/>
    <w:lvl w:ilvl="0" w:tentative="0">
      <w:start w:val="1"/>
      <w:numFmt w:val="decimal"/>
      <w:lvlText w:val="%1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</w:pPr>
      <w:rPr>
        <w:rFonts w:hint="default"/>
      </w:rPr>
    </w:lvl>
  </w:abstractNum>
  <w:abstractNum w:abstractNumId="1">
    <w:nsid w:val="1F250011"/>
    <w:multiLevelType w:val="multilevel"/>
    <w:tmpl w:val="1F250011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2">
    <w:nsid w:val="4C17615D"/>
    <w:multiLevelType w:val="multilevel"/>
    <w:tmpl w:val="4C17615D"/>
    <w:lvl w:ilvl="0" w:tentative="0">
      <w:start w:val="1"/>
      <w:numFmt w:val="bullet"/>
      <w:lvlText w:val="-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7D421B68"/>
    <w:multiLevelType w:val="multilevel"/>
    <w:tmpl w:val="7D421B68"/>
    <w:lvl w:ilvl="0" w:tentative="0">
      <w:start w:val="1"/>
      <w:numFmt w:val="bullet"/>
      <w:pStyle w:val="8"/>
      <w:lvlText w:val=""/>
      <w:lvlJc w:val="left"/>
      <w:pPr>
        <w:tabs>
          <w:tab w:val="left" w:pos="0"/>
        </w:tabs>
        <w:ind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96"/>
    <w:rsid w:val="00010D34"/>
    <w:rsid w:val="00022216"/>
    <w:rsid w:val="00037582"/>
    <w:rsid w:val="00042869"/>
    <w:rsid w:val="000436A4"/>
    <w:rsid w:val="0004422F"/>
    <w:rsid w:val="00054E5C"/>
    <w:rsid w:val="00063DAE"/>
    <w:rsid w:val="000674B3"/>
    <w:rsid w:val="00081CDD"/>
    <w:rsid w:val="00082F9A"/>
    <w:rsid w:val="000C2BC3"/>
    <w:rsid w:val="00122D19"/>
    <w:rsid w:val="00124E5D"/>
    <w:rsid w:val="00125DAC"/>
    <w:rsid w:val="00146E52"/>
    <w:rsid w:val="00153734"/>
    <w:rsid w:val="00154C05"/>
    <w:rsid w:val="00154E51"/>
    <w:rsid w:val="001567AB"/>
    <w:rsid w:val="0015790E"/>
    <w:rsid w:val="00177940"/>
    <w:rsid w:val="00195DD4"/>
    <w:rsid w:val="001A452F"/>
    <w:rsid w:val="001B159B"/>
    <w:rsid w:val="001B1EC7"/>
    <w:rsid w:val="001D0962"/>
    <w:rsid w:val="001E1134"/>
    <w:rsid w:val="00221394"/>
    <w:rsid w:val="00234DC4"/>
    <w:rsid w:val="00250249"/>
    <w:rsid w:val="00255F0A"/>
    <w:rsid w:val="00260902"/>
    <w:rsid w:val="0027145F"/>
    <w:rsid w:val="002742EE"/>
    <w:rsid w:val="0029388D"/>
    <w:rsid w:val="002B475A"/>
    <w:rsid w:val="002F6C8E"/>
    <w:rsid w:val="00322E97"/>
    <w:rsid w:val="00340D26"/>
    <w:rsid w:val="00362F3B"/>
    <w:rsid w:val="00384FD9"/>
    <w:rsid w:val="00385D53"/>
    <w:rsid w:val="00386F50"/>
    <w:rsid w:val="0039061F"/>
    <w:rsid w:val="003A16DD"/>
    <w:rsid w:val="003C0B13"/>
    <w:rsid w:val="003C5BD8"/>
    <w:rsid w:val="003E4EB7"/>
    <w:rsid w:val="003E5FB8"/>
    <w:rsid w:val="00400A2E"/>
    <w:rsid w:val="00414486"/>
    <w:rsid w:val="0041454F"/>
    <w:rsid w:val="0041506D"/>
    <w:rsid w:val="00431380"/>
    <w:rsid w:val="0044101B"/>
    <w:rsid w:val="00445342"/>
    <w:rsid w:val="00451CA3"/>
    <w:rsid w:val="00465D8B"/>
    <w:rsid w:val="00476C2A"/>
    <w:rsid w:val="0049613A"/>
    <w:rsid w:val="004B17E0"/>
    <w:rsid w:val="004C1F6A"/>
    <w:rsid w:val="004D5F00"/>
    <w:rsid w:val="004D634E"/>
    <w:rsid w:val="004D7BB1"/>
    <w:rsid w:val="00520E7B"/>
    <w:rsid w:val="00520F4B"/>
    <w:rsid w:val="00527F03"/>
    <w:rsid w:val="00527F8A"/>
    <w:rsid w:val="00531F1A"/>
    <w:rsid w:val="0055738F"/>
    <w:rsid w:val="0056091D"/>
    <w:rsid w:val="00561A32"/>
    <w:rsid w:val="00564FA8"/>
    <w:rsid w:val="00570955"/>
    <w:rsid w:val="00581295"/>
    <w:rsid w:val="00582CAB"/>
    <w:rsid w:val="00586156"/>
    <w:rsid w:val="00594B35"/>
    <w:rsid w:val="005A74CD"/>
    <w:rsid w:val="005D1FCA"/>
    <w:rsid w:val="005D201C"/>
    <w:rsid w:val="005F55C0"/>
    <w:rsid w:val="005F78B3"/>
    <w:rsid w:val="00601910"/>
    <w:rsid w:val="00601F79"/>
    <w:rsid w:val="00620296"/>
    <w:rsid w:val="00623263"/>
    <w:rsid w:val="00632162"/>
    <w:rsid w:val="00643492"/>
    <w:rsid w:val="00653D27"/>
    <w:rsid w:val="00674A20"/>
    <w:rsid w:val="00693BDF"/>
    <w:rsid w:val="006A161F"/>
    <w:rsid w:val="006B2F85"/>
    <w:rsid w:val="006B3A59"/>
    <w:rsid w:val="006C1D96"/>
    <w:rsid w:val="00700E0E"/>
    <w:rsid w:val="007265B8"/>
    <w:rsid w:val="007366C0"/>
    <w:rsid w:val="007407BC"/>
    <w:rsid w:val="00741122"/>
    <w:rsid w:val="0075364E"/>
    <w:rsid w:val="00753A4F"/>
    <w:rsid w:val="0075443B"/>
    <w:rsid w:val="007640FF"/>
    <w:rsid w:val="007860D7"/>
    <w:rsid w:val="00794448"/>
    <w:rsid w:val="007B1153"/>
    <w:rsid w:val="007C20CD"/>
    <w:rsid w:val="007C370A"/>
    <w:rsid w:val="007E7769"/>
    <w:rsid w:val="00803AB5"/>
    <w:rsid w:val="008208F6"/>
    <w:rsid w:val="008260B0"/>
    <w:rsid w:val="00835C35"/>
    <w:rsid w:val="00836865"/>
    <w:rsid w:val="00847D09"/>
    <w:rsid w:val="00854585"/>
    <w:rsid w:val="00857DFD"/>
    <w:rsid w:val="00861358"/>
    <w:rsid w:val="008800C7"/>
    <w:rsid w:val="0088116B"/>
    <w:rsid w:val="0089355F"/>
    <w:rsid w:val="008B5BDF"/>
    <w:rsid w:val="008C6866"/>
    <w:rsid w:val="008D60F7"/>
    <w:rsid w:val="008E736B"/>
    <w:rsid w:val="00904028"/>
    <w:rsid w:val="00913E12"/>
    <w:rsid w:val="00925A9A"/>
    <w:rsid w:val="00935E08"/>
    <w:rsid w:val="00943B84"/>
    <w:rsid w:val="00957A4D"/>
    <w:rsid w:val="009627A6"/>
    <w:rsid w:val="00983EFA"/>
    <w:rsid w:val="009B0A3F"/>
    <w:rsid w:val="009C47B4"/>
    <w:rsid w:val="009E1472"/>
    <w:rsid w:val="009E2C20"/>
    <w:rsid w:val="009F0072"/>
    <w:rsid w:val="009F2660"/>
    <w:rsid w:val="009F5385"/>
    <w:rsid w:val="00A04016"/>
    <w:rsid w:val="00A06BA2"/>
    <w:rsid w:val="00A15485"/>
    <w:rsid w:val="00A238B6"/>
    <w:rsid w:val="00A32A5A"/>
    <w:rsid w:val="00A3688E"/>
    <w:rsid w:val="00A40DBD"/>
    <w:rsid w:val="00A45641"/>
    <w:rsid w:val="00A458EA"/>
    <w:rsid w:val="00A5043D"/>
    <w:rsid w:val="00A562D2"/>
    <w:rsid w:val="00A64E9E"/>
    <w:rsid w:val="00AA685A"/>
    <w:rsid w:val="00AB425B"/>
    <w:rsid w:val="00AB6DBE"/>
    <w:rsid w:val="00AD444A"/>
    <w:rsid w:val="00AE1A6A"/>
    <w:rsid w:val="00AE7EB7"/>
    <w:rsid w:val="00B17212"/>
    <w:rsid w:val="00B27B76"/>
    <w:rsid w:val="00B32506"/>
    <w:rsid w:val="00B42AB1"/>
    <w:rsid w:val="00B563DD"/>
    <w:rsid w:val="00B64F64"/>
    <w:rsid w:val="00B71D12"/>
    <w:rsid w:val="00B71D35"/>
    <w:rsid w:val="00BA11DA"/>
    <w:rsid w:val="00BA1C99"/>
    <w:rsid w:val="00BA2B73"/>
    <w:rsid w:val="00BB5C86"/>
    <w:rsid w:val="00BD0F8A"/>
    <w:rsid w:val="00BF000D"/>
    <w:rsid w:val="00BF27FB"/>
    <w:rsid w:val="00C056B0"/>
    <w:rsid w:val="00C21AA4"/>
    <w:rsid w:val="00C260BB"/>
    <w:rsid w:val="00C338C6"/>
    <w:rsid w:val="00C4550B"/>
    <w:rsid w:val="00C51EDA"/>
    <w:rsid w:val="00C53F67"/>
    <w:rsid w:val="00C93656"/>
    <w:rsid w:val="00C94B32"/>
    <w:rsid w:val="00CA7C43"/>
    <w:rsid w:val="00CB0B09"/>
    <w:rsid w:val="00CC6140"/>
    <w:rsid w:val="00CD34D4"/>
    <w:rsid w:val="00CD3E48"/>
    <w:rsid w:val="00CD6583"/>
    <w:rsid w:val="00CE3E25"/>
    <w:rsid w:val="00D10724"/>
    <w:rsid w:val="00D31AEF"/>
    <w:rsid w:val="00D42713"/>
    <w:rsid w:val="00D43F0A"/>
    <w:rsid w:val="00D6066F"/>
    <w:rsid w:val="00D72E9C"/>
    <w:rsid w:val="00D75227"/>
    <w:rsid w:val="00D76286"/>
    <w:rsid w:val="00D8305F"/>
    <w:rsid w:val="00DC6F4D"/>
    <w:rsid w:val="00DF67C0"/>
    <w:rsid w:val="00E06B08"/>
    <w:rsid w:val="00E33A77"/>
    <w:rsid w:val="00E346D4"/>
    <w:rsid w:val="00E34A1D"/>
    <w:rsid w:val="00E357FC"/>
    <w:rsid w:val="00E605EA"/>
    <w:rsid w:val="00E64FFE"/>
    <w:rsid w:val="00E74BCC"/>
    <w:rsid w:val="00E836D1"/>
    <w:rsid w:val="00EA4473"/>
    <w:rsid w:val="00EC6AFC"/>
    <w:rsid w:val="00EE2928"/>
    <w:rsid w:val="00EE3BA5"/>
    <w:rsid w:val="00EE536F"/>
    <w:rsid w:val="00EE71A9"/>
    <w:rsid w:val="00EF15B3"/>
    <w:rsid w:val="00EF786E"/>
    <w:rsid w:val="00F00BC4"/>
    <w:rsid w:val="00F01430"/>
    <w:rsid w:val="00F22702"/>
    <w:rsid w:val="00F34287"/>
    <w:rsid w:val="00F34461"/>
    <w:rsid w:val="00F47E3B"/>
    <w:rsid w:val="00F5209A"/>
    <w:rsid w:val="00F564C2"/>
    <w:rsid w:val="00F5785D"/>
    <w:rsid w:val="00F63972"/>
    <w:rsid w:val="00F67F4B"/>
    <w:rsid w:val="00F752F5"/>
    <w:rsid w:val="00F80F24"/>
    <w:rsid w:val="00F81424"/>
    <w:rsid w:val="00F8682C"/>
    <w:rsid w:val="00FA2448"/>
    <w:rsid w:val="00FB2B55"/>
    <w:rsid w:val="0C884B6E"/>
    <w:rsid w:val="237D72FD"/>
    <w:rsid w:val="29710D6A"/>
    <w:rsid w:val="2CA00B87"/>
    <w:rsid w:val="38603EB9"/>
    <w:rsid w:val="400D092E"/>
    <w:rsid w:val="41704CE8"/>
    <w:rsid w:val="44B05189"/>
    <w:rsid w:val="58D97330"/>
    <w:rsid w:val="6AA0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qFormat="1" w:unhideWhenUsed="0" w:uiPriority="0" w:semiHidden="0" w:name="List Bullet"/>
    <w:lsdException w:uiPriority="99" w:name="List Number"/>
    <w:lsdException w:qFormat="1" w:uiPriority="99" w:name="List 2"/>
    <w:lsdException w:qFormat="1" w:uiPriority="99" w:name="List 3"/>
    <w:lsdException w:qFormat="1"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link w:val="28"/>
    <w:qFormat/>
    <w:uiPriority w:val="9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51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3"/>
    <w:next w:val="1"/>
    <w:link w:val="43"/>
    <w:unhideWhenUsed/>
    <w:qFormat/>
    <w:uiPriority w:val="0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1"/>
    <w:next w:val="1"/>
    <w:link w:val="50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3"/>
    <w:basedOn w:val="1"/>
    <w:semiHidden/>
    <w:unhideWhenUsed/>
    <w:qFormat/>
    <w:uiPriority w:val="99"/>
    <w:pPr>
      <w:ind w:left="1080" w:hanging="360"/>
      <w:contextualSpacing/>
    </w:pPr>
  </w:style>
  <w:style w:type="paragraph" w:styleId="7">
    <w:name w:val="caption"/>
    <w:basedOn w:val="1"/>
    <w:next w:val="1"/>
    <w:link w:val="3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bCs/>
      <w:lang w:val="en-US"/>
    </w:rPr>
  </w:style>
  <w:style w:type="paragraph" w:styleId="8">
    <w:name w:val="List Bullet"/>
    <w:basedOn w:val="1"/>
    <w:qFormat/>
    <w:uiPriority w:val="0"/>
    <w:pPr>
      <w:widowControl w:val="0"/>
      <w:numPr>
        <w:ilvl w:val="0"/>
        <w:numId w:val="1"/>
      </w:numPr>
      <w:spacing w:after="0"/>
      <w:jc w:val="both"/>
    </w:pPr>
    <w:rPr>
      <w:rFonts w:eastAsia="MS Gothic"/>
      <w:kern w:val="2"/>
      <w:lang w:val="en-US" w:eastAsia="ja-JP"/>
    </w:rPr>
  </w:style>
  <w:style w:type="paragraph" w:styleId="9">
    <w:name w:val="annotation text"/>
    <w:basedOn w:val="1"/>
    <w:link w:val="41"/>
    <w:unhideWhenUsed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paragraph" w:styleId="10">
    <w:name w:val="List 2"/>
    <w:basedOn w:val="1"/>
    <w:semiHidden/>
    <w:unhideWhenUsed/>
    <w:qFormat/>
    <w:uiPriority w:val="99"/>
    <w:pPr>
      <w:ind w:left="720" w:hanging="360"/>
      <w:contextualSpacing/>
    </w:pPr>
  </w:style>
  <w:style w:type="paragraph" w:styleId="11">
    <w:name w:val="Balloon Text"/>
    <w:basedOn w:val="1"/>
    <w:link w:val="39"/>
    <w:semiHidden/>
    <w:unhideWhenUsed/>
    <w:qFormat/>
    <w:uiPriority w:val="99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hAnsi="Segoe UI" w:eastAsia="宋体" w:cs="Segoe UI"/>
      <w:sz w:val="18"/>
      <w:szCs w:val="18"/>
    </w:rPr>
  </w:style>
  <w:style w:type="paragraph" w:styleId="12">
    <w:name w:val="footer"/>
    <w:basedOn w:val="13"/>
    <w:link w:val="27"/>
    <w:qFormat/>
    <w:uiPriority w:val="0"/>
    <w:pPr>
      <w:jc w:val="center"/>
    </w:pPr>
    <w:rPr>
      <w:i/>
    </w:rPr>
  </w:style>
  <w:style w:type="paragraph" w:styleId="13">
    <w:name w:val="header"/>
    <w:link w:val="26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US" w:eastAsia="en-US" w:bidi="ar-SA"/>
    </w:rPr>
  </w:style>
  <w:style w:type="paragraph" w:styleId="14">
    <w:name w:val="List"/>
    <w:basedOn w:val="1"/>
    <w:semiHidden/>
    <w:unhideWhenUsed/>
    <w:qFormat/>
    <w:uiPriority w:val="99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宋体"/>
    </w:rPr>
  </w:style>
  <w:style w:type="paragraph" w:styleId="15">
    <w:name w:val="List 4"/>
    <w:basedOn w:val="1"/>
    <w:semiHidden/>
    <w:unhideWhenUsed/>
    <w:qFormat/>
    <w:uiPriority w:val="99"/>
    <w:pPr>
      <w:ind w:left="1440" w:hanging="360"/>
      <w:contextualSpacing/>
    </w:pPr>
  </w:style>
  <w:style w:type="paragraph" w:styleId="1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17">
    <w:name w:val="annotation subject"/>
    <w:basedOn w:val="9"/>
    <w:next w:val="9"/>
    <w:link w:val="42"/>
    <w:semiHidden/>
    <w:unhideWhenUsed/>
    <w:qFormat/>
    <w:uiPriority w:val="99"/>
    <w:rPr>
      <w:b/>
      <w:bCs/>
    </w:rPr>
  </w:style>
  <w:style w:type="table" w:styleId="19">
    <w:name w:val="Table Grid"/>
    <w:basedOn w:val="18"/>
    <w:uiPriority w:val="59"/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basedOn w:val="20"/>
    <w:semiHidden/>
    <w:unhideWhenUsed/>
    <w:qFormat/>
    <w:uiPriority w:val="99"/>
    <w:rPr>
      <w:sz w:val="16"/>
      <w:szCs w:val="16"/>
    </w:rPr>
  </w:style>
  <w:style w:type="character" w:customStyle="1" w:styleId="25">
    <w:name w:val="Heading 1 Char"/>
    <w:qFormat/>
    <w:uiPriority w:val="9"/>
    <w:rPr>
      <w:rFonts w:ascii="Calibri Light" w:hAnsi="Calibri Light" w:eastAsia="Times New Roman" w:cs="Times New Roman"/>
      <w:color w:val="2F5496"/>
      <w:sz w:val="32"/>
      <w:szCs w:val="32"/>
      <w:lang w:val="en-GB"/>
    </w:rPr>
  </w:style>
  <w:style w:type="character" w:customStyle="1" w:styleId="26">
    <w:name w:val="Header Char"/>
    <w:link w:val="13"/>
    <w:qFormat/>
    <w:uiPriority w:val="0"/>
    <w:rPr>
      <w:rFonts w:ascii="Arial" w:hAnsi="Arial" w:eastAsia="宋体" w:cs="Times New Roman"/>
      <w:b/>
      <w:sz w:val="18"/>
      <w:szCs w:val="20"/>
    </w:rPr>
  </w:style>
  <w:style w:type="character" w:customStyle="1" w:styleId="27">
    <w:name w:val="Footer Char"/>
    <w:link w:val="12"/>
    <w:qFormat/>
    <w:uiPriority w:val="0"/>
    <w:rPr>
      <w:rFonts w:ascii="Arial" w:hAnsi="Arial" w:eastAsia="宋体" w:cs="Times New Roman"/>
      <w:b/>
      <w:i/>
      <w:sz w:val="18"/>
      <w:szCs w:val="20"/>
    </w:rPr>
  </w:style>
  <w:style w:type="character" w:customStyle="1" w:styleId="28">
    <w:name w:val="Heading 1 Char1"/>
    <w:link w:val="2"/>
    <w:qFormat/>
    <w:uiPriority w:val="9"/>
    <w:rPr>
      <w:rFonts w:ascii="Arial" w:hAnsi="Arial" w:eastAsia="宋体" w:cs="Times New Roman"/>
      <w:sz w:val="36"/>
      <w:szCs w:val="20"/>
      <w:lang w:val="en-GB"/>
    </w:rPr>
  </w:style>
  <w:style w:type="paragraph" w:styleId="29">
    <w:name w:val="List Paragraph"/>
    <w:basedOn w:val="1"/>
    <w:link w:val="46"/>
    <w:qFormat/>
    <w:uiPriority w:val="3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paragraph" w:customStyle="1" w:styleId="30">
    <w:name w:val="B1"/>
    <w:basedOn w:val="14"/>
    <w:link w:val="32"/>
    <w:qFormat/>
    <w:uiPriority w:val="0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31">
    <w:name w:val="Caption Char"/>
    <w:link w:val="7"/>
    <w:qFormat/>
    <w:uiPriority w:val="35"/>
    <w:rPr>
      <w:rFonts w:ascii="Times New Roman" w:hAnsi="Times New Roman" w:eastAsia="宋体" w:cs="Times New Roman"/>
      <w:b/>
      <w:bCs/>
      <w:sz w:val="20"/>
      <w:szCs w:val="20"/>
    </w:rPr>
  </w:style>
  <w:style w:type="character" w:customStyle="1" w:styleId="32">
    <w:name w:val="B1 Char1"/>
    <w:link w:val="30"/>
    <w:qFormat/>
    <w:uiPriority w:val="0"/>
    <w:rPr>
      <w:rFonts w:ascii="Times New Roman" w:hAnsi="Times New Roman" w:eastAsia="Malgun Gothic" w:cs="Times New Roman"/>
      <w:sz w:val="20"/>
      <w:szCs w:val="20"/>
      <w:lang w:val="en-GB"/>
    </w:rPr>
  </w:style>
  <w:style w:type="paragraph" w:customStyle="1" w:styleId="33">
    <w:name w:val="TAH"/>
    <w:basedOn w:val="34"/>
    <w:link w:val="37"/>
    <w:qFormat/>
    <w:uiPriority w:val="0"/>
    <w:rPr>
      <w:b/>
    </w:rPr>
  </w:style>
  <w:style w:type="paragraph" w:customStyle="1" w:styleId="34">
    <w:name w:val="TAC"/>
    <w:basedOn w:val="35"/>
    <w:link w:val="36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paragraph" w:customStyle="1" w:styleId="35">
    <w:name w:val="TAL"/>
    <w:basedOn w:val="1"/>
    <w:link w:val="62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36">
    <w:name w:val="TAC Char"/>
    <w:link w:val="34"/>
    <w:qFormat/>
    <w:locked/>
    <w:uiPriority w:val="0"/>
    <w:rPr>
      <w:rFonts w:ascii="Arial" w:hAnsi="Arial" w:eastAsia="Times New Roman" w:cs="Times New Roman"/>
      <w:sz w:val="18"/>
      <w:szCs w:val="20"/>
      <w:lang w:val="en-GB" w:eastAsia="en-GB"/>
    </w:rPr>
  </w:style>
  <w:style w:type="character" w:customStyle="1" w:styleId="37">
    <w:name w:val="TAH Car"/>
    <w:link w:val="33"/>
    <w:qFormat/>
    <w:uiPriority w:val="0"/>
    <w:rPr>
      <w:rFonts w:ascii="Arial" w:hAnsi="Arial" w:eastAsia="Times New Roman" w:cs="Times New Roman"/>
      <w:b/>
      <w:sz w:val="18"/>
      <w:szCs w:val="20"/>
      <w:lang w:val="en-GB" w:eastAsia="en-GB"/>
    </w:rPr>
  </w:style>
  <w:style w:type="character" w:customStyle="1" w:styleId="38">
    <w:name w:val="fontstyle01"/>
    <w:qFormat/>
    <w:uiPriority w:val="0"/>
    <w:rPr>
      <w:rFonts w:hint="default" w:ascii="Times-Roman" w:hAnsi="Times-Roman"/>
      <w:color w:val="000000"/>
      <w:sz w:val="20"/>
      <w:szCs w:val="20"/>
    </w:rPr>
  </w:style>
  <w:style w:type="character" w:customStyle="1" w:styleId="39">
    <w:name w:val="Balloon Text Char"/>
    <w:basedOn w:val="20"/>
    <w:link w:val="11"/>
    <w:semiHidden/>
    <w:qFormat/>
    <w:uiPriority w:val="99"/>
    <w:rPr>
      <w:rFonts w:ascii="Segoe UI" w:hAnsi="Segoe UI" w:eastAsia="宋体" w:cs="Segoe UI"/>
      <w:sz w:val="18"/>
      <w:szCs w:val="18"/>
      <w:lang w:val="en-GB"/>
    </w:rPr>
  </w:style>
  <w:style w:type="character" w:styleId="40">
    <w:name w:val="Placeholder Text"/>
    <w:basedOn w:val="20"/>
    <w:semiHidden/>
    <w:uiPriority w:val="99"/>
    <w:rPr>
      <w:color w:val="808080"/>
    </w:rPr>
  </w:style>
  <w:style w:type="character" w:customStyle="1" w:styleId="41">
    <w:name w:val="Comment Text Char"/>
    <w:basedOn w:val="20"/>
    <w:link w:val="9"/>
    <w:qFormat/>
    <w:uiPriority w:val="99"/>
    <w:rPr>
      <w:rFonts w:ascii="Times New Roman" w:hAnsi="Times New Roman" w:eastAsia="宋体"/>
      <w:lang w:val="en-GB"/>
    </w:rPr>
  </w:style>
  <w:style w:type="character" w:customStyle="1" w:styleId="42">
    <w:name w:val="Comment Subject Char"/>
    <w:basedOn w:val="41"/>
    <w:link w:val="17"/>
    <w:semiHidden/>
    <w:qFormat/>
    <w:uiPriority w:val="99"/>
    <w:rPr>
      <w:rFonts w:ascii="Times New Roman" w:hAnsi="Times New Roman" w:eastAsia="宋体"/>
      <w:b/>
      <w:bCs/>
      <w:lang w:val="en-GB"/>
    </w:rPr>
  </w:style>
  <w:style w:type="character" w:customStyle="1" w:styleId="43">
    <w:name w:val="Heading 3 Char"/>
    <w:basedOn w:val="20"/>
    <w:link w:val="4"/>
    <w:qFormat/>
    <w:uiPriority w:val="0"/>
    <w:rPr>
      <w:rFonts w:asciiTheme="majorHAnsi" w:hAnsiTheme="majorHAnsi" w:eastAsiaTheme="majorEastAsia" w:cstheme="majorBidi"/>
      <w:color w:val="203864" w:themeColor="accent1" w:themeShade="80"/>
      <w:sz w:val="24"/>
      <w:szCs w:val="24"/>
      <w:lang w:val="en-GB"/>
    </w:rPr>
  </w:style>
  <w:style w:type="character" w:customStyle="1" w:styleId="44">
    <w:name w:val="TH Char"/>
    <w:link w:val="45"/>
    <w:qFormat/>
    <w:locked/>
    <w:uiPriority w:val="0"/>
    <w:rPr>
      <w:rFonts w:ascii="Arial" w:hAnsi="Arial" w:cs="Arial"/>
      <w:b/>
      <w:lang w:val="en-GB"/>
    </w:rPr>
  </w:style>
  <w:style w:type="paragraph" w:customStyle="1" w:styleId="45">
    <w:name w:val="TH"/>
    <w:basedOn w:val="1"/>
    <w:link w:val="44"/>
    <w:qFormat/>
    <w:uiPriority w:val="0"/>
    <w:pPr>
      <w:keepNext/>
      <w:keepLines/>
      <w:spacing w:before="60"/>
      <w:jc w:val="center"/>
    </w:pPr>
    <w:rPr>
      <w:rFonts w:ascii="Arial" w:hAnsi="Arial" w:eastAsia="Calibri" w:cs="Arial"/>
      <w:b/>
    </w:rPr>
  </w:style>
  <w:style w:type="character" w:customStyle="1" w:styleId="46">
    <w:name w:val="List Paragraph Char"/>
    <w:link w:val="29"/>
    <w:qFormat/>
    <w:locked/>
    <w:uiPriority w:val="34"/>
    <w:rPr>
      <w:rFonts w:ascii="Times New Roman" w:hAnsi="Times New Roman" w:eastAsia="宋体"/>
      <w:lang w:val="en-GB"/>
    </w:rPr>
  </w:style>
  <w:style w:type="paragraph" w:customStyle="1" w:styleId="47">
    <w:name w:val="B2"/>
    <w:basedOn w:val="10"/>
    <w:link w:val="48"/>
    <w:qFormat/>
    <w:uiPriority w:val="0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</w:style>
  <w:style w:type="character" w:customStyle="1" w:styleId="48">
    <w:name w:val="B2 Char"/>
    <w:link w:val="47"/>
    <w:qFormat/>
    <w:locked/>
    <w:uiPriority w:val="0"/>
    <w:rPr>
      <w:rFonts w:ascii="Times New Roman" w:hAnsi="Times New Roman" w:eastAsia="Times New Roman"/>
      <w:lang w:val="en-GB"/>
    </w:rPr>
  </w:style>
  <w:style w:type="paragraph" w:customStyle="1" w:styleId="49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50">
    <w:name w:val="Heading 4 Char"/>
    <w:basedOn w:val="20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F5597" w:themeColor="accent1" w:themeShade="BF"/>
      <w:lang w:val="en-GB"/>
    </w:rPr>
  </w:style>
  <w:style w:type="character" w:customStyle="1" w:styleId="51">
    <w:name w:val="Heading 2 Char"/>
    <w:basedOn w:val="20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  <w:lang w:val="en-GB"/>
    </w:rPr>
  </w:style>
  <w:style w:type="paragraph" w:customStyle="1" w:styleId="52">
    <w:name w:val="B3"/>
    <w:basedOn w:val="6"/>
    <w:link w:val="54"/>
    <w:qFormat/>
    <w:uiPriority w:val="0"/>
    <w:pPr>
      <w:overflowPunct w:val="0"/>
      <w:autoSpaceDE w:val="0"/>
      <w:autoSpaceDN w:val="0"/>
      <w:adjustRightInd w:val="0"/>
      <w:ind w:left="1135" w:hanging="284"/>
      <w:contextualSpacing w:val="0"/>
      <w:textAlignment w:val="baseline"/>
    </w:pPr>
    <w:rPr>
      <w:lang w:eastAsia="en-GB"/>
    </w:rPr>
  </w:style>
  <w:style w:type="paragraph" w:customStyle="1" w:styleId="53">
    <w:name w:val="B4"/>
    <w:basedOn w:val="15"/>
    <w:qFormat/>
    <w:uiPriority w:val="0"/>
    <w:pPr>
      <w:overflowPunct w:val="0"/>
      <w:autoSpaceDE w:val="0"/>
      <w:autoSpaceDN w:val="0"/>
      <w:adjustRightInd w:val="0"/>
      <w:ind w:left="1418" w:hanging="284"/>
      <w:contextualSpacing w:val="0"/>
      <w:textAlignment w:val="baseline"/>
    </w:pPr>
    <w:rPr>
      <w:lang w:eastAsia="en-GB"/>
    </w:rPr>
  </w:style>
  <w:style w:type="character" w:customStyle="1" w:styleId="54">
    <w:name w:val="B3 Char"/>
    <w:link w:val="52"/>
    <w:qFormat/>
    <w:uiPriority w:val="0"/>
    <w:rPr>
      <w:rFonts w:ascii="Times New Roman" w:hAnsi="Times New Roman" w:eastAsia="Times New Roman"/>
      <w:lang w:val="en-GB" w:eastAsia="en-GB"/>
    </w:rPr>
  </w:style>
  <w:style w:type="paragraph" w:customStyle="1" w:styleId="55">
    <w:name w:val="tah"/>
    <w:basedOn w:val="1"/>
    <w:qFormat/>
    <w:uiPriority w:val="0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56">
    <w:name w:val="tal"/>
    <w:basedOn w:val="1"/>
    <w:qFormat/>
    <w:uiPriority w:val="0"/>
    <w:pPr>
      <w:spacing w:before="100" w:beforeAutospacing="1" w:after="100" w:afterAutospacing="1"/>
    </w:pPr>
    <w:rPr>
      <w:sz w:val="24"/>
      <w:szCs w:val="24"/>
      <w:lang w:val="en-US"/>
    </w:rPr>
  </w:style>
  <w:style w:type="table" w:customStyle="1" w:styleId="57">
    <w:name w:val="Grid Table 5 Dark Accent 5"/>
    <w:basedOn w:val="1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cPr>
        <w:shd w:val="clear" w:color="auto" w:fill="BDD6EE" w:themeFill="accent5" w:themeFillTint="66"/>
      </w:tcPr>
    </w:tblStylePr>
    <w:tblStylePr w:type="band1Horz">
      <w:tcPr>
        <w:shd w:val="clear" w:color="auto" w:fill="BDD6EE" w:themeFill="accent5" w:themeFillTint="66"/>
      </w:tcPr>
    </w:tblStylePr>
  </w:style>
  <w:style w:type="character" w:customStyle="1" w:styleId="58">
    <w:name w:val="apple-converted-space"/>
    <w:basedOn w:val="20"/>
    <w:qFormat/>
    <w:uiPriority w:val="0"/>
  </w:style>
  <w:style w:type="paragraph" w:customStyle="1" w:styleId="59">
    <w:name w:val="b1"/>
    <w:basedOn w:val="1"/>
    <w:qFormat/>
    <w:uiPriority w:val="0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60">
    <w:name w:val="b2"/>
    <w:basedOn w:val="1"/>
    <w:qFormat/>
    <w:uiPriority w:val="0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61">
    <w:name w:val="pl"/>
    <w:basedOn w:val="1"/>
    <w:qFormat/>
    <w:uiPriority w:val="0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62">
    <w:name w:val="TAL Car"/>
    <w:link w:val="35"/>
    <w:qFormat/>
    <w:uiPriority w:val="0"/>
    <w:rPr>
      <w:rFonts w:ascii="Arial" w:hAnsi="Arial" w:eastAsia="Times New Roman"/>
      <w:sz w:val="18"/>
      <w:lang w:val="en-GB" w:eastAsia="ja-JP"/>
    </w:rPr>
  </w:style>
  <w:style w:type="paragraph" w:customStyle="1" w:styleId="63">
    <w:name w:val="TAN"/>
    <w:basedOn w:val="35"/>
    <w:qFormat/>
    <w:uiPriority w:val="0"/>
    <w:pPr>
      <w:ind w:left="851" w:hanging="85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6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9BFD66497B943AA3B102F0C7B1355" ma:contentTypeVersion="3" ma:contentTypeDescription="Create a new document." ma:contentTypeScope="" ma:versionID="bfaad8acd7d275f3e3bca56f362c82b7">
  <xsd:schema xmlns:xsd="http://www.w3.org/2001/XMLSchema" xmlns:xs="http://www.w3.org/2001/XMLSchema" xmlns:p="http://schemas.microsoft.com/office/2006/metadata/properties" xmlns:ns2="c06861ca-3f08-4d07-bff7-bb15bac121f4" targetNamespace="http://schemas.microsoft.com/office/2006/metadata/properties" ma:root="true" ma:fieldsID="d438a935a9f46a554a3c2b40b6909714" ns2:_="">
    <xsd:import namespace="c06861ca-3f08-4d07-bff7-bb15bac121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861ca-3f08-4d07-bff7-bb15bac12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6861ca-3f08-4d07-bff7-bb15bac121f4">HR33RHYHUWRF-4-18206</_dlc_DocId>
    <_dlc_DocIdUrl xmlns="c06861ca-3f08-4d07-bff7-bb15bac121f4">
      <Url>https://projects.qualcomm.com/sites/pentari/_layouts/15/DocIdRedir.aspx?ID=HR33RHYHUWRF-4-18206</Url>
      <Description>HR33RHYHUWRF-4-18206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4F9521-7479-4E3D-B853-85C30A4CD43D}">
  <ds:schemaRefs/>
</ds:datastoreItem>
</file>

<file path=customXml/itemProps3.xml><?xml version="1.0" encoding="utf-8"?>
<ds:datastoreItem xmlns:ds="http://schemas.openxmlformats.org/officeDocument/2006/customXml" ds:itemID="{9FA42B3A-4CD7-4E3B-B0EF-E13934F4A2B6}">
  <ds:schemaRefs/>
</ds:datastoreItem>
</file>

<file path=customXml/itemProps4.xml><?xml version="1.0" encoding="utf-8"?>
<ds:datastoreItem xmlns:ds="http://schemas.openxmlformats.org/officeDocument/2006/customXml" ds:itemID="{AF7299DC-E9B5-4C5A-B03E-00EF26172912}">
  <ds:schemaRefs/>
</ds:datastoreItem>
</file>

<file path=customXml/itemProps5.xml><?xml version="1.0" encoding="utf-8"?>
<ds:datastoreItem xmlns:ds="http://schemas.openxmlformats.org/officeDocument/2006/customXml" ds:itemID="{BD5926F2-DC08-4089-80F1-920A54DBE5C4}">
  <ds:schemaRefs/>
</ds:datastoreItem>
</file>

<file path=customXml/itemProps6.xml><?xml version="1.0" encoding="utf-8"?>
<ds:datastoreItem xmlns:ds="http://schemas.openxmlformats.org/officeDocument/2006/customXml" ds:itemID="{AFA1A405-6E9C-41A4-877B-7A3B084B9C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4034</Characters>
  <Lines>33</Lines>
  <Paragraphs>9</Paragraphs>
  <TotalTime>7</TotalTime>
  <ScaleCrop>false</ScaleCrop>
  <LinksUpToDate>false</LinksUpToDate>
  <CharactersWithSpaces>4732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2022-02-13T18:47:00Z</dcterms:created>
  <dc:creator>10240485</dc:creator>
  <cp:lastModifiedBy>ZTE-Ziyang</cp:lastModifiedBy>
  <cp:lastPrinted>2020-02-10T06:14:00Z</cp:lastPrinted>
  <dcterms:modified xsi:type="dcterms:W3CDTF">2022-08-19T06:27:13Z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b0e792b8-b2b7-48b5-a101-7710eff50266</vt:lpwstr>
  </property>
  <property fmtid="{D5CDD505-2E9C-101B-9397-08002B2CF9AE}" pid="3" name="ContentTypeId">
    <vt:lpwstr>0x010100BC29BFD66497B943AA3B102F0C7B1355</vt:lpwstr>
  </property>
  <property fmtid="{D5CDD505-2E9C-101B-9397-08002B2CF9AE}" pid="4" name="KSOProductBuildVer">
    <vt:lpwstr>2052-11.8.2.9022</vt:lpwstr>
  </property>
</Properties>
</file>