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lang w:eastAsia="ko-KR"/>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lang w:eastAsia="ko-KR"/>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ListParagraph"/>
        <w:numPr>
          <w:ilvl w:val="0"/>
          <w:numId w:val="41"/>
        </w:numPr>
      </w:pPr>
      <w:r w:rsidRPr="00C63DB0">
        <w:t>Document-v000-Mod.docx</w:t>
      </w:r>
    </w:p>
    <w:p w14:paraId="3D1B6934" w14:textId="77777777" w:rsidR="00C63DB0" w:rsidRPr="00C63DB0" w:rsidRDefault="00C63DB0" w:rsidP="00B7696B">
      <w:pPr>
        <w:pStyle w:val="ListParagraph"/>
        <w:numPr>
          <w:ilvl w:val="0"/>
          <w:numId w:val="41"/>
        </w:numPr>
      </w:pPr>
      <w:r w:rsidRPr="00C63DB0">
        <w:t>Document-v001-Mod-CompanyA.docx</w:t>
      </w:r>
    </w:p>
    <w:p w14:paraId="5F9FBB58" w14:textId="77777777" w:rsidR="00C63DB0" w:rsidRPr="00C63DB0" w:rsidRDefault="00C63DB0" w:rsidP="00B7696B">
      <w:pPr>
        <w:pStyle w:val="ListParagraph"/>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uploads an empty file named Document-v003-CompanyB-CompanyC</w:t>
      </w:r>
      <w:r w:rsidRPr="00C63DB0">
        <w:rPr>
          <w:color w:val="FF0000"/>
        </w:rPr>
        <w:t>.checkout</w:t>
      </w:r>
    </w:p>
    <w:p w14:paraId="19CB1D53"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w:t>
      </w:r>
      <w:r w:rsidRPr="00C63DB0">
        <w:rPr>
          <w:color w:val="FF0000"/>
        </w:rPr>
        <w:t>checks that no one else has created a checkout file simultaneously</w:t>
      </w:r>
      <w:r w:rsidRPr="00C63DB0">
        <w:t xml:space="preserve">, and if there is a collision, </w:t>
      </w:r>
      <w:proofErr w:type="spellStart"/>
      <w:r w:rsidRPr="00C63DB0">
        <w:t>CompanyC</w:t>
      </w:r>
      <w:proofErr w:type="spellEnd"/>
      <w:r w:rsidRPr="00C63DB0">
        <w:t xml:space="preserve"> tries to coordinate with the company who made the other checkout </w:t>
      </w:r>
    </w:p>
    <w:p w14:paraId="2030B685" w14:textId="77777777" w:rsidR="00C63DB0" w:rsidRPr="00C63DB0" w:rsidRDefault="00C63DB0" w:rsidP="00B7696B">
      <w:pPr>
        <w:pStyle w:val="ListParagraph"/>
        <w:numPr>
          <w:ilvl w:val="0"/>
          <w:numId w:val="42"/>
        </w:numPr>
      </w:pPr>
      <w:proofErr w:type="spellStart"/>
      <w:r w:rsidRPr="00C63DB0">
        <w:t>CompanyC</w:t>
      </w:r>
      <w:proofErr w:type="spellEnd"/>
      <w:r w:rsidRPr="00C63DB0">
        <w:t xml:space="preserve">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ListParagraph"/>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B7696B">
      <w:pPr>
        <w:pStyle w:val="ListParagraph"/>
        <w:numPr>
          <w:ilvl w:val="0"/>
          <w:numId w:val="39"/>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FD1352" w:rsidP="00FD1352">
            <w:pPr>
              <w:rPr>
                <w:lang w:eastAsia="zh-CN"/>
              </w:rPr>
            </w:pPr>
            <w:hyperlink r:id="rId8" w:history="1">
              <w:r w:rsidRPr="00EF481A">
                <w:rPr>
                  <w:rStyle w:val="Hyperlink"/>
                </w:rPr>
                <w:t>keeth.jayasinghe@nokia.com</w:t>
              </w:r>
            </w:hyperlink>
            <w:r>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47258C98" w:rsidR="00FD1352" w:rsidRPr="0051144F" w:rsidRDefault="00FD1352" w:rsidP="00FD1352">
            <w:pPr>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BB550FD" w14:textId="6B8ACE9F" w:rsidR="00FD1352" w:rsidRPr="0051144F" w:rsidRDefault="00FD1352" w:rsidP="00FD1352">
            <w:pPr>
              <w:rPr>
                <w:lang w:eastAsia="ja-JP"/>
              </w:rPr>
            </w:pPr>
          </w:p>
        </w:tc>
        <w:tc>
          <w:tcPr>
            <w:tcW w:w="4394" w:type="dxa"/>
            <w:tcBorders>
              <w:top w:val="single" w:sz="4" w:space="0" w:color="auto"/>
              <w:left w:val="single" w:sz="4" w:space="0" w:color="auto"/>
              <w:bottom w:val="single" w:sz="4" w:space="0" w:color="auto"/>
              <w:right w:val="single" w:sz="4" w:space="0" w:color="auto"/>
            </w:tcBorders>
          </w:tcPr>
          <w:p w14:paraId="35F0E00A" w14:textId="3528712E" w:rsidR="00FD1352" w:rsidRPr="0051144F" w:rsidRDefault="00FD1352" w:rsidP="00FD1352"/>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w:t>
      </w:r>
      <w:proofErr w:type="spellStart"/>
      <w:r w:rsidRPr="00C72390">
        <w:rPr>
          <w:sz w:val="18"/>
          <w:szCs w:val="18"/>
        </w:rPr>
        <w:t>HiSi</w:t>
      </w:r>
      <w:proofErr w:type="spellEnd"/>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lastRenderedPageBreak/>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w:t>
      </w:r>
      <w:proofErr w:type="gramStart"/>
      <w:r w:rsidRPr="00C72390">
        <w:rPr>
          <w:sz w:val="18"/>
          <w:szCs w:val="18"/>
        </w:rPr>
        <w:t>in to</w:t>
      </w:r>
      <w:proofErr w:type="gramEnd"/>
      <w:r w:rsidRPr="00C72390">
        <w:rPr>
          <w:sz w:val="18"/>
          <w:szCs w:val="18"/>
        </w:rPr>
        <w:t xml:space="preserve">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 xml:space="preserve">should be part of the evaluation </w:t>
      </w:r>
      <w:proofErr w:type="gramStart"/>
      <w:r w:rsidRPr="00930E16">
        <w:t>work, and</w:t>
      </w:r>
      <w:proofErr w:type="gramEnd"/>
      <w:r w:rsidRPr="00930E16">
        <w:t xml:space="preserve">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ListParagraph"/>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ListParagraph"/>
        <w:numPr>
          <w:ilvl w:val="0"/>
          <w:numId w:val="16"/>
        </w:numPr>
      </w:pPr>
      <w:r w:rsidRPr="009A742C">
        <w:lastRenderedPageBreak/>
        <w:t>Whether the above proposal 1-1 can be adopted?</w:t>
      </w:r>
    </w:p>
    <w:p w14:paraId="5955B1D9" w14:textId="3597907D" w:rsidR="00FF023C" w:rsidRPr="009A742C" w:rsidRDefault="003A6460" w:rsidP="00B7696B">
      <w:pPr>
        <w:pStyle w:val="ListParagraph"/>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proofErr w:type="spellStart"/>
      <w:r w:rsidRPr="006A775F">
        <w:rPr>
          <w:sz w:val="18"/>
          <w:szCs w:val="18"/>
          <w:u w:val="single"/>
        </w:rPr>
        <w:t>UMi</w:t>
      </w:r>
      <w:proofErr w:type="spellEnd"/>
      <w:r w:rsidRPr="006A775F">
        <w:rPr>
          <w:sz w:val="18"/>
          <w:szCs w:val="18"/>
          <w:u w:val="single"/>
        </w:rPr>
        <w:t xml:space="preserve">-street canyon and </w:t>
      </w:r>
      <w:proofErr w:type="spellStart"/>
      <w:r w:rsidRPr="006A775F">
        <w:rPr>
          <w:sz w:val="18"/>
          <w:szCs w:val="18"/>
          <w:u w:val="single"/>
        </w:rPr>
        <w:t>UMa</w:t>
      </w:r>
      <w:proofErr w:type="spellEnd"/>
      <w:r w:rsidRPr="006A775F">
        <w:rPr>
          <w:sz w:val="18"/>
          <w:szCs w:val="18"/>
          <w:u w:val="single"/>
        </w:rPr>
        <w:t xml:space="preserve">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B7696B">
      <w:pPr>
        <w:pStyle w:val="ListParagraph"/>
        <w:numPr>
          <w:ilvl w:val="0"/>
          <w:numId w:val="15"/>
        </w:numPr>
        <w:rPr>
          <w:b/>
          <w:bCs/>
        </w:rPr>
      </w:pPr>
      <w:r w:rsidRPr="004F2DC0">
        <w:rPr>
          <w:b/>
          <w:bCs/>
        </w:rPr>
        <w:lastRenderedPageBreak/>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ListParagraph"/>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ListParagraph"/>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ListParagraph"/>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ListParagraph"/>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r>
              <w:t/>
            </w:r>
          </w:p>
          <w:p w14:paraId="567C93A9" w14:textId="7B076F63" w:rsidR="00FD1352" w:rsidRPr="00760351" w:rsidRDefault="00FD1352" w:rsidP="00B7696B">
            <w:pPr>
              <w:pStyle w:val="ListParagraph"/>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ListParagraph"/>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ListParagraph"/>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r>
              <w:t/>
            </w:r>
          </w:p>
          <w:p w14:paraId="389765D0" w14:textId="77777777" w:rsidR="00FD1352" w:rsidRDefault="00FD1352" w:rsidP="00FD1352">
            <w:r w:rsidRPr="00760351">
              <w:t>The scenario "</w:t>
            </w:r>
            <w:proofErr w:type="spellStart"/>
            <w:r w:rsidRPr="00760351">
              <w:t>UMa</w:t>
            </w:r>
            <w:proofErr w:type="spellEnd"/>
            <w:r w:rsidRPr="00760351">
              <w:t xml:space="preserve"> LOS" is too simplistic as building and other static street objects may obstruct the BS-UE link. We suggest that for a given link, the models decide whether the channel propagation conditions are </w:t>
            </w:r>
            <w:proofErr w:type="spellStart"/>
            <w:r w:rsidRPr="00760351">
              <w:t>LoS</w:t>
            </w:r>
            <w:proofErr w:type="spellEnd"/>
            <w:r w:rsidRPr="00760351">
              <w:t xml:space="preserve"> or </w:t>
            </w:r>
            <w:proofErr w:type="spellStart"/>
            <w:r w:rsidRPr="00760351">
              <w:t>NLoS</w:t>
            </w:r>
            <w:proofErr w:type="spellEnd"/>
            <w:r w:rsidRPr="00760351">
              <w:t xml:space="preserve">, by considering a </w:t>
            </w:r>
            <w:proofErr w:type="gramStart"/>
            <w:r w:rsidRPr="00760351">
              <w:t>distance-dependent</w:t>
            </w:r>
            <w:proofErr w:type="gramEnd"/>
            <w:r w:rsidRPr="00760351">
              <w:t xml:space="preserve"> </w:t>
            </w:r>
            <w:proofErr w:type="spellStart"/>
            <w:r w:rsidRPr="00760351">
              <w:t>LoS</w:t>
            </w:r>
            <w:proofErr w:type="spellEnd"/>
            <w:r w:rsidRPr="00760351">
              <w:t xml:space="preserve">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bl>
    <w:p w14:paraId="0D96C9C8" w14:textId="5D328741" w:rsidR="00D0546D" w:rsidRDefault="00EF1C9D" w:rsidP="00892EFA">
      <w:pPr>
        <w:pStyle w:val="Heading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proofErr w:type="gramStart"/>
      <w:r w:rsidRPr="006A775F">
        <w:rPr>
          <w:sz w:val="18"/>
          <w:szCs w:val="18"/>
          <w:u w:val="single"/>
        </w:rPr>
        <w:t>spatially-consistent</w:t>
      </w:r>
      <w:proofErr w:type="gramEnd"/>
      <w:r w:rsidRPr="006A775F">
        <w:rPr>
          <w:sz w:val="18"/>
          <w:szCs w:val="18"/>
          <w:u w:val="single"/>
        </w:rPr>
        <w:t xml:space="preserve">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lastRenderedPageBreak/>
        <w:t>Samsung</w:t>
      </w:r>
      <w:r w:rsidR="00C6148F" w:rsidRPr="006A775F">
        <w:rPr>
          <w:sz w:val="18"/>
          <w:szCs w:val="18"/>
        </w:rPr>
        <w:t xml:space="preserve"> </w:t>
      </w:r>
      <w:r w:rsidRPr="006A775F">
        <w:rPr>
          <w:sz w:val="18"/>
          <w:szCs w:val="18"/>
        </w:rPr>
        <w:t xml:space="preserve">[9]: </w:t>
      </w:r>
      <w:proofErr w:type="gramStart"/>
      <w:r w:rsidRPr="004965DC">
        <w:rPr>
          <w:sz w:val="18"/>
          <w:szCs w:val="18"/>
          <w:u w:val="single"/>
        </w:rPr>
        <w:t>Spatially-consistent</w:t>
      </w:r>
      <w:proofErr w:type="gramEnd"/>
      <w:r w:rsidRPr="004965DC">
        <w:rPr>
          <w:sz w:val="18"/>
          <w:szCs w:val="18"/>
          <w:u w:val="single"/>
        </w:rPr>
        <w:t xml:space="preserve">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proofErr w:type="spellStart"/>
      <w:r w:rsidRPr="006A775F">
        <w:rPr>
          <w:sz w:val="18"/>
          <w:szCs w:val="18"/>
        </w:rPr>
        <w:t>Futurewei</w:t>
      </w:r>
      <w:proofErr w:type="spellEnd"/>
      <w:r w:rsidRPr="006A775F">
        <w:rPr>
          <w:sz w:val="18"/>
          <w:szCs w:val="18"/>
        </w:rPr>
        <w:t xml:space="preserve">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w:t>
      </w:r>
      <w:proofErr w:type="gramStart"/>
      <w:r w:rsidRPr="006A775F">
        <w:rPr>
          <w:sz w:val="18"/>
          <w:szCs w:val="18"/>
        </w:rPr>
        <w:t>in to</w:t>
      </w:r>
      <w:proofErr w:type="gramEnd"/>
      <w:r w:rsidRPr="006A775F">
        <w:rPr>
          <w:sz w:val="18"/>
          <w:szCs w:val="18"/>
        </w:rPr>
        <w:t xml:space="preserve">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ListParagraph"/>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ListParagraph"/>
        <w:numPr>
          <w:ilvl w:val="0"/>
          <w:numId w:val="23"/>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ListParagraph"/>
              <w:numPr>
                <w:ilvl w:val="0"/>
                <w:numId w:val="44"/>
              </w:numPr>
            </w:pPr>
            <w:r>
              <w:t>Yes, since spatial consistency enables to capture the correlated behaviour of the channel for UE moving over a path</w:t>
            </w:r>
          </w:p>
          <w:p w14:paraId="3C80F490" w14:textId="31C289C7" w:rsidR="00FD1352" w:rsidRPr="00FD1352" w:rsidRDefault="00FD1352" w:rsidP="00B7696B">
            <w:pPr>
              <w:pStyle w:val="ListParagraph"/>
              <w:numPr>
                <w:ilvl w:val="0"/>
                <w:numId w:val="44"/>
              </w:numPr>
            </w:pPr>
            <w:r w:rsidRPr="00FD1352">
              <w:t xml:space="preserve">We support the use of spatial consistency procedures defined in TR38.901. </w:t>
            </w:r>
            <w:r>
              <w:t/>
            </w:r>
          </w:p>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ListParagraph"/>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ListParagraph"/>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ListParagraph"/>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ListParagraph"/>
        <w:numPr>
          <w:ilvl w:val="0"/>
          <w:numId w:val="13"/>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ListParagraph"/>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ListParagraph"/>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ListParagraph"/>
        <w:numPr>
          <w:ilvl w:val="1"/>
          <w:numId w:val="13"/>
        </w:numPr>
        <w:rPr>
          <w:sz w:val="18"/>
          <w:szCs w:val="18"/>
        </w:rPr>
      </w:pPr>
      <w:r w:rsidRPr="009F0668">
        <w:rPr>
          <w:sz w:val="18"/>
          <w:szCs w:val="18"/>
        </w:rPr>
        <w:lastRenderedPageBreak/>
        <w:t>Option #2: Linear trajectory model with random direction change.</w:t>
      </w:r>
    </w:p>
    <w:p w14:paraId="06DE9180" w14:textId="2F4B01CA" w:rsidR="00D0546D" w:rsidRDefault="00D0546D" w:rsidP="00B7696B">
      <w:pPr>
        <w:pStyle w:val="ListParagraph"/>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ListParagraph"/>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ListParagraph"/>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ListParagraph"/>
        <w:numPr>
          <w:ilvl w:val="1"/>
          <w:numId w:val="24"/>
        </w:numPr>
      </w:pPr>
      <w:r w:rsidRPr="001A683E">
        <w:t>Option #2: Linear trajectory model with random direction change.</w:t>
      </w:r>
    </w:p>
    <w:p w14:paraId="24F2770F" w14:textId="721EB952" w:rsidR="00517E25" w:rsidRPr="001A683E" w:rsidRDefault="00517E25" w:rsidP="00B7696B">
      <w:pPr>
        <w:pStyle w:val="ListParagraph"/>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w:t>
            </w:r>
            <w:r>
              <w:t>,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ListParagraph"/>
              <w:ind w:left="360"/>
            </w:pPr>
            <w:r>
              <w:t xml:space="preserve"> </w:t>
            </w:r>
            <w:r>
              <w:t/>
            </w:r>
          </w:p>
          <w:p w14:paraId="4D369949" w14:textId="7ADCFD74" w:rsidR="002D42D2" w:rsidRPr="00853A5E" w:rsidRDefault="002D42D2" w:rsidP="002D42D2">
            <w:r>
              <w:t>b) T</w:t>
            </w:r>
            <w:r w:rsidRPr="00853A5E">
              <w:t>rajectory model for time beam prediction can be defined considering the distance BS-UE taken from uniform distribution on [</w:t>
            </w:r>
            <w:proofErr w:type="spellStart"/>
            <w:r w:rsidRPr="00853A5E">
              <w:t>dmin</w:t>
            </w:r>
            <w:proofErr w:type="spellEnd"/>
            <w:r w:rsidRPr="00853A5E">
              <w:t xml:space="preserve">, ISD/2], where </w:t>
            </w:r>
            <w:proofErr w:type="spellStart"/>
            <w:r w:rsidRPr="00853A5E">
              <w:t>d_min</w:t>
            </w:r>
            <w:proofErr w:type="spellEnd"/>
            <w:r w:rsidRPr="00853A5E">
              <w:t xml:space="preserve"> is min distance BS-UE, as well as the angle that defines the UE trajectory crossing the sector taken from uniform distribution on [0, 360]. </w:t>
            </w:r>
            <w:r>
              <w:t/>
            </w:r>
          </w:p>
          <w:p w14:paraId="42A367D3" w14:textId="77777777" w:rsidR="002D42D2" w:rsidRDefault="002D42D2" w:rsidP="00B7696B">
            <w:pPr>
              <w:pStyle w:val="ListParagraph"/>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ListParagraph"/>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ListParagraph"/>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CommentText"/>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r>
              <w:rPr>
                <w:rStyle w:val="CommentReference"/>
              </w:rPr>
              <w:t/>
            </w:r>
            <w:r>
              <w:rPr>
                <w:rStyle w:val="CommentReference"/>
              </w:rPr>
              <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proofErr w:type="gramStart"/>
      <w:r w:rsidR="00550B15">
        <w:t>O</w:t>
      </w:r>
      <w:r>
        <w:t>thers</w:t>
      </w:r>
      <w:proofErr w:type="gramEnd"/>
      <w:r>
        <w:t xml:space="preserve">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 xml:space="preserve">For evaluation of beam prediction in the time domain, in addition to the </w:t>
      </w:r>
      <w:proofErr w:type="gramStart"/>
      <w:r w:rsidRPr="00ED4EBC">
        <w:rPr>
          <w:sz w:val="18"/>
          <w:szCs w:val="18"/>
        </w:rPr>
        <w:t>spatially-consistent</w:t>
      </w:r>
      <w:proofErr w:type="gramEnd"/>
      <w:r w:rsidRPr="00ED4EBC">
        <w:rPr>
          <w:sz w:val="18"/>
          <w:szCs w:val="18"/>
        </w:rPr>
        <w:t xml:space="preserve">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w:t>
      </w:r>
      <w:proofErr w:type="spellStart"/>
      <w:r w:rsidRPr="00ED4EBC">
        <w:rPr>
          <w:sz w:val="18"/>
          <w:szCs w:val="18"/>
        </w:rPr>
        <w:t>evalutations</w:t>
      </w:r>
      <w:proofErr w:type="spellEnd"/>
      <w:r w:rsidRPr="00ED4EBC">
        <w:rPr>
          <w:sz w:val="18"/>
          <w:szCs w:val="18"/>
        </w:rPr>
        <w:t xml:space="preserve"> with realistic </w:t>
      </w:r>
      <w:r w:rsidRPr="00ED4EBC">
        <w:rPr>
          <w:sz w:val="18"/>
          <w:szCs w:val="18"/>
        </w:rPr>
        <w:lastRenderedPageBreak/>
        <w:t xml:space="preserve">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w:t>
      </w:r>
      <w:proofErr w:type="gramStart"/>
      <w:r w:rsidRPr="003005F5">
        <w:rPr>
          <w:sz w:val="18"/>
          <w:szCs w:val="18"/>
          <w:u w:val="single"/>
        </w:rPr>
        <w:t>single-beam</w:t>
      </w:r>
      <w:proofErr w:type="gramEnd"/>
      <w:r w:rsidRPr="003005F5">
        <w:rPr>
          <w:sz w:val="18"/>
          <w:szCs w:val="18"/>
          <w:u w:val="single"/>
        </w:rPr>
        <w:t xml:space="preserve">/panel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ListParagraph"/>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r>
              <w:t/>
            </w:r>
          </w:p>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ListParagraph"/>
        <w:numPr>
          <w:ilvl w:val="0"/>
          <w:numId w:val="26"/>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ListParagraph"/>
        <w:numPr>
          <w:ilvl w:val="0"/>
          <w:numId w:val="26"/>
        </w:numPr>
      </w:pPr>
      <w:r>
        <w:t xml:space="preserve">If the answer </w:t>
      </w:r>
      <w:proofErr w:type="gramStart"/>
      <w:r>
        <w:t>is yes,</w:t>
      </w:r>
      <w:proofErr w:type="gramEnd"/>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 xml:space="preserve">Disagree that LLS are needed for this SI. The BM use case requires mainly beam measurements </w:t>
            </w:r>
            <w:r>
              <w:lastRenderedPageBreak/>
              <w:t>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bl>
    <w:p w14:paraId="230B3C32" w14:textId="01111698" w:rsidR="005E1D5B" w:rsidRDefault="005E1D5B" w:rsidP="0042572B"/>
    <w:p w14:paraId="3EE51623" w14:textId="13411A90" w:rsidR="0054478C" w:rsidRDefault="0054478C" w:rsidP="0042572B">
      <w:pPr>
        <w:pStyle w:val="Heading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w:t>
      </w:r>
      <w:proofErr w:type="spellStart"/>
      <w:r w:rsidRPr="00F734FA">
        <w:rPr>
          <w:sz w:val="18"/>
          <w:szCs w:val="18"/>
        </w:rPr>
        <w:t>HiSi</w:t>
      </w:r>
      <w:proofErr w:type="spellEnd"/>
      <w:r w:rsidRPr="00F734FA">
        <w:rPr>
          <w:sz w:val="18"/>
          <w:szCs w:val="18"/>
        </w:rPr>
        <w:t xml:space="preserve">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 xml:space="preserve">[7]: </w:t>
      </w:r>
      <w:proofErr w:type="gramStart"/>
      <w:r w:rsidRPr="00F734FA">
        <w:rPr>
          <w:sz w:val="18"/>
          <w:szCs w:val="18"/>
        </w:rPr>
        <w:t>Fully-connected</w:t>
      </w:r>
      <w:proofErr w:type="gramEnd"/>
      <w:r w:rsidRPr="00F734FA">
        <w:rPr>
          <w:sz w:val="18"/>
          <w:szCs w:val="18"/>
        </w:rPr>
        <w:t xml:space="preserve">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ListParagraph"/>
        <w:numPr>
          <w:ilvl w:val="0"/>
          <w:numId w:val="27"/>
        </w:numPr>
      </w:pPr>
      <w:r>
        <w:t xml:space="preserve">Whether a reference AI/ML model needs to be defined, and why? </w:t>
      </w:r>
    </w:p>
    <w:p w14:paraId="13400AC3" w14:textId="77F96C79" w:rsidR="00AA4617" w:rsidRPr="006C4759" w:rsidRDefault="00AA4617" w:rsidP="00B7696B">
      <w:pPr>
        <w:pStyle w:val="ListParagraph"/>
        <w:numPr>
          <w:ilvl w:val="0"/>
          <w:numId w:val="27"/>
        </w:numPr>
      </w:pPr>
      <w:r>
        <w:t xml:space="preserve">If the answer is yes, please </w:t>
      </w:r>
      <w:proofErr w:type="gramStart"/>
      <w:r>
        <w:t>explain</w:t>
      </w:r>
      <w:proofErr w:type="gramEnd"/>
      <w:r>
        <w:t xml:space="preserve">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w:t>
            </w:r>
            <w:r>
              <w:t>, NSB</w:t>
            </w:r>
          </w:p>
        </w:tc>
        <w:tc>
          <w:tcPr>
            <w:tcW w:w="8663" w:type="dxa"/>
          </w:tcPr>
          <w:p w14:paraId="70AE1377" w14:textId="77777777" w:rsidR="00D3016B" w:rsidRPr="00F62B91" w:rsidRDefault="00D3016B" w:rsidP="00B7696B">
            <w:pPr>
              <w:pStyle w:val="ListParagraph"/>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w:t>
      </w:r>
      <w:proofErr w:type="spellStart"/>
      <w:r w:rsidRPr="006B4CC1">
        <w:rPr>
          <w:sz w:val="18"/>
          <w:szCs w:val="18"/>
        </w:rPr>
        <w:t>HiSi</w:t>
      </w:r>
      <w:proofErr w:type="spellEnd"/>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lastRenderedPageBreak/>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ListParagraph"/>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ListParagraph"/>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ListParagraph"/>
        <w:numPr>
          <w:ilvl w:val="0"/>
          <w:numId w:val="28"/>
        </w:numPr>
      </w:pPr>
      <w:r>
        <w:t>Whether proposal 1-8 can be adopted?</w:t>
      </w:r>
      <w:r w:rsidR="00424994">
        <w:t xml:space="preserve"> Why?</w:t>
      </w:r>
    </w:p>
    <w:p w14:paraId="022F3A2B" w14:textId="7B8E4C38" w:rsidR="00E22D50" w:rsidRDefault="00E22D50" w:rsidP="00B7696B">
      <w:pPr>
        <w:pStyle w:val="ListParagraph"/>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ListParagraph"/>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ListParagraph"/>
        <w:numPr>
          <w:ilvl w:val="0"/>
          <w:numId w:val="28"/>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w:t>
            </w:r>
            <w:r>
              <w:t>,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a) Agree to specify the ML model input and output, since the exchange of the input and output data may have a standard impact, especially when UE model inference is done at the UE side. The ML model complexity may also be reported by each company</w:t>
            </w:r>
            <w:r>
              <w:t/>
            </w:r>
            <w:r>
              <w:t xml:space="preserve">.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d) Dataset size (</w:t>
            </w:r>
            <w:proofErr w:type="gramStart"/>
            <w:r>
              <w:t>e.g.</w:t>
            </w:r>
            <w:proofErr w:type="gramEnd"/>
            <w:r>
              <w:t xml:space="preserve"> number of UEs used for training/validation/testing), model trained for single sector or multi sectors.</w:t>
            </w:r>
          </w:p>
        </w:tc>
      </w:tr>
    </w:tbl>
    <w:p w14:paraId="34CB9C09" w14:textId="598B5157" w:rsidR="00E5103A" w:rsidRDefault="00E5103A" w:rsidP="0042572B"/>
    <w:p w14:paraId="1A3061C9" w14:textId="77777777" w:rsidR="00620732" w:rsidRPr="00892EFA" w:rsidRDefault="00620732" w:rsidP="00B7696B">
      <w:pPr>
        <w:pStyle w:val="Heading2"/>
        <w:numPr>
          <w:ilvl w:val="1"/>
          <w:numId w:val="22"/>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 xml:space="preserve">FR2 </w:t>
      </w:r>
      <w:r w:rsidRPr="006B4CC1">
        <w:rPr>
          <w:rFonts w:hint="eastAsia"/>
          <w:sz w:val="18"/>
          <w:szCs w:val="18"/>
          <w:u w:val="single"/>
        </w:rPr>
        <w:lastRenderedPageBreak/>
        <w:t xml:space="preserve">high mobility scenario (e.g., high-speed train and </w:t>
      </w:r>
      <w:proofErr w:type="gramStart"/>
      <w:r w:rsidRPr="006B4CC1">
        <w:rPr>
          <w:rFonts w:hint="eastAsia"/>
          <w:sz w:val="18"/>
          <w:szCs w:val="18"/>
          <w:u w:val="single"/>
        </w:rPr>
        <w:t>high-way</w:t>
      </w:r>
      <w:proofErr w:type="gramEnd"/>
      <w:r w:rsidRPr="006B4CC1">
        <w:rPr>
          <w:rFonts w:hint="eastAsia"/>
          <w:sz w:val="18"/>
          <w:szCs w:val="18"/>
          <w:u w:val="single"/>
        </w:rPr>
        <w:t>).</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ListParagraph"/>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r>
              <w:t/>
            </w:r>
          </w:p>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 xml:space="preserve">Intermediate evaluation: Evaluate the result of beam selection from the AI model, or the overhead reduction due to AI/ML-based </w:t>
      </w:r>
      <w:proofErr w:type="gramStart"/>
      <w:r w:rsidRPr="00AF5310">
        <w:rPr>
          <w:sz w:val="18"/>
          <w:szCs w:val="18"/>
        </w:rPr>
        <w:t>approach;</w:t>
      </w:r>
      <w:proofErr w:type="gramEnd"/>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gNB/UE </w:t>
      </w:r>
      <w:proofErr w:type="spellStart"/>
      <w:r w:rsidRPr="00AF5310">
        <w:rPr>
          <w:sz w:val="18"/>
          <w:szCs w:val="18"/>
        </w:rPr>
        <w:t>beambook</w:t>
      </w:r>
      <w:proofErr w:type="spellEnd"/>
      <w:r w:rsidRPr="00AF5310">
        <w:rPr>
          <w:sz w:val="18"/>
          <w:szCs w:val="18"/>
        </w:rPr>
        <w:t xml:space="preserve">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w:t>
      </w:r>
      <w:proofErr w:type="spellStart"/>
      <w:r w:rsidRPr="00AF5310">
        <w:rPr>
          <w:sz w:val="18"/>
          <w:szCs w:val="18"/>
        </w:rPr>
        <w:t>beambook</w:t>
      </w:r>
      <w:proofErr w:type="spellEnd"/>
      <w:r w:rsidRPr="00AF5310">
        <w:rPr>
          <w:sz w:val="18"/>
          <w:szCs w:val="18"/>
        </w:rPr>
        <w:t xml:space="preserve">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xml:space="preserve">, </w:t>
      </w:r>
      <w:proofErr w:type="spellStart"/>
      <w:r>
        <w:t>etc</w:t>
      </w:r>
      <w:proofErr w:type="spellEnd"/>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lastRenderedPageBreak/>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proofErr w:type="spellStart"/>
      <w:r w:rsidRPr="00E9420A">
        <w:rPr>
          <w:sz w:val="18"/>
          <w:szCs w:val="18"/>
        </w:rPr>
        <w:t>InterDigital</w:t>
      </w:r>
      <w:proofErr w:type="spellEnd"/>
      <w:r w:rsidRPr="00E9420A">
        <w:rPr>
          <w:sz w:val="18"/>
          <w:szCs w:val="18"/>
        </w:rPr>
        <w:t xml:space="preserve">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 xml:space="preserve">CATT [6]: Intermediate KPI: Probability of identifying the best beam (pair), average power loss between the selected beam (pair) and the optimal beam (pair), and the ratio of overhead </w:t>
      </w:r>
      <w:proofErr w:type="gramStart"/>
      <w:r w:rsidRPr="00E9420A">
        <w:rPr>
          <w:sz w:val="18"/>
          <w:szCs w:val="18"/>
        </w:rPr>
        <w:t>reduction;</w:t>
      </w:r>
      <w:proofErr w:type="gramEnd"/>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proofErr w:type="spellStart"/>
      <w:r w:rsidRPr="00E9420A">
        <w:rPr>
          <w:sz w:val="18"/>
          <w:szCs w:val="18"/>
        </w:rPr>
        <w:t>xiaomi</w:t>
      </w:r>
      <w:proofErr w:type="spellEnd"/>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 xml:space="preserve">Beijing </w:t>
      </w:r>
      <w:proofErr w:type="spellStart"/>
      <w:r w:rsidRPr="00E9420A">
        <w:rPr>
          <w:sz w:val="18"/>
          <w:szCs w:val="18"/>
        </w:rPr>
        <w:t>Jiaotong</w:t>
      </w:r>
      <w:proofErr w:type="spellEnd"/>
      <w:r w:rsidRPr="00E9420A">
        <w:rPr>
          <w:sz w:val="18"/>
          <w:szCs w:val="18"/>
        </w:rPr>
        <w:t xml:space="preserve">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proofErr w:type="spellStart"/>
      <w:r w:rsidRPr="00E9420A">
        <w:rPr>
          <w:sz w:val="18"/>
          <w:szCs w:val="18"/>
        </w:rPr>
        <w:t>Futurewei</w:t>
      </w:r>
      <w:proofErr w:type="spellEnd"/>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proofErr w:type="spellStart"/>
      <w:r w:rsidRPr="00E9420A">
        <w:rPr>
          <w:sz w:val="18"/>
          <w:szCs w:val="18"/>
        </w:rPr>
        <w:lastRenderedPageBreak/>
        <w:t>Futurewei</w:t>
      </w:r>
      <w:proofErr w:type="spellEnd"/>
      <w:r w:rsidRPr="00E9420A">
        <w:rPr>
          <w:sz w:val="18"/>
          <w:szCs w:val="18"/>
        </w:rPr>
        <w:t>[12]: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ListParagraph"/>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ListParagraph"/>
        <w:numPr>
          <w:ilvl w:val="0"/>
          <w:numId w:val="30"/>
        </w:numPr>
      </w:pPr>
      <w:r>
        <w:t xml:space="preserve">Which KPI(s) are preferred as basic KPI(s)? </w:t>
      </w:r>
    </w:p>
    <w:p w14:paraId="4413FB75" w14:textId="32BE9740" w:rsidR="006D34BE" w:rsidRDefault="006D34BE" w:rsidP="00B7696B">
      <w:pPr>
        <w:pStyle w:val="ListParagraph"/>
        <w:numPr>
          <w:ilvl w:val="0"/>
          <w:numId w:val="3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lastRenderedPageBreak/>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r>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Huawei/</w:t>
      </w:r>
      <w:proofErr w:type="spellStart"/>
      <w:r w:rsidRPr="00ED3027">
        <w:rPr>
          <w:sz w:val="18"/>
          <w:szCs w:val="18"/>
        </w:rPr>
        <w:t>HiSi</w:t>
      </w:r>
      <w:proofErr w:type="spellEnd"/>
      <w:r w:rsidRPr="00ED3027">
        <w:rPr>
          <w:sz w:val="18"/>
          <w:szCs w:val="18"/>
        </w:rPr>
        <w:t xml:space="preserve">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t xml:space="preserve">Beijing </w:t>
      </w:r>
      <w:proofErr w:type="spellStart"/>
      <w:r w:rsidRPr="00ED3027">
        <w:rPr>
          <w:sz w:val="18"/>
          <w:szCs w:val="18"/>
        </w:rPr>
        <w:t>Jiaotong</w:t>
      </w:r>
      <w:proofErr w:type="spellEnd"/>
      <w:r w:rsidRPr="00ED3027">
        <w:rPr>
          <w:sz w:val="18"/>
          <w:szCs w:val="18"/>
        </w:rPr>
        <w:t xml:space="preserve">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ListParagraph"/>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ListParagraph"/>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ListParagraph"/>
        <w:numPr>
          <w:ilvl w:val="0"/>
          <w:numId w:val="31"/>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lastRenderedPageBreak/>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r>
              <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 xml:space="preserve">and the ratio of overhead </w:t>
      </w:r>
      <w:proofErr w:type="gramStart"/>
      <w:r w:rsidRPr="008A6008">
        <w:rPr>
          <w:sz w:val="18"/>
          <w:szCs w:val="18"/>
          <w:u w:val="single"/>
        </w:rPr>
        <w:t>reduction;</w:t>
      </w:r>
      <w:proofErr w:type="gramEnd"/>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w:t>
      </w:r>
      <w:proofErr w:type="spellStart"/>
      <w:r w:rsidRPr="008A6008">
        <w:rPr>
          <w:sz w:val="18"/>
          <w:szCs w:val="18"/>
        </w:rPr>
        <w:t>Jiaotong</w:t>
      </w:r>
      <w:proofErr w:type="spellEnd"/>
      <w:r w:rsidRPr="008A6008">
        <w:rPr>
          <w:sz w:val="18"/>
          <w:szCs w:val="18"/>
        </w:rPr>
        <w:t xml:space="preserve">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ListParagraph"/>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ListParagraph"/>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w:t>
      </w:r>
      <w:r w:rsidRPr="008742D6">
        <w:lastRenderedPageBreak/>
        <w:t>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ListParagraph"/>
              <w:numPr>
                <w:ilvl w:val="0"/>
                <w:numId w:val="47"/>
              </w:numPr>
            </w:pPr>
            <w:r w:rsidRPr="00867ACD">
              <w:t xml:space="preserve">signaling overhead reduction ratio can be computed as </w:t>
            </w:r>
            <w:r>
              <w:t/>
            </w:r>
          </w:p>
          <w:p w14:paraId="36992506" w14:textId="77777777" w:rsidR="0037635D" w:rsidRDefault="0037635D" w:rsidP="0037635D">
            <w:pPr>
              <w:ind w:left="360"/>
            </w:pPr>
            <w:r w:rsidRPr="00867ACD">
              <w:t xml:space="preserve">1-N/M, where N is the number of beam measurements for a subset of beams with size  N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ListParagraph"/>
              <w:numPr>
                <w:ilvl w:val="0"/>
                <w:numId w:val="47"/>
              </w:numPr>
            </w:pPr>
            <w:r w:rsidRPr="0037635D">
              <w:t xml:space="preserve">Latency may be specific to the packet delay defined as the one-way PDCP layer delay between gNB and UE. </w:t>
            </w:r>
          </w:p>
        </w:tc>
      </w:tr>
    </w:tbl>
    <w:p w14:paraId="69FE6C6A" w14:textId="5CBEEB51" w:rsidR="00E5103A" w:rsidRDefault="00E5103A" w:rsidP="0042572B"/>
    <w:p w14:paraId="2356658F" w14:textId="64645747" w:rsidR="00E5103A" w:rsidRDefault="00E5103A" w:rsidP="0042572B">
      <w:r>
        <w:t xml:space="preserve">Power </w:t>
      </w:r>
      <w:proofErr w:type="gramStart"/>
      <w:r>
        <w:t>consumption</w:t>
      </w:r>
      <w:proofErr w:type="gramEnd"/>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Huawei/</w:t>
      </w:r>
      <w:proofErr w:type="spellStart"/>
      <w:r w:rsidRPr="008742D6">
        <w:rPr>
          <w:sz w:val="18"/>
          <w:szCs w:val="18"/>
        </w:rPr>
        <w:t>HiSi</w:t>
      </w:r>
      <w:proofErr w:type="spellEnd"/>
      <w:r w:rsidRPr="008742D6">
        <w:rPr>
          <w:sz w:val="18"/>
          <w:szCs w:val="18"/>
        </w:rPr>
        <w:t xml:space="preserve">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w:t>
      </w:r>
      <w:proofErr w:type="gramStart"/>
      <w:r w:rsidRPr="00C63008">
        <w:rPr>
          <w:sz w:val="18"/>
          <w:szCs w:val="18"/>
        </w:rPr>
        <w:t>reduction;</w:t>
      </w:r>
      <w:proofErr w:type="gramEnd"/>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ListParagraph"/>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r>
              <w:t/>
            </w:r>
          </w:p>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lastRenderedPageBreak/>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Huawei/</w:t>
      </w:r>
      <w:proofErr w:type="spellStart"/>
      <w:r w:rsidRPr="00C80430">
        <w:rPr>
          <w:sz w:val="18"/>
          <w:szCs w:val="18"/>
        </w:rPr>
        <w:t>HiSi</w:t>
      </w:r>
      <w:proofErr w:type="spellEnd"/>
      <w:r w:rsidRPr="00C80430">
        <w:rPr>
          <w:sz w:val="18"/>
          <w:szCs w:val="18"/>
        </w:rPr>
        <w:t xml:space="preserve">: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w:t>
      </w:r>
      <w:proofErr w:type="gramStart"/>
      <w:r w:rsidRPr="00C80430">
        <w:rPr>
          <w:sz w:val="18"/>
          <w:szCs w:val="18"/>
        </w:rPr>
        <w:t>performance-related</w:t>
      </w:r>
      <w:proofErr w:type="gramEnd"/>
      <w:r w:rsidRPr="00C80430">
        <w:rPr>
          <w:sz w:val="18"/>
          <w:szCs w:val="18"/>
        </w:rPr>
        <w:t xml:space="preserve">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 xml:space="preserve">Samsung [9]: For the use case of AI/ML based beam management, at least the following </w:t>
      </w:r>
      <w:proofErr w:type="gramStart"/>
      <w:r w:rsidRPr="00C80430">
        <w:rPr>
          <w:sz w:val="18"/>
          <w:szCs w:val="18"/>
        </w:rPr>
        <w:t>capability-</w:t>
      </w:r>
      <w:r w:rsidR="00C80430" w:rsidRPr="00C80430">
        <w:rPr>
          <w:sz w:val="18"/>
          <w:szCs w:val="18"/>
        </w:rPr>
        <w:t>related</w:t>
      </w:r>
      <w:proofErr w:type="gramEnd"/>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 xml:space="preserve">different channel models including </w:t>
      </w:r>
      <w:proofErr w:type="spellStart"/>
      <w:r w:rsidRPr="003D4FCC">
        <w:rPr>
          <w:sz w:val="18"/>
          <w:szCs w:val="18"/>
          <w:u w:val="single"/>
        </w:rPr>
        <w:t>UMa</w:t>
      </w:r>
      <w:proofErr w:type="spellEnd"/>
      <w:r w:rsidRPr="003D4FCC">
        <w:rPr>
          <w:sz w:val="18"/>
          <w:szCs w:val="18"/>
          <w:u w:val="single"/>
        </w:rPr>
        <w:t xml:space="preserve">, </w:t>
      </w:r>
      <w:proofErr w:type="spellStart"/>
      <w:r w:rsidRPr="003D4FCC">
        <w:rPr>
          <w:sz w:val="18"/>
          <w:szCs w:val="18"/>
          <w:u w:val="single"/>
        </w:rPr>
        <w:t>UMi</w:t>
      </w:r>
      <w:proofErr w:type="spellEnd"/>
      <w:r w:rsidRPr="003D4FCC">
        <w:rPr>
          <w:sz w:val="18"/>
          <w:szCs w:val="18"/>
          <w:u w:val="single"/>
        </w:rPr>
        <w:t xml:space="preserve">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ListParagraph"/>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ListParagraph"/>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w:t>
            </w:r>
            <w:r>
              <w:t>,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r>
              <w:t/>
            </w:r>
            <w:r>
              <w:t/>
            </w:r>
          </w:p>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Samsung [9]: For the use case of AI/ML based beam management, at least the following capability-</w:t>
      </w:r>
      <w:proofErr w:type="spellStart"/>
      <w:r w:rsidRPr="003D4FCC">
        <w:rPr>
          <w:sz w:val="18"/>
          <w:szCs w:val="18"/>
        </w:rPr>
        <w:t>realted</w:t>
      </w:r>
      <w:proofErr w:type="spellEnd"/>
      <w:r w:rsidRPr="003D4FCC">
        <w:rPr>
          <w:sz w:val="18"/>
          <w:szCs w:val="18"/>
        </w:rPr>
        <w:t xml:space="preserve">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 xml:space="preserve">Size of AI/ML </w:t>
      </w:r>
      <w:proofErr w:type="gramStart"/>
      <w:r w:rsidRPr="003D4FCC">
        <w:rPr>
          <w:sz w:val="18"/>
          <w:szCs w:val="18"/>
          <w:u w:val="single"/>
        </w:rPr>
        <w:t>model;</w:t>
      </w:r>
      <w:proofErr w:type="gramEnd"/>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proofErr w:type="spellStart"/>
      <w:r w:rsidRPr="00111A18">
        <w:rPr>
          <w:sz w:val="18"/>
          <w:szCs w:val="18"/>
        </w:rPr>
        <w:t>Futurewei</w:t>
      </w:r>
      <w:proofErr w:type="spellEnd"/>
      <w:r w:rsidRPr="00111A18">
        <w:rPr>
          <w:sz w:val="18"/>
          <w:szCs w:val="18"/>
        </w:rPr>
        <w:t xml:space="preserve">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w:t>
      </w:r>
      <w:r w:rsidRPr="00111A18">
        <w:rPr>
          <w:sz w:val="18"/>
          <w:szCs w:val="18"/>
        </w:rPr>
        <w:lastRenderedPageBreak/>
        <w:t xml:space="preserve">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ListParagraph"/>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ListParagraph"/>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r>
              <w:t/>
            </w:r>
          </w:p>
          <w:p w14:paraId="05D4351C" w14:textId="791EC226" w:rsidR="0037635D" w:rsidRDefault="0037635D" w:rsidP="0037635D">
            <w:r>
              <w:t xml:space="preserve">b) </w:t>
            </w:r>
            <w:r w:rsidR="005A35F4">
              <w:t xml:space="preserve">Yes, we have some details in 9.2.1, FLOPs could be one way to proceed. </w:t>
            </w:r>
          </w:p>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A proposed AI/ML model that is based on online learning (e.g., online training, model update/re-training) should </w:t>
      </w:r>
      <w:r w:rsidRPr="003D4FCC">
        <w:rPr>
          <w:sz w:val="18"/>
          <w:szCs w:val="18"/>
        </w:rPr>
        <w:lastRenderedPageBreak/>
        <w:t>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ListParagraph"/>
        <w:numPr>
          <w:ilvl w:val="0"/>
          <w:numId w:val="37"/>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w:t>
      </w:r>
      <w:proofErr w:type="gramStart"/>
      <w:r w:rsidRPr="00F679E0">
        <w:rPr>
          <w:u w:val="single"/>
        </w:rPr>
        <w:t>i.e.</w:t>
      </w:r>
      <w:proofErr w:type="gramEnd"/>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proofErr w:type="spellStart"/>
      <w:r w:rsidRPr="00F679E0">
        <w:t>InterDigital</w:t>
      </w:r>
      <w:proofErr w:type="spellEnd"/>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w:t>
      </w:r>
      <w:proofErr w:type="gramStart"/>
      <w:r w:rsidRPr="002E598D">
        <w:t>changes’</w:t>
      </w:r>
      <w:proofErr w:type="gramEnd"/>
      <w:r w:rsidRPr="002E598D">
        <w:t xml:space="preserve">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ListParagraph"/>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w:t>
      </w:r>
      <w:proofErr w:type="gramStart"/>
      <w:r w:rsidRPr="00F679E0">
        <w:rPr>
          <w:lang w:val="en-GB"/>
        </w:rPr>
        <w:t>be studied,</w:t>
      </w:r>
      <w:proofErr w:type="gramEnd"/>
      <w:r w:rsidRPr="00F679E0">
        <w:rPr>
          <w:lang w:val="en-GB"/>
        </w:rPr>
        <w:t xml:space="preserve">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ListParagraph"/>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w:t>
      </w:r>
      <w:r w:rsidRPr="00F679E0">
        <w:rPr>
          <w:lang w:val="en-GB"/>
        </w:rPr>
        <w:lastRenderedPageBreak/>
        <w:t>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ListParagraph"/>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ListParagraph"/>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DF4DE0">
            <w:r>
              <w:t>Company</w:t>
            </w:r>
          </w:p>
        </w:tc>
        <w:tc>
          <w:tcPr>
            <w:tcW w:w="8550" w:type="dxa"/>
            <w:shd w:val="clear" w:color="auto" w:fill="BFBFBF" w:themeFill="background1" w:themeFillShade="BF"/>
          </w:tcPr>
          <w:p w14:paraId="2CE84254" w14:textId="77777777" w:rsidR="00C303F9" w:rsidRDefault="00C303F9" w:rsidP="00DF4DE0">
            <w:r>
              <w:t>Comments</w:t>
            </w:r>
          </w:p>
        </w:tc>
      </w:tr>
      <w:tr w:rsidR="00C303F9" w14:paraId="6F0CB688" w14:textId="77777777" w:rsidTr="00C303F9">
        <w:tc>
          <w:tcPr>
            <w:tcW w:w="1165" w:type="dxa"/>
          </w:tcPr>
          <w:p w14:paraId="2F3CA2B4" w14:textId="3963FF34" w:rsidR="00C303F9" w:rsidRDefault="005D7DD4" w:rsidP="00DF4DE0">
            <w:r>
              <w:t>Apple</w:t>
            </w:r>
          </w:p>
        </w:tc>
        <w:tc>
          <w:tcPr>
            <w:tcW w:w="8550" w:type="dxa"/>
          </w:tcPr>
          <w:p w14:paraId="646AFAC5" w14:textId="3F47F65A" w:rsidR="00C303F9" w:rsidRDefault="005D7DD4" w:rsidP="00DF4DE0">
            <w:r>
              <w:t>a) L1-RSRP from ideal beam, beam selection from non-AI scheme (spatial correlation), and random beam</w:t>
            </w:r>
          </w:p>
          <w:p w14:paraId="1745E271" w14:textId="27A28CD0" w:rsidR="005D7DD4" w:rsidRDefault="005D7DD4" w:rsidP="00DF4DE0">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ListParagraph"/>
              <w:numPr>
                <w:ilvl w:val="1"/>
                <w:numId w:val="14"/>
              </w:numPr>
              <w:tabs>
                <w:tab w:val="clear" w:pos="1440"/>
              </w:tabs>
              <w:ind w:left="360"/>
            </w:pPr>
            <w:r w:rsidRPr="00771085">
              <w:t>For spatial domain beam prediction:</w:t>
            </w:r>
            <w:r>
              <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ListParagraph"/>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t>Alternative 1b</w:t>
            </w:r>
            <w:r>
              <w:t/>
            </w:r>
            <w:r w:rsidR="005A35F4">
              <w:rPr>
                <w:b/>
                <w:bCs/>
              </w:rPr>
              <w:t xml:space="preserve"> : </w:t>
            </w:r>
            <w:r>
              <w:t xml:space="preserve">UE measures all the CSI-RS resources with an </w:t>
            </w:r>
            <w:r w:rsidRPr="6334CDA3">
              <w:rPr>
                <w:u w:val="single"/>
              </w:rPr>
              <w:t>exhaustive search</w:t>
            </w:r>
            <w:r>
              <w:t xml:space="preserve"> at all time instants and selects the best beam at each time instant. </w:t>
            </w:r>
          </w:p>
          <w:p w14:paraId="242811C2" w14:textId="13271A11" w:rsidR="0037635D" w:rsidRDefault="0037635D" w:rsidP="005A35F4">
            <w:pPr>
              <w:ind w:left="360"/>
            </w:pPr>
            <w:r w:rsidRPr="6334CDA3">
              <w:rPr>
                <w:b/>
                <w:bCs/>
              </w:rPr>
              <w:t>Alternative 2b</w:t>
            </w:r>
            <w:r w:rsidR="005A35F4">
              <w:rPr>
                <w:b/>
                <w:bCs/>
              </w:rPr>
              <w:t xml:space="preserve"> :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rsidRPr="00B50733">
        <w:t>scenarios for evaluations.</w:t>
      </w:r>
    </w:p>
    <w:p w14:paraId="4305B77C" w14:textId="501A8763" w:rsidR="00B50733" w:rsidRPr="009775F4" w:rsidRDefault="00E5103A" w:rsidP="00B7696B">
      <w:pPr>
        <w:pStyle w:val="ListParagraph"/>
        <w:numPr>
          <w:ilvl w:val="0"/>
          <w:numId w:val="38"/>
        </w:numPr>
        <w:rPr>
          <w:sz w:val="18"/>
          <w:szCs w:val="18"/>
        </w:rPr>
      </w:pPr>
      <w:proofErr w:type="spellStart"/>
      <w:r w:rsidRPr="009775F4">
        <w:rPr>
          <w:sz w:val="18"/>
          <w:szCs w:val="18"/>
          <w:lang w:eastAsia="en-US"/>
        </w:rPr>
        <w:t>InterDigital</w:t>
      </w:r>
      <w:proofErr w:type="spellEnd"/>
      <w:r w:rsidRPr="009775F4">
        <w:rPr>
          <w:sz w:val="18"/>
          <w:szCs w:val="18"/>
          <w:lang w:eastAsia="en-US"/>
        </w:rPr>
        <w:t xml:space="preserve">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ListParagraph"/>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ListParagraph"/>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Heading1"/>
      </w:pPr>
      <w:r>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fldSimple w:instr=" SEQ Table \* ARABIC ">
        <w:r w:rsidR="00C6148F">
          <w:rPr>
            <w:noProof/>
          </w:rPr>
          <w:t>1</w:t>
        </w:r>
      </w:fldSimple>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lastRenderedPageBreak/>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ListParagraph"/>
              <w:numPr>
                <w:ilvl w:val="0"/>
                <w:numId w:val="18"/>
              </w:numPr>
            </w:pPr>
            <w:r w:rsidRPr="00795D66">
              <w:t>SCS: 120 kHz</w:t>
            </w:r>
          </w:p>
          <w:p w14:paraId="76BE31D7" w14:textId="77777777" w:rsidR="00A8045A" w:rsidRPr="00795D66" w:rsidRDefault="00A8045A" w:rsidP="00B7696B">
            <w:pPr>
              <w:pStyle w:val="ListParagraph"/>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ListParagraph"/>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60 km/</w:t>
            </w:r>
            <w:proofErr w:type="spellStart"/>
            <w:r w:rsidRPr="00795D66">
              <w:t>hr</w:t>
            </w:r>
            <w:proofErr w:type="spellEnd"/>
            <w:r w:rsidRPr="00795D66">
              <w:t xml:space="preserve"> and 120 km/</w:t>
            </w:r>
            <w:proofErr w:type="spellStart"/>
            <w:r w:rsidRPr="00795D66">
              <w:t>hr</w:t>
            </w:r>
            <w:proofErr w:type="spellEnd"/>
            <w:r w:rsidRPr="00795D66">
              <w:t xml:space="preserve">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w:t>
            </w:r>
            <w:proofErr w:type="spellStart"/>
            <w:r w:rsidRPr="00795D66">
              <w:t>d</w:t>
            </w:r>
            <w:r w:rsidRPr="00795D66">
              <w:rPr>
                <w:vertAlign w:val="subscript"/>
              </w:rPr>
              <w:t>V</w:t>
            </w:r>
            <w:proofErr w:type="spellEnd"/>
            <w:r w:rsidRPr="00795D66">
              <w:t xml:space="preserve">, </w:t>
            </w:r>
            <w:proofErr w:type="spellStart"/>
            <w:r w:rsidRPr="00795D66">
              <w:t>d</w:t>
            </w:r>
            <w:r w:rsidRPr="00795D66">
              <w:rPr>
                <w:vertAlign w:val="subscript"/>
              </w:rPr>
              <w:t>H</w:t>
            </w:r>
            <w:proofErr w:type="spellEnd"/>
            <w:r w:rsidRPr="00795D66">
              <w:t xml:space="preserve">) = (0.5, 0.5) </w:t>
            </w:r>
            <w:r w:rsidRPr="00795D66">
              <w:rPr>
                <w:lang w:val="en-GB"/>
              </w:rPr>
              <w:t>λ</w:t>
            </w:r>
            <w:r w:rsidRPr="00795D66">
              <w:t>. (</w:t>
            </w:r>
            <w:proofErr w:type="spellStart"/>
            <w:r w:rsidRPr="00795D66">
              <w:t>d</w:t>
            </w:r>
            <w:r w:rsidRPr="00795D66">
              <w:rPr>
                <w:vertAlign w:val="subscript"/>
              </w:rPr>
              <w:t>g,V</w:t>
            </w:r>
            <w:proofErr w:type="spellEnd"/>
            <w:r w:rsidRPr="00795D66">
              <w:t xml:space="preserve">, </w:t>
            </w:r>
            <w:proofErr w:type="spellStart"/>
            <w:r w:rsidRPr="00795D66">
              <w:t>d</w:t>
            </w:r>
            <w:r w:rsidRPr="00795D66">
              <w:rPr>
                <w:vertAlign w:val="subscript"/>
              </w:rPr>
              <w:t>g,H</w:t>
            </w:r>
            <w:proofErr w:type="spellEnd"/>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 xml:space="preserve">Panel structure: 1x4x2 or (M, N, P) = (1, 4, 2), </w:t>
            </w:r>
            <w:proofErr w:type="spellStart"/>
            <w:r w:rsidRPr="00795D66">
              <w:t>d</w:t>
            </w:r>
            <w:r w:rsidRPr="00795D66">
              <w:rPr>
                <w:vertAlign w:val="subscript"/>
              </w:rPr>
              <w:t>H</w:t>
            </w:r>
            <w:proofErr w:type="spellEnd"/>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 xml:space="preserve">Companies to explain beam correspondence assumptions (in accordance </w:t>
            </w:r>
            <w:proofErr w:type="gramStart"/>
            <w:r w:rsidRPr="00795D66">
              <w:t>to</w:t>
            </w:r>
            <w:proofErr w:type="gramEnd"/>
            <w:r w:rsidRPr="00795D66">
              <w:t xml:space="preserve">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ListParagraph"/>
              <w:numPr>
                <w:ilvl w:val="0"/>
                <w:numId w:val="18"/>
              </w:numPr>
            </w:pPr>
            <w:r w:rsidRPr="00795D66">
              <w:t>Beam reporting mechanism</w:t>
            </w:r>
          </w:p>
          <w:p w14:paraId="7A243263" w14:textId="77777777" w:rsidR="00A8045A" w:rsidRPr="00795D66" w:rsidRDefault="00A8045A" w:rsidP="00B7696B">
            <w:pPr>
              <w:pStyle w:val="ListParagraph"/>
              <w:numPr>
                <w:ilvl w:val="0"/>
                <w:numId w:val="18"/>
              </w:numPr>
            </w:pPr>
            <w:r w:rsidRPr="00795D66">
              <w:t>Beam metric L1-RSRP</w:t>
            </w:r>
          </w:p>
          <w:p w14:paraId="59ADF17B" w14:textId="77777777" w:rsidR="00A8045A" w:rsidRPr="00795D66" w:rsidRDefault="00A8045A" w:rsidP="00B7696B">
            <w:pPr>
              <w:pStyle w:val="ListParagraph"/>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w:t>
            </w:r>
            <w:r w:rsidRPr="00795D66">
              <w:lastRenderedPageBreak/>
              <w:t xml:space="preserve">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fldSimple w:instr=" SEQ Table \* ARABIC ">
        <w:r w:rsidRPr="00C6148F">
          <w:t>2</w:t>
        </w:r>
      </w:fldSimple>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proofErr w:type="spellStart"/>
            <w:r w:rsidRPr="00795D66">
              <w:t>UMa</w:t>
            </w:r>
            <w:proofErr w:type="spellEnd"/>
            <w:r w:rsidRPr="00795D66">
              <w:t xml:space="preserve">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 xml:space="preserve">38.901, sec 7.4.3.2: μ = 9 dB, </w:t>
            </w:r>
            <w:proofErr w:type="spellStart"/>
            <w:r w:rsidRPr="00795D66">
              <w:t>σ</w:t>
            </w:r>
            <w:r w:rsidRPr="00795D66">
              <w:rPr>
                <w:vertAlign w:val="subscript"/>
              </w:rPr>
              <w:t>p</w:t>
            </w:r>
            <w:proofErr w:type="spellEnd"/>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B7696B"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 xml:space="preserve">Huawei, </w:t>
            </w:r>
            <w:proofErr w:type="spellStart"/>
            <w:r w:rsidRPr="00855827">
              <w:rPr>
                <w:sz w:val="18"/>
                <w:szCs w:val="18"/>
              </w:rPr>
              <w:t>HiSilicon</w:t>
            </w:r>
            <w:proofErr w:type="spellEnd"/>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B7696B"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B7696B"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B7696B"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B7696B"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proofErr w:type="spellStart"/>
            <w:r w:rsidRPr="00855827">
              <w:rPr>
                <w:sz w:val="18"/>
                <w:szCs w:val="18"/>
              </w:rPr>
              <w:t>InterDigital</w:t>
            </w:r>
            <w:proofErr w:type="spellEnd"/>
            <w:r w:rsidRPr="00855827">
              <w:rPr>
                <w:sz w:val="18"/>
                <w:szCs w:val="18"/>
              </w:rPr>
              <w:t>,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B7696B"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B7696B"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B7696B"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proofErr w:type="spellStart"/>
            <w:r w:rsidRPr="00855827">
              <w:rPr>
                <w:sz w:val="18"/>
                <w:szCs w:val="18"/>
              </w:rPr>
              <w:t>xiaomi</w:t>
            </w:r>
            <w:proofErr w:type="spellEnd"/>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B7696B"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B7696B"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B7696B"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 xml:space="preserve">Beijing </w:t>
            </w:r>
            <w:proofErr w:type="spellStart"/>
            <w:r w:rsidRPr="00855827">
              <w:rPr>
                <w:sz w:val="18"/>
                <w:szCs w:val="18"/>
              </w:rPr>
              <w:t>Jiaotong</w:t>
            </w:r>
            <w:proofErr w:type="spellEnd"/>
            <w:r w:rsidRPr="00855827">
              <w:rPr>
                <w:sz w:val="18"/>
                <w:szCs w:val="18"/>
              </w:rPr>
              <w:t xml:space="preserve">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B7696B"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B7696B"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B7696B"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B7696B"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proofErr w:type="spellStart"/>
            <w:r w:rsidRPr="00855827">
              <w:rPr>
                <w:sz w:val="18"/>
                <w:szCs w:val="18"/>
              </w:rPr>
              <w:t>Evalulation</w:t>
            </w:r>
            <w:proofErr w:type="spellEnd"/>
            <w:r w:rsidRPr="00855827">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B7696B"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B7696B"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B7696B"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B7696B"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B7696B"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B7696B"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B7696B"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B7696B"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B7696B"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F45A" w14:textId="77777777" w:rsidR="00B7696B" w:rsidRDefault="00B7696B" w:rsidP="0042572B">
      <w:r>
        <w:separator/>
      </w:r>
    </w:p>
  </w:endnote>
  <w:endnote w:type="continuationSeparator" w:id="0">
    <w:p w14:paraId="34FBCD20" w14:textId="77777777" w:rsidR="00B7696B" w:rsidRDefault="00B7696B"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7689" w14:textId="77777777" w:rsidR="00B7696B" w:rsidRDefault="00B7696B" w:rsidP="0042572B">
      <w:r>
        <w:separator/>
      </w:r>
    </w:p>
  </w:footnote>
  <w:footnote w:type="continuationSeparator" w:id="0">
    <w:p w14:paraId="7BC0F661" w14:textId="77777777" w:rsidR="00B7696B" w:rsidRDefault="00B7696B"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0"/>
  </w:num>
  <w:num w:numId="4">
    <w:abstractNumId w:val="35"/>
  </w:num>
  <w:num w:numId="5">
    <w:abstractNumId w:val="20"/>
  </w:num>
  <w:num w:numId="6">
    <w:abstractNumId w:val="26"/>
  </w:num>
  <w:num w:numId="7">
    <w:abstractNumId w:val="15"/>
  </w:num>
  <w:num w:numId="8">
    <w:abstractNumId w:val="6"/>
  </w:num>
  <w:num w:numId="9">
    <w:abstractNumId w:val="44"/>
  </w:num>
  <w:num w:numId="10">
    <w:abstractNumId w:val="14"/>
  </w:num>
  <w:num w:numId="11">
    <w:abstractNumId w:val="33"/>
  </w:num>
  <w:num w:numId="12">
    <w:abstractNumId w:val="11"/>
  </w:num>
  <w:num w:numId="13">
    <w:abstractNumId w:val="16"/>
  </w:num>
  <w:num w:numId="14">
    <w:abstractNumId w:val="4"/>
  </w:num>
  <w:num w:numId="15">
    <w:abstractNumId w:val="18"/>
  </w:num>
  <w:num w:numId="16">
    <w:abstractNumId w:val="24"/>
  </w:num>
  <w:num w:numId="17">
    <w:abstractNumId w:val="1"/>
  </w:num>
  <w:num w:numId="18">
    <w:abstractNumId w:val="22"/>
  </w:num>
  <w:num w:numId="19">
    <w:abstractNumId w:val="13"/>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0"/>
  </w:num>
  <w:num w:numId="25">
    <w:abstractNumId w:val="37"/>
  </w:num>
  <w:num w:numId="26">
    <w:abstractNumId w:val="29"/>
  </w:num>
  <w:num w:numId="27">
    <w:abstractNumId w:val="17"/>
  </w:num>
  <w:num w:numId="28">
    <w:abstractNumId w:val="31"/>
  </w:num>
  <w:num w:numId="29">
    <w:abstractNumId w:val="32"/>
  </w:num>
  <w:num w:numId="30">
    <w:abstractNumId w:val="34"/>
  </w:num>
  <w:num w:numId="31">
    <w:abstractNumId w:val="41"/>
  </w:num>
  <w:num w:numId="32">
    <w:abstractNumId w:val="5"/>
  </w:num>
  <w:num w:numId="33">
    <w:abstractNumId w:val="28"/>
  </w:num>
  <w:num w:numId="34">
    <w:abstractNumId w:val="3"/>
  </w:num>
  <w:num w:numId="35">
    <w:abstractNumId w:val="25"/>
  </w:num>
  <w:num w:numId="36">
    <w:abstractNumId w:val="23"/>
  </w:num>
  <w:num w:numId="37">
    <w:abstractNumId w:val="9"/>
  </w:num>
  <w:num w:numId="38">
    <w:abstractNumId w:val="42"/>
  </w:num>
  <w:num w:numId="39">
    <w:abstractNumId w:val="21"/>
  </w:num>
  <w:num w:numId="40">
    <w:abstractNumId w:val="38"/>
  </w:num>
  <w:num w:numId="41">
    <w:abstractNumId w:val="12"/>
  </w:num>
  <w:num w:numId="42">
    <w:abstractNumId w:val="36"/>
  </w:num>
  <w:num w:numId="43">
    <w:abstractNumId w:val="40"/>
  </w:num>
  <w:num w:numId="44">
    <w:abstractNumId w:val="27"/>
  </w:num>
  <w:num w:numId="45">
    <w:abstractNumId w:val="2"/>
  </w:num>
  <w:num w:numId="46">
    <w:abstractNumId w:val="39"/>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46602"/>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375CD"/>
    <w:rsid w:val="00146051"/>
    <w:rsid w:val="001568D5"/>
    <w:rsid w:val="0016292F"/>
    <w:rsid w:val="001812FD"/>
    <w:rsid w:val="00185BB9"/>
    <w:rsid w:val="001A053E"/>
    <w:rsid w:val="001A683E"/>
    <w:rsid w:val="001C27E9"/>
    <w:rsid w:val="001D5FCC"/>
    <w:rsid w:val="001E14C7"/>
    <w:rsid w:val="001F69FE"/>
    <w:rsid w:val="00212B83"/>
    <w:rsid w:val="00227E48"/>
    <w:rsid w:val="002469F2"/>
    <w:rsid w:val="0026377D"/>
    <w:rsid w:val="00290E2F"/>
    <w:rsid w:val="002A3F31"/>
    <w:rsid w:val="002B2C80"/>
    <w:rsid w:val="002B32E7"/>
    <w:rsid w:val="002B5298"/>
    <w:rsid w:val="002B79B2"/>
    <w:rsid w:val="002D115E"/>
    <w:rsid w:val="002D2620"/>
    <w:rsid w:val="002D42D2"/>
    <w:rsid w:val="002E598D"/>
    <w:rsid w:val="002F6F2A"/>
    <w:rsid w:val="003005F5"/>
    <w:rsid w:val="00314E54"/>
    <w:rsid w:val="00317852"/>
    <w:rsid w:val="00323D4E"/>
    <w:rsid w:val="003440D0"/>
    <w:rsid w:val="00357AAD"/>
    <w:rsid w:val="0037635D"/>
    <w:rsid w:val="00381933"/>
    <w:rsid w:val="003A53A8"/>
    <w:rsid w:val="003A6460"/>
    <w:rsid w:val="003D3ADB"/>
    <w:rsid w:val="003D4FCC"/>
    <w:rsid w:val="003E293C"/>
    <w:rsid w:val="003E7646"/>
    <w:rsid w:val="003F0F8E"/>
    <w:rsid w:val="00415407"/>
    <w:rsid w:val="00423713"/>
    <w:rsid w:val="00424994"/>
    <w:rsid w:val="00424EB1"/>
    <w:rsid w:val="0042572B"/>
    <w:rsid w:val="0043564E"/>
    <w:rsid w:val="00435914"/>
    <w:rsid w:val="004512B1"/>
    <w:rsid w:val="00466536"/>
    <w:rsid w:val="00467446"/>
    <w:rsid w:val="004851DA"/>
    <w:rsid w:val="004957D9"/>
    <w:rsid w:val="00495AB0"/>
    <w:rsid w:val="00495E21"/>
    <w:rsid w:val="004965DC"/>
    <w:rsid w:val="004A04EE"/>
    <w:rsid w:val="004B03C9"/>
    <w:rsid w:val="004E1509"/>
    <w:rsid w:val="004E4397"/>
    <w:rsid w:val="004F24D1"/>
    <w:rsid w:val="004F2DC0"/>
    <w:rsid w:val="00515C4D"/>
    <w:rsid w:val="00517E25"/>
    <w:rsid w:val="00527052"/>
    <w:rsid w:val="0052766B"/>
    <w:rsid w:val="00535211"/>
    <w:rsid w:val="00543229"/>
    <w:rsid w:val="0054478C"/>
    <w:rsid w:val="00550B15"/>
    <w:rsid w:val="005738A3"/>
    <w:rsid w:val="0058442B"/>
    <w:rsid w:val="0058743B"/>
    <w:rsid w:val="005A258A"/>
    <w:rsid w:val="005A35F4"/>
    <w:rsid w:val="005B3674"/>
    <w:rsid w:val="005C1299"/>
    <w:rsid w:val="005D7DD4"/>
    <w:rsid w:val="005E1D5B"/>
    <w:rsid w:val="005F22FE"/>
    <w:rsid w:val="005F5A98"/>
    <w:rsid w:val="005F68AB"/>
    <w:rsid w:val="00614E56"/>
    <w:rsid w:val="00620732"/>
    <w:rsid w:val="00626B39"/>
    <w:rsid w:val="00650F00"/>
    <w:rsid w:val="00653C89"/>
    <w:rsid w:val="0065571C"/>
    <w:rsid w:val="0066408A"/>
    <w:rsid w:val="00692205"/>
    <w:rsid w:val="006A4EB7"/>
    <w:rsid w:val="006A775F"/>
    <w:rsid w:val="006B4C46"/>
    <w:rsid w:val="006B4CC1"/>
    <w:rsid w:val="006B72AD"/>
    <w:rsid w:val="006C05DF"/>
    <w:rsid w:val="006C4759"/>
    <w:rsid w:val="006D34BE"/>
    <w:rsid w:val="006D74F4"/>
    <w:rsid w:val="006E2BC2"/>
    <w:rsid w:val="006E39DF"/>
    <w:rsid w:val="006F5F35"/>
    <w:rsid w:val="00704DC9"/>
    <w:rsid w:val="00721BFA"/>
    <w:rsid w:val="00723AA6"/>
    <w:rsid w:val="00725DA5"/>
    <w:rsid w:val="00726B38"/>
    <w:rsid w:val="00737836"/>
    <w:rsid w:val="00775F7A"/>
    <w:rsid w:val="007809A0"/>
    <w:rsid w:val="0078553B"/>
    <w:rsid w:val="007931B3"/>
    <w:rsid w:val="007B67D2"/>
    <w:rsid w:val="007D0ED8"/>
    <w:rsid w:val="007D1B93"/>
    <w:rsid w:val="007D2282"/>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4D7A"/>
    <w:rsid w:val="008F6AE4"/>
    <w:rsid w:val="00900E87"/>
    <w:rsid w:val="009014F1"/>
    <w:rsid w:val="00915EB6"/>
    <w:rsid w:val="0091676A"/>
    <w:rsid w:val="009235C5"/>
    <w:rsid w:val="00930E16"/>
    <w:rsid w:val="00936B05"/>
    <w:rsid w:val="00936BEE"/>
    <w:rsid w:val="00942ED5"/>
    <w:rsid w:val="009775F4"/>
    <w:rsid w:val="00981561"/>
    <w:rsid w:val="00985131"/>
    <w:rsid w:val="00996604"/>
    <w:rsid w:val="009A0CB7"/>
    <w:rsid w:val="009A742C"/>
    <w:rsid w:val="009E51D9"/>
    <w:rsid w:val="009F0668"/>
    <w:rsid w:val="00A1175B"/>
    <w:rsid w:val="00A240FD"/>
    <w:rsid w:val="00A30563"/>
    <w:rsid w:val="00A352D8"/>
    <w:rsid w:val="00A4675D"/>
    <w:rsid w:val="00A6728C"/>
    <w:rsid w:val="00A67487"/>
    <w:rsid w:val="00A724FE"/>
    <w:rsid w:val="00A8045A"/>
    <w:rsid w:val="00A8095B"/>
    <w:rsid w:val="00A80C39"/>
    <w:rsid w:val="00A8168C"/>
    <w:rsid w:val="00A87390"/>
    <w:rsid w:val="00AA4617"/>
    <w:rsid w:val="00AB4495"/>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67A7"/>
    <w:rsid w:val="00B67D18"/>
    <w:rsid w:val="00B7696B"/>
    <w:rsid w:val="00BB1DA0"/>
    <w:rsid w:val="00BB7132"/>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3016B"/>
    <w:rsid w:val="00D51699"/>
    <w:rsid w:val="00D51A3A"/>
    <w:rsid w:val="00D56B21"/>
    <w:rsid w:val="00D741C0"/>
    <w:rsid w:val="00D77794"/>
    <w:rsid w:val="00D85107"/>
    <w:rsid w:val="00DA10AC"/>
    <w:rsid w:val="00DA18AE"/>
    <w:rsid w:val="00DA6D80"/>
    <w:rsid w:val="00DB4110"/>
    <w:rsid w:val="00DB5E3E"/>
    <w:rsid w:val="00DB63D6"/>
    <w:rsid w:val="00DD182B"/>
    <w:rsid w:val="00DD27B6"/>
    <w:rsid w:val="00E22D50"/>
    <w:rsid w:val="00E23D7B"/>
    <w:rsid w:val="00E305F2"/>
    <w:rsid w:val="00E4011F"/>
    <w:rsid w:val="00E5103A"/>
    <w:rsid w:val="00E54050"/>
    <w:rsid w:val="00E6043B"/>
    <w:rsid w:val="00E65042"/>
    <w:rsid w:val="00E758C4"/>
    <w:rsid w:val="00E928C6"/>
    <w:rsid w:val="00E9420A"/>
    <w:rsid w:val="00E96BA3"/>
    <w:rsid w:val="00EA1F64"/>
    <w:rsid w:val="00EA461D"/>
    <w:rsid w:val="00EC1BD4"/>
    <w:rsid w:val="00ED3027"/>
    <w:rsid w:val="00ED38A2"/>
    <w:rsid w:val="00ED4EBC"/>
    <w:rsid w:val="00ED5859"/>
    <w:rsid w:val="00EF1C9D"/>
    <w:rsid w:val="00F03C19"/>
    <w:rsid w:val="00F0591F"/>
    <w:rsid w:val="00F231D3"/>
    <w:rsid w:val="00F27A6E"/>
    <w:rsid w:val="00F46BFA"/>
    <w:rsid w:val="00F536BD"/>
    <w:rsid w:val="00F55247"/>
    <w:rsid w:val="00F63D15"/>
    <w:rsid w:val="00F679E0"/>
    <w:rsid w:val="00F67BF5"/>
    <w:rsid w:val="00F734FA"/>
    <w:rsid w:val="00F81FB9"/>
    <w:rsid w:val="00FA2737"/>
    <w:rsid w:val="00FA2F07"/>
    <w:rsid w:val="00FD1352"/>
    <w:rsid w:val="00FD4906"/>
    <w:rsid w:val="00FD6D1B"/>
    <w:rsid w:val="00FE2BD2"/>
    <w:rsid w:val="00FE2F78"/>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unhideWhenUsed/>
    <w:rsid w:val="00ED3027"/>
  </w:style>
  <w:style w:type="character" w:customStyle="1" w:styleId="CommentTextChar">
    <w:name w:val="Comment Text Char"/>
    <w:basedOn w:val="DefaultParagraphFont"/>
    <w:link w:val="CommentText"/>
    <w:uiPriority w:val="99"/>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 w:type="character" w:styleId="Mention">
    <w:name w:val="Mention"/>
    <w:basedOn w:val="DefaultParagraphFont"/>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eth.jayasinghe@nokia.com" TargetMode="External"/><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B63C-914D-4272-99E6-377EFD6B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9617</Words>
  <Characters>54818</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Jayasinghe, Keeth (Nokia - FI/Espoo)</cp:lastModifiedBy>
  <cp:revision>7</cp:revision>
  <dcterms:created xsi:type="dcterms:W3CDTF">2022-05-10T18:47:00Z</dcterms:created>
  <dcterms:modified xsi:type="dcterms:W3CDTF">2022-05-10T19:10:00Z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