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ZTE, Sanechips</w:t>
            </w:r>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r w:rsidR="003F74F9">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If initialUplinkBWP in UplinkConfigCommonSIB indicates an UL BWP that is</w:t>
            </w:r>
            <w:r w:rsidR="00AF315C">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SimSun"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20118" w14:paraId="667FD254" w14:textId="77777777" w:rsidTr="002148BD">
        <w:tc>
          <w:tcPr>
            <w:tcW w:w="1479" w:type="dxa"/>
          </w:tcPr>
          <w:p w14:paraId="37DFB399" w14:textId="54EF83A3" w:rsidR="00A20118" w:rsidRDefault="00A20118" w:rsidP="0006793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F9D791" w14:textId="0399D8F6" w:rsidR="00A20118" w:rsidRDefault="00A20118"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CF8721" w14:textId="51C51C0A" w:rsidR="00A20118" w:rsidRDefault="00A20118" w:rsidP="001217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2C3F11" w14:paraId="0BD03572" w14:textId="77777777" w:rsidTr="002148BD">
        <w:tc>
          <w:tcPr>
            <w:tcW w:w="1479" w:type="dxa"/>
          </w:tcPr>
          <w:p w14:paraId="0FED504B" w14:textId="0B77460A" w:rsidR="002C3F11" w:rsidRDefault="002C3F11" w:rsidP="0006793A">
            <w:pPr>
              <w:jc w:val="left"/>
              <w:rPr>
                <w:rFonts w:eastAsiaTheme="minorEastAsia" w:hint="eastAsia"/>
                <w:lang w:eastAsia="zh-CN"/>
              </w:rPr>
            </w:pPr>
            <w:r>
              <w:rPr>
                <w:rFonts w:eastAsiaTheme="minorEastAsia"/>
                <w:lang w:eastAsia="zh-CN"/>
              </w:rPr>
              <w:t>Ericsson</w:t>
            </w:r>
          </w:p>
        </w:tc>
        <w:tc>
          <w:tcPr>
            <w:tcW w:w="1372" w:type="dxa"/>
          </w:tcPr>
          <w:p w14:paraId="1E2E049F" w14:textId="79C69D95" w:rsidR="002C3F11" w:rsidRDefault="002C3F11" w:rsidP="0006793A">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66740427" w14:textId="77777777" w:rsidR="002C3F11" w:rsidRDefault="002C3F11" w:rsidP="00121721">
            <w:pPr>
              <w:jc w:val="left"/>
              <w:rPr>
                <w:rFonts w:eastAsiaTheme="minorEastAsia" w:hint="eastAsia"/>
                <w:lang w:val="en-US" w:eastAsia="zh-CN"/>
              </w:rPr>
            </w:pP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ZTE, Sanechips</w:t>
            </w:r>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when the separate initial DL BWP does not contain </w:t>
            </w:r>
            <w:r>
              <w:rPr>
                <w:rFonts w:eastAsia="SimSun"/>
                <w:bCs/>
                <w:lang w:val="en-US" w:eastAsia="zh-CN"/>
              </w:rPr>
              <w:lastRenderedPageBreak/>
              <w:t>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t>ZTE, Sanechips</w:t>
            </w:r>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lastRenderedPageBreak/>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lastRenderedPageBreak/>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006C2919">
              <w:rPr>
                <w:rFonts w:eastAsia="DengXian"/>
                <w:color w:val="FF0000"/>
                <w:sz w:val="20"/>
                <w:szCs w:val="20"/>
                <w:lang w:val="en-US" w:eastAsia="zh-CN"/>
              </w:rPr>
              <w:t xml:space="preserve"> </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Yu Mincho"/>
                <w:bCs/>
                <w:lang w:val="en-US" w:eastAsia="ja-JP"/>
              </w:rPr>
              <w:t>guarantted</w:t>
            </w:r>
            <w:proofErr w:type="spellEnd"/>
            <w:r w:rsidRPr="00044D3F">
              <w:rPr>
                <w:rFonts w:eastAsia="Yu Mincho"/>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lang w:val="en-US" w:eastAsia="ja-JP"/>
              </w:rPr>
            </w:pPr>
            <w:r>
              <w:rPr>
                <w:rFonts w:eastAsiaTheme="minorEastAsia"/>
                <w:lang w:eastAsia="zh-CN"/>
              </w:rPr>
              <w:t>FL6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71D7FCF4" w:rsidR="00D70928" w:rsidRPr="00D70928" w:rsidRDefault="00A20118" w:rsidP="00DA3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44F841" w14:textId="061001F3" w:rsidR="00D70928" w:rsidRPr="00D70928" w:rsidRDefault="00A20118"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36AE5167" w:rsidR="00D70928" w:rsidRPr="00D70928" w:rsidRDefault="00FF7E8D" w:rsidP="00DA3379">
            <w:pPr>
              <w:jc w:val="left"/>
              <w:rPr>
                <w:rFonts w:eastAsiaTheme="minorEastAsia"/>
                <w:lang w:val="en-US" w:eastAsia="zh-CN"/>
              </w:rPr>
            </w:pPr>
            <w:r>
              <w:rPr>
                <w:rFonts w:eastAsiaTheme="minorEastAsia"/>
                <w:lang w:val="en-US" w:eastAsia="zh-CN"/>
              </w:rPr>
              <w:t>Ericsson</w:t>
            </w:r>
          </w:p>
        </w:tc>
        <w:tc>
          <w:tcPr>
            <w:tcW w:w="1372" w:type="dxa"/>
          </w:tcPr>
          <w:p w14:paraId="4D768865" w14:textId="5875B4AF" w:rsidR="00D70928" w:rsidRPr="00D70928" w:rsidRDefault="00FF7E8D" w:rsidP="00DA3379">
            <w:pPr>
              <w:tabs>
                <w:tab w:val="left" w:pos="551"/>
              </w:tabs>
              <w:jc w:val="left"/>
              <w:rPr>
                <w:rFonts w:eastAsiaTheme="minorEastAsia"/>
                <w:lang w:val="en-US" w:eastAsia="zh-CN"/>
              </w:rPr>
            </w:pPr>
            <w:r>
              <w:rPr>
                <w:rFonts w:eastAsiaTheme="minorEastAsia"/>
                <w:lang w:val="en-US" w:eastAsia="zh-CN"/>
              </w:rPr>
              <w:t>Y</w:t>
            </w:r>
          </w:p>
        </w:tc>
        <w:tc>
          <w:tcPr>
            <w:tcW w:w="6780" w:type="dxa"/>
          </w:tcPr>
          <w:p w14:paraId="575B5A1D" w14:textId="48041B6B" w:rsidR="00D70928" w:rsidRPr="00D70928" w:rsidRDefault="00D70928" w:rsidP="00DA3379">
            <w:pPr>
              <w:jc w:val="left"/>
              <w:rPr>
                <w:rFonts w:eastAsiaTheme="minorEastAsia"/>
                <w:lang w:val="en-US" w:eastAsia="zh-CN"/>
              </w:rPr>
            </w:pP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lastRenderedPageBreak/>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w:t>
            </w:r>
            <w:r>
              <w:rPr>
                <w:rFonts w:eastAsia="Times New Roman"/>
                <w:color w:val="FF0000"/>
                <w:szCs w:val="24"/>
                <w:lang w:val="en-US"/>
              </w:rPr>
              <w:lastRenderedPageBreak/>
              <w:t xml:space="preserve">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lastRenderedPageBreak/>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lastRenderedPageBreak/>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lastRenderedPageBreak/>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w:t>
            </w:r>
            <w:r>
              <w:lastRenderedPageBreak/>
              <w:t xml:space="preserve">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lastRenderedPageBreak/>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RedCap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2469A0FF" w:rsidR="00383546" w:rsidRDefault="00850DBA" w:rsidP="00383546">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lastRenderedPageBreak/>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6CD60AB" w14:textId="77777777" w:rsidR="00FE6659" w:rsidRDefault="00FE6659" w:rsidP="00434AAB">
            <w:pPr>
              <w:tabs>
                <w:tab w:val="left" w:pos="551"/>
              </w:tabs>
              <w:jc w:val="left"/>
              <w:rPr>
                <w:rFonts w:eastAsia="Yu Mincho"/>
                <w:lang w:val="en-US" w:eastAsia="ja-JP"/>
              </w:rPr>
            </w:pPr>
          </w:p>
        </w:tc>
        <w:tc>
          <w:tcPr>
            <w:tcW w:w="7269" w:type="dxa"/>
          </w:tcPr>
          <w:p w14:paraId="7B819EBE" w14:textId="77777777" w:rsidR="00FE6659" w:rsidRDefault="00FE6659" w:rsidP="00FE665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sidRPr="00036966">
              <w:rPr>
                <w:rFonts w:eastAsia="Yu Mincho"/>
                <w:b/>
                <w:bCs/>
                <w:i/>
                <w:iCs/>
                <w:u w:val="single"/>
                <w:lang w:val="en-US" w:eastAsia="ja-JP"/>
              </w:rPr>
              <w:t>either</w:t>
            </w:r>
            <w:r>
              <w:rPr>
                <w:rFonts w:eastAsia="Yu Mincho"/>
                <w:lang w:val="en-US" w:eastAsia="ja-JP"/>
              </w:rPr>
              <w:t xml:space="preserve"> </w:t>
            </w:r>
            <w:proofErr w:type="spellStart"/>
            <w:r w:rsidRPr="00036966">
              <w:rPr>
                <w:rFonts w:eastAsia="Yu Mincho"/>
                <w:i/>
                <w:iCs/>
                <w:lang w:val="en-US" w:eastAsia="ja-JP"/>
              </w:rPr>
              <w:t>pucch-ResourceCommon</w:t>
            </w:r>
            <w:proofErr w:type="spellEnd"/>
            <w:r>
              <w:rPr>
                <w:rFonts w:eastAsia="Yu Mincho"/>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proofErr w:type="spellStart"/>
            <w:r w:rsidRPr="00036966">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ListParagraph"/>
              <w:numPr>
                <w:ilvl w:val="1"/>
                <w:numId w:val="38"/>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20026966" w14:textId="086331E0" w:rsidR="00FE6659" w:rsidRDefault="00FE6659" w:rsidP="00FE665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w:t>
            </w:r>
            <w:r>
              <w:rPr>
                <w:rFonts w:eastAsia="Yu Mincho"/>
                <w:lang w:val="en-US" w:eastAsia="ja-JP"/>
              </w:rPr>
              <w:lastRenderedPageBreak/>
              <w:t xml:space="preserve">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w:t>
            </w:r>
            <w:r>
              <w:rPr>
                <w:color w:val="FF0000"/>
                <w:u w:val="single"/>
              </w:rPr>
              <w:lastRenderedPageBreak/>
              <w:t xml:space="preserve">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lastRenderedPageBreak/>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lastRenderedPageBreak/>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FF7E8D">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FF7E8D">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FF7E8D">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FF7E8D">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FF7E8D">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FF7E8D">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FF7E8D">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FF7E8D">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FF7E8D">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FF7E8D">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FF7E8D">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FF7E8D">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FF7E8D">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FF7E8D">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FF7E8D">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FF7E8D">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FF7E8D">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FF7E8D">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lastRenderedPageBreak/>
              <w:t>[19]</w:t>
            </w:r>
          </w:p>
        </w:tc>
        <w:tc>
          <w:tcPr>
            <w:tcW w:w="1456" w:type="dxa"/>
            <w:tcMar>
              <w:top w:w="0" w:type="dxa"/>
              <w:left w:w="70" w:type="dxa"/>
              <w:bottom w:w="0" w:type="dxa"/>
              <w:right w:w="70" w:type="dxa"/>
            </w:tcMar>
          </w:tcPr>
          <w:p w14:paraId="266A488E" w14:textId="77777777" w:rsidR="00430F55" w:rsidRDefault="00FF7E8D">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FF7E8D">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FF7E8D">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FF7E8D">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FF7E8D">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FF7E8D">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FF7E8D">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FF7E8D">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FF7E8D">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FF7E8D">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FF7E8D">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FF7E8D">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FF7E8D">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FF7E8D">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FF7E8D">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FF7E8D">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BDAB" w14:textId="77777777" w:rsidR="00DC5CF3" w:rsidRDefault="00DC5CF3" w:rsidP="00076623">
      <w:pPr>
        <w:spacing w:after="0" w:line="240" w:lineRule="auto"/>
      </w:pPr>
      <w:r>
        <w:separator/>
      </w:r>
    </w:p>
  </w:endnote>
  <w:endnote w:type="continuationSeparator" w:id="0">
    <w:p w14:paraId="2D694538" w14:textId="77777777" w:rsidR="00DC5CF3" w:rsidRDefault="00DC5CF3"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B3BC" w14:textId="77777777" w:rsidR="00DC5CF3" w:rsidRDefault="00DC5CF3" w:rsidP="00076623">
      <w:pPr>
        <w:spacing w:after="0" w:line="240" w:lineRule="auto"/>
      </w:pPr>
      <w:r>
        <w:separator/>
      </w:r>
    </w:p>
  </w:footnote>
  <w:footnote w:type="continuationSeparator" w:id="0">
    <w:p w14:paraId="6328EB78" w14:textId="77777777" w:rsidR="00DC5CF3" w:rsidRDefault="00DC5CF3"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6"/>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7"/>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4"/>
  </w:num>
  <w:num w:numId="31">
    <w:abstractNumId w:val="32"/>
  </w:num>
  <w:num w:numId="32">
    <w:abstractNumId w:val="27"/>
  </w:num>
  <w:num w:numId="33">
    <w:abstractNumId w:val="35"/>
  </w:num>
  <w:num w:numId="34">
    <w:abstractNumId w:val="28"/>
  </w:num>
  <w:num w:numId="35">
    <w:abstractNumId w:val="11"/>
  </w:num>
  <w:num w:numId="36">
    <w:abstractNumId w:val="33"/>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778BD-0EA7-4291-BC27-3C3073E6EF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20152</Words>
  <Characters>114872</Characters>
  <Application>Microsoft Office Word</Application>
  <DocSecurity>0</DocSecurity>
  <Lines>957</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cp:revision>
  <dcterms:created xsi:type="dcterms:W3CDTF">2022-05-17T15:17:00Z</dcterms:created>
  <dcterms:modified xsi:type="dcterms:W3CDTF">2022-05-17T15:17:00Z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