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14:textFill>
            <w14:solidFill>
              <w14:schemeClr w14:val="tx1"/>
            </w14:solidFill>
          </w14:textFill>
        </w:rPr>
        <w:t>R1-220xxxx</w:t>
      </w:r>
    </w:p>
    <w:p>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pPr>
        <w:tabs>
          <w:tab w:val="center" w:pos="4536"/>
          <w:tab w:val="right" w:pos="9072"/>
        </w:tabs>
        <w:rPr>
          <w:rFonts w:ascii="Arial" w:hAnsi="Arial" w:cs="Arial"/>
          <w:b/>
          <w:sz w:val="24"/>
          <w:lang w:val="de-DE"/>
        </w:rPr>
      </w:pP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#2 on RAN1 aspects for RAN2-led features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scope"/>
      <w:bookmarkEnd w:id="0"/>
      <w:bookmarkStart w:id="1" w:name="foreword"/>
      <w:bookmarkEnd w:id="1"/>
      <w:bookmarkStart w:id="2" w:name="_Toc42034909"/>
      <w:bookmarkStart w:id="3" w:name="_Toc87303834"/>
      <w:bookmarkStart w:id="4" w:name="_Toc42211920"/>
      <w:r>
        <w:t>Introduction</w:t>
      </w:r>
      <w:bookmarkEnd w:id="2"/>
      <w:bookmarkEnd w:id="3"/>
      <w:bookmarkEnd w:id="4"/>
    </w:p>
    <w:p>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pPr>
        <w:spacing w:after="100" w:afterAutospacing="1"/>
        <w:jc w:val="both"/>
      </w:pPr>
      <w:r>
        <w:t>This document summarizes contributions [4] – [16] submitted to agenda item 8.6.2 and captures this email discussion on RAN1 aspects for RAN2-led features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[108-e-R17-RedCap-03] Email discussion for maintenance on RAN1 aspects for RAN2-led features – Hong (Apple)</w:t>
            </w:r>
          </w:p>
          <w:p>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spacing w:after="100" w:afterAutospacing="1"/>
        <w:rPr>
          <w:highlight w:val="yellow"/>
          <w:lang w:val="en-US"/>
        </w:rPr>
      </w:pPr>
    </w:p>
    <w:p>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‘FL2’ before Feb, 23</w:t>
      </w:r>
      <w:r>
        <w:rPr>
          <w:color w:val="FF0000"/>
          <w:highlight w:val="yellow"/>
          <w:vertAlign w:val="superscript"/>
          <w:lang w:val="en-US"/>
        </w:rPr>
        <w:t>rd</w:t>
      </w:r>
      <w:r>
        <w:rPr>
          <w:color w:val="FF0000"/>
          <w:highlight w:val="yellow"/>
          <w:lang w:val="en-US"/>
        </w:rPr>
        <w:t>, Wednesday, UTC 21:59.</w:t>
      </w:r>
    </w:p>
    <w:p>
      <w:pPr>
        <w:spacing w:after="0"/>
        <w:rPr>
          <w:rFonts w:eastAsia="Times New Roman"/>
          <w:sz w:val="24"/>
          <w:szCs w:val="24"/>
          <w:lang w:val="en-US" w:eastAsia="zh-CN"/>
        </w:rPr>
      </w:pPr>
    </w:p>
    <w:p>
      <w:pPr>
        <w:pStyle w:val="2"/>
      </w:pPr>
      <w:bookmarkStart w:id="5" w:name="_Toc87303836"/>
      <w:r>
        <w:t>Early indication of RedCap UEs</w:t>
      </w:r>
      <w:bookmarkEnd w:id="5"/>
      <w:r>
        <w:t xml:space="preserve"> in Two-Step RACH</w:t>
      </w: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pPr>
        <w:tabs>
          <w:tab w:val="left" w:pos="1410"/>
        </w:tabs>
        <w:jc w:val="both"/>
        <w:rPr>
          <w:szCs w:val="24"/>
        </w:rPr>
      </w:pPr>
      <w:r>
        <w:rPr>
          <w:szCs w:val="24"/>
        </w:rPr>
        <w:t xml:space="preserve">The following was agreed in RAN1 107 e-meeting for 2-step RACH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rPr>
                <w:iCs/>
                <w:highlight w:val="green"/>
                <w:lang w:eastAsia="zh-CN"/>
              </w:rPr>
            </w:pPr>
            <w:r>
              <w:rPr>
                <w:iCs/>
                <w:highlight w:val="green"/>
                <w:lang w:eastAsia="zh-CN"/>
              </w:rPr>
              <w:t>Agreement:</w:t>
            </w:r>
            <w:r>
              <w:rPr>
                <w:color w:val="FF0000"/>
              </w:rPr>
              <w:t xml:space="preserve"> </w:t>
            </w:r>
          </w:p>
          <w:p>
            <w:pPr>
              <w:numPr>
                <w:ilvl w:val="0"/>
                <w:numId w:val="10"/>
              </w:numPr>
              <w:spacing w:after="0" w:line="252" w:lineRule="auto"/>
              <w:contextualSpacing/>
              <w:rPr>
                <w:iCs/>
                <w:lang w:eastAsia="zh-CN"/>
              </w:rPr>
            </w:pPr>
            <w:r>
              <w:rPr>
                <w:iCs/>
                <w:lang w:eastAsia="zh-CN"/>
              </w:rPr>
              <w:t>For 2-step RACH, support the early indication of RedCap UEs at least in MsgA PRACH.</w:t>
            </w:r>
          </w:p>
          <w:p>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pPr>
              <w:numPr>
                <w:ilvl w:val="2"/>
                <w:numId w:val="10"/>
              </w:numPr>
              <w:spacing w:after="0" w:line="252" w:lineRule="auto"/>
              <w:contextualSpacing/>
              <w:rPr>
                <w:iCs/>
                <w:lang w:eastAsia="zh-CN"/>
              </w:rPr>
            </w:pPr>
            <w:r>
              <w:rPr>
                <w:iCs/>
                <w:lang w:eastAsia="zh-CN"/>
              </w:rPr>
              <w:t>separate MsgA PRACH resource</w:t>
            </w:r>
          </w:p>
          <w:p>
            <w:pPr>
              <w:numPr>
                <w:ilvl w:val="2"/>
                <w:numId w:val="10"/>
              </w:numPr>
              <w:spacing w:after="0" w:line="252" w:lineRule="auto"/>
              <w:contextualSpacing/>
              <w:rPr>
                <w:iCs/>
                <w:lang w:eastAsia="zh-CN"/>
              </w:rPr>
            </w:pPr>
            <w:r>
              <w:rPr>
                <w:iCs/>
                <w:lang w:eastAsia="zh-CN"/>
              </w:rPr>
              <w:t>MsgA PRACH preamble partitioning</w:t>
            </w:r>
          </w:p>
        </w:tc>
      </w:tr>
    </w:tbl>
    <w:p>
      <w:pPr>
        <w:tabs>
          <w:tab w:val="left" w:pos="1410"/>
        </w:tabs>
        <w:spacing w:after="0"/>
        <w:jc w:val="both"/>
        <w:rPr>
          <w:szCs w:val="24"/>
        </w:rPr>
      </w:pPr>
    </w:p>
    <w:p>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90"/>
              <w:ind w:left="0" w:firstLine="0"/>
              <w:rPr>
                <w:rFonts w:ascii="Times New Roman" w:hAnsi="Times New Roman" w:cs="Times New Roman"/>
                <w:szCs w:val="20"/>
                <w:lang w:val="en-GB"/>
              </w:rPr>
            </w:pPr>
            <w:r>
              <w:rPr>
                <w:rFonts w:ascii="Times New Roman" w:hAnsi="Times New Roman" w:cs="Times New Roman"/>
                <w:szCs w:val="20"/>
                <w:lang w:val="en-GB"/>
              </w:rPr>
              <w:t>Agreements:</w:t>
            </w:r>
          </w:p>
          <w:p>
            <w:pPr>
              <w:pStyle w:val="290"/>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pPr>
        <w:tabs>
          <w:tab w:val="left" w:pos="1410"/>
        </w:tabs>
        <w:spacing w:before="180"/>
        <w:jc w:val="center"/>
        <w:rPr>
          <w:b/>
          <w:bCs/>
          <w:szCs w:val="24"/>
        </w:rPr>
      </w:pPr>
      <w:r>
        <w:rPr>
          <w:b/>
          <w:bCs/>
          <w:szCs w:val="24"/>
        </w:rPr>
        <w:t>Table 1: Views on dedicated MsgA PUSCH resource of 2-step RACH for early identification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35" w:type="dxa"/>
          </w:tcPr>
          <w:p>
            <w:pPr>
              <w:tabs>
                <w:tab w:val="left" w:pos="1410"/>
              </w:tabs>
              <w:spacing w:after="0"/>
              <w:rPr>
                <w:rFonts w:eastAsia="Yu Mincho"/>
                <w:lang w:eastAsia="ja-JP"/>
              </w:rPr>
            </w:pPr>
            <w:r>
              <w:rPr>
                <w:rFonts w:eastAsia="Yu Mincho"/>
                <w:lang w:eastAsia="ja-JP"/>
              </w:rPr>
              <w:t>Company</w:t>
            </w:r>
          </w:p>
        </w:tc>
        <w:tc>
          <w:tcPr>
            <w:tcW w:w="7830" w:type="dxa"/>
          </w:tcPr>
          <w:p>
            <w:pPr>
              <w:tabs>
                <w:tab w:val="left" w:pos="1410"/>
              </w:tabs>
              <w:spacing w:after="0"/>
              <w:rPr>
                <w:rFonts w:eastAsia="Yu Mincho"/>
                <w:lang w:eastAsia="ja-JP"/>
              </w:rPr>
            </w:pPr>
            <w:r>
              <w:rPr>
                <w:rFonts w:eastAsia="Yu Mincho"/>
                <w:lang w:eastAsia="ja-JP"/>
              </w:rPr>
              <w:t xml:space="preserve">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OPPO [6]</w:t>
            </w:r>
          </w:p>
        </w:tc>
        <w:tc>
          <w:tcPr>
            <w:tcW w:w="7830" w:type="dxa"/>
          </w:tcPr>
          <w:p>
            <w:pPr>
              <w:pStyle w:val="48"/>
              <w:numPr>
                <w:ilvl w:val="0"/>
                <w:numId w:val="12"/>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 xml:space="preserve">Proposal 1: For early indication of RedCap UE in MsgA PRACH, dedicated MsgA PUSCH resource is configured and mapped to dedicated MsgA PRACH preamble for RedCap UE. </w:t>
            </w:r>
          </w:p>
          <w:p>
            <w:pPr>
              <w:pStyle w:val="48"/>
              <w:numPr>
                <w:ilvl w:val="0"/>
                <w:numId w:val="12"/>
              </w:numPr>
              <w:tabs>
                <w:tab w:val="left" w:pos="1410"/>
              </w:tabs>
              <w:spacing w:before="180"/>
              <w:ind w:left="341" w:hanging="341"/>
              <w:rPr>
                <w:rFonts w:eastAsia="Yu Mincho"/>
              </w:rPr>
            </w:pPr>
            <w:r>
              <w:rPr>
                <w:rFonts w:ascii="Times New Roman" w:hAnsi="Times New Roman" w:eastAsia="Yu Mincho" w:cs="Times New Roman"/>
                <w:sz w:val="20"/>
                <w:szCs w:val="20"/>
              </w:rPr>
              <w:t>Proposal 2: For early indication of RedCap UE in MsgA PUSCH, neither dedicated MsgA PUSCH resource nor dedicated MsgA PRACH configuration is needed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CATT [7]</w:t>
            </w:r>
          </w:p>
        </w:tc>
        <w:tc>
          <w:tcPr>
            <w:tcW w:w="7830" w:type="dxa"/>
          </w:tcPr>
          <w:p>
            <w:pPr>
              <w:pStyle w:val="48"/>
              <w:numPr>
                <w:ilvl w:val="0"/>
                <w:numId w:val="13"/>
              </w:numPr>
              <w:tabs>
                <w:tab w:val="left" w:pos="1410"/>
              </w:tabs>
              <w:spacing w:after="6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4: For 2-step RACH, support the early indication of RedCap UEs in MsgA PUSCH.</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Reuse the same mechanism of Msg3 early indication of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Ericsson [9]</w:t>
            </w:r>
          </w:p>
        </w:tc>
        <w:tc>
          <w:tcPr>
            <w:tcW w:w="7830" w:type="dxa"/>
          </w:tcPr>
          <w:p>
            <w:pPr>
              <w:pStyle w:val="48"/>
              <w:numPr>
                <w:ilvl w:val="0"/>
                <w:numId w:val="14"/>
              </w:numPr>
              <w:tabs>
                <w:tab w:val="left" w:pos="1410"/>
              </w:tabs>
              <w:spacing w:after="60"/>
              <w:ind w:left="346" w:hanging="346"/>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Observation 1</w:t>
            </w:r>
            <w:r>
              <w:rPr>
                <w:rFonts w:ascii="Times New Roman" w:hAnsi="Times New Roman" w:eastAsia="Yu Mincho" w:cs="Times New Roman"/>
                <w:sz w:val="20"/>
                <w:szCs w:val="20"/>
              </w:rPr>
              <w:tab/>
            </w:r>
            <w:r>
              <w:rPr>
                <w:rFonts w:ascii="Times New Roman" w:hAnsi="Times New Roman" w:eastAsia="Yu Mincho" w:cs="Times New Roman"/>
                <w:sz w:val="20"/>
                <w:szCs w:val="20"/>
              </w:rPr>
              <w:t>It is enough to support early RedCap UE indication in MsgA PRACH part and in MsgA PUSCH part using the RedCap-specific LCID.</w:t>
            </w:r>
          </w:p>
          <w:p>
            <w:pPr>
              <w:pStyle w:val="48"/>
              <w:numPr>
                <w:ilvl w:val="0"/>
                <w:numId w:val="14"/>
              </w:numPr>
              <w:tabs>
                <w:tab w:val="left" w:pos="1410"/>
              </w:tabs>
              <w:spacing w:after="60"/>
              <w:ind w:left="346" w:hanging="346"/>
              <w:contextualSpacing w:val="0"/>
              <w:rPr>
                <w:rFonts w:eastAsia="Yu Mincho"/>
              </w:rPr>
            </w:pPr>
            <w:r>
              <w:rPr>
                <w:rFonts w:ascii="Times New Roman" w:hAnsi="Times New Roman" w:eastAsia="Yu Mincho" w:cs="Times New Roman"/>
                <w:sz w:val="20"/>
                <w:szCs w:val="20"/>
              </w:rPr>
              <w:t>Proposal 1</w:t>
            </w:r>
            <w:r>
              <w:rPr>
                <w:rFonts w:ascii="Times New Roman" w:hAnsi="Times New Roman" w:eastAsia="Yu Mincho" w:cs="Times New Roman"/>
                <w:sz w:val="20"/>
                <w:szCs w:val="20"/>
              </w:rPr>
              <w:tab/>
            </w:r>
            <w:r>
              <w:rPr>
                <w:rFonts w:ascii="Times New Roman" w:hAnsi="Times New Roman" w:eastAsia="Yu Mincho" w:cs="Times New Roman"/>
                <w:sz w:val="20"/>
                <w:szCs w:val="20"/>
              </w:rPr>
              <w:t>Do not support early RedCap UE indication in MsgA PUSCH part using dedicated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CMCC [10]</w:t>
            </w:r>
          </w:p>
        </w:tc>
        <w:tc>
          <w:tcPr>
            <w:tcW w:w="7830" w:type="dxa"/>
          </w:tcPr>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Observation: A separate MsgA PUSCH resource configuration only without dedicated MsgA PRACH resource and MsgA PRACH preamble partitioning can not realized early indication of RedCap UEs.</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1: For 2-step RACH, support separate MsgA PRACH resource and MsgA PRACH preamble partitioning with associated MsgA PUSCH resource for early indication of RedCap UEs.</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2: For 2-step RACH, dedicated PUSCH resource configuration but shared RACH resource or PRACH preamble for early indication of RedCap UEs is not supported.</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3: 2 step RACH only configuration on uplink UL BWP is not allowed, if configured, it is always on the same BWP as four-step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t>Lenovo, Motorola Mobility [12]</w:t>
            </w:r>
          </w:p>
        </w:tc>
        <w:tc>
          <w:tcPr>
            <w:tcW w:w="7830" w:type="dxa"/>
          </w:tcPr>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 xml:space="preserve">Proposal 1: The POs and/or PRUs for RedCap UEs 2-step RACH can be separately configured, or shared with non-RedCap UEs. </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2: The MsgA preambles for RedCap UEs can be separately ordered or unified ordered with those for non-RedCap UEs.</w:t>
            </w:r>
          </w:p>
        </w:tc>
      </w:tr>
    </w:tbl>
    <w:p>
      <w:pPr>
        <w:tabs>
          <w:tab w:val="left" w:pos="1410"/>
        </w:tabs>
        <w:spacing w:before="180"/>
        <w:rPr>
          <w:rFonts w:eastAsia="Yu Mincho"/>
          <w:lang w:eastAsia="ja-JP"/>
        </w:rPr>
      </w:pPr>
    </w:p>
    <w:p>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pPr>
        <w:autoSpaceDE w:val="0"/>
        <w:autoSpaceDN w:val="0"/>
        <w:adjustRightInd w:val="0"/>
        <w:spacing w:after="0"/>
        <w:rPr>
          <w:lang w:val="en-US" w:eastAsia="zh-CN"/>
        </w:rPr>
      </w:pPr>
    </w:p>
    <w:p>
      <w:pPr>
        <w:autoSpaceDE w:val="0"/>
        <w:autoSpaceDN w:val="0"/>
        <w:adjustRightInd w:val="0"/>
        <w:spacing w:after="0"/>
        <w:rPr>
          <w:lang w:val="en-US" w:eastAsia="zh-CN"/>
        </w:rPr>
      </w:pPr>
      <w:r>
        <w:rPr>
          <w:lang w:val="en-US" w:eastAsia="zh-CN"/>
        </w:rPr>
        <w:t xml:space="preserve">For Case 2, different views were observed based on the proposal listed above: </w:t>
      </w:r>
    </w:p>
    <w:p>
      <w:pPr>
        <w:autoSpaceDE w:val="0"/>
        <w:autoSpaceDN w:val="0"/>
        <w:adjustRightInd w:val="0"/>
        <w:spacing w:after="0"/>
        <w:rPr>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962"/>
        <w:gridCol w:w="2349"/>
        <w:gridCol w:w="181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p>
        </w:tc>
        <w:tc>
          <w:tcPr>
            <w:tcW w:w="2962" w:type="dxa"/>
          </w:tcPr>
          <w:p>
            <w:pPr>
              <w:autoSpaceDE w:val="0"/>
              <w:autoSpaceDN w:val="0"/>
              <w:adjustRightInd w:val="0"/>
              <w:spacing w:after="0"/>
              <w:rPr>
                <w:lang w:val="en-US" w:eastAsia="zh-CN"/>
              </w:rPr>
            </w:pPr>
          </w:p>
        </w:tc>
        <w:tc>
          <w:tcPr>
            <w:tcW w:w="2349" w:type="dxa"/>
          </w:tcPr>
          <w:p>
            <w:pPr>
              <w:autoSpaceDE w:val="0"/>
              <w:autoSpaceDN w:val="0"/>
              <w:adjustRightInd w:val="0"/>
              <w:spacing w:after="0"/>
              <w:rPr>
                <w:lang w:val="en-US" w:eastAsia="zh-CN"/>
              </w:rPr>
            </w:pPr>
            <w:r>
              <w:rPr>
                <w:lang w:val="en-US" w:eastAsia="zh-CN"/>
              </w:rPr>
              <w:t xml:space="preserve">Justification </w:t>
            </w:r>
          </w:p>
        </w:tc>
        <w:tc>
          <w:tcPr>
            <w:tcW w:w="1811" w:type="dxa"/>
          </w:tcPr>
          <w:p>
            <w:pPr>
              <w:autoSpaceDE w:val="0"/>
              <w:autoSpaceDN w:val="0"/>
              <w:adjustRightInd w:val="0"/>
              <w:spacing w:after="0"/>
              <w:rPr>
                <w:lang w:val="en-US" w:eastAsia="zh-CN"/>
              </w:rPr>
            </w:pPr>
            <w:r>
              <w:rPr>
                <w:lang w:val="en-US" w:eastAsia="zh-CN"/>
              </w:rPr>
              <w:t>Companies</w:t>
            </w:r>
          </w:p>
        </w:tc>
        <w:tc>
          <w:tcPr>
            <w:tcW w:w="1260" w:type="dxa"/>
          </w:tcPr>
          <w:p>
            <w:pPr>
              <w:autoSpaceDE w:val="0"/>
              <w:autoSpaceDN w:val="0"/>
              <w:adjustRightInd w:val="0"/>
              <w:spacing w:after="0"/>
              <w:rPr>
                <w:lang w:val="en-US" w:eastAsia="zh-CN"/>
              </w:rPr>
            </w:pPr>
            <w:r>
              <w:rPr>
                <w:lang w:val="en-US" w:eastAsia="zh-CN"/>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Opt.1</w:t>
            </w:r>
          </w:p>
        </w:tc>
        <w:tc>
          <w:tcPr>
            <w:tcW w:w="2962" w:type="dxa"/>
          </w:tcPr>
          <w:p>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pPr>
              <w:pStyle w:val="48"/>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hAnsi="Times New Roman" w:eastAsia="Yu Mincho" w:cs="Times New Roman"/>
                <w:sz w:val="20"/>
                <w:szCs w:val="20"/>
              </w:rPr>
              <w:t xml:space="preserve">Using the RedCap-specific LCID in Msg3 is sufficient for Redcap early identification. </w:t>
            </w:r>
          </w:p>
        </w:tc>
        <w:tc>
          <w:tcPr>
            <w:tcW w:w="1811" w:type="dxa"/>
          </w:tcPr>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 xml:space="preserve">OPPO [6] </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CATT [7]</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Ericsson [9]</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CMCC [10]</w:t>
            </w:r>
          </w:p>
          <w:p>
            <w:pPr>
              <w:autoSpaceDE w:val="0"/>
              <w:autoSpaceDN w:val="0"/>
              <w:adjustRightInd w:val="0"/>
              <w:spacing w:after="0"/>
              <w:ind w:left="-6"/>
              <w:rPr>
                <w:rFonts w:eastAsia="Yu Mincho"/>
              </w:rPr>
            </w:pPr>
          </w:p>
        </w:tc>
        <w:tc>
          <w:tcPr>
            <w:tcW w:w="1260" w:type="dxa"/>
          </w:tcPr>
          <w:p>
            <w:pPr>
              <w:autoSpaceDE w:val="0"/>
              <w:autoSpaceDN w:val="0"/>
              <w:adjustRightInd w:val="0"/>
              <w:spacing w:after="0"/>
              <w:ind w:left="78"/>
              <w:rPr>
                <w:rFonts w:eastAsia="Yu Mincho"/>
              </w:rPr>
            </w:pPr>
            <w:r>
              <w:rPr>
                <w:rFonts w:eastAsia="Yu Minch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Opt.2</w:t>
            </w:r>
          </w:p>
        </w:tc>
        <w:tc>
          <w:tcPr>
            <w:tcW w:w="2962" w:type="dxa"/>
          </w:tcPr>
          <w:p>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pPr>
              <w:autoSpaceDE w:val="0"/>
              <w:autoSpaceDN w:val="0"/>
              <w:adjustRightInd w:val="0"/>
              <w:spacing w:after="0"/>
              <w:rPr>
                <w:lang w:val="en-US" w:eastAsia="zh-CN"/>
              </w:rPr>
            </w:pPr>
          </w:p>
        </w:tc>
        <w:tc>
          <w:tcPr>
            <w:tcW w:w="1811" w:type="dxa"/>
          </w:tcPr>
          <w:p>
            <w:pPr>
              <w:autoSpaceDE w:val="0"/>
              <w:autoSpaceDN w:val="0"/>
              <w:adjustRightInd w:val="0"/>
              <w:spacing w:after="0"/>
              <w:rPr>
                <w:lang w:val="en-US" w:eastAsia="zh-CN"/>
              </w:rPr>
            </w:pPr>
            <w:r>
              <w:t>-Lenovo [12]</w:t>
            </w:r>
          </w:p>
        </w:tc>
        <w:tc>
          <w:tcPr>
            <w:tcW w:w="1260" w:type="dxa"/>
          </w:tcPr>
          <w:p>
            <w:pPr>
              <w:autoSpaceDE w:val="0"/>
              <w:autoSpaceDN w:val="0"/>
              <w:adjustRightInd w:val="0"/>
              <w:spacing w:after="0"/>
              <w:rPr>
                <w:lang w:val="en-US" w:eastAsia="zh-CN"/>
              </w:rPr>
            </w:pPr>
            <w:r>
              <w:rPr>
                <w:lang w:val="en-US" w:eastAsia="zh-CN"/>
              </w:rPr>
              <w:t>1</w:t>
            </w:r>
          </w:p>
        </w:tc>
      </w:tr>
    </w:tbl>
    <w:p>
      <w:pPr>
        <w:autoSpaceDE w:val="0"/>
        <w:autoSpaceDN w:val="0"/>
        <w:adjustRightInd w:val="0"/>
        <w:spacing w:after="0"/>
        <w:rPr>
          <w:lang w:val="en-US" w:eastAsia="zh-CN"/>
        </w:rPr>
      </w:pPr>
    </w:p>
    <w:p>
      <w:pPr>
        <w:pStyle w:val="229"/>
        <w:numPr>
          <w:ilvl w:val="0"/>
          <w:numId w:val="0"/>
        </w:numPr>
        <w:outlineLvl w:val="3"/>
      </w:pPr>
      <w:r>
        <w:t>Case 2</w:t>
      </w:r>
    </w:p>
    <w:p>
      <w:pPr>
        <w:pStyle w:val="229"/>
        <w:numPr>
          <w:ilvl w:val="0"/>
          <w:numId w:val="16"/>
        </w:numPr>
        <w:outlineLvl w:val="4"/>
      </w:pPr>
      <w:r>
        <w:t xml:space="preserve">&lt;1st Round Comments&gt; </w:t>
      </w:r>
    </w:p>
    <w:p>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pPr>
        <w:pStyle w:val="48"/>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pPr>
        <w:pStyle w:val="48"/>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Which Opt.?</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Opt.1</w:t>
            </w:r>
          </w:p>
        </w:tc>
        <w:tc>
          <w:tcPr>
            <w:tcW w:w="6780" w:type="dxa"/>
          </w:tcPr>
          <w:p>
            <w:pPr>
              <w:rPr>
                <w:lang w:val="en-US" w:eastAsia="ko-KR"/>
              </w:rPr>
            </w:pPr>
            <w:r>
              <w:rPr>
                <w:lang w:val="en-US" w:eastAsia="ko-KR"/>
              </w:rPr>
              <w:t xml:space="preserve">We’d like to clarify that we do NOT support opt.2 of using separate MsgA PUSCH resource for early identification of RedCap UEs. </w:t>
            </w:r>
          </w:p>
          <w:p>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lang w:val="en-US" w:eastAsia="ko-KR"/>
              </w:rPr>
              <w:t>Opt.1</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s raised in our contribution, for shared MsgA preamble and MsgA PRACH resource, it is not necessary to suppo</w:t>
            </w:r>
            <w:r>
              <w:rPr>
                <w:rFonts w:ascii="Times" w:hAnsi="Times" w:eastAsia="等线"/>
                <w:lang w:eastAsia="zh-CN"/>
              </w:rPr>
              <w:t>rt separate MsgA PUSCH resource configuration for early indication, since dedicated LCID has already been agreed for the same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宋体"/>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Opt. 1</w:t>
            </w:r>
          </w:p>
        </w:tc>
        <w:tc>
          <w:tcPr>
            <w:tcW w:w="6780" w:type="dxa"/>
          </w:tcPr>
          <w:p>
            <w:pPr>
              <w:rPr>
                <w:rFonts w:eastAsiaTheme="minorEastAsia"/>
                <w:lang w:val="en-US" w:eastAsia="zh-CN"/>
              </w:rPr>
            </w:pPr>
            <w:r>
              <w:rPr>
                <w:rFonts w:hint="eastAsia" w:eastAsiaTheme="minor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hint="eastAsia" w:eastAsiaTheme="minorEastAsia"/>
                <w:lang w:val="en-US" w:eastAsia="zh-CN"/>
              </w:rPr>
              <w:t xml:space="preserve"> for early indication, it seems no harm (and natual) if separate PUSCH resource can be configured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Noridc</w:t>
            </w:r>
          </w:p>
        </w:tc>
        <w:tc>
          <w:tcPr>
            <w:tcW w:w="1372" w:type="dxa"/>
          </w:tcPr>
          <w:p>
            <w:pPr>
              <w:tabs>
                <w:tab w:val="left" w:pos="551"/>
              </w:tabs>
              <w:rPr>
                <w:rFonts w:eastAsiaTheme="minorEastAsia"/>
                <w:lang w:val="en-US" w:eastAsia="zh-CN"/>
              </w:rPr>
            </w:pPr>
            <w:r>
              <w:rPr>
                <w:rFonts w:eastAsiaTheme="minorEastAsia"/>
                <w:lang w:val="en-US" w:eastAsia="zh-CN"/>
              </w:rPr>
              <w:t>Option 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宋体"/>
                <w:lang w:val="en-US" w:eastAsia="zh-CN"/>
              </w:rPr>
              <w:t xml:space="preserve">If 2-step RACH is configured in separate initial DL/UL BWP, seems it is nature to have separate MsgA </w:t>
            </w:r>
            <w:r>
              <w:rPr>
                <w:lang w:val="en-US" w:eastAsia="zh-CN"/>
              </w:rPr>
              <w:t xml:space="preserve">PUSCH </w:t>
            </w:r>
            <w:r>
              <w:rPr>
                <w:rFonts w:hint="eastAsia" w:eastAsia="宋体"/>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hint="eastAsia" w:eastAsia="宋体"/>
                <w:lang w:val="en-US" w:eastAsia="zh-CN"/>
              </w:rPr>
              <w:t>resource also can be used to extend the capacity and avoid resource collision.</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Opt. 1, because dedicated LCID has already been agreed for the same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Option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1372" w:type="dxa"/>
          </w:tcPr>
          <w:p>
            <w:pPr>
              <w:tabs>
                <w:tab w:val="left" w:pos="551"/>
              </w:tabs>
              <w:rPr>
                <w:rFonts w:eastAsia="宋体"/>
                <w:lang w:val="en-US" w:eastAsia="zh-CN"/>
              </w:rPr>
            </w:pPr>
            <w:r>
              <w:rPr>
                <w:rFonts w:hint="eastAsia"/>
                <w:lang w:val="en-US" w:eastAsia="ko-KR"/>
              </w:rPr>
              <w:t>Opt.1</w:t>
            </w:r>
          </w:p>
        </w:tc>
        <w:tc>
          <w:tcPr>
            <w:tcW w:w="6780" w:type="dxa"/>
          </w:tcPr>
          <w:p>
            <w:pPr>
              <w:rPr>
                <w:rFonts w:eastAsia="宋体"/>
                <w:lang w:val="en-US" w:eastAsia="zh-CN"/>
              </w:rPr>
            </w:pPr>
            <w:r>
              <w:rPr>
                <w:lang w:val="en-US" w:eastAsia="zh-CN"/>
              </w:rPr>
              <w:t xml:space="preserve">If MsgA preambles are shared for Redcap and non-Redcap UEs, early indication in MSGA PUSCH part can be supported by LCID field of PUSCH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Opt.1</w:t>
            </w:r>
          </w:p>
        </w:tc>
        <w:tc>
          <w:tcPr>
            <w:tcW w:w="6780" w:type="dxa"/>
          </w:tcPr>
          <w:p>
            <w:pPr>
              <w:rPr>
                <w:lang w:val="en-US"/>
              </w:rPr>
            </w:pPr>
            <w:r>
              <w:rPr>
                <w:lang w:val="en-US" w:eastAsia="zh-CN"/>
              </w:rPr>
              <w:t xml:space="preserve">For 2-step RACH, RAN1 has agreed </w:t>
            </w:r>
            <w:r>
              <w:rPr>
                <w:rFonts w:eastAsia="宋体"/>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pPr>
              <w:rPr>
                <w:lang w:val="en-US" w:eastAsia="zh-CN"/>
              </w:rPr>
            </w:pPr>
            <w:r>
              <w:rPr>
                <w:lang w:val="en-US" w:eastAsia="zh-CN"/>
              </w:rPr>
              <w:t xml:space="preserve">We also wonder how </w:t>
            </w:r>
            <w:r>
              <w:rPr>
                <w:lang w:val="en-US"/>
              </w:rPr>
              <w:t>dedicated PUSCH resource configuration only can realize early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Opt. 1</w:t>
            </w:r>
          </w:p>
        </w:tc>
        <w:tc>
          <w:tcPr>
            <w:tcW w:w="6780" w:type="dxa"/>
          </w:tcPr>
          <w:p>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pPr>
        <w:pStyle w:val="229"/>
        <w:numPr>
          <w:ilvl w:val="0"/>
          <w:numId w:val="16"/>
        </w:numPr>
        <w:outlineLvl w:val="4"/>
      </w:pPr>
      <w:r>
        <w:t xml:space="preserve">&lt;1st Round Summary&gt; </w:t>
      </w:r>
    </w:p>
    <w:p>
      <w:pPr>
        <w:pStyle w:val="22"/>
        <w:jc w:val="left"/>
        <w:rPr>
          <w:lang w:val="en-GB" w:eastAsia="en-US"/>
        </w:rPr>
      </w:pPr>
      <w:r>
        <w:rPr>
          <w:lang w:val="en-GB" w:eastAsia="en-US"/>
        </w:rPr>
        <w:t xml:space="preserve">All of companies prefer to go with Opt.1 for Case 1. Therefore, Option.1 was proposed for GTW session as a conclusion as it has no spec impact.  </w:t>
      </w:r>
    </w:p>
    <w:p>
      <w:pPr>
        <w:autoSpaceDE w:val="0"/>
        <w:autoSpaceDN w:val="0"/>
        <w:adjustRightInd w:val="0"/>
        <w:spacing w:before="180"/>
        <w:rPr>
          <w:b/>
          <w:highlight w:val="yellow"/>
        </w:rPr>
      </w:pPr>
    </w:p>
    <w:p>
      <w:pPr>
        <w:pStyle w:val="229"/>
        <w:numPr>
          <w:ilvl w:val="0"/>
          <w:numId w:val="16"/>
        </w:numPr>
        <w:outlineLvl w:val="4"/>
      </w:pPr>
      <w:r>
        <w:t xml:space="preserve">&lt;2nd Round Comments&gt; </w:t>
      </w:r>
    </w:p>
    <w:p>
      <w:pPr>
        <w:autoSpaceDE w:val="0"/>
        <w:autoSpaceDN w:val="0"/>
        <w:adjustRightInd w:val="0"/>
        <w:spacing w:before="180"/>
        <w:rPr>
          <w:b/>
          <w:bCs/>
        </w:rPr>
      </w:pPr>
      <w:r>
        <w:rPr>
          <w:b/>
          <w:highlight w:val="yellow"/>
        </w:rPr>
        <w:t>FL2 High Priority Proposal 1-1</w:t>
      </w:r>
      <w:r>
        <w:rPr>
          <w:b/>
          <w:bCs/>
          <w:highlight w:val="yellow"/>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rFonts w:ascii="Arial" w:hAnsi="Arial" w:cs="Arial"/>
                <w:color w:val="000000"/>
              </w:rPr>
            </w:pPr>
            <w:r>
              <w:rPr>
                <w:rFonts w:ascii="Arial" w:hAnsi="Arial" w:cs="Arial"/>
                <w:b/>
                <w:bCs/>
                <w:color w:val="000000"/>
              </w:rPr>
              <w:t>Conclusion:</w:t>
            </w:r>
          </w:p>
          <w:p>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298"/>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Yes or NO?</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autoSpaceDE w:val="0"/>
        <w:autoSpaceDN w:val="0"/>
        <w:adjustRightInd w:val="0"/>
        <w:spacing w:before="180"/>
        <w:rPr>
          <w:lang w:eastAsia="zh-CN"/>
        </w:rPr>
      </w:pPr>
    </w:p>
    <w:p>
      <w:pPr>
        <w:pStyle w:val="229"/>
        <w:numPr>
          <w:ilvl w:val="0"/>
          <w:numId w:val="0"/>
        </w:numPr>
        <w:outlineLvl w:val="3"/>
      </w:pPr>
      <w:r>
        <w:t>Case 1</w:t>
      </w:r>
    </w:p>
    <w:p>
      <w:pPr>
        <w:pStyle w:val="229"/>
        <w:numPr>
          <w:ilvl w:val="0"/>
          <w:numId w:val="16"/>
        </w:numPr>
        <w:outlineLvl w:val="4"/>
      </w:pPr>
      <w:r>
        <w:t xml:space="preserve">&lt;1st Round Comments&gt; </w:t>
      </w:r>
    </w:p>
    <w:p>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33"/>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4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lang w:val="en-US" w:eastAsia="ko-KR"/>
              </w:rPr>
              <w:t>Lenovo, Motorola Mobility</w:t>
            </w:r>
          </w:p>
        </w:tc>
        <w:tc>
          <w:tcPr>
            <w:tcW w:w="8146" w:type="dxa"/>
          </w:tcPr>
          <w:p>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14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hint="eastAsia" w:eastAsiaTheme="minorEastAsia"/>
                <w:lang w:val="en-US" w:eastAsia="zh-CN"/>
              </w:rPr>
              <w:t>sgA</w:t>
            </w:r>
            <w:r>
              <w:rPr>
                <w:rFonts w:eastAsiaTheme="minorEastAsia"/>
                <w:lang w:val="en-US" w:eastAsia="zh-CN"/>
              </w:rPr>
              <w:t xml:space="preserve"> </w:t>
            </w:r>
            <w:r>
              <w:rPr>
                <w:rFonts w:hint="eastAsia" w:eastAsiaTheme="minorEastAsia"/>
                <w:lang w:val="en-US" w:eastAsia="zh-CN"/>
              </w:rPr>
              <w:t>PUSCH</w:t>
            </w:r>
            <w:r>
              <w:rPr>
                <w:rFonts w:eastAsiaTheme="minorEastAsia"/>
                <w:lang w:val="en-US" w:eastAsia="zh-CN"/>
              </w:rPr>
              <w:t xml:space="preserve"> configuration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8146"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146" w:type="dxa"/>
          </w:tcPr>
          <w:p>
            <w:pPr>
              <w:rPr>
                <w:rFonts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46" w:type="dxa"/>
          </w:tcPr>
          <w:p>
            <w:pPr>
              <w:rPr>
                <w:rFonts w:eastAsiaTheme="minorEastAsia"/>
                <w:lang w:val="en-US" w:eastAsia="zh-CN"/>
              </w:rPr>
            </w:pPr>
            <w:r>
              <w:rPr>
                <w:rFonts w:hint="eastAsia" w:eastAsiaTheme="minor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hint="eastAsia" w:eastAsiaTheme="minorEastAsia"/>
                <w:lang w:val="en-US" w:eastAsia="zh-CN"/>
              </w:rPr>
              <w:t xml:space="preserve">, then they share the MsgA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8146" w:type="dxa"/>
          </w:tcPr>
          <w:p>
            <w:pPr>
              <w:rPr>
                <w:rFonts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8146" w:type="dxa"/>
          </w:tcPr>
          <w:p>
            <w:pPr>
              <w:rPr>
                <w:rFonts w:eastAsia="宋体"/>
                <w:lang w:val="en-US" w:eastAsia="zh-CN"/>
              </w:rPr>
            </w:pPr>
            <w:r>
              <w:rPr>
                <w:rFonts w:hint="eastAsia" w:eastAsia="宋体"/>
                <w:lang w:val="en-US" w:eastAsia="zh-CN"/>
              </w:rPr>
              <w:t xml:space="preserve">FFS: dedicated MsgA PRACH resource  vs  shared MsgA PUSCH,  in my initial understanding, it may bring the MsgA </w:t>
            </w:r>
            <w:r>
              <w:rPr>
                <w:lang w:val="en-US" w:eastAsia="zh-CN"/>
              </w:rPr>
              <w:t xml:space="preserve">PUSCH </w:t>
            </w:r>
            <w:r>
              <w:rPr>
                <w:rFonts w:hint="eastAsia" w:eastAsia="宋体"/>
                <w:lang w:val="en-US" w:eastAsia="zh-CN"/>
              </w:rPr>
              <w:t>resource collision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8146" w:type="dxa"/>
          </w:tcPr>
          <w:p>
            <w:pPr>
              <w:rPr>
                <w:rFonts w:eastAsia="宋体"/>
                <w:lang w:val="en-US" w:eastAsia="zh-CN"/>
              </w:rPr>
            </w:pPr>
            <w:r>
              <w:rPr>
                <w:rFonts w:eastAsia="宋体"/>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8146" w:type="dxa"/>
          </w:tcPr>
          <w:p>
            <w:pPr>
              <w:rPr>
                <w:rFonts w:eastAsia="宋体"/>
                <w:lang w:val="en-US" w:eastAsia="zh-CN"/>
              </w:rPr>
            </w:pPr>
            <w:r>
              <w:rPr>
                <w:rFonts w:eastAsia="宋体"/>
                <w:lang w:val="en-US" w:eastAsia="zh-CN"/>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8146" w:type="dxa"/>
          </w:tcPr>
          <w:p>
            <w:pPr>
              <w:rPr>
                <w:rFonts w:eastAsia="宋体"/>
                <w:lang w:val="en-US" w:eastAsia="zh-CN"/>
              </w:rPr>
            </w:pPr>
            <w:r>
              <w:rPr>
                <w:rFonts w:eastAsia="宋体"/>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8146" w:type="dxa"/>
          </w:tcPr>
          <w:p>
            <w:pPr>
              <w:rPr>
                <w:rFonts w:eastAsia="宋体"/>
                <w:lang w:val="en-US" w:eastAsia="zh-CN"/>
              </w:rPr>
            </w:pPr>
            <w:r>
              <w:rPr>
                <w:lang w:val="en-US" w:eastAsia="zh-CN"/>
              </w:rPr>
              <w:t>If dedicated MsgA preambles are reserved for Redcap early identification, MsgA PUSCH part can be based on dedicated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8146" w:type="dxa"/>
          </w:tcPr>
          <w:p>
            <w:pPr>
              <w:rPr>
                <w:rFonts w:eastAsia="Yu Mincho"/>
                <w:lang w:val="en-US" w:eastAsia="ja-JP"/>
              </w:rPr>
            </w:pPr>
            <w:r>
              <w:rPr>
                <w:rFonts w:hint="eastAsia" w:eastAsia="Yu Mincho"/>
                <w:lang w:val="en-US" w:eastAsia="ja-JP"/>
              </w:rPr>
              <w:t>N</w:t>
            </w:r>
            <w:r>
              <w:rPr>
                <w:rFonts w:eastAsia="Yu Mincho"/>
                <w:lang w:val="en-US" w:eastAsia="ja-JP"/>
              </w:rPr>
              <w:t>o. If RAN2 needs RAN1 decision, it can be communicated via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46" w:type="dxa"/>
          </w:tcPr>
          <w:p>
            <w:pPr>
              <w:rPr>
                <w:rFonts w:eastAsia="Yu Mincho"/>
                <w:lang w:val="en-US" w:eastAsia="ja-JP"/>
              </w:rPr>
            </w:pPr>
            <w:r>
              <w:rPr>
                <w:rFonts w:hint="eastAsia" w:eastAsia="Yu Mincho"/>
                <w:lang w:val="en-US" w:eastAsia="ja-JP"/>
              </w:rPr>
              <w:t>N</w:t>
            </w:r>
            <w:r>
              <w:rPr>
                <w:rFonts w:eastAsia="Yu Mincho"/>
                <w:lang w:val="en-US" w:eastAsia="ja-JP"/>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8146" w:type="dxa"/>
          </w:tcPr>
          <w:p>
            <w:pPr>
              <w:rPr>
                <w:rFonts w:eastAsia="Yu Mincho"/>
                <w:lang w:val="en-US" w:eastAsia="ja-JP"/>
              </w:rPr>
            </w:pPr>
            <w:r>
              <w:rPr>
                <w:rFonts w:eastAsia="Yu Mincho"/>
                <w:lang w:val="en-US" w:eastAsia="ja-JP"/>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46"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8146" w:type="dxa"/>
          </w:tcPr>
          <w:p>
            <w:pPr>
              <w:rPr>
                <w:rFonts w:eastAsiaTheme="minorEastAsia"/>
                <w:lang w:val="en-US" w:eastAsia="zh-CN"/>
              </w:rPr>
            </w:pPr>
            <w:r>
              <w:rPr>
                <w:rFonts w:eastAsiaTheme="minorEastAsia"/>
                <w:lang w:val="en-US" w:eastAsia="zh-CN"/>
              </w:rPr>
              <w:t>We see no need to make conclusion for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8146" w:type="dxa"/>
          </w:tcPr>
          <w:p>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8146" w:type="dxa"/>
          </w:tcPr>
          <w:p>
            <w:pPr>
              <w:rPr>
                <w:rFonts w:eastAsiaTheme="minorEastAsia"/>
                <w:lang w:val="en-US" w:eastAsia="zh-CN"/>
              </w:rPr>
            </w:pPr>
            <w:r>
              <w:rPr>
                <w:lang w:val="en-US" w:eastAsia="ko-KR"/>
              </w:rPr>
              <w:t>For Case 1, further RAN1 discussion is not necessary.</w:t>
            </w:r>
          </w:p>
        </w:tc>
      </w:tr>
    </w:tbl>
    <w:p>
      <w:pPr>
        <w:pStyle w:val="229"/>
        <w:numPr>
          <w:ilvl w:val="0"/>
          <w:numId w:val="18"/>
        </w:numPr>
        <w:ind w:left="270" w:hanging="270"/>
        <w:outlineLvl w:val="4"/>
      </w:pPr>
      <w:r>
        <w:t>&lt;1</w:t>
      </w:r>
      <w:r>
        <w:rPr>
          <w:vertAlign w:val="superscript"/>
        </w:rPr>
        <w:t>st</w:t>
      </w:r>
      <w:r>
        <w:t xml:space="preserve"> Round Summary&gt; </w:t>
      </w:r>
    </w:p>
    <w:p>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shd w:val="clear" w:color="auto" w:fill="D0CECE" w:themeFill="background2" w:themeFillShade="E6"/>
          </w:tcPr>
          <w:p>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pPr>
              <w:tabs>
                <w:tab w:val="left" w:pos="1410"/>
              </w:tabs>
              <w:spacing w:after="0"/>
              <w:rPr>
                <w:rFonts w:eastAsia="Yu Mincho"/>
                <w:lang w:eastAsia="ja-JP"/>
              </w:rPr>
            </w:pPr>
            <w:r>
              <w:rPr>
                <w:rFonts w:eastAsia="Yu Mincho"/>
                <w:lang w:eastAsia="ja-JP"/>
              </w:rPr>
              <w:t>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pPr>
              <w:pStyle w:val="48"/>
              <w:numPr>
                <w:ilvl w:val="0"/>
                <w:numId w:val="18"/>
              </w:numPr>
              <w:tabs>
                <w:tab w:val="left" w:pos="1410"/>
              </w:tabs>
              <w:ind w:left="187" w:hanging="187"/>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Lenovo, OPPO, [CATT],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pPr>
              <w:tabs>
                <w:tab w:val="left" w:pos="1410"/>
              </w:tabs>
              <w:spacing w:after="0"/>
              <w:rPr>
                <w:rFonts w:eastAsia="Yu Mincho"/>
              </w:rPr>
            </w:pPr>
            <w:r>
              <w:rPr>
                <w:rFonts w:eastAsia="Yu Mincho"/>
                <w:b/>
                <w:bCs/>
              </w:rPr>
              <w:t>Supported by: (12)</w:t>
            </w:r>
          </w:p>
          <w:p>
            <w:pPr>
              <w:pStyle w:val="48"/>
              <w:numPr>
                <w:ilvl w:val="0"/>
                <w:numId w:val="18"/>
              </w:numPr>
              <w:tabs>
                <w:tab w:val="left" w:pos="1410"/>
              </w:tabs>
              <w:ind w:left="158" w:hanging="158"/>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 xml:space="preserve">Vivo, Spreadtrum, </w:t>
            </w:r>
            <w:r>
              <w:rPr>
                <w:rFonts w:ascii="Times New Roman" w:hAnsi="Times New Roman" w:cs="Times New Roman" w:eastAsiaTheme="minorEastAsia"/>
                <w:sz w:val="20"/>
                <w:szCs w:val="20"/>
                <w:lang w:val="en-US" w:eastAsia="zh-CN"/>
              </w:rPr>
              <w:t>Nordic, Nokia, Intel, Qualcomm, Sharp, CMCC, Xiaomi, China Telecom, Ericsson,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FFS</w:t>
            </w:r>
          </w:p>
        </w:tc>
        <w:tc>
          <w:tcPr>
            <w:tcW w:w="5940" w:type="dxa"/>
          </w:tcPr>
          <w:p>
            <w:pPr>
              <w:tabs>
                <w:tab w:val="left" w:pos="1410"/>
              </w:tabs>
              <w:spacing w:after="0"/>
              <w:rPr>
                <w:rFonts w:eastAsia="Yu Mincho"/>
              </w:rPr>
            </w:pPr>
            <w:r>
              <w:rPr>
                <w:rFonts w:eastAsia="Yu Mincho"/>
                <w:b/>
                <w:bCs/>
              </w:rPr>
              <w:t>Supported by: (1)</w:t>
            </w:r>
            <w:r>
              <w:rPr>
                <w:rFonts w:eastAsia="Yu Mincho"/>
              </w:rPr>
              <w:t xml:space="preserve"> </w:t>
            </w:r>
          </w:p>
          <w:p>
            <w:pPr>
              <w:pStyle w:val="48"/>
              <w:numPr>
                <w:ilvl w:val="0"/>
                <w:numId w:val="19"/>
              </w:numPr>
              <w:tabs>
                <w:tab w:val="left" w:pos="1410"/>
              </w:tabs>
              <w:ind w:left="158" w:hanging="187"/>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ZTE</w:t>
            </w:r>
          </w:p>
        </w:tc>
      </w:tr>
    </w:tbl>
    <w:p>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pPr>
        <w:tabs>
          <w:tab w:val="left" w:pos="1410"/>
        </w:tabs>
        <w:spacing w:before="180"/>
        <w:rPr>
          <w:rFonts w:eastAsia="Yu Mincho"/>
          <w:lang w:eastAsia="ja-JP"/>
        </w:rPr>
      </w:pPr>
      <w:r>
        <w:rPr>
          <w:rFonts w:eastAsia="Yu Mincho"/>
          <w:lang w:eastAsia="ja-JP"/>
        </w:rPr>
        <w:t>Therefere, FL formulate a conclusion below to close the discussion for Case 1.</w:t>
      </w:r>
    </w:p>
    <w:p>
      <w:pPr>
        <w:pStyle w:val="229"/>
        <w:numPr>
          <w:ilvl w:val="0"/>
          <w:numId w:val="16"/>
        </w:numPr>
        <w:outlineLvl w:val="4"/>
      </w:pPr>
      <w:r>
        <w:t xml:space="preserve">&lt;2nd Round Comments&gt; </w:t>
      </w:r>
    </w:p>
    <w:p>
      <w:pPr>
        <w:autoSpaceDE w:val="0"/>
        <w:autoSpaceDN w:val="0"/>
        <w:adjustRightInd w:val="0"/>
        <w:spacing w:before="180"/>
        <w:rPr>
          <w:b/>
          <w:bCs/>
        </w:rPr>
      </w:pPr>
      <w:r>
        <w:rPr>
          <w:b/>
          <w:highlight w:val="yellow"/>
        </w:rPr>
        <w:t>FL2 High Priority Proposal 1-1</w:t>
      </w:r>
      <w:r>
        <w:rPr>
          <w:b/>
          <w:bCs/>
          <w:highlight w:val="yellow"/>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rFonts w:ascii="Arial" w:hAnsi="Arial" w:cs="Arial"/>
                <w:color w:val="000000"/>
              </w:rPr>
            </w:pPr>
            <w:r>
              <w:rPr>
                <w:rFonts w:ascii="Arial" w:hAnsi="Arial" w:cs="Arial"/>
                <w:b/>
                <w:bCs/>
                <w:color w:val="000000"/>
              </w:rPr>
              <w:t>Conclusion:</w:t>
            </w:r>
          </w:p>
          <w:p>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298"/>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Yes or NO?</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tabs>
          <w:tab w:val="left" w:pos="1410"/>
        </w:tabs>
        <w:spacing w:before="180"/>
        <w:rPr>
          <w:rFonts w:eastAsia="Yu Mincho"/>
          <w:lang w:eastAsia="ja-JP"/>
        </w:rPr>
      </w:pPr>
    </w:p>
    <w:p>
      <w:pPr>
        <w:tabs>
          <w:tab w:val="left" w:pos="1410"/>
        </w:tabs>
        <w:spacing w:before="180"/>
        <w:rPr>
          <w:rFonts w:eastAsia="Yu Mincho"/>
          <w:lang w:eastAsia="ja-JP"/>
        </w:rPr>
      </w:pPr>
    </w:p>
    <w:p>
      <w:pPr>
        <w:tabs>
          <w:tab w:val="left" w:pos="1410"/>
        </w:tabs>
        <w:spacing w:before="180"/>
        <w:rPr>
          <w:rFonts w:eastAsia="Yu Mincho"/>
          <w:lang w:eastAsia="ja-JP"/>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Yu Mincho"/>
          <w:lang w:eastAsia="ja-JP"/>
        </w:rPr>
        <w:t xml:space="preserve"> Therefore, the following was proposed in [14]:  </w:t>
      </w:r>
    </w:p>
    <w:p>
      <w:pPr>
        <w:pStyle w:val="48"/>
        <w:numPr>
          <w:ilvl w:val="0"/>
          <w:numId w:val="18"/>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Proposal: For a cell with paired spectrum, it needs to explicitly indicate whether or not it allows a HD-FDD RedCap UE to access in SI.</w:t>
      </w:r>
    </w:p>
    <w:p>
      <w:pPr>
        <w:pStyle w:val="229"/>
        <w:numPr>
          <w:ilvl w:val="0"/>
          <w:numId w:val="18"/>
        </w:numPr>
        <w:ind w:left="270" w:hanging="270"/>
        <w:outlineLvl w:val="3"/>
      </w:pPr>
      <w:r>
        <w:t>&lt;1</w:t>
      </w:r>
      <w:r>
        <w:rPr>
          <w:vertAlign w:val="superscript"/>
        </w:rPr>
        <w:t>st</w:t>
      </w:r>
      <w:r>
        <w:t xml:space="preserve"> Round Comments&gt; </w:t>
      </w:r>
    </w:p>
    <w:p>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pPr>
        <w:pStyle w:val="48"/>
        <w:numPr>
          <w:ilvl w:val="0"/>
          <w:numId w:val="18"/>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For a cell with paired spectrum, it needs to explicitly indicate whether or not it allows a HD-FDD RedCap UE to access in SI.</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 xml:space="preserve">Yes/No, </w:t>
            </w:r>
          </w:p>
          <w:p>
            <w:pPr>
              <w:rPr>
                <w:b/>
                <w:bCs/>
                <w:lang w:val="en-US"/>
              </w:rPr>
            </w:pPr>
            <w:r>
              <w:rPr>
                <w:b/>
                <w:bCs/>
                <w:lang w:val="en-US"/>
              </w:rPr>
              <w:t>if ‘no’, please provide brief reasoning in ‘Comment’ column</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No</w:t>
            </w:r>
          </w:p>
        </w:tc>
        <w:tc>
          <w:tcPr>
            <w:tcW w:w="5766" w:type="dxa"/>
          </w:tcPr>
          <w:p>
            <w:pPr>
              <w:rPr>
                <w:lang w:val="en-US" w:eastAsia="ko-KR"/>
              </w:rPr>
            </w:pPr>
            <w:r>
              <w:rPr>
                <w:lang w:val="en-US" w:eastAsia="ko-KR"/>
              </w:rPr>
              <w:t xml:space="preserve">Cell barring configuration is applicable for both HD-FDD and FD-FDD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 strong view</w:t>
            </w:r>
          </w:p>
        </w:tc>
        <w:tc>
          <w:tcPr>
            <w:tcW w:w="5766" w:type="dxa"/>
          </w:tcPr>
          <w:p>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N</w:t>
            </w:r>
          </w:p>
        </w:tc>
        <w:tc>
          <w:tcPr>
            <w:tcW w:w="5766" w:type="dxa"/>
          </w:tcPr>
          <w:p>
            <w:pPr>
              <w:rPr>
                <w:rFonts w:eastAsiaTheme="minorEastAsia"/>
                <w:lang w:val="en-US" w:eastAsia="zh-CN"/>
              </w:rPr>
            </w:pPr>
            <w:r>
              <w:rPr>
                <w:rFonts w:hint="eastAsia" w:eastAsiaTheme="minorEastAsia"/>
                <w:lang w:val="en-US" w:eastAsia="zh-CN"/>
              </w:rPr>
              <w:t>Agree on the companies above.</w:t>
            </w:r>
          </w:p>
          <w:p>
            <w:pPr>
              <w:rPr>
                <w:rFonts w:eastAsiaTheme="minorEastAsia"/>
                <w:lang w:val="en-US" w:eastAsia="zh-CN"/>
              </w:rPr>
            </w:pPr>
            <w:r>
              <w:rPr>
                <w:rFonts w:hint="eastAsia" w:eastAsiaTheme="minorEastAsia"/>
                <w:lang w:val="en-US" w:eastAsia="zh-CN"/>
              </w:rPr>
              <w:t xml:space="preserve">We also concern this will lead to some </w:t>
            </w:r>
            <w:r>
              <w:rPr>
                <w:rFonts w:eastAsiaTheme="minorEastAsia"/>
                <w:lang w:val="en-US" w:eastAsia="zh-CN"/>
              </w:rPr>
              <w:t>‘</w:t>
            </w:r>
            <w:r>
              <w:rPr>
                <w:rFonts w:hint="eastAsia" w:eastAsiaTheme="minorEastAsia"/>
                <w:lang w:val="en-US" w:eastAsia="zh-CN"/>
              </w:rPr>
              <w:t>unfairness</w:t>
            </w:r>
            <w:r>
              <w:rPr>
                <w:rFonts w:eastAsiaTheme="minorEastAsia"/>
                <w:lang w:val="en-US" w:eastAsia="zh-CN"/>
              </w:rPr>
              <w:t>’</w:t>
            </w:r>
            <w:r>
              <w:rPr>
                <w:rFonts w:hint="eastAsia" w:eastAsiaTheme="minorEastAsia"/>
                <w:lang w:val="en-US" w:eastAsia="zh-CN"/>
              </w:rPr>
              <w:t xml:space="preserve"> among </w:t>
            </w:r>
            <w:r>
              <w:rPr>
                <w:rFonts w:eastAsiaTheme="minorEastAsia"/>
                <w:lang w:val="en-US" w:eastAsia="zh-CN"/>
              </w:rPr>
              <w:t>H</w:t>
            </w:r>
            <w:r>
              <w:rPr>
                <w:rFonts w:hint="eastAsia" w:eastAsiaTheme="minorEastAsia"/>
                <w:lang w:val="en-US" w:eastAsia="zh-CN"/>
              </w:rPr>
              <w:t>D and FD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2386" w:type="dxa"/>
          </w:tcPr>
          <w:p>
            <w:pPr>
              <w:tabs>
                <w:tab w:val="left" w:pos="551"/>
              </w:tabs>
              <w:rPr>
                <w:lang w:val="en-US" w:eastAsia="zh-CN"/>
              </w:rPr>
            </w:pPr>
            <w:r>
              <w:rPr>
                <w:rFonts w:hint="eastAsia"/>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r>
              <w:rPr>
                <w:rFonts w:eastAsia="宋体"/>
                <w:lang w:val="en-US" w:eastAsia="zh-CN"/>
              </w:rPr>
              <w:t>The network can drop the UE after capability exchange in such a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2386" w:type="dxa"/>
          </w:tcPr>
          <w:p>
            <w:pPr>
              <w:tabs>
                <w:tab w:val="left" w:pos="551"/>
              </w:tabs>
              <w:rPr>
                <w:lang w:val="en-US" w:eastAsia="zh-CN"/>
              </w:rPr>
            </w:pPr>
          </w:p>
        </w:tc>
        <w:tc>
          <w:tcPr>
            <w:tcW w:w="5766" w:type="dxa"/>
          </w:tcPr>
          <w:p>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lang w:val="en-US" w:eastAsia="zh-CN"/>
              </w:rPr>
            </w:pPr>
            <w:r>
              <w:rPr>
                <w:rFonts w:hint="eastAsia"/>
                <w:lang w:val="en-US" w:eastAsia="ko-KR"/>
              </w:rPr>
              <w:t>No</w:t>
            </w:r>
          </w:p>
        </w:tc>
        <w:tc>
          <w:tcPr>
            <w:tcW w:w="5766" w:type="dxa"/>
          </w:tcPr>
          <w:p>
            <w:pPr>
              <w:rPr>
                <w:rFonts w:eastAsia="宋体"/>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Sharp</w:t>
            </w:r>
          </w:p>
        </w:tc>
        <w:tc>
          <w:tcPr>
            <w:tcW w:w="2386" w:type="dxa"/>
          </w:tcPr>
          <w:p>
            <w:pPr>
              <w:tabs>
                <w:tab w:val="left" w:pos="551"/>
              </w:tabs>
              <w:rPr>
                <w:rFonts w:eastAsia="Yu Mincho"/>
                <w:lang w:val="en-US" w:eastAsia="ja-JP"/>
              </w:rPr>
            </w:pPr>
            <w:r>
              <w:rPr>
                <w:rFonts w:hint="eastAsia" w:eastAsia="Yu Mincho"/>
                <w:lang w:val="en-US" w:eastAsia="ja-JP"/>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2386" w:type="dxa"/>
          </w:tcPr>
          <w:p>
            <w:pPr>
              <w:tabs>
                <w:tab w:val="left" w:pos="551"/>
              </w:tabs>
              <w:rPr>
                <w:rFonts w:eastAsia="Yu Mincho"/>
                <w:lang w:val="en-US" w:eastAsia="ja-JP"/>
              </w:rPr>
            </w:pPr>
            <w:r>
              <w:rPr>
                <w:rFonts w:eastAsia="Yu Mincho"/>
                <w:lang w:val="en-US" w:eastAsia="ja-JP"/>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2386" w:type="dxa"/>
          </w:tcPr>
          <w:p>
            <w:pPr>
              <w:tabs>
                <w:tab w:val="left" w:pos="551"/>
              </w:tabs>
              <w:rPr>
                <w:rFonts w:eastAsiaTheme="minorEastAsia"/>
                <w:lang w:val="en-US" w:eastAsia="zh-CN"/>
              </w:rPr>
            </w:pPr>
            <w:r>
              <w:rPr>
                <w:rFonts w:hint="eastAsia" w:eastAsiaTheme="minorEastAsia"/>
                <w:lang w:val="en-US" w:eastAsia="zh-CN"/>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We see some benefits with the proposal from IODT point of view, but we are also fine with leaving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RAN2 may discuss this if they so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Qualcomm2</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RAN1 ? For example:</w:t>
            </w:r>
          </w:p>
          <w:p>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pPr>
        <w:pStyle w:val="229"/>
        <w:numPr>
          <w:ilvl w:val="0"/>
          <w:numId w:val="18"/>
        </w:numPr>
        <w:ind w:left="270" w:hanging="270"/>
        <w:outlineLvl w:val="3"/>
      </w:pPr>
      <w:r>
        <w:t>&lt;1</w:t>
      </w:r>
      <w:r>
        <w:rPr>
          <w:vertAlign w:val="superscript"/>
        </w:rPr>
        <w:t>st</w:t>
      </w:r>
      <w:r>
        <w:t xml:space="preserve"> Round Summary&gt; </w:t>
      </w:r>
    </w:p>
    <w:p>
      <w:pPr>
        <w:tabs>
          <w:tab w:val="left" w:pos="1410"/>
        </w:tabs>
        <w:spacing w:before="180"/>
        <w:rPr>
          <w:rFonts w:eastAsia="Yu Mincho"/>
        </w:rPr>
      </w:pPr>
      <w:r>
        <w:rPr>
          <w:rFonts w:eastAsia="Yu Mincho"/>
        </w:rPr>
        <w:t xml:space="preserve">Companies’s positions on the listed issue (i.e., indicating cell access information for the HD-FDD Redcap UE) are pretty clear, which was briefly summarized in the Table below: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2482"/>
        <w:gridCol w:w="1859"/>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shd w:val="clear" w:color="auto" w:fill="D0CECE" w:themeFill="background2" w:themeFillShade="E6"/>
          </w:tcPr>
          <w:p>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pPr>
              <w:tabs>
                <w:tab w:val="left" w:pos="1410"/>
              </w:tabs>
              <w:spacing w:after="0"/>
              <w:rPr>
                <w:rFonts w:eastAsia="Yu Mincho"/>
              </w:rPr>
            </w:pPr>
            <w:r>
              <w:rPr>
                <w:rFonts w:eastAsia="Yu Mincho"/>
              </w:rPr>
              <w:t>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 xml:space="preserve">Disagree with the proposal. </w:t>
            </w:r>
          </w:p>
        </w:tc>
        <w:tc>
          <w:tcPr>
            <w:tcW w:w="2482" w:type="dxa"/>
          </w:tcPr>
          <w:p>
            <w:pPr>
              <w:tabs>
                <w:tab w:val="left" w:pos="1410"/>
              </w:tabs>
              <w:spacing w:after="0"/>
              <w:rPr>
                <w:rFonts w:eastAsia="Yu Mincho"/>
              </w:rPr>
            </w:pPr>
            <w:r>
              <w:rPr>
                <w:lang w:val="en-US" w:eastAsia="ko-KR"/>
              </w:rPr>
              <w:t xml:space="preserve">Lenovo, OPPO, CATT, </w:t>
            </w:r>
            <w:r>
              <w:rPr>
                <w:rFonts w:eastAsiaTheme="minorEastAsia"/>
                <w:lang w:val="en-US" w:eastAsia="zh-CN"/>
              </w:rPr>
              <w:t>Nordic, ZTE, Nokia, Intel, FUTUREWEI, QCM, LG Eletronics, DCM, Sharp, CMCC, Xiaomi, China Telecom</w:t>
            </w:r>
          </w:p>
        </w:tc>
        <w:tc>
          <w:tcPr>
            <w:tcW w:w="1859" w:type="dxa"/>
          </w:tcPr>
          <w:p>
            <w:pPr>
              <w:tabs>
                <w:tab w:val="left" w:pos="1410"/>
              </w:tabs>
              <w:spacing w:after="0"/>
              <w:rPr>
                <w:rFonts w:eastAsia="Yu Mincho"/>
              </w:rPr>
            </w:pPr>
            <w:r>
              <w:rPr>
                <w:rFonts w:eastAsia="Yu Mincho"/>
              </w:rPr>
              <w:t>15</w:t>
            </w:r>
          </w:p>
        </w:tc>
        <w:tc>
          <w:tcPr>
            <w:tcW w:w="2795" w:type="dxa"/>
          </w:tcPr>
          <w:p>
            <w:pPr>
              <w:pStyle w:val="48"/>
              <w:numPr>
                <w:ilvl w:val="0"/>
                <w:numId w:val="20"/>
              </w:numPr>
              <w:tabs>
                <w:tab w:val="left" w:pos="1410"/>
              </w:tabs>
              <w:spacing w:after="0"/>
              <w:rPr>
                <w:rFonts w:eastAsia="Yu Mincho"/>
              </w:rPr>
            </w:pPr>
            <w:r>
              <w:rPr>
                <w:rFonts w:ascii="Times New Roman" w:hAnsi="Times New Roman" w:eastAsia="Batang" w:cs="Times New Roman"/>
                <w:sz w:val="20"/>
                <w:szCs w:val="20"/>
                <w:lang w:val="en-US" w:eastAsia="ko-KR"/>
              </w:rPr>
              <w:t xml:space="preserve">Cell barring is applied for both FD-FDD and HD-FDD Redcap UEs. No need to define new barring mechanism for HD-FDD UE. </w:t>
            </w:r>
          </w:p>
          <w:p>
            <w:pPr>
              <w:pStyle w:val="48"/>
              <w:numPr>
                <w:ilvl w:val="0"/>
                <w:numId w:val="20"/>
              </w:numPr>
              <w:tabs>
                <w:tab w:val="left" w:pos="1410"/>
              </w:tabs>
              <w:spacing w:after="0"/>
              <w:rPr>
                <w:rFonts w:eastAsia="Yu Mincho"/>
              </w:rPr>
            </w:pPr>
            <w:r>
              <w:rPr>
                <w:rFonts w:ascii="Times New Roman" w:hAnsi="Times New Roman" w:eastAsia="Batang" w:cs="Times New Roman"/>
                <w:sz w:val="20"/>
                <w:szCs w:val="20"/>
                <w:lang w:val="en-US" w:eastAsia="ko-KR"/>
              </w:rPr>
              <w:t>Out of WID scope.</w:t>
            </w:r>
            <w:r>
              <w:rPr>
                <w:rFonts w:eastAsia="Yu Minch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No strong view</w:t>
            </w:r>
          </w:p>
        </w:tc>
        <w:tc>
          <w:tcPr>
            <w:tcW w:w="2482" w:type="dxa"/>
          </w:tcPr>
          <w:p>
            <w:pPr>
              <w:tabs>
                <w:tab w:val="left" w:pos="1410"/>
              </w:tabs>
              <w:spacing w:after="0"/>
              <w:rPr>
                <w:rFonts w:eastAsia="Yu Mincho"/>
              </w:rPr>
            </w:pPr>
            <w:r>
              <w:rPr>
                <w:rFonts w:eastAsia="Yu Mincho"/>
              </w:rPr>
              <w:t>Spreadtrum</w:t>
            </w:r>
          </w:p>
        </w:tc>
        <w:tc>
          <w:tcPr>
            <w:tcW w:w="1859" w:type="dxa"/>
          </w:tcPr>
          <w:p>
            <w:pPr>
              <w:tabs>
                <w:tab w:val="left" w:pos="1410"/>
              </w:tabs>
              <w:spacing w:after="0"/>
              <w:rPr>
                <w:rFonts w:eastAsia="Yu Mincho"/>
              </w:rPr>
            </w:pPr>
            <w:r>
              <w:rPr>
                <w:rFonts w:eastAsia="Yu Mincho"/>
              </w:rPr>
              <w:t>1</w:t>
            </w:r>
          </w:p>
        </w:tc>
        <w:tc>
          <w:tcPr>
            <w:tcW w:w="2795" w:type="dxa"/>
          </w:tcPr>
          <w:p>
            <w:pPr>
              <w:tabs>
                <w:tab w:val="left" w:pos="1410"/>
              </w:tabs>
              <w:spacing w:after="0"/>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 xml:space="preserve">May discuss in RAN2, if needed. </w:t>
            </w:r>
          </w:p>
        </w:tc>
        <w:tc>
          <w:tcPr>
            <w:tcW w:w="2482" w:type="dxa"/>
          </w:tcPr>
          <w:p>
            <w:pPr>
              <w:tabs>
                <w:tab w:val="left" w:pos="1410"/>
              </w:tabs>
              <w:spacing w:after="0"/>
              <w:rPr>
                <w:rFonts w:eastAsia="Yu Mincho"/>
              </w:rPr>
            </w:pPr>
            <w:r>
              <w:rPr>
                <w:rFonts w:eastAsia="Yu Mincho"/>
              </w:rPr>
              <w:t>Ericsson, Samsung</w:t>
            </w:r>
          </w:p>
        </w:tc>
        <w:tc>
          <w:tcPr>
            <w:tcW w:w="1859" w:type="dxa"/>
          </w:tcPr>
          <w:p>
            <w:pPr>
              <w:tabs>
                <w:tab w:val="left" w:pos="1410"/>
              </w:tabs>
              <w:spacing w:after="0"/>
              <w:rPr>
                <w:rFonts w:eastAsia="Yu Mincho"/>
              </w:rPr>
            </w:pPr>
            <w:r>
              <w:rPr>
                <w:rFonts w:eastAsia="Yu Mincho"/>
              </w:rPr>
              <w:t>2</w:t>
            </w:r>
          </w:p>
        </w:tc>
        <w:tc>
          <w:tcPr>
            <w:tcW w:w="2795" w:type="dxa"/>
          </w:tcPr>
          <w:p>
            <w:pPr>
              <w:tabs>
                <w:tab w:val="left" w:pos="1410"/>
              </w:tabs>
              <w:spacing w:after="0"/>
              <w:rPr>
                <w:rFonts w:eastAsia="Yu Mincho"/>
              </w:rPr>
            </w:pPr>
          </w:p>
        </w:tc>
      </w:tr>
    </w:tbl>
    <w:p>
      <w:pPr>
        <w:tabs>
          <w:tab w:val="left" w:pos="1410"/>
        </w:tabs>
        <w:spacing w:before="180"/>
        <w:rPr>
          <w:rFonts w:eastAsia="Yu Mincho"/>
        </w:rPr>
      </w:pPr>
      <w:r>
        <w:rPr>
          <w:rFonts w:eastAsia="Yu Mincho"/>
        </w:rPr>
        <w:t xml:space="preserve">Based on the inputs above, FL proposed not to continue discussing this proposal anymore. </w:t>
      </w:r>
    </w:p>
    <w:p>
      <w:pPr>
        <w:pStyle w:val="229"/>
        <w:numPr>
          <w:ilvl w:val="0"/>
          <w:numId w:val="18"/>
        </w:numPr>
        <w:ind w:left="270" w:hanging="270"/>
        <w:outlineLvl w:val="3"/>
      </w:pPr>
      <w:r>
        <w:t xml:space="preserve">&lt;Closed&gt; </w:t>
      </w:r>
    </w:p>
    <w:p>
      <w:pPr>
        <w:tabs>
          <w:tab w:val="left" w:pos="1410"/>
        </w:tabs>
        <w:spacing w:before="180"/>
        <w:rPr>
          <w:rFonts w:eastAsia="Yu Mincho"/>
        </w:rPr>
      </w:pPr>
    </w:p>
    <w:p>
      <w:pPr>
        <w:tabs>
          <w:tab w:val="left" w:pos="1410"/>
        </w:tabs>
        <w:spacing w:before="180"/>
        <w:rPr>
          <w:rFonts w:eastAsia="Yu Mincho"/>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pPr>
        <w:spacing w:before="120"/>
      </w:pPr>
      <w:r>
        <w:rPr>
          <w:bCs/>
        </w:rPr>
        <w:t xml:space="preserve">Contribution [CATT, 7] observed that the following was agreed in </w:t>
      </w:r>
      <w:r>
        <w:rPr>
          <w:rFonts w:hint="eastAsia"/>
        </w:rPr>
        <w:t xml:space="preserve">RAN2 agreed </w:t>
      </w:r>
    </w:p>
    <w:p>
      <w:pPr>
        <w:pStyle w:val="48"/>
        <w:numPr>
          <w:ilvl w:val="0"/>
          <w:numId w:val="21"/>
        </w:numPr>
        <w:spacing w:before="120"/>
        <w:rPr>
          <w:rFonts w:ascii="Times New Roman" w:hAnsi="Times New Roman" w:eastAsia="Batang" w:cs="Times New Roman"/>
          <w:bCs/>
          <w:sz w:val="20"/>
          <w:szCs w:val="20"/>
          <w:lang w:val="en-GB" w:eastAsia="en-US"/>
        </w:rPr>
      </w:pPr>
      <w:r>
        <w:rPr>
          <w:rFonts w:hint="eastAsia" w:ascii="Times New Roman" w:hAnsi="Times New Roman" w:eastAsia="Batang" w:cs="Times New Roman"/>
          <w:bCs/>
          <w:sz w:val="20"/>
          <w:szCs w:val="20"/>
          <w:lang w:val="en-GB" w:eastAsia="en-US"/>
        </w:rPr>
        <w:t xml:space="preserve">Msg3 early indication is always </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enabled</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 xml:space="preserve"> for the case of CBRA, i.e.</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 xml:space="preserve"> when Msg3 carries CCCH, </w:t>
      </w:r>
      <w:r>
        <w:rPr>
          <w:rFonts w:ascii="Times New Roman" w:hAnsi="Times New Roman" w:eastAsia="Batang" w:cs="Times New Roman"/>
          <w:bCs/>
          <w:sz w:val="20"/>
          <w:szCs w:val="20"/>
          <w:lang w:val="en-GB" w:eastAsia="en-US"/>
        </w:rPr>
        <w:t>regardless of</w:t>
      </w:r>
      <w:r>
        <w:rPr>
          <w:rFonts w:hint="eastAsia" w:ascii="Times New Roman" w:hAnsi="Times New Roman" w:eastAsia="Batang" w:cs="Times New Roman"/>
          <w:bCs/>
          <w:sz w:val="20"/>
          <w:szCs w:val="20"/>
          <w:lang w:val="en-GB" w:eastAsia="en-US"/>
        </w:rPr>
        <w:t xml:space="preserve"> whether Msg1 early indication is configured or not</w:t>
      </w:r>
      <w:r>
        <w:rPr>
          <w:rFonts w:ascii="Times New Roman" w:hAnsi="Times New Roman" w:eastAsia="Batang" w:cs="Times New Roman"/>
          <w:bCs/>
          <w:sz w:val="20"/>
          <w:szCs w:val="20"/>
          <w:lang w:val="en-GB" w:eastAsia="en-US"/>
        </w:rPr>
        <w:t xml:space="preserve">. </w:t>
      </w:r>
    </w:p>
    <w:p>
      <w:pPr>
        <w:pStyle w:val="48"/>
        <w:numPr>
          <w:ilvl w:val="0"/>
          <w:numId w:val="21"/>
        </w:numPr>
        <w:spacing w:before="120"/>
        <w:rPr>
          <w:rFonts w:ascii="Times New Roman" w:hAnsi="Times New Roman" w:eastAsia="Batang" w:cs="Times New Roman"/>
          <w:bCs/>
          <w:sz w:val="20"/>
          <w:szCs w:val="20"/>
          <w:lang w:val="en-GB" w:eastAsia="en-US"/>
        </w:rPr>
      </w:pPr>
      <w:r>
        <w:rPr>
          <w:rFonts w:hint="eastAsia" w:ascii="Times New Roman" w:hAnsi="Times New Roman" w:eastAsia="Batang" w:cs="Times New Roman"/>
          <w:bCs/>
          <w:sz w:val="20"/>
          <w:szCs w:val="20"/>
          <w:lang w:val="en-GB" w:eastAsia="en-US"/>
        </w:rPr>
        <w:t xml:space="preserve">A working assumption </w:t>
      </w:r>
      <w:r>
        <w:rPr>
          <w:rFonts w:ascii="Times New Roman" w:hAnsi="Times New Roman" w:eastAsia="Batang" w:cs="Times New Roman"/>
          <w:bCs/>
          <w:sz w:val="20"/>
          <w:szCs w:val="20"/>
          <w:lang w:val="en-GB" w:eastAsia="en-US"/>
        </w:rPr>
        <w:t xml:space="preserve">in RAN2 </w:t>
      </w:r>
      <w:r>
        <w:rPr>
          <w:rFonts w:hint="eastAsia" w:ascii="Times New Roman" w:hAnsi="Times New Roman" w:eastAsia="Batang" w:cs="Times New Roman"/>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246"/>
              <w:widowControl w:val="0"/>
              <w:numPr>
                <w:ilvl w:val="0"/>
                <w:numId w:val="22"/>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pPr>
        <w:spacing w:before="120" w:after="120"/>
      </w:pPr>
    </w:p>
    <w:p>
      <w:pPr>
        <w:spacing w:before="120" w:after="120"/>
      </w:pPr>
      <w:r>
        <w:t xml:space="preserve">Thus, contribution [7] views the current design on early indication seems not completely align with the WID objective. It was further proposed two alternatives in [7] to be concluded in RAN1: </w:t>
      </w:r>
    </w:p>
    <w:p>
      <w:pPr>
        <w:pStyle w:val="48"/>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pPr>
        <w:widowControl w:val="0"/>
        <w:spacing w:before="120" w:after="120"/>
        <w:rPr>
          <w:bCs/>
        </w:rPr>
      </w:pPr>
    </w:p>
    <w:p>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pPr>
        <w:widowControl w:val="0"/>
        <w:spacing w:before="120" w:after="120"/>
        <w:rPr>
          <w:bCs/>
        </w:rPr>
      </w:pPr>
      <w:r>
        <w:rPr>
          <w:bCs/>
        </w:rPr>
        <w:t xml:space="preserve">Nevertheless, the following question was formulated to collect inputs on this:  </w:t>
      </w:r>
    </w:p>
    <w:p>
      <w:pPr>
        <w:pStyle w:val="229"/>
        <w:numPr>
          <w:ilvl w:val="0"/>
          <w:numId w:val="16"/>
        </w:numPr>
        <w:outlineLvl w:val="3"/>
      </w:pPr>
      <w:r>
        <w:t xml:space="preserve">&lt;1st Round Comments&gt; </w:t>
      </w:r>
    </w:p>
    <w:p>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pPr>
        <w:pStyle w:val="48"/>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Yes/No, if yes, please state which Alt?</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Yes, Atl.1</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es, Alt.1</w:t>
            </w:r>
          </w:p>
        </w:tc>
        <w:tc>
          <w:tcPr>
            <w:tcW w:w="57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w:t>
            </w:r>
            <w:r>
              <w:rPr>
                <w:rFonts w:eastAsiaTheme="minorEastAsia"/>
                <w:lang w:val="en-US" w:eastAsia="zh-CN"/>
              </w:rPr>
              <w:t>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current progress in RAN1 and RAN2, without further debate, Alt.1 should be the interpretation.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Yes</w:t>
            </w:r>
          </w:p>
        </w:tc>
        <w:tc>
          <w:tcPr>
            <w:tcW w:w="5766" w:type="dxa"/>
          </w:tcPr>
          <w:p>
            <w:pPr>
              <w:rPr>
                <w:rFonts w:eastAsiaTheme="minorEastAsia"/>
                <w:lang w:val="en-US" w:eastAsia="zh-CN"/>
              </w:rPr>
            </w:pPr>
            <w:r>
              <w:rPr>
                <w:rFonts w:hint="eastAsia" w:eastAsiaTheme="minorEastAsia"/>
                <w:lang w:val="en-US" w:eastAsia="zh-CN"/>
              </w:rPr>
              <w:t>As we are approaching to the end of Rel-17, we are fine to converge to Alt.1 to avoid additional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Theme="minorEastAsia"/>
                <w:lang w:val="en-US" w:eastAsia="zh-CN"/>
              </w:rPr>
            </w:pPr>
            <w:r>
              <w:rPr>
                <w:rFonts w:eastAsiaTheme="minorEastAsia"/>
                <w:lang w:val="en-US" w:eastAsia="zh-CN"/>
              </w:rPr>
              <w:t>as WID is written it clearly includes both MSG3 and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宋体"/>
                <w:lang w:val="en-US" w:eastAsia="zh-CN"/>
              </w:rPr>
              <w:t>ZTE, Sanechips</w:t>
            </w:r>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hint="eastAsia" w:eastAsia="宋体"/>
                <w:lang w:val="en-US" w:eastAsia="zh-CN"/>
              </w:rPr>
              <w:t>Maybe we can wait for the conclusion for separate  MsgA PUSCH. It also would impact the interpretation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宋体"/>
                <w:lang w:val="en-US" w:eastAsia="zh-CN"/>
              </w:rPr>
            </w:pPr>
            <w:r>
              <w:rPr>
                <w:rFonts w:eastAsia="宋体"/>
                <w:lang w:val="en-US" w:eastAsia="zh-CN"/>
              </w:rPr>
              <w:t>Same view as NORDIC wrt to the specific FL question.</w:t>
            </w:r>
            <w:r>
              <w:rPr>
                <w:rFonts w:eastAsia="宋体"/>
                <w:lang w:val="en-US" w:eastAsia="zh-CN"/>
              </w:rPr>
              <w:br w:type="textWrapping"/>
            </w:r>
            <w:r>
              <w:rPr>
                <w:rFonts w:eastAsia="宋体"/>
                <w:lang w:val="en-US" w:eastAsia="zh-CN"/>
              </w:rPr>
              <w:br w:type="textWrapping"/>
            </w:r>
            <w:r>
              <w:rPr>
                <w:rFonts w:eastAsia="宋体"/>
                <w:lang w:val="en-US" w:eastAsia="zh-CN"/>
              </w:rPr>
              <w:t xml:space="preserve">However, moving forward, we are happy for RAN2 to handle the potential </w:t>
            </w:r>
            <w:r>
              <w:rPr>
                <w:bCs/>
              </w:rPr>
              <w:t>WID discrepancy.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rFonts w:eastAsiaTheme="minorEastAsia"/>
                <w:lang w:val="en-US" w:eastAsia="zh-CN"/>
              </w:rPr>
            </w:pPr>
            <w:r>
              <w:rPr>
                <w:rFonts w:eastAsiaTheme="minorEastAsia"/>
                <w:lang w:val="en-US" w:eastAsia="zh-CN"/>
              </w:rPr>
              <w:t>Alt 2</w:t>
            </w:r>
          </w:p>
        </w:tc>
        <w:tc>
          <w:tcPr>
            <w:tcW w:w="5766" w:type="dxa"/>
          </w:tcPr>
          <w:p>
            <w:pPr>
              <w:rPr>
                <w:rFonts w:eastAsia="宋体"/>
                <w:lang w:val="en-US" w:eastAsia="zh-CN"/>
              </w:rPr>
            </w:pPr>
            <w:r>
              <w:rPr>
                <w:rFonts w:eastAsia="宋体"/>
                <w:lang w:val="en-US" w:eastAsia="zh-CN"/>
              </w:rPr>
              <w:t>The WID spplies to both Msg1 and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2386" w:type="dxa"/>
          </w:tcPr>
          <w:p>
            <w:pPr>
              <w:tabs>
                <w:tab w:val="left" w:pos="551"/>
              </w:tabs>
              <w:rPr>
                <w:rFonts w:eastAsiaTheme="minorEastAsia"/>
                <w:lang w:val="en-US" w:eastAsia="zh-CN"/>
              </w:rPr>
            </w:pPr>
            <w:r>
              <w:rPr>
                <w:rFonts w:eastAsiaTheme="minorEastAsia"/>
                <w:lang w:val="en-US" w:eastAsia="zh-CN"/>
              </w:rPr>
              <w:t>Alt2</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rFonts w:eastAsiaTheme="minorEastAsia"/>
                <w:lang w:val="en-US" w:eastAsia="zh-CN"/>
              </w:rPr>
            </w:pPr>
            <w:r>
              <w:rPr>
                <w:rFonts w:hint="eastAsia"/>
                <w:lang w:val="en-US" w:eastAsia="ko-KR"/>
              </w:rPr>
              <w:t>No</w:t>
            </w:r>
          </w:p>
        </w:tc>
        <w:tc>
          <w:tcPr>
            <w:tcW w:w="5766" w:type="dxa"/>
          </w:tcPr>
          <w:p>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rFonts w:eastAsia="Yu Mincho"/>
                <w:lang w:val="en-US" w:eastAsia="ja-JP"/>
              </w:rPr>
            </w:pPr>
            <w:r>
              <w:rPr>
                <w:rFonts w:hint="eastAsia" w:eastAsia="Yu Mincho"/>
                <w:lang w:val="en-US" w:eastAsia="ja-JP"/>
              </w:rPr>
              <w:t>T</w:t>
            </w:r>
            <w:r>
              <w:rPr>
                <w:rFonts w:eastAsia="Yu Mincho"/>
                <w:lang w:val="en-US" w:eastAsia="ja-JP"/>
              </w:rPr>
              <w:t>his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rFonts w:eastAsia="Yu Mincho"/>
                <w:lang w:val="en-US" w:eastAsia="ja-JP"/>
              </w:rPr>
            </w:pPr>
            <w:r>
              <w:rPr>
                <w:rFonts w:hint="eastAsia" w:eastAsia="Yu Mincho"/>
                <w:lang w:val="en-US" w:eastAsia="ja-JP"/>
              </w:rPr>
              <w:t>W</w:t>
            </w:r>
            <w:r>
              <w:rPr>
                <w:rFonts w:eastAsia="Yu Mincho"/>
                <w:lang w:val="en-US" w:eastAsia="ja-JP"/>
              </w:rPr>
              <w:t xml:space="preserve">e share same view with Spreadtrum and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2386" w:type="dxa"/>
          </w:tcPr>
          <w:p>
            <w:pPr>
              <w:tabs>
                <w:tab w:val="left" w:pos="551"/>
              </w:tabs>
              <w:rPr>
                <w:rFonts w:eastAsia="Yu Mincho"/>
                <w:lang w:val="en-US" w:eastAsia="ja-JP"/>
              </w:rPr>
            </w:pPr>
            <w:r>
              <w:rPr>
                <w:rFonts w:eastAsia="Yu Mincho"/>
                <w:lang w:val="en-US" w:eastAsia="ja-JP"/>
              </w:rPr>
              <w:t>No</w:t>
            </w:r>
          </w:p>
        </w:tc>
        <w:tc>
          <w:tcPr>
            <w:tcW w:w="5766" w:type="dxa"/>
          </w:tcPr>
          <w:p>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 leaving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up to RAN2 to make the conclusion on early identification via Msg1 </w:t>
            </w:r>
            <w:r>
              <w:rPr>
                <w:rFonts w:hint="eastAsia" w:eastAsiaTheme="minorEastAsia"/>
                <w:lang w:val="en-US" w:eastAsia="zh-CN"/>
              </w:rPr>
              <w:t>or</w:t>
            </w:r>
            <w:r>
              <w:rPr>
                <w:rFonts w:eastAsiaTheme="minorEastAsia"/>
                <w:lang w:val="en-US" w:eastAsia="zh-CN"/>
              </w:rPr>
              <w:t xml:space="preserve">/and </w:t>
            </w:r>
            <w:r>
              <w:rPr>
                <w:rFonts w:hint="eastAsia" w:eastAsiaTheme="minorEastAsia"/>
                <w:lang w:val="en-US" w:eastAsia="zh-CN"/>
              </w:rPr>
              <w:t>Msg</w:t>
            </w:r>
            <w:r>
              <w:rPr>
                <w:rFonts w:eastAsiaTheme="minor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r>
              <w:rPr>
                <w:rFonts w:eastAsiaTheme="minorEastAsia"/>
                <w:lang w:val="en-US" w:eastAsia="zh-CN"/>
              </w:rPr>
              <w:t>The WI objective is RAN2-led, so any discussion on this is better handled in RAN2.</w:t>
            </w:r>
          </w:p>
          <w:p>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r>
              <w:t>Agreements online:</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p>
            <w:r>
              <w:t>Working assumption:</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pPr>
              <w:rPr>
                <w:rFonts w:eastAsiaTheme="minorEastAsia"/>
                <w:lang w:val="en-US" w:eastAsia="zh-CN"/>
              </w:rPr>
            </w:pPr>
          </w:p>
          <w:p>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eastAsiaTheme="minorEastAsia"/>
                <w:lang w:val="en-US" w:eastAsia="zh-CN"/>
              </w:rPr>
              <w:t>The WID does not differentiate, hence it should apply to both.</w:t>
            </w:r>
          </w:p>
        </w:tc>
      </w:tr>
    </w:tbl>
    <w:p>
      <w:pPr>
        <w:tabs>
          <w:tab w:val="left" w:pos="1410"/>
        </w:tabs>
        <w:spacing w:before="180"/>
        <w:rPr>
          <w:rFonts w:eastAsia="Yu Mincho"/>
          <w:lang w:eastAsia="ja-JP"/>
        </w:rPr>
      </w:pPr>
    </w:p>
    <w:p>
      <w:pPr>
        <w:pStyle w:val="229"/>
        <w:numPr>
          <w:ilvl w:val="0"/>
          <w:numId w:val="18"/>
        </w:numPr>
        <w:ind w:left="270" w:hanging="270"/>
        <w:outlineLvl w:val="3"/>
      </w:pPr>
      <w:r>
        <w:t>&lt;1</w:t>
      </w:r>
      <w:r>
        <w:rPr>
          <w:vertAlign w:val="superscript"/>
        </w:rPr>
        <w:t>st</w:t>
      </w:r>
      <w:r>
        <w:t xml:space="preserve"> Round Summary&gt; </w:t>
      </w:r>
    </w:p>
    <w:p>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33"/>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5"/>
        <w:gridCol w:w="5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shd w:val="clear" w:color="auto" w:fill="D0CECE" w:themeFill="background2" w:themeFillShade="E6"/>
          </w:tcPr>
          <w:p>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pPr>
              <w:tabs>
                <w:tab w:val="left" w:pos="1410"/>
              </w:tabs>
              <w:spacing w:after="0"/>
              <w:rPr>
                <w:rFonts w:eastAsia="Yu Mincho"/>
                <w:lang w:eastAsia="ja-JP"/>
              </w:rPr>
            </w:pPr>
            <w:r>
              <w:rPr>
                <w:rFonts w:eastAsia="Yu Mincho"/>
                <w:lang w:eastAsia="ja-JP"/>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tc>
        <w:tc>
          <w:tcPr>
            <w:tcW w:w="5310" w:type="dxa"/>
          </w:tcPr>
          <w:p>
            <w:pPr>
              <w:tabs>
                <w:tab w:val="left" w:pos="1410"/>
              </w:tabs>
              <w:spacing w:after="0"/>
              <w:rPr>
                <w:b/>
                <w:bCs/>
                <w:lang w:val="en-US" w:eastAsia="ko-KR"/>
              </w:rPr>
            </w:pPr>
            <w:r>
              <w:rPr>
                <w:b/>
                <w:bCs/>
                <w:lang w:val="en-US" w:eastAsia="ko-KR"/>
              </w:rPr>
              <w:t xml:space="preserve">Supported by: (3) </w:t>
            </w:r>
          </w:p>
          <w:p>
            <w:pPr>
              <w:tabs>
                <w:tab w:val="left" w:pos="1410"/>
              </w:tabs>
              <w:spacing w:after="0"/>
              <w:rPr>
                <w:rFonts w:eastAsia="Yu Mincho"/>
                <w:lang w:eastAsia="ja-JP"/>
              </w:rPr>
            </w:pPr>
            <w:r>
              <w:rPr>
                <w:lang w:val="en-US" w:eastAsia="ko-KR"/>
              </w:rPr>
              <w:t xml:space="preserve">Lenovo, OPPO,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pPr>
              <w:tabs>
                <w:tab w:val="left" w:pos="1410"/>
              </w:tabs>
              <w:spacing w:after="0"/>
              <w:rPr>
                <w:b/>
                <w:bCs/>
                <w:lang w:val="en-US" w:eastAsia="ko-KR"/>
              </w:rPr>
            </w:pPr>
            <w:r>
              <w:rPr>
                <w:b/>
                <w:bCs/>
                <w:lang w:val="en-US" w:eastAsia="ko-KR"/>
              </w:rPr>
              <w:t xml:space="preserve">Supported by: (5) </w:t>
            </w:r>
          </w:p>
          <w:p>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宋体"/>
                <w:lang w:val="en-US" w:eastAsia="zh-CN"/>
              </w:rPr>
              <w:t>FUTUREWEI, Qualcomm, Samsung</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pPr>
              <w:tabs>
                <w:tab w:val="left" w:pos="1410"/>
              </w:tabs>
              <w:spacing w:after="0"/>
              <w:rPr>
                <w:b/>
                <w:bCs/>
                <w:lang w:val="en-US" w:eastAsia="ko-KR"/>
              </w:rPr>
            </w:pPr>
            <w:r>
              <w:rPr>
                <w:b/>
                <w:bCs/>
                <w:lang w:val="en-US" w:eastAsia="ko-KR"/>
              </w:rPr>
              <w:t xml:space="preserve">Supported by: (11) </w:t>
            </w:r>
          </w:p>
          <w:p>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hint="eastAsia" w:eastAsia="Yu Mincho"/>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pPr>
              <w:tabs>
                <w:tab w:val="left" w:pos="1410"/>
              </w:tabs>
              <w:spacing w:after="0"/>
              <w:rPr>
                <w:b/>
                <w:bCs/>
                <w:lang w:val="en-US" w:eastAsia="ko-KR"/>
              </w:rPr>
            </w:pPr>
            <w:r>
              <w:rPr>
                <w:b/>
                <w:bCs/>
                <w:lang w:val="en-US" w:eastAsia="ko-KR"/>
              </w:rPr>
              <w:t>Supported by: (1)</w:t>
            </w:r>
          </w:p>
          <w:p>
            <w:pPr>
              <w:tabs>
                <w:tab w:val="left" w:pos="1410"/>
              </w:tabs>
              <w:rPr>
                <w:b/>
                <w:bCs/>
                <w:lang w:val="en-US" w:eastAsia="ko-KR"/>
              </w:rPr>
            </w:pPr>
            <w:r>
              <w:rPr>
                <w:rFonts w:eastAsia="Yu Mincho"/>
                <w:lang w:eastAsia="ja-JP"/>
              </w:rPr>
              <w:t xml:space="preserve">ZTE </w:t>
            </w:r>
          </w:p>
        </w:tc>
      </w:tr>
    </w:tbl>
    <w:p>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tightlightly followed, RAN2 may need to re-consider their agreement. In any case,  nothing is expected from RAN1 on this according to 3GPP working procedure. </w:t>
      </w:r>
    </w:p>
    <w:p>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pPr>
        <w:pStyle w:val="229"/>
        <w:numPr>
          <w:ilvl w:val="0"/>
          <w:numId w:val="18"/>
        </w:numPr>
        <w:ind w:left="270" w:hanging="270"/>
        <w:outlineLvl w:val="3"/>
      </w:pPr>
      <w:r>
        <w:t xml:space="preserve">&lt;Closed&gt; </w:t>
      </w:r>
    </w:p>
    <w:p>
      <w:pPr>
        <w:tabs>
          <w:tab w:val="left" w:pos="1410"/>
        </w:tabs>
        <w:spacing w:before="180"/>
        <w:rPr>
          <w:rFonts w:eastAsia="Yu Mincho"/>
          <w:lang w:eastAsia="ja-JP"/>
        </w:rPr>
      </w:pPr>
    </w:p>
    <w:p>
      <w:pPr>
        <w:tabs>
          <w:tab w:val="left" w:pos="1410"/>
        </w:tabs>
        <w:spacing w:before="180"/>
        <w:rPr>
          <w:rFonts w:eastAsia="Yu Mincho"/>
          <w:lang w:eastAsia="ja-JP"/>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pPr>
        <w:tabs>
          <w:tab w:val="left" w:pos="1410"/>
        </w:tabs>
        <w:spacing w:before="180"/>
        <w:rPr>
          <w:rFonts w:eastAsia="Yu Mincho"/>
        </w:rPr>
      </w:pPr>
      <w:r>
        <w:rPr>
          <w:rFonts w:eastAsia="Yu Mincho"/>
        </w:rPr>
        <w:t>There were two more proposals from [14], which were originally planned to disucss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pPr>
        <w:pStyle w:val="229"/>
        <w:numPr>
          <w:ilvl w:val="0"/>
          <w:numId w:val="16"/>
        </w:numPr>
        <w:outlineLvl w:val="3"/>
      </w:pPr>
      <w:r>
        <w:t xml:space="preserve">&lt;1st Round Comments&gt; </w:t>
      </w:r>
    </w:p>
    <w:p>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pPr>
        <w:pStyle w:val="48"/>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pPr>
        <w:pStyle w:val="48"/>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pPr>
        <w:pStyle w:val="48"/>
        <w:overflowPunct w:val="0"/>
        <w:autoSpaceDE w:val="0"/>
        <w:autoSpaceDN w:val="0"/>
        <w:adjustRightInd w:val="0"/>
        <w:ind w:left="644"/>
        <w:textAlignment w:val="baseline"/>
        <w:rPr>
          <w:rFonts w:ascii="Times New Roman" w:hAnsi="Times New Roman" w:cs="Times New Roman"/>
          <w:bCs/>
          <w:sz w:val="20"/>
          <w:szCs w:val="20"/>
        </w:rPr>
      </w:pPr>
    </w:p>
    <w:bookmarkEnd w:id="8"/>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 xml:space="preserve">Yes/No, </w:t>
            </w:r>
          </w:p>
          <w:p>
            <w:pPr>
              <w:rPr>
                <w:b/>
                <w:bCs/>
                <w:lang w:val="en-US"/>
              </w:rPr>
            </w:pPr>
            <w:r>
              <w:rPr>
                <w:b/>
                <w:bCs/>
                <w:lang w:val="en-US"/>
              </w:rPr>
              <w:t>if ‘no’, please provide brief reasoning in ‘Comment’ column</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2386" w:type="dxa"/>
          </w:tcPr>
          <w:p>
            <w:pPr>
              <w:tabs>
                <w:tab w:val="left" w:pos="551"/>
              </w:tabs>
              <w:rPr>
                <w:lang w:val="en-US" w:eastAsia="ko-KR"/>
              </w:rPr>
            </w:pPr>
            <w:r>
              <w:rPr>
                <w:lang w:val="en-US" w:eastAsia="ko-KR"/>
              </w:rPr>
              <w:t>Y</w:t>
            </w:r>
          </w:p>
        </w:tc>
        <w:tc>
          <w:tcPr>
            <w:tcW w:w="5766" w:type="dxa"/>
          </w:tcPr>
          <w:p>
            <w:pPr>
              <w:pStyle w:val="48"/>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pPr>
              <w:pStyle w:val="48"/>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pPr>
              <w:pStyle w:val="48"/>
              <w:numPr>
                <w:ilvl w:val="0"/>
                <w:numId w:val="26"/>
              </w:numPr>
              <w:rPr>
                <w:lang w:val="en-US" w:eastAsia="ko-KR"/>
              </w:rPr>
            </w:pPr>
            <w:r>
              <w:rPr>
                <w:sz w:val="20"/>
                <w:szCs w:val="22"/>
                <w:lang w:val="en-US" w:eastAsia="ko-KR"/>
              </w:rPr>
              <w:t>When an idle/inactive RedCap UE is performing RA in an SSB-less initial DL BWP, RedCap UE can acquire on-demand SI at least by switching from the SSB-less initial DL BWP to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to discuss and decide in RAN2. In particular</w:t>
            </w:r>
          </w:p>
          <w:p>
            <w:pPr>
              <w:rPr>
                <w:rFonts w:eastAsiaTheme="minorEastAsia"/>
                <w:lang w:val="en-US" w:eastAsia="zh-CN"/>
              </w:rPr>
            </w:pPr>
            <w:r>
              <w:rPr>
                <w:rFonts w:hint="eastAsia" w:eastAsiaTheme="minorEastAsia"/>
                <w:lang w:val="en-US" w:eastAsia="zh-CN"/>
              </w:rPr>
              <w:t>O</w:t>
            </w:r>
            <w:r>
              <w:rPr>
                <w:rFonts w:eastAsiaTheme="minorEastAsia"/>
                <w:lang w:val="en-US" w:eastAsia="zh-CN"/>
              </w:rPr>
              <w:t>n proposal 1, although we feel SIB1 is possible and beneficial, it might be necessary be checked by RAN2 for SIB1 payload limitation.</w:t>
            </w:r>
          </w:p>
          <w:p>
            <w:pPr>
              <w:rPr>
                <w:rFonts w:hint="eastAsia" w:eastAsiaTheme="minorEastAsia"/>
                <w:lang w:val="en-US" w:eastAsia="zh-CN"/>
              </w:rPr>
            </w:pPr>
            <w:r>
              <w:rPr>
                <w:rFonts w:hint="eastAsia" w:eastAsiaTheme="minor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2386" w:type="dxa"/>
          </w:tcPr>
          <w:p>
            <w:pPr>
              <w:tabs>
                <w:tab w:val="left" w:pos="551"/>
              </w:tabs>
              <w:rPr>
                <w:rFonts w:hint="eastAsia" w:eastAsiaTheme="minorEastAsia"/>
                <w:lang w:val="en-US" w:eastAsia="zh-CN"/>
              </w:rPr>
            </w:pPr>
            <w:r>
              <w:rPr>
                <w:rFonts w:hint="eastAsia" w:eastAsiaTheme="minorEastAsia"/>
                <w:lang w:val="en-US" w:eastAsia="zh-CN"/>
              </w:rPr>
              <w:t>Y for P1</w:t>
            </w:r>
          </w:p>
          <w:p>
            <w:pPr>
              <w:tabs>
                <w:tab w:val="left" w:pos="551"/>
              </w:tabs>
              <w:rPr>
                <w:rFonts w:hint="default" w:eastAsiaTheme="minorEastAsia"/>
                <w:lang w:val="en-US" w:eastAsia="zh-CN"/>
              </w:rPr>
            </w:pPr>
            <w:r>
              <w:rPr>
                <w:rFonts w:hint="eastAsia" w:eastAsiaTheme="minorEastAsia"/>
                <w:lang w:val="en-US" w:eastAsia="zh-CN"/>
              </w:rPr>
              <w:t>FFS for P2</w:t>
            </w:r>
          </w:p>
        </w:tc>
        <w:tc>
          <w:tcPr>
            <w:tcW w:w="5766" w:type="dxa"/>
          </w:tcPr>
          <w:p>
            <w:pPr>
              <w:pStyle w:val="48"/>
              <w:numPr>
                <w:numId w:val="0"/>
              </w:numPr>
              <w:ind w:leftChars="0"/>
              <w:rPr>
                <w:rFonts w:hint="eastAsia" w:eastAsiaTheme="minorEastAsia"/>
                <w:lang w:val="en-US" w:eastAsia="zh-CN"/>
              </w:rPr>
            </w:pPr>
            <w:r>
              <w:rPr>
                <w:rFonts w:hint="eastAsia" w:eastAsiaTheme="minorEastAsia"/>
                <w:lang w:val="en-US" w:eastAsia="zh-CN"/>
              </w:rPr>
              <w:t>From our understanding, during RACH procedure without overlapping with SSB, the UE is free to switch to CORESET#0 and SSB for measurement, whether to receive the SI information is also up to UE implementation.</w:t>
            </w:r>
          </w:p>
          <w:p>
            <w:pPr>
              <w:pStyle w:val="48"/>
              <w:numPr>
                <w:numId w:val="0"/>
              </w:numPr>
              <w:ind w:leftChars="0"/>
              <w:rPr>
                <w:rFonts w:hint="eastAsia" w:eastAsiaTheme="minorEastAsia"/>
                <w:lang w:val="en-US" w:eastAsia="zh-CN"/>
              </w:rPr>
            </w:pPr>
          </w:p>
          <w:p>
            <w:pPr>
              <w:pStyle w:val="48"/>
              <w:numPr>
                <w:numId w:val="0"/>
              </w:numPr>
              <w:ind w:leftChars="0"/>
              <w:rPr>
                <w:rFonts w:hint="eastAsia" w:eastAsiaTheme="minorEastAsia"/>
                <w:lang w:val="en-US" w:eastAsia="zh-CN"/>
              </w:rPr>
            </w:pPr>
            <w:r>
              <w:rPr>
                <w:rFonts w:hint="eastAsia" w:eastAsiaTheme="minorEastAsia"/>
                <w:lang w:val="en-US" w:eastAsia="zh-CN"/>
              </w:rPr>
              <w:t>If the RACH procedure is overlapping with SSB for HD-FDD RedCap UE, e.g.,msg3, seems companies are intending to prioritize receiving SSB. In this case, when the UE switching to SSB, whether to receive SI update is also up to UE.</w:t>
            </w:r>
          </w:p>
          <w:p>
            <w:pPr>
              <w:pStyle w:val="48"/>
              <w:numPr>
                <w:numId w:val="0"/>
              </w:numPr>
              <w:ind w:leftChars="0"/>
              <w:rPr>
                <w:rFonts w:hint="eastAsia" w:eastAsiaTheme="minorEastAsia"/>
                <w:lang w:val="en-US" w:eastAsia="zh-CN"/>
              </w:rPr>
            </w:pPr>
          </w:p>
          <w:p>
            <w:pPr>
              <w:pStyle w:val="48"/>
              <w:numPr>
                <w:numId w:val="0"/>
              </w:numPr>
              <w:ind w:leftChars="0"/>
              <w:rPr>
                <w:rFonts w:hint="eastAsia" w:eastAsiaTheme="minorEastAsia"/>
                <w:lang w:val="en-US" w:eastAsia="zh-CN"/>
              </w:rPr>
            </w:pPr>
            <w:r>
              <w:rPr>
                <w:rFonts w:hint="eastAsia" w:eastAsiaTheme="minorEastAsia"/>
                <w:lang w:val="en-US" w:eastAsia="zh-CN"/>
              </w:rPr>
              <w:t>Considering this, it is not so necessary to support RACH-based requesting for on-demand SI by sacrificing the PRACH our msg3 resource, since the UE is quite free to switch to SSB and receive the SI.</w:t>
            </w:r>
          </w:p>
          <w:p>
            <w:pPr>
              <w:pStyle w:val="48"/>
              <w:numPr>
                <w:numId w:val="0"/>
              </w:numPr>
              <w:ind w:leftChars="0"/>
              <w:rPr>
                <w:rFonts w:hint="default" w:eastAsiaTheme="minorEastAsia"/>
                <w:lang w:val="en-US" w:eastAsia="zh-CN"/>
              </w:rPr>
            </w:pPr>
          </w:p>
          <w:p>
            <w:pPr>
              <w:pStyle w:val="48"/>
              <w:numPr>
                <w:numId w:val="0"/>
              </w:numPr>
              <w:ind w:leftChars="0"/>
              <w:rPr>
                <w:rFonts w:hint="eastAsia" w:eastAsiaTheme="minorEastAsia"/>
                <w:lang w:val="en-US" w:eastAsia="zh-CN"/>
              </w:rPr>
            </w:pPr>
            <w:r>
              <w:rPr>
                <w:rFonts w:hint="eastAsia" w:eastAsiaTheme="minorEastAsia"/>
                <w:lang w:val="en-US" w:eastAsia="zh-CN"/>
              </w:rPr>
              <w:t xml:space="preserve">Additionally, if SSB is prioritized over msg3,  the on-demand SI transmission based on msg3 also would be interrupted. </w:t>
            </w:r>
          </w:p>
          <w:p>
            <w:pPr>
              <w:pStyle w:val="48"/>
              <w:numPr>
                <w:numId w:val="0"/>
              </w:numPr>
              <w:ind w:leftChars="0"/>
              <w:rPr>
                <w:rFonts w:hint="eastAsia" w:eastAsiaTheme="minorEastAsia"/>
                <w:lang w:val="en-US" w:eastAsia="zh-CN"/>
              </w:rPr>
            </w:pPr>
          </w:p>
          <w:p>
            <w:pPr>
              <w:pStyle w:val="48"/>
              <w:numPr>
                <w:numId w:val="0"/>
              </w:numPr>
              <w:ind w:leftChars="0"/>
              <w:rPr>
                <w:rFonts w:hint="eastAsia" w:eastAsiaTheme="minorEastAsia"/>
                <w:lang w:val="en-US" w:eastAsia="zh-CN"/>
              </w:rPr>
            </w:pPr>
            <w:r>
              <w:rPr>
                <w:rFonts w:hint="eastAsia" w:eastAsiaTheme="minorEastAsia"/>
                <w:lang w:val="en-US" w:eastAsia="zh-CN"/>
              </w:rPr>
              <w:t>Therefore, we should take careful of the RACH related procedure, especially for HD-F</w:t>
            </w:r>
            <w:bookmarkStart w:id="15" w:name="_GoBack"/>
            <w:bookmarkEnd w:id="15"/>
            <w:r>
              <w:rPr>
                <w:rFonts w:hint="eastAsia" w:eastAsiaTheme="minorEastAsia"/>
                <w:lang w:val="en-US" w:eastAsia="zh-CN"/>
              </w:rPr>
              <w:t>DD RedCap UE, if the RACH procedure are not guaranteed. Also, the above concern also should be considered when we go to support Proposal 2.</w:t>
            </w:r>
          </w:p>
          <w:p>
            <w:pPr>
              <w:pStyle w:val="48"/>
              <w:numPr>
                <w:numId w:val="0"/>
              </w:numPr>
              <w:ind w:leftChars="0"/>
              <w:rPr>
                <w:rFonts w:hint="default" w:eastAsiaTheme="minorEastAsia"/>
                <w:lang w:val="en-US" w:eastAsia="zh-CN"/>
              </w:rPr>
            </w:pPr>
          </w:p>
        </w:tc>
      </w:tr>
    </w:tbl>
    <w:p>
      <w:pPr>
        <w:tabs>
          <w:tab w:val="left" w:pos="1410"/>
        </w:tabs>
        <w:spacing w:before="180"/>
        <w:rPr>
          <w:rFonts w:eastAsia="Yu Mincho"/>
          <w:lang w:eastAsia="ja-JP"/>
        </w:rPr>
      </w:pPr>
    </w:p>
    <w:p>
      <w:pPr>
        <w:pStyle w:val="2"/>
        <w:numPr>
          <w:ilvl w:val="0"/>
          <w:numId w:val="0"/>
        </w:numPr>
        <w:tabs>
          <w:tab w:val="left" w:pos="1410"/>
        </w:tabs>
        <w:ind w:left="432" w:hanging="432"/>
        <w:jc w:val="both"/>
      </w:pPr>
      <w:bookmarkStart w:id="9" w:name="_Toc87303844"/>
      <w:r>
        <w:t>3. Other aspects</w:t>
      </w:r>
      <w:bookmarkEnd w:id="9"/>
      <w:r>
        <w:t xml:space="preserve"> </w:t>
      </w:r>
    </w:p>
    <w:p>
      <w:pPr>
        <w:snapToGrid w:val="0"/>
        <w:spacing w:after="120"/>
        <w:rPr>
          <w:b/>
          <w:bCs/>
          <w:u w:val="single"/>
        </w:rPr>
      </w:pPr>
      <w:bookmarkStart w:id="10" w:name="_Hlk41391803"/>
      <w:r>
        <w:rPr>
          <w:b/>
          <w:bCs/>
          <w:u w:val="single"/>
        </w:rPr>
        <w:t>The configuration of 2-Step RACH and 4-Step RACH for a given UL BWP</w:t>
      </w:r>
    </w:p>
    <w:p>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ind w:left="851" w:hanging="284"/>
              <w:rPr>
                <w:b/>
                <w:i/>
                <w:iCs/>
              </w:rPr>
            </w:pPr>
            <w:r>
              <w:rPr>
                <w:b/>
                <w:i/>
                <w:iCs/>
              </w:rPr>
              <w:t>•</w:t>
            </w:r>
            <w:r>
              <w:rPr>
                <w:b/>
                <w:i/>
                <w:iCs/>
              </w:rPr>
              <w:tab/>
            </w:r>
            <w:r>
              <w:rPr>
                <w:b/>
                <w:i/>
                <w:iCs/>
              </w:rPr>
              <w:t>If a RedCap-specific initial UL BWP is configured for RACH, RedCap UEs shall use only the RedCap-specific initial UL BWP to perform RACH.</w:t>
            </w:r>
          </w:p>
          <w:p>
            <w:pPr>
              <w:spacing w:after="120"/>
              <w:ind w:left="851" w:hanging="284"/>
              <w:rPr>
                <w:b/>
                <w:i/>
                <w:iCs/>
              </w:rPr>
            </w:pPr>
            <w:r>
              <w:rPr>
                <w:b/>
                <w:i/>
                <w:iCs/>
              </w:rPr>
              <w:t>•</w:t>
            </w:r>
            <w:r>
              <w:rPr>
                <w:b/>
                <w:i/>
                <w:iCs/>
              </w:rPr>
              <w:tab/>
            </w:r>
            <w:r>
              <w:rPr>
                <w:b/>
                <w:i/>
                <w:iCs/>
              </w:rPr>
              <w:t>RedCap-specific two-step RACH, if configured, and four-step RACH are always configured in the same BWP.</w:t>
            </w:r>
          </w:p>
        </w:tc>
      </w:tr>
    </w:tbl>
    <w:p>
      <w:pPr>
        <w:spacing w:after="120"/>
        <w:rPr>
          <w:bCs/>
        </w:rPr>
      </w:pPr>
    </w:p>
    <w:p>
      <w:pPr>
        <w:spacing w:after="120"/>
        <w:rPr>
          <w:bCs/>
        </w:rPr>
      </w:pPr>
      <w:r>
        <w:rPr>
          <w:bCs/>
        </w:rPr>
        <w:t xml:space="preserve">Given the above observation, there is no need for further discussion in RAN1 on this topic although it was brought up in contribution [15]. </w:t>
      </w:r>
    </w:p>
    <w:p>
      <w:pPr>
        <w:spacing w:after="120"/>
        <w:rPr>
          <w:bCs/>
        </w:rPr>
      </w:pPr>
    </w:p>
    <w:p>
      <w:pPr>
        <w:snapToGrid w:val="0"/>
        <w:spacing w:after="120"/>
        <w:rPr>
          <w:b/>
          <w:bCs/>
          <w:u w:val="single"/>
        </w:rPr>
      </w:pPr>
      <w:r>
        <w:rPr>
          <w:b/>
          <w:bCs/>
          <w:u w:val="single"/>
        </w:rPr>
        <w:t>Contributions to be handled under other Redcap agendas</w:t>
      </w:r>
    </w:p>
    <w:p>
      <w:pPr>
        <w:snapToGrid w:val="0"/>
        <w:spacing w:after="120"/>
        <w:rPr>
          <w:bCs/>
        </w:rPr>
      </w:pPr>
      <w:r>
        <w:rPr>
          <w:bCs/>
        </w:rPr>
        <w:t xml:space="preserve">In addition, the following contributions were planned to be handled under relevant agenda of Redcap:   </w:t>
      </w:r>
    </w:p>
    <w:p>
      <w:pPr>
        <w:pStyle w:val="48"/>
        <w:numPr>
          <w:ilvl w:val="0"/>
          <w:numId w:val="27"/>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To be handled in AI 8.6.1.1</w:t>
      </w:r>
    </w:p>
    <w:p>
      <w:pPr>
        <w:pStyle w:val="48"/>
        <w:numPr>
          <w:ilvl w:val="1"/>
          <w:numId w:val="27"/>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R1-2200918 [Huawei], R1-2201138 [ZTE], R1-2202383 [Nordic] </w:t>
      </w:r>
    </w:p>
    <w:p>
      <w:pPr>
        <w:pStyle w:val="48"/>
        <w:numPr>
          <w:ilvl w:val="0"/>
          <w:numId w:val="27"/>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To be handled in AI 8.16.6</w:t>
      </w:r>
    </w:p>
    <w:p>
      <w:pPr>
        <w:pStyle w:val="48"/>
        <w:numPr>
          <w:ilvl w:val="1"/>
          <w:numId w:val="27"/>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 xml:space="preserve">R1-2201957 [Xiaomi] </w:t>
      </w:r>
    </w:p>
    <w:p>
      <w:pPr>
        <w:spacing w:after="0"/>
        <w:rPr>
          <w:bCs/>
        </w:rPr>
      </w:pPr>
    </w:p>
    <w:p>
      <w:pPr>
        <w:spacing w:after="0"/>
        <w:rPr>
          <w:bCs/>
        </w:rPr>
      </w:pPr>
    </w:p>
    <w:p>
      <w:pPr>
        <w:spacing w:after="0"/>
        <w:rPr>
          <w:bCs/>
        </w:rPr>
      </w:pPr>
    </w:p>
    <w:p>
      <w:pPr>
        <w:spacing w:after="0"/>
        <w:rPr>
          <w:bCs/>
        </w:rPr>
      </w:pPr>
    </w:p>
    <w:p>
      <w:pPr>
        <w:pStyle w:val="2"/>
        <w:numPr>
          <w:ilvl w:val="0"/>
          <w:numId w:val="0"/>
        </w:numPr>
        <w:tabs>
          <w:tab w:val="left" w:pos="1410"/>
        </w:tabs>
        <w:ind w:left="432" w:hanging="432"/>
        <w:jc w:val="both"/>
        <w:rPr>
          <w:rFonts w:ascii="Times" w:hAnsi="Times"/>
          <w:szCs w:val="24"/>
        </w:rPr>
      </w:pPr>
      <w:bookmarkStart w:id="11" w:name="_Toc87303849"/>
      <w:r>
        <w:t>4. Conclusion</w:t>
      </w:r>
      <w:bookmarkEnd w:id="11"/>
      <w:r>
        <w:t xml:space="preserve"> </w:t>
      </w:r>
    </w:p>
    <w:p>
      <w:r>
        <w:t>&lt;To be updated&gt;</w:t>
      </w:r>
    </w:p>
    <w:p>
      <w:pPr>
        <w:spacing w:after="0"/>
        <w:rPr>
          <w:rFonts w:ascii="Arial" w:hAnsi="Arial"/>
          <w:sz w:val="36"/>
        </w:rPr>
      </w:pPr>
      <w:r>
        <w:br w:type="page"/>
      </w:r>
    </w:p>
    <w:p>
      <w:pPr>
        <w:pStyle w:val="2"/>
        <w:numPr>
          <w:ilvl w:val="0"/>
          <w:numId w:val="0"/>
        </w:numPr>
        <w:ind w:left="432" w:hanging="432"/>
      </w:pPr>
      <w:bookmarkStart w:id="12" w:name="_Toc87303851"/>
      <w:r>
        <w:t>References</w:t>
      </w:r>
      <w:bookmarkEnd w:id="12"/>
    </w:p>
    <w:p>
      <w:pPr>
        <w:numPr>
          <w:ilvl w:val="0"/>
          <w:numId w:val="28"/>
        </w:numPr>
        <w:overflowPunct w:val="0"/>
        <w:autoSpaceDE w:val="0"/>
        <w:autoSpaceDN w:val="0"/>
        <w:adjustRightInd w:val="0"/>
        <w:ind w:left="418" w:hanging="418"/>
        <w:jc w:val="both"/>
        <w:textAlignment w:val="baseline"/>
      </w:pPr>
      <w:r>
        <w:t xml:space="preserve">RP-211574 </w:t>
      </w:r>
      <w:r>
        <w:tab/>
      </w:r>
      <w:r>
        <w:t xml:space="preserve">Revised WID on support of reduced capability NR devices </w:t>
      </w:r>
      <w:r>
        <w:tab/>
      </w:r>
      <w:r>
        <w:t>Ericsson</w:t>
      </w:r>
    </w:p>
    <w:p>
      <w:pPr>
        <w:pStyle w:val="48"/>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Rapporteur (Ericsson)</w:t>
      </w:r>
      <w:bookmarkEnd w:id="10"/>
    </w:p>
    <w:p>
      <w:pPr>
        <w:pStyle w:val="292"/>
        <w:numPr>
          <w:ilvl w:val="0"/>
          <w:numId w:val="28"/>
        </w:numPr>
        <w:rPr>
          <w:rFonts w:ascii="Times New Roman" w:hAnsi="Times New Roman" w:cs="Times New Roman"/>
        </w:rPr>
      </w:pPr>
      <w:bookmarkStart w:id="13" w:name="_Ref88475392"/>
      <w:bookmarkStart w:id="14" w:name="_Ref95427555"/>
      <w:r>
        <w:rPr>
          <w:rFonts w:ascii="Times New Roman" w:hAnsi="Times New Roman" w:cs="Times New Roman"/>
        </w:rPr>
        <w:fldChar w:fldCharType="begin"/>
      </w:r>
      <w:r>
        <w:rPr>
          <w:rFonts w:ascii="Times New Roman" w:hAnsi="Times New Roman" w:cs="Times New Roman"/>
        </w:rPr>
        <w:instrText xml:space="preserve">HYPERLINK "https://www.3gpp.org/ftp/TSG_RAN/TSG_RAN/TSGR_94e/Docs/RP-212802.zip"</w:instrText>
      </w:r>
      <w:r>
        <w:rPr>
          <w:rFonts w:ascii="Times New Roman" w:hAnsi="Times New Roman" w:cs="Times New Roman"/>
        </w:rPr>
        <w:fldChar w:fldCharType="separate"/>
      </w:r>
      <w:r>
        <w:rPr>
          <w:rStyle w:val="38"/>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pPr>
        <w:pStyle w:val="48"/>
        <w:numPr>
          <w:ilvl w:val="0"/>
          <w:numId w:val="28"/>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"file:///D:\\Documents\\3GPP%20documents\\RAN1\\TSGR1_108-e\\Docs\\R1-2200918.zip" </w:instrText>
      </w:r>
      <w:r>
        <w:fldChar w:fldCharType="separate"/>
      </w:r>
      <w:r>
        <w:rPr>
          <w:rFonts w:ascii="Times New Roman" w:hAnsi="Times New Roman" w:eastAsia="Batang" w:cs="Times New Roman"/>
          <w:sz w:val="20"/>
          <w:szCs w:val="20"/>
          <w:lang w:val="en-GB" w:eastAsia="en-US"/>
        </w:rPr>
        <w:t>R1-2200918</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On RAN1 aspects of RAN2 led issues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Huawei, HiSilicon</w:t>
      </w:r>
    </w:p>
    <w:p>
      <w:pPr>
        <w:pStyle w:val="48"/>
        <w:numPr>
          <w:ilvl w:val="0"/>
          <w:numId w:val="28"/>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"file:///D:\\Documents\\3GPP%20documents\\RAN1\\TSGR1_108-e\\Docs\\R1-2201138.zip" </w:instrText>
      </w:r>
      <w:r>
        <w:fldChar w:fldCharType="separate"/>
      </w:r>
      <w:r>
        <w:rPr>
          <w:rFonts w:ascii="Times New Roman" w:hAnsi="Times New Roman" w:eastAsia="Batang" w:cs="Times New Roman"/>
          <w:sz w:val="20"/>
          <w:szCs w:val="20"/>
          <w:lang w:val="en-GB" w:eastAsia="en-US"/>
        </w:rPr>
        <w:t>R1-2201138</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Higher layer support of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ZTE, Sanechips</w:t>
      </w:r>
    </w:p>
    <w:p>
      <w:pPr>
        <w:pStyle w:val="48"/>
        <w:numPr>
          <w:ilvl w:val="0"/>
          <w:numId w:val="28"/>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"file:///D:\\Documents\\3GPP%20documents\\RAN1\\TSGR1_108-e\\Docs\\R1-2201279.zip" </w:instrText>
      </w:r>
      <w:r>
        <w:fldChar w:fldCharType="separate"/>
      </w:r>
      <w:r>
        <w:rPr>
          <w:rFonts w:ascii="Times New Roman" w:hAnsi="Times New Roman" w:eastAsia="Batang" w:cs="Times New Roman"/>
          <w:sz w:val="20"/>
          <w:szCs w:val="20"/>
          <w:lang w:val="en-GB" w:eastAsia="en-US"/>
        </w:rPr>
        <w:t>R1-2201279</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Higher layer related issues for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OPPO</w:t>
      </w:r>
    </w:p>
    <w:p>
      <w:pPr>
        <w:pStyle w:val="48"/>
        <w:numPr>
          <w:ilvl w:val="0"/>
          <w:numId w:val="28"/>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"file:///D:\\Documents\\3GPP%20documents\\RAN1\\TSGR1_108-e\\Docs\\R1-2201369.zip" </w:instrText>
      </w:r>
      <w:r>
        <w:fldChar w:fldCharType="separate"/>
      </w:r>
      <w:r>
        <w:rPr>
          <w:rFonts w:ascii="Times New Roman" w:hAnsi="Times New Roman" w:eastAsia="Batang" w:cs="Times New Roman"/>
          <w:sz w:val="20"/>
          <w:szCs w:val="20"/>
          <w:lang w:val="en-GB" w:eastAsia="en-US"/>
        </w:rPr>
        <w:t>R1-2201369</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on higher layer support of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CATT</w:t>
      </w:r>
    </w:p>
    <w:p>
      <w:pPr>
        <w:pStyle w:val="48"/>
        <w:numPr>
          <w:ilvl w:val="0"/>
          <w:numId w:val="28"/>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"file:///D:\\Documents\\3GPP%20documents\\RAN1\\TSGR1_108-e\\Docs\\R1-2201406.zip" </w:instrText>
      </w:r>
      <w:r>
        <w:fldChar w:fldCharType="separate"/>
      </w:r>
      <w:r>
        <w:rPr>
          <w:rFonts w:ascii="Times New Roman" w:hAnsi="Times New Roman" w:eastAsia="Batang" w:cs="Times New Roman"/>
          <w:sz w:val="20"/>
          <w:szCs w:val="20"/>
          <w:lang w:val="en-GB" w:eastAsia="en-US"/>
        </w:rPr>
        <w:t>R1-2201406</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for Higher Layer Support of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Nokia, Nokia Shanghai Bell</w:t>
      </w:r>
    </w:p>
    <w:p>
      <w:pPr>
        <w:pStyle w:val="48"/>
        <w:numPr>
          <w:ilvl w:val="0"/>
          <w:numId w:val="28"/>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"file:///D:\\Documents\\3GPP%20documents\\RAN1\\TSGR1_108-e\\Docs\\R1-2201670.zip" </w:instrText>
      </w:r>
      <w:r>
        <w:fldChar w:fldCharType="separate"/>
      </w:r>
      <w:r>
        <w:rPr>
          <w:rFonts w:ascii="Times New Roman" w:hAnsi="Times New Roman" w:eastAsia="Batang" w:cs="Times New Roman"/>
          <w:sz w:val="20"/>
          <w:szCs w:val="20"/>
          <w:lang w:val="en-GB" w:eastAsia="en-US"/>
        </w:rPr>
        <w:t>R1-2201670</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Ericsson</w:t>
      </w:r>
    </w:p>
    <w:p>
      <w:pPr>
        <w:pStyle w:val="48"/>
        <w:numPr>
          <w:ilvl w:val="0"/>
          <w:numId w:val="28"/>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"file:///D:\\Documents\\3GPP%20documents\\RAN1\\TSGR1_108-e\\Docs\\R1-2201863.zip" </w:instrText>
      </w:r>
      <w:r>
        <w:fldChar w:fldCharType="separate"/>
      </w:r>
      <w:r>
        <w:rPr>
          <w:rFonts w:ascii="Times New Roman" w:hAnsi="Times New Roman" w:eastAsia="Batang" w:cs="Times New Roman"/>
          <w:sz w:val="20"/>
          <w:szCs w:val="20"/>
          <w:lang w:val="en-GB" w:eastAsia="en-US"/>
        </w:rPr>
        <w:t>R1-2201863</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for higher layer support of RedCap UE</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CMCC</w:t>
      </w:r>
    </w:p>
    <w:p>
      <w:pPr>
        <w:pStyle w:val="48"/>
        <w:numPr>
          <w:ilvl w:val="0"/>
          <w:numId w:val="28"/>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"file:///D:\\Documents\\3GPP%20documents\\RAN1\\TSGR1_108-e\\Docs\\R1-2201957.zip" </w:instrText>
      </w:r>
      <w:r>
        <w:fldChar w:fldCharType="separate"/>
      </w:r>
      <w:r>
        <w:rPr>
          <w:rFonts w:ascii="Times New Roman" w:hAnsi="Times New Roman" w:eastAsia="Batang" w:cs="Times New Roman"/>
          <w:sz w:val="20"/>
          <w:szCs w:val="20"/>
          <w:lang w:val="en-GB" w:eastAsia="en-US"/>
        </w:rPr>
        <w:t>R1-2201957</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Discussion on the remaining issues of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Xiaomi</w:t>
      </w:r>
    </w:p>
    <w:p>
      <w:pPr>
        <w:pStyle w:val="48"/>
        <w:numPr>
          <w:ilvl w:val="0"/>
          <w:numId w:val="28"/>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"file:///D:\\Documents\\3GPP%20documents\\RAN1\\TSGR1_108-e\\Docs\\R1-2201971.zip" </w:instrText>
      </w:r>
      <w:r>
        <w:fldChar w:fldCharType="separate"/>
      </w:r>
      <w:r>
        <w:rPr>
          <w:rFonts w:ascii="Times New Roman" w:hAnsi="Times New Roman" w:eastAsia="Batang" w:cs="Times New Roman"/>
          <w:sz w:val="20"/>
          <w:szCs w:val="20"/>
          <w:lang w:val="en-GB" w:eastAsia="en-US"/>
        </w:rPr>
        <w:t>R1-2201971</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Lenovo, Motorola Mobility</w:t>
      </w:r>
    </w:p>
    <w:p>
      <w:pPr>
        <w:pStyle w:val="48"/>
        <w:numPr>
          <w:ilvl w:val="0"/>
          <w:numId w:val="28"/>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"file:///D:\\Documents\\3GPP%20documents\\RAN1\\TSGR1_108-e\\Docs\\R1-2202021.zip" </w:instrText>
      </w:r>
      <w:r>
        <w:fldChar w:fldCharType="separate"/>
      </w:r>
      <w:r>
        <w:rPr>
          <w:rFonts w:ascii="Times New Roman" w:hAnsi="Times New Roman" w:eastAsia="Batang" w:cs="Times New Roman"/>
          <w:sz w:val="20"/>
          <w:szCs w:val="20"/>
          <w:lang w:val="en-GB" w:eastAsia="en-US"/>
        </w:rPr>
        <w:t>R1-2202021</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Samsung</w:t>
      </w:r>
    </w:p>
    <w:p>
      <w:pPr>
        <w:pStyle w:val="48"/>
        <w:numPr>
          <w:ilvl w:val="0"/>
          <w:numId w:val="28"/>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"file:///D:\\Documents\\3GPP%20documents\\RAN1\\TSGR1_108-e\\Docs\\R1-2202147.zip" </w:instrText>
      </w:r>
      <w:r>
        <w:fldChar w:fldCharType="separate"/>
      </w:r>
      <w:r>
        <w:rPr>
          <w:rFonts w:ascii="Times New Roman" w:hAnsi="Times New Roman" w:eastAsia="Batang" w:cs="Times New Roman"/>
          <w:sz w:val="20"/>
          <w:szCs w:val="20"/>
          <w:lang w:val="en-GB" w:eastAsia="en-US"/>
        </w:rPr>
        <w:t>R1-2202147</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on Cross-layer Design for RedCap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Qualcomm Incorporated</w:t>
      </w:r>
    </w:p>
    <w:p>
      <w:pPr>
        <w:pStyle w:val="48"/>
        <w:numPr>
          <w:ilvl w:val="0"/>
          <w:numId w:val="28"/>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"file:///D:\\Documents\\3GPP%20documents\\RAN1\\TSGR1_108-e\\Docs\\R1-2202194.zip" </w:instrText>
      </w:r>
      <w:r>
        <w:fldChar w:fldCharType="separate"/>
      </w:r>
      <w:r>
        <w:rPr>
          <w:rFonts w:ascii="Times New Roman" w:hAnsi="Times New Roman" w:eastAsia="Batang" w:cs="Times New Roman"/>
          <w:sz w:val="20"/>
          <w:szCs w:val="20"/>
          <w:lang w:val="en-GB" w:eastAsia="en-US"/>
        </w:rPr>
        <w:t>R1-2202194</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Sharp</w:t>
      </w:r>
    </w:p>
    <w:p>
      <w:pPr>
        <w:pStyle w:val="48"/>
        <w:numPr>
          <w:ilvl w:val="0"/>
          <w:numId w:val="28"/>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"file:///D:\\Documents\\3GPP%20documents\\RAN1\\TSGR1_108-e\\Docs\\R1-2202383.zip" </w:instrText>
      </w:r>
      <w:r>
        <w:fldChar w:fldCharType="separate"/>
      </w:r>
      <w:r>
        <w:rPr>
          <w:rFonts w:ascii="Times New Roman" w:hAnsi="Times New Roman" w:eastAsia="Batang" w:cs="Times New Roman"/>
          <w:sz w:val="20"/>
          <w:szCs w:val="20"/>
          <w:lang w:val="en-GB" w:eastAsia="en-US"/>
        </w:rPr>
        <w:t>R1-2202383</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On RAN2 related aspects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Nordic Semiconductor ASA</w:t>
      </w:r>
    </w:p>
    <w:p>
      <w:pPr>
        <w:pStyle w:val="48"/>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pPr>
        <w:pStyle w:val="48"/>
        <w:ind w:left="418"/>
        <w:contextualSpacing w:val="0"/>
        <w:rPr>
          <w:rFonts w:ascii="Times New Roman" w:hAnsi="Times New Roman" w:eastAsia="Batang" w:cs="Times New Roman"/>
          <w:sz w:val="20"/>
          <w:szCs w:val="20"/>
          <w:lang w:val="en-GB" w:eastAsia="en-US"/>
        </w:rPr>
      </w:pPr>
    </w:p>
    <w:p>
      <w:pPr>
        <w:snapToGrid w:val="0"/>
        <w:rPr>
          <w:iCs/>
          <w:lang w:eastAsia="zh-CN"/>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ZapfDingbats">
    <w:altName w:val="Segoe Print"/>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846" w:hanging="576"/>
      </w:pPr>
      <w:rPr>
        <w:b w:val="0"/>
        <w:bCs w:val="0"/>
      </w:rPr>
    </w:lvl>
    <w:lvl w:ilvl="2" w:tentative="0">
      <w:start w:val="1"/>
      <w:numFmt w:val="decimal"/>
      <w:lvlText w:val="%1.%2.%3"/>
      <w:lvlJc w:val="left"/>
      <w:pPr>
        <w:ind w:left="720" w:hanging="720"/>
      </w:pPr>
      <w:rPr>
        <w:b w:val="0"/>
        <w:bCs w:val="0"/>
        <w:lang w:val="en-US"/>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09E30DA9"/>
    <w:multiLevelType w:val="multilevel"/>
    <w:tmpl w:val="09E30DA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A2F5C3B"/>
    <w:multiLevelType w:val="multilevel"/>
    <w:tmpl w:val="0A2F5C3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0C1C37D2"/>
    <w:multiLevelType w:val="multilevel"/>
    <w:tmpl w:val="0C1C37D2"/>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364" w:hanging="360"/>
      </w:pPr>
      <w:rPr>
        <w:rFonts w:hint="default" w:ascii="Courier New" w:hAnsi="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rPr>
    </w:lvl>
    <w:lvl w:ilvl="8" w:tentative="0">
      <w:start w:val="1"/>
      <w:numFmt w:val="bullet"/>
      <w:lvlText w:val=""/>
      <w:lvlJc w:val="left"/>
      <w:pPr>
        <w:ind w:left="6404" w:hanging="360"/>
      </w:pPr>
      <w:rPr>
        <w:rFonts w:hint="default" w:ascii="Wingdings" w:hAnsi="Wingdings"/>
      </w:rPr>
    </w:lvl>
  </w:abstractNum>
  <w:abstractNum w:abstractNumId="5">
    <w:nsid w:val="19076010"/>
    <w:multiLevelType w:val="multilevel"/>
    <w:tmpl w:val="19076010"/>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796" w:hanging="360"/>
      </w:pPr>
      <w:rPr>
        <w:rFonts w:hint="default" w:ascii="Courier New" w:hAnsi="Courier New"/>
      </w:rPr>
    </w:lvl>
    <w:lvl w:ilvl="2" w:tentative="0">
      <w:start w:val="1"/>
      <w:numFmt w:val="bullet"/>
      <w:lvlText w:val=""/>
      <w:lvlJc w:val="left"/>
      <w:pPr>
        <w:ind w:left="1516" w:hanging="360"/>
      </w:pPr>
      <w:rPr>
        <w:rFonts w:hint="default" w:ascii="Wingdings" w:hAnsi="Wingdings"/>
      </w:rPr>
    </w:lvl>
    <w:lvl w:ilvl="3" w:tentative="0">
      <w:start w:val="1"/>
      <w:numFmt w:val="bullet"/>
      <w:lvlText w:val=""/>
      <w:lvlJc w:val="left"/>
      <w:pPr>
        <w:ind w:left="2236" w:hanging="360"/>
      </w:pPr>
      <w:rPr>
        <w:rFonts w:hint="default" w:ascii="Symbol" w:hAnsi="Symbol"/>
      </w:rPr>
    </w:lvl>
    <w:lvl w:ilvl="4" w:tentative="0">
      <w:start w:val="1"/>
      <w:numFmt w:val="bullet"/>
      <w:lvlText w:val="o"/>
      <w:lvlJc w:val="left"/>
      <w:pPr>
        <w:ind w:left="2956" w:hanging="360"/>
      </w:pPr>
      <w:rPr>
        <w:rFonts w:hint="default" w:ascii="Courier New" w:hAnsi="Courier New"/>
      </w:rPr>
    </w:lvl>
    <w:lvl w:ilvl="5" w:tentative="0">
      <w:start w:val="1"/>
      <w:numFmt w:val="bullet"/>
      <w:lvlText w:val=""/>
      <w:lvlJc w:val="left"/>
      <w:pPr>
        <w:ind w:left="3676" w:hanging="360"/>
      </w:pPr>
      <w:rPr>
        <w:rFonts w:hint="default" w:ascii="Wingdings" w:hAnsi="Wingdings"/>
      </w:rPr>
    </w:lvl>
    <w:lvl w:ilvl="6" w:tentative="0">
      <w:start w:val="1"/>
      <w:numFmt w:val="bullet"/>
      <w:lvlText w:val=""/>
      <w:lvlJc w:val="left"/>
      <w:pPr>
        <w:ind w:left="4396" w:hanging="360"/>
      </w:pPr>
      <w:rPr>
        <w:rFonts w:hint="default" w:ascii="Symbol" w:hAnsi="Symbol"/>
      </w:rPr>
    </w:lvl>
    <w:lvl w:ilvl="7" w:tentative="0">
      <w:start w:val="1"/>
      <w:numFmt w:val="bullet"/>
      <w:lvlText w:val="o"/>
      <w:lvlJc w:val="left"/>
      <w:pPr>
        <w:ind w:left="5116" w:hanging="360"/>
      </w:pPr>
      <w:rPr>
        <w:rFonts w:hint="default" w:ascii="Courier New" w:hAnsi="Courier New"/>
      </w:rPr>
    </w:lvl>
    <w:lvl w:ilvl="8" w:tentative="0">
      <w:start w:val="1"/>
      <w:numFmt w:val="bullet"/>
      <w:lvlText w:val=""/>
      <w:lvlJc w:val="left"/>
      <w:pPr>
        <w:ind w:left="5836" w:hanging="360"/>
      </w:pPr>
      <w:rPr>
        <w:rFonts w:hint="default" w:ascii="Wingdings" w:hAnsi="Wingdings"/>
      </w:rPr>
    </w:lvl>
  </w:abstractNum>
  <w:abstractNum w:abstractNumId="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D9E6D8C"/>
    <w:multiLevelType w:val="multilevel"/>
    <w:tmpl w:val="1D9E6D8C"/>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1E1A0726"/>
    <w:multiLevelType w:val="multilevel"/>
    <w:tmpl w:val="1E1A0726"/>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439503C"/>
    <w:multiLevelType w:val="multilevel"/>
    <w:tmpl w:val="2439503C"/>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D5C5A3C"/>
    <w:multiLevelType w:val="multilevel"/>
    <w:tmpl w:val="2D5C5A3C"/>
    <w:lvl w:ilvl="0" w:tentative="0">
      <w:start w:val="0"/>
      <w:numFmt w:val="bullet"/>
      <w:lvlText w:val="-"/>
      <w:lvlJc w:val="left"/>
      <w:pPr>
        <w:ind w:left="360" w:hanging="360"/>
      </w:pPr>
      <w:rPr>
        <w:rFonts w:hint="default" w:ascii="Times New Roman" w:hAnsi="Times New Roman" w:eastAsia="MS Mincho" w:cs="Times New Roman"/>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2E6057EA"/>
    <w:multiLevelType w:val="multilevel"/>
    <w:tmpl w:val="2E6057EA"/>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2008" w:hanging="360"/>
      </w:pPr>
      <w:rPr>
        <w:rFonts w:hint="default" w:ascii="Courier New" w:hAnsi="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rPr>
    </w:lvl>
    <w:lvl w:ilvl="8" w:tentative="0">
      <w:start w:val="1"/>
      <w:numFmt w:val="bullet"/>
      <w:lvlText w:val=""/>
      <w:lvlJc w:val="left"/>
      <w:pPr>
        <w:ind w:left="7048" w:hanging="360"/>
      </w:pPr>
      <w:rPr>
        <w:rFonts w:hint="default" w:ascii="Wingdings" w:hAnsi="Wingdings"/>
      </w:rPr>
    </w:lvl>
  </w:abstractNum>
  <w:abstractNum w:abstractNumId="14">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49F76E9"/>
    <w:multiLevelType w:val="multilevel"/>
    <w:tmpl w:val="349F76E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6">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7">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4B141064"/>
    <w:multiLevelType w:val="multilevel"/>
    <w:tmpl w:val="4B14106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0">
    <w:nsid w:val="4BDF65F6"/>
    <w:multiLevelType w:val="multilevel"/>
    <w:tmpl w:val="4BDF65F6"/>
    <w:lvl w:ilvl="0" w:tentative="0">
      <w:start w:val="1"/>
      <w:numFmt w:val="decimal"/>
      <w:pStyle w:val="29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2">
    <w:nsid w:val="59DA4DEA"/>
    <w:multiLevelType w:val="multilevel"/>
    <w:tmpl w:val="59DA4DEA"/>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23">
    <w:nsid w:val="5A901030"/>
    <w:multiLevelType w:val="multilevel"/>
    <w:tmpl w:val="5A901030"/>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7FD7E31"/>
    <w:multiLevelType w:val="multilevel"/>
    <w:tmpl w:val="77FD7E31"/>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6">
    <w:nsid w:val="79213B7A"/>
    <w:multiLevelType w:val="multilevel"/>
    <w:tmpl w:val="79213B7A"/>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7">
    <w:nsid w:val="7BC330F5"/>
    <w:multiLevelType w:val="multilevel"/>
    <w:tmpl w:val="7BC330F5"/>
    <w:lvl w:ilvl="0" w:tentative="0">
      <w:start w:val="1"/>
      <w:numFmt w:val="bullet"/>
      <w:pStyle w:val="29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1"/>
  </w:num>
  <w:num w:numId="7">
    <w:abstractNumId w:val="20"/>
  </w:num>
  <w:num w:numId="8">
    <w:abstractNumId w:val="27"/>
  </w:num>
  <w:num w:numId="9">
    <w:abstractNumId w:val="18"/>
  </w:num>
  <w:num w:numId="10">
    <w:abstractNumId w:val="6"/>
  </w:num>
  <w:num w:numId="11">
    <w:abstractNumId w:val="23"/>
  </w:num>
  <w:num w:numId="12">
    <w:abstractNumId w:val="4"/>
  </w:num>
  <w:num w:numId="13">
    <w:abstractNumId w:val="15"/>
  </w:num>
  <w:num w:numId="14">
    <w:abstractNumId w:val="13"/>
  </w:num>
  <w:num w:numId="15">
    <w:abstractNumId w:val="25"/>
  </w:num>
  <w:num w:numId="16">
    <w:abstractNumId w:val="12"/>
  </w:num>
  <w:num w:numId="17">
    <w:abstractNumId w:val="5"/>
  </w:num>
  <w:num w:numId="18">
    <w:abstractNumId w:val="2"/>
  </w:num>
  <w:num w:numId="19">
    <w:abstractNumId w:val="26"/>
  </w:num>
  <w:num w:numId="20">
    <w:abstractNumId w:val="22"/>
  </w:num>
  <w:num w:numId="21">
    <w:abstractNumId w:val="19"/>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C8"/>
    <w:rsid w:val="00025901"/>
    <w:rsid w:val="001546B8"/>
    <w:rsid w:val="00161D1A"/>
    <w:rsid w:val="001B646A"/>
    <w:rsid w:val="001D2556"/>
    <w:rsid w:val="001D67EE"/>
    <w:rsid w:val="001E0D9D"/>
    <w:rsid w:val="001E7CAB"/>
    <w:rsid w:val="0022157A"/>
    <w:rsid w:val="002868EB"/>
    <w:rsid w:val="0031777D"/>
    <w:rsid w:val="003B3021"/>
    <w:rsid w:val="004035E8"/>
    <w:rsid w:val="00436BD6"/>
    <w:rsid w:val="004763DC"/>
    <w:rsid w:val="004832E3"/>
    <w:rsid w:val="00487BAB"/>
    <w:rsid w:val="0050386A"/>
    <w:rsid w:val="005D00E5"/>
    <w:rsid w:val="005D4EEC"/>
    <w:rsid w:val="005D7F29"/>
    <w:rsid w:val="005F1608"/>
    <w:rsid w:val="005F50BC"/>
    <w:rsid w:val="006C77C8"/>
    <w:rsid w:val="00734CDE"/>
    <w:rsid w:val="007607C5"/>
    <w:rsid w:val="00764423"/>
    <w:rsid w:val="00773E89"/>
    <w:rsid w:val="007E5319"/>
    <w:rsid w:val="008C6A25"/>
    <w:rsid w:val="008D5FF9"/>
    <w:rsid w:val="009438D3"/>
    <w:rsid w:val="009540B5"/>
    <w:rsid w:val="009569C0"/>
    <w:rsid w:val="009E3DC3"/>
    <w:rsid w:val="00A07D43"/>
    <w:rsid w:val="00A76D0E"/>
    <w:rsid w:val="00A86609"/>
    <w:rsid w:val="00B64871"/>
    <w:rsid w:val="00B7097E"/>
    <w:rsid w:val="00C650E5"/>
    <w:rsid w:val="00C93F41"/>
    <w:rsid w:val="00CC5470"/>
    <w:rsid w:val="00CE22D6"/>
    <w:rsid w:val="00D40F7A"/>
    <w:rsid w:val="00D8194A"/>
    <w:rsid w:val="00E71DDC"/>
    <w:rsid w:val="00E86F99"/>
    <w:rsid w:val="00EC538F"/>
    <w:rsid w:val="00F45055"/>
    <w:rsid w:val="00F60DEF"/>
    <w:rsid w:val="00F61CC6"/>
    <w:rsid w:val="00F968FA"/>
    <w:rsid w:val="00FE57FA"/>
    <w:rsid w:val="223E25E5"/>
    <w:rsid w:val="2F57409A"/>
    <w:rsid w:val="3311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0"/>
        <w:numId w:val="0"/>
      </w:numPr>
      <w:spacing w:before="120"/>
      <w:outlineLvl w:val="2"/>
    </w:pPr>
    <w:rPr>
      <w:sz w:val="28"/>
    </w:rPr>
  </w:style>
  <w:style w:type="paragraph" w:styleId="5">
    <w:name w:val="heading 4"/>
    <w:basedOn w:val="4"/>
    <w:next w:val="1"/>
    <w:qFormat/>
    <w:uiPriority w:val="0"/>
    <w:pPr>
      <w:numPr>
        <w:ilvl w:val="3"/>
      </w:numPr>
      <w:tabs>
        <w:tab w:val="left" w:pos="360"/>
        <w:tab w:val="left" w:pos="926"/>
      </w:tabs>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outlineLvl w:val="5"/>
    </w:pPr>
    <w:rPr>
      <w:lang w:val="sv-SE" w:eastAsia="sv-SE"/>
    </w:rPr>
  </w:style>
  <w:style w:type="paragraph" w:styleId="8">
    <w:name w:val="heading 7"/>
    <w:basedOn w:val="1"/>
    <w:next w:val="1"/>
    <w:qFormat/>
    <w:uiPriority w:val="0"/>
    <w:pPr>
      <w:widowControl w:val="0"/>
      <w:numPr>
        <w:ilvl w:val="6"/>
        <w:numId w:val="1"/>
      </w:numPr>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ind w:left="1200"/>
    </w:pPr>
  </w:style>
  <w:style w:type="paragraph" w:styleId="12">
    <w:name w:val="toc 6"/>
    <w:basedOn w:val="13"/>
    <w:next w:val="1"/>
    <w:semiHidden/>
    <w:qFormat/>
    <w:uiPriority w:val="0"/>
    <w:pPr>
      <w:ind w:left="1000"/>
    </w:pPr>
  </w:style>
  <w:style w:type="paragraph" w:styleId="13">
    <w:name w:val="toc 5"/>
    <w:basedOn w:val="14"/>
    <w:next w:val="1"/>
    <w:semiHidden/>
    <w:qFormat/>
    <w:uiPriority w:val="0"/>
    <w:pPr>
      <w:ind w:left="800"/>
    </w:pPr>
  </w:style>
  <w:style w:type="paragraph" w:styleId="14">
    <w:name w:val="toc 4"/>
    <w:basedOn w:val="15"/>
    <w:next w:val="1"/>
    <w:semiHidden/>
    <w:qFormat/>
    <w:uiPriority w:val="0"/>
    <w:pPr>
      <w:ind w:left="600"/>
    </w:pPr>
  </w:style>
  <w:style w:type="paragraph" w:styleId="15">
    <w:name w:val="toc 3"/>
    <w:basedOn w:val="16"/>
    <w:next w:val="1"/>
    <w:qFormat/>
    <w:uiPriority w:val="39"/>
    <w:pPr>
      <w:spacing w:before="0"/>
      <w:ind w:left="400"/>
    </w:pPr>
    <w:rPr>
      <w:b w:val="0"/>
      <w:bCs w:val="0"/>
      <w:sz w:val="20"/>
      <w:szCs w:val="20"/>
    </w:rPr>
  </w:style>
  <w:style w:type="paragraph" w:styleId="16">
    <w:name w:val="toc 2"/>
    <w:basedOn w:val="17"/>
    <w:next w:val="1"/>
    <w:qFormat/>
    <w:uiPriority w:val="39"/>
    <w:pPr>
      <w:ind w:left="200"/>
    </w:pPr>
    <w:rPr>
      <w:i w:val="0"/>
      <w:iCs w:val="0"/>
      <w:sz w:val="22"/>
      <w:szCs w:val="22"/>
    </w:rPr>
  </w:style>
  <w:style w:type="paragraph" w:styleId="17">
    <w:name w:val="toc 1"/>
    <w:basedOn w:val="1"/>
    <w:next w:val="1"/>
    <w:qFormat/>
    <w:uiPriority w:val="39"/>
    <w:pPr>
      <w:spacing w:before="120" w:after="0"/>
    </w:pPr>
    <w:rPr>
      <w:rFonts w:asciiTheme="minorHAnsi" w:hAnsiTheme="minorHAnsi" w:cstheme="minorHAnsi"/>
      <w:b/>
      <w:bCs/>
      <w:i/>
      <w:iCs/>
      <w:sz w:val="24"/>
      <w:szCs w:val="24"/>
    </w:rPr>
  </w:style>
  <w:style w:type="paragraph" w:styleId="18">
    <w:name w:val="caption"/>
    <w:basedOn w:val="1"/>
    <w:next w:val="1"/>
    <w:link w:val="52"/>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3"/>
    <w:semiHidden/>
    <w:unhideWhenUsed/>
    <w:qFormat/>
    <w:uiPriority w:val="0"/>
    <w:rPr>
      <w:rFonts w:ascii="宋体" w:eastAsia="宋体"/>
      <w:sz w:val="18"/>
      <w:szCs w:val="18"/>
    </w:rPr>
  </w:style>
  <w:style w:type="paragraph" w:styleId="20">
    <w:name w:val="annotation text"/>
    <w:basedOn w:val="1"/>
    <w:link w:val="49"/>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1"/>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0"/>
      <w:ind w:left="1400"/>
    </w:pPr>
    <w:rPr>
      <w:b w:val="0"/>
      <w:bCs w:val="0"/>
      <w:i w:val="0"/>
      <w:iCs w:val="0"/>
      <w:sz w:val="20"/>
      <w:szCs w:val="20"/>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2"/>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7"/>
    <w:unhideWhenUsed/>
    <w:qFormat/>
    <w:uiPriority w:val="99"/>
    <w:pPr>
      <w:spacing w:after="0"/>
    </w:pPr>
    <w:rPr>
      <w:rFonts w:eastAsiaTheme="minorHAnsi"/>
      <w:lang w:val="en-US"/>
    </w:rPr>
  </w:style>
  <w:style w:type="paragraph" w:styleId="29">
    <w:name w:val="toc 9"/>
    <w:basedOn w:val="23"/>
    <w:next w:val="1"/>
    <w:qFormat/>
    <w:uiPriority w:val="39"/>
    <w:pPr>
      <w:ind w:left="1600"/>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50"/>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Emphasis"/>
    <w:qFormat/>
    <w:uiPriority w:val="20"/>
    <w:rPr>
      <w:i/>
      <w:iCs/>
    </w:rPr>
  </w:style>
  <w:style w:type="character" w:styleId="38">
    <w:name w:val="Hyperlink"/>
    <w:basedOn w:val="34"/>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4"/>
    <w:unhideWhenUsed/>
    <w:qFormat/>
    <w:uiPriority w:val="99"/>
    <w:rPr>
      <w:vertAlign w:val="superscript"/>
    </w:rPr>
  </w:style>
  <w:style w:type="character" w:customStyle="1" w:styleId="41">
    <w:name w:val="ZGSM"/>
    <w:qFormat/>
    <w:uiPriority w:val="0"/>
  </w:style>
  <w:style w:type="character" w:customStyle="1" w:styleId="42">
    <w:name w:val="页眉 字符"/>
    <w:link w:val="26"/>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标题 8 字符"/>
    <w:link w:val="9"/>
    <w:qFormat/>
    <w:uiPriority w:val="0"/>
    <w:rPr>
      <w:rFonts w:ascii="Arial" w:hAnsi="Arial"/>
      <w:sz w:val="36"/>
      <w:lang w:val="en-GB" w:eastAsia="en-US"/>
    </w:rPr>
  </w:style>
  <w:style w:type="character" w:customStyle="1" w:styleId="46">
    <w:name w:val="标题 3 字符"/>
    <w:link w:val="4"/>
    <w:qFormat/>
    <w:uiPriority w:val="0"/>
    <w:rPr>
      <w:rFonts w:ascii="Arial" w:hAnsi="Arial"/>
      <w:sz w:val="28"/>
      <w:lang w:val="en-GB" w:eastAsia="en-US"/>
    </w:rPr>
  </w:style>
  <w:style w:type="character" w:customStyle="1" w:styleId="47">
    <w:name w:val="列表段落 字符"/>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批注文字 字符"/>
    <w:link w:val="20"/>
    <w:qFormat/>
    <w:uiPriority w:val="99"/>
    <w:rPr>
      <w:lang w:val="en-GB" w:eastAsia="en-US"/>
    </w:rPr>
  </w:style>
  <w:style w:type="character" w:customStyle="1" w:styleId="50">
    <w:name w:val="批注主题 字符"/>
    <w:link w:val="31"/>
    <w:qFormat/>
    <w:uiPriority w:val="0"/>
    <w:rPr>
      <w:b/>
      <w:bCs/>
      <w:lang w:val="en-GB" w:eastAsia="en-US"/>
    </w:rPr>
  </w:style>
  <w:style w:type="character" w:customStyle="1" w:styleId="51">
    <w:name w:val="正文文本 字符"/>
    <w:link w:val="22"/>
    <w:qFormat/>
    <w:uiPriority w:val="0"/>
    <w:rPr>
      <w:rFonts w:ascii="Arial" w:hAnsi="Arial"/>
      <w:b/>
      <w:sz w:val="18"/>
      <w:lang w:val="en-GB" w:eastAsia="ja-JP"/>
    </w:rPr>
  </w:style>
  <w:style w:type="character" w:customStyle="1" w:styleId="52">
    <w:name w:val="题注 字符"/>
    <w:basedOn w:val="34"/>
    <w:link w:val="18"/>
    <w:qFormat/>
    <w:uiPriority w:val="0"/>
    <w:rPr>
      <w:rFonts w:ascii="Arial" w:hAnsi="Arial"/>
      <w:lang w:val="en-US" w:eastAsia="zh-CN"/>
    </w:rPr>
  </w:style>
  <w:style w:type="character" w:customStyle="1" w:styleId="53">
    <w:name w:val="Mention1"/>
    <w:basedOn w:val="34"/>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link w:val="2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link w:val="293"/>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9">
    <w:name w:val="ZB"/>
    <w:qFormat/>
    <w:uiPriority w:val="0"/>
    <w:pPr>
      <w:widowControl w:val="0"/>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本 字符"/>
    <w:basedOn w:val="34"/>
    <w:link w:val="28"/>
    <w:qFormat/>
    <w:uiPriority w:val="99"/>
    <w:rPr>
      <w:rFonts w:eastAsiaTheme="minorHAnsi"/>
      <w:lang w:val="en-US" w:eastAsia="en-US"/>
    </w:rPr>
  </w:style>
  <w:style w:type="character" w:customStyle="1" w:styleId="268">
    <w:name w:val="未解決のメンション1"/>
    <w:basedOn w:val="34"/>
    <w:semiHidden/>
    <w:unhideWhenUsed/>
    <w:qFormat/>
    <w:uiPriority w:val="99"/>
    <w:rPr>
      <w:color w:val="605E5C"/>
      <w:shd w:val="clear" w:color="auto" w:fill="E1DFDD"/>
    </w:rPr>
  </w:style>
  <w:style w:type="character" w:customStyle="1" w:styleId="269">
    <w:name w:val="normaltextrun"/>
    <w:basedOn w:val="34"/>
    <w:qFormat/>
    <w:uiPriority w:val="0"/>
  </w:style>
  <w:style w:type="character" w:customStyle="1" w:styleId="270">
    <w:name w:val="eop"/>
    <w:basedOn w:val="34"/>
    <w:qFormat/>
    <w:uiPriority w:val="0"/>
  </w:style>
  <w:style w:type="character" w:customStyle="1" w:styleId="271">
    <w:name w:val="Unresolved Mention2"/>
    <w:basedOn w:val="34"/>
    <w:semiHidden/>
    <w:unhideWhenUsed/>
    <w:qFormat/>
    <w:uiPriority w:val="99"/>
    <w:rPr>
      <w:color w:val="605E5C"/>
      <w:shd w:val="clear" w:color="auto" w:fill="E1DFDD"/>
    </w:rPr>
  </w:style>
  <w:style w:type="character" w:styleId="272">
    <w:name w:val="Placeholder Text"/>
    <w:basedOn w:val="34"/>
    <w:semiHidden/>
    <w:qFormat/>
    <w:uiPriority w:val="99"/>
    <w:rPr>
      <w:color w:val="808080"/>
    </w:rPr>
  </w:style>
  <w:style w:type="character" w:customStyle="1" w:styleId="273">
    <w:name w:val="Unresolved Mention3"/>
    <w:basedOn w:val="34"/>
    <w:semiHidden/>
    <w:unhideWhenUsed/>
    <w:qFormat/>
    <w:uiPriority w:val="99"/>
    <w:rPr>
      <w:color w:val="605E5C"/>
      <w:shd w:val="clear" w:color="auto" w:fill="E1DFDD"/>
    </w:rPr>
  </w:style>
  <w:style w:type="character" w:customStyle="1" w:styleId="274">
    <w:name w:val="标题 2 字符"/>
    <w:link w:val="3"/>
    <w:qFormat/>
    <w:uiPriority w:val="0"/>
    <w:rPr>
      <w:rFonts w:ascii="Arial" w:hAnsi="Arial"/>
      <w:sz w:val="32"/>
      <w:lang w:val="en-GB" w:eastAsia="en-US"/>
    </w:rPr>
  </w:style>
  <w:style w:type="table" w:customStyle="1" w:styleId="275">
    <w:name w:val="Table Grid7"/>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line="259" w:lineRule="auto"/>
      <w:jc w:val="both"/>
    </w:pPr>
    <w:rPr>
      <w:rFonts w:ascii="Arial" w:hAnsi="Arial" w:eastAsiaTheme="minorHAnsi" w:cstheme="minorBidi"/>
      <w:szCs w:val="22"/>
      <w:lang w:val="en-US" w:eastAsia="ja-JP"/>
    </w:rPr>
  </w:style>
  <w:style w:type="character" w:customStyle="1" w:styleId="281">
    <w:name w:val="Arial Text Char"/>
    <w:basedOn w:val="34"/>
    <w:link w:val="280"/>
    <w:qFormat/>
    <w:uiPriority w:val="0"/>
    <w:rPr>
      <w:rFonts w:ascii="Arial" w:hAnsi="Arial" w:eastAsiaTheme="minorHAnsi" w:cstheme="minorBidi"/>
      <w:szCs w:val="22"/>
      <w:lang w:val="en-US" w:eastAsia="ja-JP"/>
    </w:rPr>
  </w:style>
  <w:style w:type="paragraph" w:customStyle="1" w:styleId="282">
    <w:name w:val="Proposal"/>
    <w:basedOn w:val="22"/>
    <w:link w:val="297"/>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3">
    <w:name w:val="文档结构图 字符"/>
    <w:basedOn w:val="34"/>
    <w:link w:val="19"/>
    <w:semiHidden/>
    <w:qFormat/>
    <w:uiPriority w:val="0"/>
    <w:rPr>
      <w:rFonts w:ascii="宋体" w:eastAsia="宋体"/>
      <w:sz w:val="18"/>
      <w:szCs w:val="18"/>
      <w:lang w:val="en-GB" w:eastAsia="en-US"/>
    </w:rPr>
  </w:style>
  <w:style w:type="character" w:customStyle="1" w:styleId="284">
    <w:name w:val="未处理的提及1"/>
    <w:basedOn w:val="34"/>
    <w:semiHidden/>
    <w:unhideWhenUsed/>
    <w:qFormat/>
    <w:uiPriority w:val="99"/>
    <w:rPr>
      <w:color w:val="605E5C"/>
      <w:shd w:val="clear" w:color="auto" w:fill="E1DFDD"/>
    </w:rPr>
  </w:style>
  <w:style w:type="character" w:customStyle="1" w:styleId="285">
    <w:name w:val="未处理的提及2"/>
    <w:basedOn w:val="34"/>
    <w:semiHidden/>
    <w:unhideWhenUsed/>
    <w:qFormat/>
    <w:uiPriority w:val="99"/>
    <w:rPr>
      <w:color w:val="605E5C"/>
      <w:shd w:val="clear" w:color="auto" w:fill="E1DFDD"/>
    </w:rPr>
  </w:style>
  <w:style w:type="character" w:customStyle="1" w:styleId="286">
    <w:name w:val="未处理的提及3"/>
    <w:basedOn w:val="34"/>
    <w:semiHidden/>
    <w:unhideWhenUsed/>
    <w:qFormat/>
    <w:uiPriority w:val="99"/>
    <w:rPr>
      <w:color w:val="605E5C"/>
      <w:shd w:val="clear" w:color="auto" w:fill="E1DFDD"/>
    </w:rPr>
  </w:style>
  <w:style w:type="character" w:customStyle="1" w:styleId="287">
    <w:name w:val="未处理的提及4"/>
    <w:basedOn w:val="34"/>
    <w:semiHidden/>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PL Char"/>
    <w:link w:val="237"/>
    <w:qFormat/>
    <w:uiPriority w:val="0"/>
    <w:rPr>
      <w:rFonts w:ascii="Courier New" w:hAnsi="Courier New"/>
      <w:sz w:val="16"/>
      <w:lang w:val="en-GB" w:eastAsia="en-US"/>
    </w:rPr>
  </w:style>
  <w:style w:type="paragraph" w:customStyle="1" w:styleId="290">
    <w:name w:val="Doc-text2"/>
    <w:basedOn w:val="1"/>
    <w:link w:val="291"/>
    <w:qFormat/>
    <w:uiPriority w:val="0"/>
    <w:pPr>
      <w:tabs>
        <w:tab w:val="left" w:pos="1622"/>
      </w:tabs>
      <w:spacing w:after="0" w:line="259" w:lineRule="auto"/>
      <w:ind w:left="1622" w:hanging="363"/>
    </w:pPr>
    <w:rPr>
      <w:rFonts w:ascii="Arial" w:hAnsi="Arial" w:eastAsia="MS Mincho" w:cstheme="minorBidi"/>
      <w:szCs w:val="24"/>
      <w:lang w:val="zh-CN" w:eastAsia="zh-CN"/>
    </w:rPr>
  </w:style>
  <w:style w:type="character" w:customStyle="1" w:styleId="291">
    <w:name w:val="Doc-text2 Char"/>
    <w:link w:val="290"/>
    <w:qFormat/>
    <w:locked/>
    <w:uiPriority w:val="0"/>
    <w:rPr>
      <w:rFonts w:ascii="Arial" w:hAnsi="Arial" w:eastAsia="MS Mincho" w:cstheme="minorBidi"/>
      <w:szCs w:val="24"/>
      <w:lang w:val="zh-CN" w:eastAsia="zh-CN"/>
    </w:rPr>
  </w:style>
  <w:style w:type="paragraph" w:customStyle="1" w:styleId="292">
    <w:name w:val="Reference"/>
    <w:basedOn w:val="22"/>
    <w:link w:val="296"/>
    <w:qFormat/>
    <w:uiPriority w:val="0"/>
    <w:pPr>
      <w:numPr>
        <w:ilvl w:val="0"/>
        <w:numId w:val="7"/>
      </w:numPr>
      <w:overflowPunct/>
      <w:spacing w:line="259" w:lineRule="auto"/>
    </w:pPr>
    <w:rPr>
      <w:rFonts w:eastAsiaTheme="minorHAnsi" w:cstheme="minorBidi"/>
      <w:szCs w:val="22"/>
    </w:rPr>
  </w:style>
  <w:style w:type="character" w:customStyle="1" w:styleId="293">
    <w:name w:val="B1 Char1"/>
    <w:link w:val="246"/>
    <w:qFormat/>
    <w:uiPriority w:val="0"/>
    <w:rPr>
      <w:lang w:val="en-GB" w:eastAsia="en-US"/>
    </w:rPr>
  </w:style>
  <w:style w:type="paragraph" w:customStyle="1" w:styleId="294">
    <w:name w:val="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95">
    <w:name w:val="Revision2"/>
    <w:hidden/>
    <w:semiHidden/>
    <w:qFormat/>
    <w:uiPriority w:val="99"/>
    <w:rPr>
      <w:rFonts w:ascii="Times New Roman" w:hAnsi="Times New Roman" w:eastAsia="Batang" w:cs="Times New Roman"/>
      <w:lang w:val="en-GB" w:eastAsia="en-US" w:bidi="ar-SA"/>
    </w:rPr>
  </w:style>
  <w:style w:type="character" w:customStyle="1" w:styleId="296">
    <w:name w:val="Reference Char"/>
    <w:link w:val="292"/>
    <w:qFormat/>
    <w:uiPriority w:val="0"/>
    <w:rPr>
      <w:rFonts w:ascii="Arial" w:hAnsi="Arial" w:eastAsiaTheme="minorHAnsi" w:cstheme="minorBidi"/>
      <w:szCs w:val="22"/>
    </w:rPr>
  </w:style>
  <w:style w:type="character" w:customStyle="1" w:styleId="297">
    <w:name w:val="Proposal Char"/>
    <w:basedOn w:val="51"/>
    <w:link w:val="282"/>
    <w:qFormat/>
    <w:uiPriority w:val="0"/>
    <w:rPr>
      <w:rFonts w:ascii="Arial" w:hAnsi="Arial" w:eastAsiaTheme="minorHAnsi" w:cstheme="minorBidi"/>
      <w:bCs/>
      <w:sz w:val="18"/>
      <w:szCs w:val="22"/>
      <w:lang w:val="en-GB" w:eastAsia="ja-JP"/>
    </w:rPr>
  </w:style>
  <w:style w:type="character" w:customStyle="1" w:styleId="298">
    <w:name w:val="apple-converted-space"/>
    <w:basedOn w:val="34"/>
    <w:qFormat/>
    <w:uiPriority w:val="0"/>
  </w:style>
  <w:style w:type="character" w:customStyle="1" w:styleId="299">
    <w:name w:val="B1 Zchn"/>
    <w:qFormat/>
    <w:uiPriority w:val="0"/>
    <w:rPr>
      <w:rFonts w:ascii="Times New Roman" w:hAnsi="Times New Roman" w:eastAsia="MS Mincho" w:cs="Times New Roman"/>
      <w:kern w:val="0"/>
      <w:sz w:val="20"/>
      <w:szCs w:val="20"/>
      <w:lang w:val="en-GB" w:eastAsia="en-US"/>
    </w:rPr>
  </w:style>
  <w:style w:type="paragraph" w:customStyle="1" w:styleId="300">
    <w:name w:val="Revision"/>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D716F5-03CF-43AD-A535-FBB99A4122A9}">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5A97D01-828F-4483-9708-0DB9230FAEE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4202</Words>
  <Characters>23953</Characters>
  <Lines>199</Lines>
  <Paragraphs>56</Paragraphs>
  <TotalTime>12</TotalTime>
  <ScaleCrop>false</ScaleCrop>
  <LinksUpToDate>false</LinksUpToDate>
  <CharactersWithSpaces>28099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2022-02-23T04:49:00Z</dcterms:created>
  <dc:creator>Johan Bergman</dc:creator>
  <cp:keywords>CTPClassification=CTP_NT</cp:keywords>
  <cp:lastModifiedBy>Hu Youjun</cp:lastModifiedBy>
  <dcterms:modified xsi:type="dcterms:W3CDTF">2022-02-23T07:12:09Z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BAEC8EC1962D458EB8FCF521AF9B9B72</vt:lpwstr>
  </property>
</Properties>
</file>