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before Feb, 2</w:t>
      </w:r>
      <w:r w:rsidR="004128C1">
        <w:rPr>
          <w:color w:val="FF0000"/>
          <w:highlight w:val="yellow"/>
          <w:lang w:val="en-US"/>
        </w:rPr>
        <w:t>5</w:t>
      </w:r>
      <w:r>
        <w:rPr>
          <w:color w:val="FF0000"/>
          <w:highlight w:val="yellow"/>
          <w:vertAlign w:val="superscript"/>
          <w:lang w:val="en-US"/>
        </w:rPr>
        <w:t>rd</w:t>
      </w:r>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w:t>
            </w:r>
            <w:r>
              <w:rPr>
                <w:lang w:val="en-US" w:eastAsia="zh-CN"/>
              </w:rPr>
              <w:lastRenderedPageBreak/>
              <w:t xml:space="preserve">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SimSun"/>
                <w:color w:val="000000"/>
                <w:lang w:val="en-US" w:eastAsia="zh-CN"/>
              </w:rPr>
            </w:pPr>
            <w:r w:rsidRPr="00D61177">
              <w:rPr>
                <w:rFonts w:eastAsia="SimSun"/>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lastRenderedPageBreak/>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SimSun"/>
                <w:b/>
                <w:bCs/>
                <w:color w:val="000000"/>
                <w:lang w:eastAsia="zh-CN"/>
              </w:rPr>
            </w:pPr>
            <w:r w:rsidRPr="00D61177">
              <w:rPr>
                <w:rFonts w:eastAsia="SimSun"/>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lastRenderedPageBreak/>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lastRenderedPageBreak/>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in RAN2, RAN1 can provide some suggestions for it if triggered </w:t>
            </w:r>
            <w:r>
              <w:rPr>
                <w:rFonts w:eastAsiaTheme="minorEastAsia"/>
                <w:lang w:val="en-US" w:eastAsia="zh-CN"/>
              </w:rPr>
              <w:lastRenderedPageBreak/>
              <w:t>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Xiaomi,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 xml:space="preserve">[Futurewei],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ListParagraph"/>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RACH-based requesting for on-demand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ListParagraph"/>
              <w:numPr>
                <w:ilvl w:val="0"/>
                <w:numId w:val="29"/>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sidR="00A16687">
              <w:rPr>
                <w:rFonts w:ascii="Times New Roman" w:eastAsia="Yu Mincho" w:hAnsi="Times New Roman" w:cs="Times New Roman"/>
                <w:sz w:val="20"/>
                <w:szCs w:val="20"/>
              </w:rPr>
              <w:t xml:space="preserve"> 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[Futurewei]</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Xiaomi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With these consideration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r w:rsidR="00106D29">
        <w:rPr>
          <w:rFonts w:ascii="Times New Roman" w:eastAsia="Yu Mincho" w:hAnsi="Times New Roman" w:cs="Times New Roman"/>
          <w:sz w:val="20"/>
          <w:szCs w:val="20"/>
        </w:rPr>
        <w:t xml:space="preserve">Agree </w:t>
      </w:r>
      <w:r w:rsidRPr="0053449D">
        <w:rPr>
          <w:rFonts w:ascii="Times New Roman" w:eastAsia="Yu Mincho" w:hAnsi="Times New Roman" w:cs="Times New Roman"/>
          <w:sz w:val="20"/>
          <w:szCs w:val="20"/>
        </w:rPr>
        <w:t>both P1 and P2</w:t>
      </w:r>
      <w:r w:rsidR="00BD5441">
        <w:rPr>
          <w:rFonts w:ascii="Times New Roman" w:eastAsia="Yu Mincho" w:hAnsi="Times New Roman" w:cs="Times New Roman"/>
          <w:sz w:val="20"/>
          <w:szCs w:val="20"/>
        </w:rPr>
        <w:t xml:space="preserve"> as working assumption and Send them to RAN2 for confirmation.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r w:rsidR="00106D29">
        <w:rPr>
          <w:rFonts w:ascii="Times New Roman" w:eastAsia="Yu Mincho" w:hAnsi="Times New Roman" w:cs="Times New Roman"/>
          <w:sz w:val="20"/>
          <w:szCs w:val="20"/>
        </w:rPr>
        <w:t>Agree</w:t>
      </w:r>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Send it to RAN2 for confirmation. </w:t>
      </w:r>
      <w:r w:rsidRPr="0053449D">
        <w:rPr>
          <w:rFonts w:ascii="Times New Roman" w:eastAsia="Yu Mincho" w:hAnsi="Times New Roman" w:cs="Times New Roman"/>
          <w:sz w:val="20"/>
          <w:szCs w:val="20"/>
        </w:rPr>
        <w:t xml:space="preserve">Leave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Alt.3: Do nothing in RAN1 and leave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TableGrid"/>
        <w:tblW w:w="9805" w:type="dxa"/>
        <w:tblLook w:val="04A0" w:firstRow="1" w:lastRow="0" w:firstColumn="1" w:lastColumn="0" w:noHBand="0" w:noVBand="1"/>
      </w:tblPr>
      <w:tblGrid>
        <w:gridCol w:w="1472"/>
        <w:gridCol w:w="1330"/>
        <w:gridCol w:w="2021"/>
        <w:gridCol w:w="4982"/>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413E16C0" w:rsidR="0053449D" w:rsidRDefault="00280A75" w:rsidP="00050E4F">
            <w:pPr>
              <w:rPr>
                <w:lang w:val="en-US" w:eastAsia="ko-KR"/>
              </w:rPr>
            </w:pPr>
            <w:r>
              <w:rPr>
                <w:lang w:val="en-US" w:eastAsia="ko-KR"/>
              </w:rPr>
              <w:t>Qualcomm</w:t>
            </w:r>
          </w:p>
        </w:tc>
        <w:tc>
          <w:tcPr>
            <w:tcW w:w="1344" w:type="dxa"/>
          </w:tcPr>
          <w:p w14:paraId="550F090E" w14:textId="67CA0B7B" w:rsidR="0053449D" w:rsidRDefault="00280A75" w:rsidP="00EA6A5C">
            <w:pPr>
              <w:tabs>
                <w:tab w:val="left" w:pos="551"/>
              </w:tabs>
              <w:rPr>
                <w:lang w:val="en-US" w:eastAsia="ko-KR"/>
              </w:rPr>
            </w:pPr>
            <w:r>
              <w:rPr>
                <w:lang w:val="en-US" w:eastAsia="ko-KR"/>
              </w:rPr>
              <w:t>Alt. 1</w:t>
            </w:r>
          </w:p>
        </w:tc>
        <w:tc>
          <w:tcPr>
            <w:tcW w:w="2101" w:type="dxa"/>
          </w:tcPr>
          <w:p w14:paraId="61A485F7" w14:textId="77777777" w:rsidR="0053449D" w:rsidRDefault="0053449D" w:rsidP="00050E4F">
            <w:pPr>
              <w:rPr>
                <w:lang w:val="en-US" w:eastAsia="ko-KR"/>
              </w:rPr>
            </w:pPr>
          </w:p>
        </w:tc>
        <w:tc>
          <w:tcPr>
            <w:tcW w:w="5310" w:type="dxa"/>
          </w:tcPr>
          <w:p w14:paraId="3CDB4424" w14:textId="720AB0DD" w:rsidR="0053449D" w:rsidRDefault="00280A75" w:rsidP="00050E4F">
            <w:pPr>
              <w:rPr>
                <w:lang w:val="en-US" w:eastAsia="ko-KR"/>
              </w:rPr>
            </w:pPr>
            <w:r>
              <w:rPr>
                <w:lang w:val="en-US" w:eastAsia="ko-KR"/>
              </w:rPr>
              <w:t>Both P1 and P2 have impacts on RAN1</w:t>
            </w:r>
            <w:r w:rsidR="00D01DBA">
              <w:rPr>
                <w:lang w:val="en-US" w:eastAsia="ko-KR"/>
              </w:rPr>
              <w:t>/</w:t>
            </w:r>
            <w:r>
              <w:rPr>
                <w:lang w:val="en-US" w:eastAsia="ko-KR"/>
              </w:rPr>
              <w:t>RAN2 specs</w:t>
            </w:r>
          </w:p>
        </w:tc>
      </w:tr>
      <w:tr w:rsidR="00A6225B" w14:paraId="7A936129" w14:textId="77777777" w:rsidTr="004128C1">
        <w:trPr>
          <w:trHeight w:val="387"/>
        </w:trPr>
        <w:tc>
          <w:tcPr>
            <w:tcW w:w="1050" w:type="dxa"/>
          </w:tcPr>
          <w:p w14:paraId="07E5DB23" w14:textId="69721D6D" w:rsidR="0053449D" w:rsidRDefault="00224796" w:rsidP="00050E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18148C48" w14:textId="470F9D5A" w:rsidR="0053449D" w:rsidRDefault="00224796" w:rsidP="00EA6A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2DC17EA0" w:rsidR="0053449D" w:rsidRDefault="00224796" w:rsidP="00050E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A6225B" w14:paraId="013FA3E6" w14:textId="77777777" w:rsidTr="004128C1">
        <w:trPr>
          <w:trHeight w:val="387"/>
        </w:trPr>
        <w:tc>
          <w:tcPr>
            <w:tcW w:w="1050" w:type="dxa"/>
          </w:tcPr>
          <w:p w14:paraId="03036792" w14:textId="24040773" w:rsidR="0053449D" w:rsidRDefault="00826B63" w:rsidP="00050E4F">
            <w:pPr>
              <w:rPr>
                <w:rFonts w:eastAsiaTheme="minorEastAsia"/>
                <w:lang w:val="en-US" w:eastAsia="zh-CN"/>
              </w:rPr>
            </w:pPr>
            <w:r>
              <w:rPr>
                <w:rFonts w:eastAsiaTheme="minorEastAsia"/>
                <w:lang w:val="en-US" w:eastAsia="zh-CN"/>
              </w:rPr>
              <w:t>Intel</w:t>
            </w:r>
          </w:p>
        </w:tc>
        <w:tc>
          <w:tcPr>
            <w:tcW w:w="1344" w:type="dxa"/>
          </w:tcPr>
          <w:p w14:paraId="34A90150" w14:textId="1A7FF978" w:rsidR="0053449D" w:rsidRDefault="00826B63"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68571D72" w:rsidR="0053449D" w:rsidRDefault="002E1E0F" w:rsidP="00050E4F">
            <w:pPr>
              <w:rPr>
                <w:rFonts w:eastAsiaTheme="minorEastAsia"/>
                <w:lang w:val="en-US" w:eastAsia="zh-CN"/>
              </w:rPr>
            </w:pPr>
            <w:r>
              <w:rPr>
                <w:rFonts w:eastAsiaTheme="minorEastAsia"/>
                <w:lang w:val="en-US" w:eastAsia="zh-CN"/>
              </w:rPr>
              <w:t xml:space="preserve">We do not think these two proposals are necessary to be discussed in RAN1. </w:t>
            </w:r>
            <w:r w:rsidR="00CF3024">
              <w:rPr>
                <w:rFonts w:eastAsiaTheme="minorEastAsia"/>
                <w:lang w:val="en-US" w:eastAsia="zh-CN"/>
              </w:rPr>
              <w:t xml:space="preserve">Clearly, these are both falling in RAN2 domain. We do not see a need for an unnecessary set of working assumptions and LS towards this. </w:t>
            </w:r>
          </w:p>
        </w:tc>
      </w:tr>
      <w:tr w:rsidR="00A6225B" w14:paraId="0E10AB48" w14:textId="77777777" w:rsidTr="004128C1">
        <w:trPr>
          <w:trHeight w:val="387"/>
        </w:trPr>
        <w:tc>
          <w:tcPr>
            <w:tcW w:w="1050" w:type="dxa"/>
          </w:tcPr>
          <w:p w14:paraId="017F5659" w14:textId="66850B8D" w:rsidR="0053449D" w:rsidRDefault="007553A5" w:rsidP="00050E4F">
            <w:pPr>
              <w:rPr>
                <w:rFonts w:eastAsiaTheme="minorEastAsia"/>
                <w:lang w:val="en-US" w:eastAsia="zh-CN"/>
              </w:rPr>
            </w:pPr>
            <w:r>
              <w:rPr>
                <w:rFonts w:eastAsiaTheme="minorEastAsia"/>
                <w:lang w:val="en-US" w:eastAsia="zh-CN"/>
              </w:rPr>
              <w:t>FUTUREWEI3</w:t>
            </w:r>
          </w:p>
        </w:tc>
        <w:tc>
          <w:tcPr>
            <w:tcW w:w="1344" w:type="dxa"/>
          </w:tcPr>
          <w:p w14:paraId="0D2032C2" w14:textId="5C56386E" w:rsidR="0053449D" w:rsidRDefault="007553A5"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5B640A1C" w14:textId="77777777" w:rsidR="0053449D" w:rsidRDefault="0053449D" w:rsidP="00050E4F">
            <w:pPr>
              <w:rPr>
                <w:rFonts w:eastAsiaTheme="minorEastAsia"/>
                <w:lang w:val="en-US" w:eastAsia="zh-CN"/>
              </w:rPr>
            </w:pPr>
          </w:p>
        </w:tc>
        <w:tc>
          <w:tcPr>
            <w:tcW w:w="5310" w:type="dxa"/>
          </w:tcPr>
          <w:p w14:paraId="4F71D30C" w14:textId="77777777" w:rsidR="007553A5" w:rsidRPr="007553A5" w:rsidRDefault="007553A5" w:rsidP="007553A5">
            <w:pPr>
              <w:rPr>
                <w:rFonts w:eastAsiaTheme="minorEastAsia"/>
                <w:lang w:val="en-US" w:eastAsia="zh-CN"/>
              </w:rPr>
            </w:pPr>
            <w:r w:rsidRPr="007553A5">
              <w:rPr>
                <w:rFonts w:eastAsiaTheme="minorEastAsia"/>
                <w:lang w:val="en-US" w:eastAsia="zh-CN"/>
              </w:rPr>
              <w:t xml:space="preserve">It is unclear what an agreement of either proposal achieves </w:t>
            </w:r>
            <w:r w:rsidRPr="007553A5">
              <w:rPr>
                <w:rFonts w:eastAsiaTheme="minorEastAsia"/>
                <w:lang w:val="en-US" w:eastAsia="zh-CN"/>
              </w:rPr>
              <w:lastRenderedPageBreak/>
              <w:t>for RAN1.</w:t>
            </w:r>
          </w:p>
          <w:p w14:paraId="5CBA512B" w14:textId="77777777" w:rsidR="007553A5" w:rsidRPr="007553A5" w:rsidRDefault="007553A5" w:rsidP="007553A5">
            <w:pPr>
              <w:rPr>
                <w:rFonts w:eastAsiaTheme="minorEastAsia"/>
                <w:lang w:val="en-US" w:eastAsia="zh-CN"/>
              </w:rPr>
            </w:pPr>
            <w:r w:rsidRPr="007553A5">
              <w:rPr>
                <w:rFonts w:eastAsiaTheme="minorEastAsia"/>
                <w:lang w:val="en-US" w:eastAsia="zh-CN"/>
              </w:rPr>
              <w:t>For P1: RAN2 understands which configurations are needed based on the RRC parameter list. RAN2 knows how to design the signaling</w:t>
            </w:r>
          </w:p>
          <w:p w14:paraId="2747F1B6" w14:textId="72C8C858" w:rsidR="0053449D" w:rsidRDefault="007553A5" w:rsidP="007553A5">
            <w:pPr>
              <w:rPr>
                <w:rFonts w:eastAsiaTheme="minorEastAsia"/>
                <w:lang w:val="en-US" w:eastAsia="zh-CN"/>
              </w:rPr>
            </w:pPr>
            <w:r w:rsidRPr="007553A5">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rsidR="00A6225B" w14:paraId="5091CBDE" w14:textId="77777777" w:rsidTr="004128C1">
        <w:trPr>
          <w:trHeight w:val="408"/>
        </w:trPr>
        <w:tc>
          <w:tcPr>
            <w:tcW w:w="1050" w:type="dxa"/>
          </w:tcPr>
          <w:p w14:paraId="3087B390" w14:textId="50F10A9A" w:rsidR="0053449D" w:rsidRDefault="00AE3D71" w:rsidP="00050E4F">
            <w:pPr>
              <w:rPr>
                <w:rFonts w:eastAsiaTheme="minorEastAsia"/>
                <w:lang w:val="en-US" w:eastAsia="zh-CN"/>
              </w:rPr>
            </w:pPr>
            <w:r>
              <w:rPr>
                <w:rFonts w:eastAsiaTheme="minorEastAsia" w:hint="eastAsia"/>
                <w:lang w:val="en-US" w:eastAsia="zh-CN"/>
              </w:rPr>
              <w:lastRenderedPageBreak/>
              <w:t>CATT</w:t>
            </w:r>
          </w:p>
        </w:tc>
        <w:tc>
          <w:tcPr>
            <w:tcW w:w="1344" w:type="dxa"/>
          </w:tcPr>
          <w:p w14:paraId="61005CF3" w14:textId="5D203F49" w:rsidR="0053449D" w:rsidRDefault="00AE3D71" w:rsidP="00050E4F">
            <w:pPr>
              <w:tabs>
                <w:tab w:val="left" w:pos="551"/>
              </w:tabs>
              <w:rPr>
                <w:rFonts w:eastAsiaTheme="minorEastAsia"/>
                <w:lang w:val="en-US" w:eastAsia="zh-CN"/>
              </w:rPr>
            </w:pPr>
            <w:r>
              <w:rPr>
                <w:rFonts w:eastAsiaTheme="minorEastAsia" w:hint="eastAsia"/>
                <w:lang w:val="en-US" w:eastAsia="zh-CN"/>
              </w:rPr>
              <w:t>Alt.1</w:t>
            </w:r>
          </w:p>
        </w:tc>
        <w:tc>
          <w:tcPr>
            <w:tcW w:w="2101" w:type="dxa"/>
          </w:tcPr>
          <w:p w14:paraId="0C6FE9B2" w14:textId="77777777" w:rsidR="0053449D" w:rsidRDefault="0053449D" w:rsidP="00050E4F">
            <w:pPr>
              <w:rPr>
                <w:rFonts w:eastAsiaTheme="minorEastAsia"/>
                <w:lang w:val="en-US" w:eastAsia="zh-CN"/>
              </w:rPr>
            </w:pPr>
          </w:p>
        </w:tc>
        <w:tc>
          <w:tcPr>
            <w:tcW w:w="5310" w:type="dxa"/>
          </w:tcPr>
          <w:p w14:paraId="29053788" w14:textId="77777777" w:rsidR="0053449D" w:rsidRDefault="00AE3D71" w:rsidP="00050E4F">
            <w:pPr>
              <w:rPr>
                <w:rFonts w:eastAsiaTheme="minor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s perspective</w:t>
            </w:r>
            <w:r>
              <w:rPr>
                <w:rFonts w:eastAsiaTheme="minorEastAsia"/>
                <w:lang w:val="en-US" w:eastAsia="zh-CN"/>
              </w:rPr>
              <w:t>’</w:t>
            </w:r>
            <w:r>
              <w:rPr>
                <w:rFonts w:eastAsiaTheme="minorEastAsia" w:hint="eastAsia"/>
                <w:lang w:val="en-US" w:eastAsia="zh-CN"/>
              </w:rPr>
              <w:t>, so no technical problems at all.</w:t>
            </w:r>
          </w:p>
          <w:p w14:paraId="5DEFB8CF" w14:textId="4DA0CCDF" w:rsidR="00AE3D71" w:rsidRDefault="00AE3D71" w:rsidP="00AE3D71">
            <w:pPr>
              <w:rPr>
                <w:rFonts w:eastAsiaTheme="minorEastAsia"/>
                <w:lang w:val="en-US" w:eastAsia="zh-CN"/>
              </w:rPr>
            </w:pPr>
            <w:r>
              <w:rPr>
                <w:rFonts w:eastAsiaTheme="minorEastAsia" w:hint="eastAsia"/>
                <w:lang w:val="en-US" w:eastAsia="zh-CN"/>
              </w:rPr>
              <w:t>OK to made both as WA and send both to RAN2 for confirm. At least RAN2 will know there is no essential issue from RAN1 perspective.</w:t>
            </w:r>
          </w:p>
        </w:tc>
      </w:tr>
      <w:tr w:rsidR="00EA6A5C" w14:paraId="07D7231B" w14:textId="77777777" w:rsidTr="004128C1">
        <w:trPr>
          <w:trHeight w:val="408"/>
        </w:trPr>
        <w:tc>
          <w:tcPr>
            <w:tcW w:w="1050" w:type="dxa"/>
          </w:tcPr>
          <w:p w14:paraId="02226651" w14:textId="34EFFF65" w:rsidR="00EA6A5C" w:rsidRDefault="00EA6A5C" w:rsidP="00050E4F">
            <w:pPr>
              <w:rPr>
                <w:rFonts w:eastAsiaTheme="minorEastAsia" w:hint="eastAsia"/>
                <w:lang w:val="en-US" w:eastAsia="zh-CN"/>
              </w:rPr>
            </w:pPr>
            <w:r>
              <w:rPr>
                <w:rFonts w:eastAsiaTheme="minorEastAsia"/>
                <w:lang w:val="en-US" w:eastAsia="zh-CN"/>
              </w:rPr>
              <w:t>Ericsson</w:t>
            </w:r>
          </w:p>
        </w:tc>
        <w:tc>
          <w:tcPr>
            <w:tcW w:w="1344" w:type="dxa"/>
          </w:tcPr>
          <w:p w14:paraId="7CBBF04A" w14:textId="0F81E70D" w:rsidR="00EA6A5C" w:rsidRDefault="00EA6A5C" w:rsidP="00050E4F">
            <w:pPr>
              <w:tabs>
                <w:tab w:val="left" w:pos="551"/>
              </w:tabs>
              <w:rPr>
                <w:rFonts w:eastAsiaTheme="minorEastAsia" w:hint="eastAsia"/>
                <w:lang w:val="en-US" w:eastAsia="zh-CN"/>
              </w:rPr>
            </w:pPr>
            <w:r>
              <w:rPr>
                <w:rFonts w:eastAsiaTheme="minorEastAsia"/>
                <w:lang w:val="en-US" w:eastAsia="zh-CN"/>
              </w:rPr>
              <w:t>Alt.3</w:t>
            </w:r>
          </w:p>
        </w:tc>
        <w:tc>
          <w:tcPr>
            <w:tcW w:w="2101" w:type="dxa"/>
          </w:tcPr>
          <w:p w14:paraId="735030B4" w14:textId="77777777" w:rsidR="00EA6A5C" w:rsidRDefault="00EA6A5C" w:rsidP="00050E4F">
            <w:pPr>
              <w:rPr>
                <w:rFonts w:eastAsiaTheme="minorEastAsia"/>
                <w:lang w:val="en-US" w:eastAsia="zh-CN"/>
              </w:rPr>
            </w:pPr>
            <w:r>
              <w:rPr>
                <w:rFonts w:eastAsiaTheme="minorEastAsia"/>
                <w:lang w:val="en-US" w:eastAsia="zh-CN"/>
              </w:rPr>
              <w:t>Alt.1</w:t>
            </w:r>
          </w:p>
          <w:p w14:paraId="50FE2FEF" w14:textId="32B475A4" w:rsidR="00EA6A5C" w:rsidRDefault="00EA6A5C" w:rsidP="00050E4F">
            <w:pPr>
              <w:rPr>
                <w:rFonts w:eastAsiaTheme="minorEastAsia"/>
                <w:lang w:val="en-US" w:eastAsia="zh-CN"/>
              </w:rPr>
            </w:pPr>
            <w:r>
              <w:rPr>
                <w:rFonts w:eastAsiaTheme="minorEastAsia"/>
                <w:lang w:val="en-US" w:eastAsia="zh-CN"/>
              </w:rPr>
              <w:t>Alt.2</w:t>
            </w:r>
          </w:p>
        </w:tc>
        <w:tc>
          <w:tcPr>
            <w:tcW w:w="5310" w:type="dxa"/>
          </w:tcPr>
          <w:p w14:paraId="082153E3" w14:textId="69C2BDE2" w:rsidR="00EA6A5C" w:rsidRPr="00643C90" w:rsidRDefault="00EA6A5C" w:rsidP="00EA6A5C">
            <w:pPr>
              <w:rPr>
                <w:lang w:val="en-US" w:eastAsia="ko-KR"/>
              </w:rPr>
            </w:pPr>
            <w:r w:rsidRPr="00643C90">
              <w:rPr>
                <w:lang w:val="en-US" w:eastAsia="ko-KR"/>
              </w:rPr>
              <w:t xml:space="preserve">For </w:t>
            </w:r>
            <w:r>
              <w:rPr>
                <w:lang w:val="en-US" w:eastAsia="ko-KR"/>
              </w:rPr>
              <w:t>P</w:t>
            </w:r>
            <w:r w:rsidRPr="00643C90">
              <w:rPr>
                <w:lang w:val="en-US" w:eastAsia="ko-KR"/>
              </w:rPr>
              <w:t xml:space="preserve">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w:t>
            </w:r>
            <w:proofErr w:type="gramStart"/>
            <w:r w:rsidRPr="00643C90">
              <w:rPr>
                <w:lang w:val="en-US" w:eastAsia="ko-KR"/>
              </w:rPr>
              <w:t>in, and</w:t>
            </w:r>
            <w:proofErr w:type="gramEnd"/>
            <w:r w:rsidRPr="00643C90">
              <w:rPr>
                <w:lang w:val="en-US" w:eastAsia="ko-KR"/>
              </w:rPr>
              <w:t xml:space="preserve"> note that some cell-specific parameters will end up both in SIB and in dedicated signaling (e.g., for handover purposes). This needs to be discussed in RAN2, not RAN1.</w:t>
            </w:r>
          </w:p>
          <w:p w14:paraId="4281C7B4" w14:textId="60C64223" w:rsidR="00EA6A5C" w:rsidRDefault="00EA6A5C" w:rsidP="00EA6A5C">
            <w:pPr>
              <w:rPr>
                <w:rFonts w:eastAsiaTheme="minorEastAsia" w:hint="eastAsia"/>
                <w:lang w:val="en-US" w:eastAsia="zh-CN"/>
              </w:rPr>
            </w:pPr>
            <w:r w:rsidRPr="00643C90">
              <w:rPr>
                <w:lang w:val="en-US" w:eastAsia="ko-KR"/>
              </w:rPr>
              <w:t xml:space="preserve">For </w:t>
            </w:r>
            <w:r>
              <w:rPr>
                <w:lang w:val="en-US" w:eastAsia="ko-KR"/>
              </w:rPr>
              <w:t>P</w:t>
            </w:r>
            <w:r w:rsidRPr="00643C90">
              <w:rPr>
                <w:lang w:val="en-US" w:eastAsia="ko-KR"/>
              </w:rPr>
              <w:t xml:space="preserve">2, since it is legacy </w:t>
            </w:r>
            <w:proofErr w:type="gramStart"/>
            <w:r w:rsidRPr="00643C90">
              <w:rPr>
                <w:lang w:val="en-US" w:eastAsia="ko-KR"/>
              </w:rPr>
              <w:t>functionality</w:t>
            </w:r>
            <w:proofErr w:type="gramEnd"/>
            <w:r w:rsidRPr="00643C90">
              <w:rPr>
                <w:lang w:val="en-US" w:eastAsia="ko-KR"/>
              </w:rPr>
              <w:t xml:space="preserve"> it will be supported automatically unless there are reasons not to support it for RedCap. If there are no L1-specific details that need to be discussed in RAN1, there is no reason to treat the proposal further in RAN1.</w:t>
            </w: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Heading1"/>
        <w:numPr>
          <w:ilvl w:val="0"/>
          <w:numId w:val="0"/>
        </w:numPr>
        <w:tabs>
          <w:tab w:val="left" w:pos="1410"/>
        </w:tabs>
        <w:ind w:left="432" w:hanging="432"/>
        <w:jc w:val="both"/>
      </w:pPr>
      <w:bookmarkStart w:id="9" w:name="_Toc87303844"/>
      <w:r>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lastRenderedPageBreak/>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Heading1"/>
        <w:numPr>
          <w:ilvl w:val="0"/>
          <w:numId w:val="0"/>
        </w:numPr>
        <w:tabs>
          <w:tab w:val="left" w:pos="1410"/>
        </w:tabs>
        <w:ind w:left="432" w:hanging="432"/>
        <w:jc w:val="both"/>
      </w:pPr>
      <w:bookmarkStart w:id="11" w:name="_Toc87303849"/>
      <w:r>
        <w:t>4. Conclusion</w:t>
      </w:r>
      <w:bookmarkEnd w:id="11"/>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SimSun"/>
          <w:color w:val="000000"/>
          <w:lang w:val="en-US" w:eastAsia="zh-CN"/>
        </w:rPr>
      </w:pPr>
      <w:r w:rsidRPr="00626BF7">
        <w:rPr>
          <w:rFonts w:eastAsia="SimSun"/>
          <w:b/>
          <w:bCs/>
          <w:color w:val="000000"/>
          <w:highlight w:val="green"/>
          <w:lang w:eastAsia="zh-CN"/>
        </w:rPr>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SimSun"/>
          <w:b/>
          <w:bCs/>
          <w:color w:val="000000"/>
          <w:lang w:eastAsia="zh-CN"/>
        </w:rPr>
      </w:pPr>
      <w:r w:rsidRPr="00626BF7">
        <w:rPr>
          <w:rFonts w:eastAsia="SimSun"/>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2958BC">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A56E" w14:textId="77777777" w:rsidR="002958BC" w:rsidRDefault="002958BC">
      <w:pPr>
        <w:spacing w:after="0"/>
      </w:pPr>
      <w:r>
        <w:separator/>
      </w:r>
    </w:p>
  </w:endnote>
  <w:endnote w:type="continuationSeparator" w:id="0">
    <w:p w14:paraId="4BBA79A4" w14:textId="77777777" w:rsidR="002958BC" w:rsidRDefault="00295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591F" w14:textId="77777777" w:rsidR="002958BC" w:rsidRDefault="002958BC">
      <w:pPr>
        <w:spacing w:after="0"/>
      </w:pPr>
      <w:r>
        <w:separator/>
      </w:r>
    </w:p>
  </w:footnote>
  <w:footnote w:type="continuationSeparator" w:id="0">
    <w:p w14:paraId="60240B15" w14:textId="77777777" w:rsidR="002958BC" w:rsidRDefault="002958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AE3D71"/>
    <w:rsid w:val="00B64871"/>
    <w:rsid w:val="00B7097E"/>
    <w:rsid w:val="00B724F9"/>
    <w:rsid w:val="00BD5441"/>
    <w:rsid w:val="00C12AD5"/>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E38C"/>
  <w15:docId w15:val="{363FADE7-A61B-498C-84F7-7E9A4739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C50F66-111C-40FC-A712-7E56340C38FB}">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6199</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3</cp:revision>
  <dcterms:created xsi:type="dcterms:W3CDTF">2022-02-25T00:46:00Z</dcterms:created>
  <dcterms:modified xsi:type="dcterms:W3CDTF">2022-02-25T03:47:00Z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