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9310" w14:textId="77777777" w:rsidR="002C532C" w:rsidRDefault="00932A35">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Heading1"/>
        <w:ind w:left="1134" w:hanging="1134"/>
      </w:pPr>
      <w:r>
        <w:t>HD-FDD</w:t>
      </w:r>
    </w:p>
    <w:p w14:paraId="4F9E0A09" w14:textId="77777777" w:rsidR="002C532C" w:rsidRDefault="00932A35">
      <w:pPr>
        <w:pStyle w:val="Heading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bl>
    <w:p w14:paraId="5BE52A8F" w14:textId="77777777" w:rsidR="002C532C" w:rsidRDefault="002C532C"/>
    <w:p w14:paraId="019EA5BE" w14:textId="77777777" w:rsidR="002C532C" w:rsidRDefault="00932A35">
      <w:pPr>
        <w:pStyle w:val="Heading2"/>
        <w:ind w:left="1134" w:hanging="1134"/>
      </w:pPr>
      <w:r>
        <w:t>Issue #2: Collision handling between SSB and Msg3 (re)transmission and PUCCH for Msg4/MsgB</w:t>
      </w:r>
    </w:p>
    <w:p w14:paraId="3E490BD1" w14:textId="77777777" w:rsidR="002C532C" w:rsidRDefault="00932A35">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262D5EFC"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w:t>
            </w:r>
            <w:r>
              <w:rPr>
                <w:rFonts w:hint="eastAsia"/>
                <w:lang w:val="en-US" w:eastAsia="zh-CN"/>
              </w:rPr>
              <w:lastRenderedPageBreak/>
              <w:t xml:space="preserve">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26FB62BE" w14:textId="77777777" w:rsidR="002C532C" w:rsidRDefault="00932A35">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bl>
    <w:p w14:paraId="0E3FBF61" w14:textId="77777777" w:rsidR="002C532C" w:rsidRDefault="002C532C">
      <w:pPr>
        <w:spacing w:after="200"/>
        <w:jc w:val="left"/>
      </w:pPr>
    </w:p>
    <w:p w14:paraId="3E9D9E84" w14:textId="77777777" w:rsidR="002C532C" w:rsidRDefault="00932A35">
      <w:pPr>
        <w:pStyle w:val="Heading2"/>
        <w:ind w:left="1134" w:hanging="1134"/>
      </w:pPr>
      <w:r>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PlainText"/>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SimSun"/>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bl>
    <w:p w14:paraId="195E9630" w14:textId="77777777" w:rsidR="002C532C" w:rsidRDefault="002C532C"/>
    <w:p w14:paraId="5CB45BE8" w14:textId="77777777" w:rsidR="002C532C" w:rsidRDefault="00932A35">
      <w:pPr>
        <w:pStyle w:val="Heading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E2F4575"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bl>
    <w:p w14:paraId="2370DB41" w14:textId="77777777" w:rsidR="002C532C" w:rsidRDefault="002C532C"/>
    <w:p w14:paraId="3B980542" w14:textId="77777777" w:rsidR="002C532C" w:rsidRDefault="00932A35">
      <w:pPr>
        <w:pStyle w:val="Heading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w:t>
            </w:r>
            <w:proofErr w:type="spellStart"/>
            <w:r w:rsidRPr="002709DC">
              <w:rPr>
                <w:rFonts w:eastAsiaTheme="minorEastAsia"/>
                <w:lang w:eastAsia="zh-CN"/>
              </w:rPr>
              <w:t>partialCancellation</w:t>
            </w:r>
            <w:proofErr w:type="spellEnd"/>
            <w:r w:rsidRPr="002709DC">
              <w:rPr>
                <w:rFonts w:eastAsiaTheme="minorEastAsia"/>
                <w:lang w:eastAsia="zh-CN"/>
              </w:rPr>
              <w:t xml:space="preserve">]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w:t>
            </w:r>
            <w:proofErr w:type="spellStart"/>
            <w:r w:rsidRPr="002709DC">
              <w:rPr>
                <w:rFonts w:eastAsiaTheme="minorEastAsia"/>
                <w:lang w:eastAsia="zh-CN"/>
              </w:rPr>
              <w:t>partialCancellation</w:t>
            </w:r>
            <w:proofErr w:type="spellEnd"/>
            <w:r w:rsidRPr="002709DC">
              <w:rPr>
                <w:rFonts w:eastAsiaTheme="minorEastAsia"/>
                <w:lang w:eastAsia="zh-CN"/>
              </w:rPr>
              <w:t>]</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bl>
    <w:p w14:paraId="06AEDACE" w14:textId="77777777" w:rsidR="002C532C" w:rsidRDefault="002C532C">
      <w:pPr>
        <w:rPr>
          <w:lang w:val="sv-SE"/>
        </w:rPr>
      </w:pPr>
    </w:p>
    <w:p w14:paraId="7D0CB433" w14:textId="77777777" w:rsidR="002C532C" w:rsidRDefault="002C532C"/>
    <w:p w14:paraId="6B69FE89" w14:textId="77777777" w:rsidR="002C532C" w:rsidRDefault="00932A35">
      <w:pPr>
        <w:pStyle w:val="Heading2"/>
        <w:ind w:left="1134" w:hanging="1134"/>
      </w:pPr>
      <w:r>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Heading2"/>
              <w:numPr>
                <w:ilvl w:val="0"/>
                <w:numId w:val="0"/>
              </w:numPr>
              <w:spacing w:before="0" w:after="0"/>
            </w:pPr>
            <w:bookmarkStart w:id="5" w:name="_Toc92093905"/>
          </w:p>
          <w:p w14:paraId="69F12D6F" w14:textId="77777777" w:rsidR="002C532C" w:rsidRDefault="00932A35">
            <w:pPr>
              <w:pStyle w:val="Heading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Heading2"/>
              <w:numPr>
                <w:ilvl w:val="0"/>
                <w:numId w:val="0"/>
              </w:numPr>
              <w:spacing w:before="0" w:after="0"/>
            </w:pPr>
          </w:p>
          <w:p w14:paraId="75E5629A" w14:textId="77777777" w:rsidR="002C532C" w:rsidRDefault="00932A35">
            <w:pPr>
              <w:pStyle w:val="Heading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SimSun"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3189625"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bl>
    <w:p w14:paraId="6FF073F2" w14:textId="77777777" w:rsidR="002C532C" w:rsidRDefault="002C532C">
      <w:pPr>
        <w:rPr>
          <w:lang w:val="sv-SE"/>
        </w:rPr>
      </w:pPr>
    </w:p>
    <w:p w14:paraId="769CF5E9" w14:textId="77777777" w:rsidR="002C532C" w:rsidRDefault="00932A35">
      <w:pPr>
        <w:pStyle w:val="Heading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MS PGothic" w:hAnsi="Arial"/>
                <w:color w:val="000000"/>
                <w:lang w:val="en-US"/>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sidRPr="000E4E11">
              <w:rPr>
                <w:rFonts w:ascii="Arial" w:eastAsia="MS PGothic" w:hAnsi="Arial"/>
                <w:color w:val="000000"/>
                <w:lang w:val="en-US"/>
              </w:rPr>
              <w:t>5.1.2.1</w:t>
            </w:r>
            <w:r w:rsidRPr="000E4E11">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MS PGothic" w:hAnsi="Arial"/>
                <w:color w:val="000000"/>
                <w:lang w:val="en-US"/>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sidRPr="000E4E11">
              <w:rPr>
                <w:rFonts w:ascii="Arial" w:eastAsia="MS PGothic" w:hAnsi="Arial"/>
                <w:color w:val="000000"/>
                <w:lang w:val="en-US"/>
              </w:rPr>
              <w:t>6.1.2.1</w:t>
            </w:r>
            <w:r w:rsidRPr="000E4E11">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MS PGothic"/>
                <w:color w:val="FF0000"/>
                <w:lang w:val="en-US"/>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77777777" w:rsidR="002C532C" w:rsidRDefault="00932A35">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SimSun"/>
              </w:rPr>
            </w:pPr>
            <w:r w:rsidRPr="000E4E11">
              <w:rPr>
                <w:rFonts w:eastAsia="MS PGothic"/>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SimSun" w:hAnsi="Arial"/>
                <w:sz w:val="22"/>
                <w:lang w:val="en-US" w:eastAsia="zh-CN"/>
              </w:rPr>
            </w:pPr>
            <w:bookmarkStart w:id="35" w:name="_Toc91695490"/>
            <w:r w:rsidRPr="000E4E11">
              <w:rPr>
                <w:rFonts w:ascii="Arial" w:eastAsia="SimSun" w:hAnsi="Arial"/>
                <w:sz w:val="22"/>
                <w:lang w:val="en-US" w:eastAsia="zh-CN"/>
              </w:rPr>
              <w:t>6.1.2.3.1</w:t>
            </w:r>
            <w:r w:rsidRPr="000E4E11">
              <w:rPr>
                <w:rFonts w:ascii="Arial" w:eastAsia="SimSun" w:hAnsi="Arial"/>
                <w:sz w:val="22"/>
                <w:lang w:val="en-US" w:eastAsia="zh-CN"/>
              </w:rPr>
              <w:tab/>
              <w:t>Transport Block repetition for uplink transmissions of PUSCH repetition Type A with a configured grant</w:t>
            </w:r>
            <w:bookmarkEnd w:id="35"/>
          </w:p>
          <w:p w14:paraId="58985172" w14:textId="77777777" w:rsidR="002C532C" w:rsidRPr="000E4E11" w:rsidRDefault="00932A35">
            <w:pPr>
              <w:jc w:val="center"/>
              <w:rPr>
                <w:rFonts w:eastAsia="SimSun"/>
                <w:lang w:val="en-US"/>
              </w:rPr>
            </w:pPr>
            <w:r w:rsidRPr="000E4E11">
              <w:rPr>
                <w:rFonts w:eastAsia="MS PGothic"/>
                <w:color w:val="FF0000"/>
                <w:lang w:val="en-US"/>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bl>
    <w:p w14:paraId="022280C2" w14:textId="77777777" w:rsidR="002C532C" w:rsidRDefault="002C532C">
      <w:pPr>
        <w:rPr>
          <w:lang w:val="sv-SE"/>
        </w:rPr>
      </w:pPr>
    </w:p>
    <w:p w14:paraId="00B23A0B" w14:textId="77777777" w:rsidR="002C532C" w:rsidRDefault="002C532C"/>
    <w:p w14:paraId="506967E0" w14:textId="77777777" w:rsidR="002C532C" w:rsidRDefault="00932A35">
      <w:pPr>
        <w:pStyle w:val="Heading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35pt" o:ole="">
                  <v:imagedata r:id="rId13" o:title=""/>
                </v:shape>
                <o:OLEObject Type="Embed" ProgID="Visio.Drawing.15" ShapeID="_x0000_i1025" DrawAspect="Content" ObjectID="_1706953543" r:id="rId14"/>
              </w:object>
            </w:r>
          </w:p>
        </w:tc>
      </w:tr>
    </w:tbl>
    <w:p w14:paraId="2955D5C6" w14:textId="77777777" w:rsidR="002C532C" w:rsidRDefault="002C532C">
      <w:pPr>
        <w:rPr>
          <w:lang w:val="sv-SE"/>
        </w:rPr>
      </w:pPr>
    </w:p>
    <w:p w14:paraId="5CF6C460" w14:textId="77777777" w:rsidR="002C532C" w:rsidRDefault="00932A35">
      <w:pPr>
        <w:pStyle w:val="Heading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Heading1"/>
        <w:ind w:left="1134" w:hanging="1134"/>
      </w:pPr>
      <w:r>
        <w:rPr>
          <w:rFonts w:eastAsia="SimSun"/>
          <w:lang w:val="en-US" w:eastAsia="zh-CN"/>
        </w:rPr>
        <w:t>On PDCCH blocking rate reduction</w:t>
      </w:r>
    </w:p>
    <w:p w14:paraId="433CA25E" w14:textId="77777777" w:rsidR="002C532C" w:rsidRDefault="00932A35">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SimSun"/>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bl>
    <w:p w14:paraId="3613B664" w14:textId="77777777" w:rsidR="002C532C" w:rsidRDefault="002C532C">
      <w:pPr>
        <w:rPr>
          <w:lang w:eastAsia="zh-CN"/>
        </w:rPr>
      </w:pPr>
    </w:p>
    <w:p w14:paraId="2D48F9DD" w14:textId="77777777" w:rsidR="002C532C" w:rsidRDefault="00932A35">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7"/>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8A2DD6">
            <w:pPr>
              <w:rPr>
                <w:color w:val="0000FF"/>
                <w:u w:val="single"/>
              </w:rPr>
            </w:pPr>
            <w:hyperlink r:id="rId15" w:history="1">
              <w:r w:rsidR="00932A35">
                <w:rPr>
                  <w:rStyle w:val="Hyperlink"/>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8A2DD6">
            <w:pPr>
              <w:rPr>
                <w:color w:val="0000FF"/>
                <w:u w:val="single"/>
              </w:rPr>
            </w:pPr>
            <w:hyperlink r:id="rId16" w:history="1">
              <w:r w:rsidR="00932A35">
                <w:rPr>
                  <w:rStyle w:val="Hyperlink"/>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8A2DD6">
            <w:pPr>
              <w:rPr>
                <w:color w:val="0000FF"/>
                <w:u w:val="single"/>
              </w:rPr>
            </w:pPr>
            <w:hyperlink r:id="rId17" w:history="1">
              <w:r w:rsidR="00932A35">
                <w:rPr>
                  <w:rStyle w:val="Hyperlink"/>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8A2DD6">
            <w:pPr>
              <w:rPr>
                <w:color w:val="0000FF"/>
                <w:u w:val="single"/>
              </w:rPr>
            </w:pPr>
            <w:hyperlink r:id="rId18" w:history="1">
              <w:r w:rsidR="00932A35">
                <w:rPr>
                  <w:rStyle w:val="Hyperlink"/>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 xml:space="preserve">ZTE, </w:t>
            </w:r>
            <w:proofErr w:type="spellStart"/>
            <w:r>
              <w:rPr>
                <w:lang w:eastAsia="zh-CN"/>
              </w:rPr>
              <w:t>Sanechips</w:t>
            </w:r>
            <w:proofErr w:type="spellEnd"/>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8A2DD6">
            <w:pPr>
              <w:rPr>
                <w:color w:val="0000FF"/>
                <w:u w:val="single"/>
              </w:rPr>
            </w:pPr>
            <w:hyperlink r:id="rId19" w:history="1">
              <w:r w:rsidR="00932A35">
                <w:rPr>
                  <w:rStyle w:val="Hyperlink"/>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8A2DD6">
            <w:pPr>
              <w:rPr>
                <w:color w:val="0000FF"/>
                <w:u w:val="single"/>
              </w:rPr>
            </w:pPr>
            <w:hyperlink r:id="rId20" w:history="1">
              <w:r w:rsidR="00932A35">
                <w:rPr>
                  <w:rStyle w:val="Hyperlink"/>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8A2DD6">
            <w:pPr>
              <w:rPr>
                <w:color w:val="0000FF"/>
                <w:u w:val="single"/>
              </w:rPr>
            </w:pPr>
            <w:hyperlink r:id="rId21" w:history="1">
              <w:r w:rsidR="00932A35">
                <w:rPr>
                  <w:rStyle w:val="Hyperlink"/>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8A2DD6">
            <w:pPr>
              <w:rPr>
                <w:color w:val="0000FF"/>
                <w:u w:val="single"/>
              </w:rPr>
            </w:pPr>
            <w:hyperlink r:id="rId22" w:history="1">
              <w:r w:rsidR="00932A35">
                <w:rPr>
                  <w:rStyle w:val="Hyperlink"/>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8A2DD6">
            <w:pPr>
              <w:rPr>
                <w:color w:val="0000FF"/>
                <w:u w:val="single"/>
              </w:rPr>
            </w:pPr>
            <w:hyperlink r:id="rId23" w:history="1">
              <w:r w:rsidR="00932A35">
                <w:rPr>
                  <w:rStyle w:val="Hyperlink"/>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8A2DD6">
            <w:pPr>
              <w:rPr>
                <w:color w:val="0000FF"/>
                <w:u w:val="single"/>
              </w:rPr>
            </w:pPr>
            <w:hyperlink r:id="rId24" w:history="1">
              <w:r w:rsidR="00932A35">
                <w:rPr>
                  <w:rStyle w:val="Hyperlink"/>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8A2DD6">
            <w:pPr>
              <w:rPr>
                <w:color w:val="0000FF"/>
                <w:u w:val="single"/>
              </w:rPr>
            </w:pPr>
            <w:hyperlink r:id="rId25" w:history="1">
              <w:r w:rsidR="00932A35">
                <w:rPr>
                  <w:rStyle w:val="Hyperlink"/>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8A2DD6">
            <w:pPr>
              <w:rPr>
                <w:color w:val="0000FF"/>
                <w:u w:val="single"/>
              </w:rPr>
            </w:pPr>
            <w:hyperlink r:id="rId26" w:history="1">
              <w:r w:rsidR="00932A35">
                <w:rPr>
                  <w:rStyle w:val="Hyperlink"/>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8A2DD6">
            <w:pPr>
              <w:rPr>
                <w:color w:val="0000FF"/>
                <w:u w:val="single"/>
              </w:rPr>
            </w:pPr>
            <w:hyperlink r:id="rId27" w:history="1">
              <w:r w:rsidR="00932A35">
                <w:rPr>
                  <w:rStyle w:val="Hyperlink"/>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8A2DD6">
            <w:hyperlink r:id="rId28" w:history="1">
              <w:r w:rsidR="00932A35">
                <w:rPr>
                  <w:rStyle w:val="Hyperlink"/>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8A2DD6">
            <w:pPr>
              <w:rPr>
                <w:color w:val="0000FF"/>
                <w:u w:val="single"/>
              </w:rPr>
            </w:pPr>
            <w:hyperlink r:id="rId29" w:history="1">
              <w:r w:rsidR="00932A35">
                <w:rPr>
                  <w:rStyle w:val="Hyperlink"/>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8A2DD6">
            <w:pPr>
              <w:rPr>
                <w:color w:val="0000FF"/>
                <w:u w:val="single"/>
              </w:rPr>
            </w:pPr>
            <w:hyperlink r:id="rId30" w:history="1">
              <w:r w:rsidR="00932A35">
                <w:rPr>
                  <w:rStyle w:val="Hyperlink"/>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8A2DD6">
            <w:pPr>
              <w:rPr>
                <w:color w:val="0000FF"/>
                <w:u w:val="single"/>
              </w:rPr>
            </w:pPr>
            <w:hyperlink r:id="rId31" w:history="1">
              <w:r w:rsidR="00932A35">
                <w:rPr>
                  <w:rStyle w:val="Hyperlink"/>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8A2DD6">
            <w:pPr>
              <w:rPr>
                <w:color w:val="0000FF"/>
                <w:u w:val="single"/>
              </w:rPr>
            </w:pPr>
            <w:hyperlink r:id="rId32" w:history="1">
              <w:r w:rsidR="00932A35">
                <w:rPr>
                  <w:rStyle w:val="Hyperlink"/>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8A2DD6">
            <w:pPr>
              <w:rPr>
                <w:color w:val="0000FF"/>
                <w:u w:val="single"/>
              </w:rPr>
            </w:pPr>
            <w:hyperlink r:id="rId33" w:history="1">
              <w:r w:rsidR="00932A35">
                <w:rPr>
                  <w:rStyle w:val="Hyperlink"/>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 xml:space="preserve">Huawei, </w:t>
            </w:r>
            <w:proofErr w:type="spellStart"/>
            <w:r>
              <w:rPr>
                <w:lang w:eastAsia="zh-CN"/>
              </w:rPr>
              <w:t>HiSilicon</w:t>
            </w:r>
            <w:proofErr w:type="spellEnd"/>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8A2DD6">
            <w:pPr>
              <w:rPr>
                <w:color w:val="0000FF"/>
                <w:u w:val="single"/>
              </w:rPr>
            </w:pPr>
            <w:hyperlink r:id="rId34" w:history="1">
              <w:r w:rsidR="00932A35">
                <w:rPr>
                  <w:rStyle w:val="Hyperlink"/>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8A2DD6">
            <w:hyperlink r:id="rId35" w:history="1">
              <w:r w:rsidR="00932A35">
                <w:rPr>
                  <w:rStyle w:val="Hyperlink"/>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92CB" w14:textId="77777777" w:rsidR="00F24D18" w:rsidRDefault="00F24D18">
      <w:pPr>
        <w:spacing w:line="240" w:lineRule="auto"/>
      </w:pPr>
      <w:r>
        <w:separator/>
      </w:r>
    </w:p>
  </w:endnote>
  <w:endnote w:type="continuationSeparator" w:id="0">
    <w:p w14:paraId="2E875833" w14:textId="77777777" w:rsidR="00F24D18" w:rsidRDefault="00F24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F7FF" w14:textId="77777777" w:rsidR="00F24D18" w:rsidRDefault="00F24D18">
      <w:pPr>
        <w:spacing w:after="0"/>
      </w:pPr>
      <w:r>
        <w:separator/>
      </w:r>
    </w:p>
  </w:footnote>
  <w:footnote w:type="continuationSeparator" w:id="0">
    <w:p w14:paraId="4AFE65FB" w14:textId="77777777" w:rsidR="00F24D18" w:rsidRDefault="00F24D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E236E"/>
    <w:rsid w:val="000E29F9"/>
    <w:rsid w:val="000E4E11"/>
    <w:rsid w:val="00102E91"/>
    <w:rsid w:val="00105415"/>
    <w:rsid w:val="00115CE2"/>
    <w:rsid w:val="001201A0"/>
    <w:rsid w:val="001311C6"/>
    <w:rsid w:val="001469C6"/>
    <w:rsid w:val="00172394"/>
    <w:rsid w:val="001A55F4"/>
    <w:rsid w:val="001A6C55"/>
    <w:rsid w:val="001A6C96"/>
    <w:rsid w:val="001E1DB8"/>
    <w:rsid w:val="001F13C0"/>
    <w:rsid w:val="001F76BE"/>
    <w:rsid w:val="00216084"/>
    <w:rsid w:val="0021665E"/>
    <w:rsid w:val="00222712"/>
    <w:rsid w:val="00241205"/>
    <w:rsid w:val="00244368"/>
    <w:rsid w:val="00273391"/>
    <w:rsid w:val="002C532C"/>
    <w:rsid w:val="002D1AB6"/>
    <w:rsid w:val="002E0605"/>
    <w:rsid w:val="002F7B84"/>
    <w:rsid w:val="0030199C"/>
    <w:rsid w:val="003127D0"/>
    <w:rsid w:val="00323306"/>
    <w:rsid w:val="00323339"/>
    <w:rsid w:val="003407D7"/>
    <w:rsid w:val="00361013"/>
    <w:rsid w:val="00364EE2"/>
    <w:rsid w:val="003A1862"/>
    <w:rsid w:val="003A25D2"/>
    <w:rsid w:val="003B023E"/>
    <w:rsid w:val="003B0E4E"/>
    <w:rsid w:val="003C0558"/>
    <w:rsid w:val="003C16F5"/>
    <w:rsid w:val="003C379E"/>
    <w:rsid w:val="003F3381"/>
    <w:rsid w:val="00412693"/>
    <w:rsid w:val="00421CDC"/>
    <w:rsid w:val="004252A9"/>
    <w:rsid w:val="00452860"/>
    <w:rsid w:val="00453E57"/>
    <w:rsid w:val="004573AD"/>
    <w:rsid w:val="0046628C"/>
    <w:rsid w:val="0049058A"/>
    <w:rsid w:val="004B3DA0"/>
    <w:rsid w:val="004B50C9"/>
    <w:rsid w:val="004B71A0"/>
    <w:rsid w:val="004E74D1"/>
    <w:rsid w:val="004F079E"/>
    <w:rsid w:val="004F5029"/>
    <w:rsid w:val="00500A59"/>
    <w:rsid w:val="00506C01"/>
    <w:rsid w:val="005079B2"/>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6DFE"/>
    <w:rsid w:val="006C2D5D"/>
    <w:rsid w:val="006C6974"/>
    <w:rsid w:val="006D0A66"/>
    <w:rsid w:val="006D611A"/>
    <w:rsid w:val="006F5BCD"/>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E49CF"/>
    <w:rsid w:val="008F3738"/>
    <w:rsid w:val="008F51C2"/>
    <w:rsid w:val="00931010"/>
    <w:rsid w:val="00932A35"/>
    <w:rsid w:val="00943C13"/>
    <w:rsid w:val="00952299"/>
    <w:rsid w:val="00966229"/>
    <w:rsid w:val="009842D4"/>
    <w:rsid w:val="009A0831"/>
    <w:rsid w:val="009C2369"/>
    <w:rsid w:val="00A25A37"/>
    <w:rsid w:val="00A33E2C"/>
    <w:rsid w:val="00A45D91"/>
    <w:rsid w:val="00A50481"/>
    <w:rsid w:val="00A51C49"/>
    <w:rsid w:val="00A805D6"/>
    <w:rsid w:val="00A86137"/>
    <w:rsid w:val="00A9580E"/>
    <w:rsid w:val="00AA4DC8"/>
    <w:rsid w:val="00AC3FF1"/>
    <w:rsid w:val="00AE3B24"/>
    <w:rsid w:val="00AF036B"/>
    <w:rsid w:val="00B12764"/>
    <w:rsid w:val="00B41381"/>
    <w:rsid w:val="00B85D59"/>
    <w:rsid w:val="00BB6541"/>
    <w:rsid w:val="00C40525"/>
    <w:rsid w:val="00C54090"/>
    <w:rsid w:val="00C6146F"/>
    <w:rsid w:val="00C64896"/>
    <w:rsid w:val="00C65DF9"/>
    <w:rsid w:val="00C908D0"/>
    <w:rsid w:val="00C9453E"/>
    <w:rsid w:val="00CA2C2B"/>
    <w:rsid w:val="00CA65EB"/>
    <w:rsid w:val="00CB3302"/>
    <w:rsid w:val="00CC32EF"/>
    <w:rsid w:val="00CE0C53"/>
    <w:rsid w:val="00CE5CC2"/>
    <w:rsid w:val="00CF5CD3"/>
    <w:rsid w:val="00D066C7"/>
    <w:rsid w:val="00D06B38"/>
    <w:rsid w:val="00D27003"/>
    <w:rsid w:val="00D34142"/>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06E8D"/>
    <w:rsid w:val="00E5177B"/>
    <w:rsid w:val="00E51790"/>
    <w:rsid w:val="00E53612"/>
    <w:rsid w:val="00EA0C67"/>
    <w:rsid w:val="00EA571C"/>
    <w:rsid w:val="00EB72EE"/>
    <w:rsid w:val="00ED663C"/>
    <w:rsid w:val="00EE4C55"/>
    <w:rsid w:val="00F22002"/>
    <w:rsid w:val="00F233CA"/>
    <w:rsid w:val="00F24D18"/>
    <w:rsid w:val="00F40840"/>
    <w:rsid w:val="00F471DB"/>
    <w:rsid w:val="00F71AF3"/>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09A2"/>
  <w15:docId w15:val="{5530C6EE-B149-4323-94ED-FB2BEA91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file:///D:\Documents\3GPP%20documents\RAN1\TSGR1_108-e\Docs\R1-2201137.zip" TargetMode="External"/><Relationship Id="rId26" Type="http://schemas.openxmlformats.org/officeDocument/2006/relationships/hyperlink" Target="file:///D:\Documents\3GPP%20documents\RAN1\TSGR1_108-e\Docs\R1-2201669.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405.zip" TargetMode="External"/><Relationship Id="rId34" Type="http://schemas.openxmlformats.org/officeDocument/2006/relationships/hyperlink" Target="file:///D:\Documents\3GPP%20documents\RAN1\TSGR1_108-e\Docs\R1-2202146.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D:\Documents\3GPP%20documents\RAN1\TSGR1_108-e\Docs\R1-2201100.zip" TargetMode="External"/><Relationship Id="rId25" Type="http://schemas.openxmlformats.org/officeDocument/2006/relationships/hyperlink" Target="file:///D:\Documents\3GPP%20documents\RAN1\TSGR1_108-e\Docs\R1-2201591.zip" TargetMode="External"/><Relationship Id="rId33" Type="http://schemas.openxmlformats.org/officeDocument/2006/relationships/hyperlink" Target="file:///D:\Documents\3GPP%20documents\RAN1\TSGR1_108-e\Docs\R1-22024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2506.zip" TargetMode="External"/><Relationship Id="rId20" Type="http://schemas.openxmlformats.org/officeDocument/2006/relationships/hyperlink" Target="file:///D:\Documents\3GPP%20documents\RAN1\TSGR1_108-e\Docs\R1-2201368.zip" TargetMode="External"/><Relationship Id="rId29" Type="http://schemas.openxmlformats.org/officeDocument/2006/relationships/hyperlink" Target="file:///D:\Documents\3GPP%20documents\RAN1\TSGR1_108-e\Docs\R1-22018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550.zip" TargetMode="External"/><Relationship Id="rId32" Type="http://schemas.openxmlformats.org/officeDocument/2006/relationships/hyperlink" Target="file:///D:\Documents\3GPP%20documents\RAN1\TSGR1_108-e\Docs\R1-2202345.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8-e\Docs\R1-2201525.zip" TargetMode="External"/><Relationship Id="rId28" Type="http://schemas.openxmlformats.org/officeDocument/2006/relationships/hyperlink" Target="file:///D:\Documents\3GPP%20documents\RAN1\TSGR1_108-e\Docs\R1-2201776.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20documents\RAN1\TSGR1_108-e\Docs\R1-2201278.zip" TargetMode="External"/><Relationship Id="rId31" Type="http://schemas.openxmlformats.org/officeDocument/2006/relationships/hyperlink" Target="file:///D:\Documents\3GPP%20documents\RAN1\TSGR1_108-e\Docs\R1-2202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483.zip" TargetMode="External"/><Relationship Id="rId27" Type="http://schemas.openxmlformats.org/officeDocument/2006/relationships/hyperlink" Target="file:///D:\Documents\3GPP%20documents\RAN1\TSGR1_108-e\Docs\R1-2201703.zip" TargetMode="External"/><Relationship Id="rId30" Type="http://schemas.openxmlformats.org/officeDocument/2006/relationships/hyperlink" Target="file:///D:\Documents\3GPP%20documents\RAN1\TSGR1_108-e\Docs\R1-2201956.zip" TargetMode="External"/><Relationship Id="rId35" Type="http://schemas.openxmlformats.org/officeDocument/2006/relationships/hyperlink" Target="https://www.3gpp.org/ftp/TSG_RAN/WG1_RL1/TSGR1_107-e/Docs/R1-2112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8FC51-E5FE-4E54-B308-E7DF0B89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4771</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2</cp:revision>
  <cp:lastPrinted>2021-10-08T06:33:00Z</cp:lastPrinted>
  <dcterms:created xsi:type="dcterms:W3CDTF">2022-02-21T20:58:00Z</dcterms:created>
  <dcterms:modified xsi:type="dcterms:W3CDTF">2022-02-21T20:58:00Z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