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788E7" w14:textId="5D1FF759" w:rsidR="00593080" w:rsidRDefault="00702E1E">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2EEDF09" w14:textId="2EABCAA8"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14:paraId="6B578954" w14:textId="77777777" w:rsidR="00593080" w:rsidRDefault="00702E1E">
            <w:pPr>
              <w:spacing w:after="0"/>
              <w:jc w:val="center"/>
              <w:rPr>
                <w:rFonts w:eastAsia="宋体"/>
                <w:lang w:val="en-US" w:eastAsia="zh-CN"/>
              </w:rPr>
            </w:pPr>
            <w:r>
              <w:rPr>
                <w:rFonts w:eastAsia="宋体" w:hint="eastAsia"/>
                <w:lang w:val="en-US" w:eastAsia="zh-CN"/>
              </w:rPr>
              <w:t>Youjun Hu</w:t>
            </w:r>
          </w:p>
        </w:tc>
        <w:tc>
          <w:tcPr>
            <w:tcW w:w="4394" w:type="dxa"/>
          </w:tcPr>
          <w:p w14:paraId="6B578955" w14:textId="77777777" w:rsidR="00593080" w:rsidRDefault="00702E1E">
            <w:pPr>
              <w:spacing w:after="0"/>
              <w:jc w:val="center"/>
              <w:rPr>
                <w:rFonts w:eastAsia="宋体"/>
                <w:lang w:val="en-US" w:eastAsia="zh-CN"/>
              </w:rPr>
            </w:pPr>
            <w:r>
              <w:rPr>
                <w:rFonts w:eastAsia="宋体"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6B578958" w14:textId="77777777" w:rsidR="00593080" w:rsidRDefault="00702E1E">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6B578959" w14:textId="77777777" w:rsidR="00593080" w:rsidRDefault="00702E1E">
            <w:pPr>
              <w:spacing w:after="0"/>
              <w:jc w:val="center"/>
              <w:rPr>
                <w:rFonts w:eastAsia="宋体"/>
                <w:lang w:val="en-US" w:eastAsia="zh-CN"/>
              </w:rPr>
            </w:pPr>
            <w:r>
              <w:rPr>
                <w:rFonts w:eastAsia="宋体"/>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af6"/>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af6"/>
              <w:numPr>
                <w:ilvl w:val="0"/>
                <w:numId w:val="15"/>
              </w:numPr>
              <w:rPr>
                <w:b/>
                <w:bCs/>
                <w:sz w:val="20"/>
                <w:szCs w:val="22"/>
                <w:lang w:val="en-US"/>
              </w:rPr>
            </w:pPr>
            <w:r>
              <w:rPr>
                <w:b/>
                <w:bCs/>
                <w:sz w:val="20"/>
                <w:szCs w:val="22"/>
                <w:lang w:val="en-US"/>
              </w:rPr>
              <w:t>Option 3:</w:t>
            </w:r>
          </w:p>
          <w:p w14:paraId="6B5789DA" w14:textId="77777777" w:rsidR="00593080" w:rsidRDefault="00702E1E">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宋体"/>
                <w:lang w:val="en-US" w:eastAsia="zh-CN"/>
              </w:rPr>
            </w:pPr>
            <w:r>
              <w:rPr>
                <w:rFonts w:eastAsia="宋体"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宋体"/>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af6"/>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w:t>
            </w:r>
            <w:r w:rsidRPr="00D37938">
              <w:rPr>
                <w:b/>
                <w:bCs/>
                <w:color w:val="FF0000"/>
                <w:sz w:val="20"/>
                <w:szCs w:val="22"/>
                <w:lang w:val="en-US"/>
              </w:rPr>
              <w:lastRenderedPageBreak/>
              <w:t>CORESET#0 and the initial UL BWP does not exceed the RedCap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Pr="008F2C8A" w:rsidRDefault="00702E1E">
            <w:pPr>
              <w:pStyle w:val="af6"/>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af6"/>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af6"/>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w:t>
            </w:r>
            <w:r w:rsidRPr="00D37938">
              <w:rPr>
                <w:b/>
                <w:bCs/>
                <w:color w:val="FF0000"/>
                <w:sz w:val="20"/>
                <w:szCs w:val="22"/>
                <w:lang w:val="en-US"/>
              </w:rPr>
              <w:lastRenderedPageBreak/>
              <w:t xml:space="preserve">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w:t>
            </w:r>
            <w:r>
              <w:rPr>
                <w:rFonts w:eastAsiaTheme="minorEastAsia"/>
                <w:lang w:val="en-US" w:eastAsia="zh-CN"/>
              </w:rPr>
              <w:lastRenderedPageBreak/>
              <w:t>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w:t>
            </w:r>
            <w:r>
              <w:rPr>
                <w:rFonts w:eastAsiaTheme="minorEastAsia"/>
                <w:lang w:val="en-US" w:eastAsia="zh-CN"/>
              </w:rPr>
              <w:lastRenderedPageBreak/>
              <w:t>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6B578B1E" w14:textId="62FEADF4" w:rsidR="00593080" w:rsidRDefault="00702E1E">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af6"/>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af6"/>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af6"/>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af6"/>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xml:space="preserve">, as long as center frequency issue of </w:t>
            </w:r>
            <w:r w:rsidR="00D14814">
              <w:rPr>
                <w:rFonts w:eastAsiaTheme="minorEastAsia" w:hint="eastAsia"/>
                <w:lang w:val="en-US" w:eastAsia="zh-CN"/>
              </w:rPr>
              <w:lastRenderedPageBreak/>
              <w:t>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lastRenderedPageBreak/>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lastRenderedPageBreak/>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lastRenderedPageBreak/>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zh-CN"/>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zh-CN"/>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lastRenderedPageBreak/>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w:t>
                  </w:r>
                  <w:r>
                    <w:rPr>
                      <w:rFonts w:eastAsia="MS Mincho"/>
                      <w:i/>
                      <w:lang w:eastAsia="ja-JP"/>
                    </w:rPr>
                    <w:lastRenderedPageBreak/>
                    <w:t>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宋体"/>
                <w:lang w:val="en-US" w:eastAsia="zh-CN"/>
              </w:rPr>
            </w:pPr>
            <w:r>
              <w:rPr>
                <w:rFonts w:eastAsia="宋体" w:hint="eastAsia"/>
                <w:lang w:val="en-US" w:eastAsia="zh-CN"/>
              </w:rPr>
              <w:lastRenderedPageBreak/>
              <w:t>ZTE, Sanechips</w:t>
            </w:r>
          </w:p>
        </w:tc>
        <w:tc>
          <w:tcPr>
            <w:tcW w:w="1372" w:type="dxa"/>
          </w:tcPr>
          <w:p w14:paraId="6B578BC2" w14:textId="77777777"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BCA"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af6"/>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lastRenderedPageBreak/>
                    <w:t>RAN2#116bis-e</w:t>
                  </w:r>
                </w:p>
                <w:p w14:paraId="6B578C1F" w14:textId="77777777"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宋体"/>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lastRenderedPageBreak/>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3"/>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7030F5B0" w:rsidR="00620B9F" w:rsidRPr="00D469FD" w:rsidRDefault="00D469FD" w:rsidP="000522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lastRenderedPageBreak/>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lastRenderedPageBreak/>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1"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lastRenderedPageBreak/>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af6"/>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578CDF" w14:textId="77777777" w:rsidR="00593080" w:rsidRDefault="00702E1E">
            <w:pPr>
              <w:pStyle w:val="af6"/>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af6"/>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af6"/>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6B578CF8"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af6"/>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lastRenderedPageBreak/>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lastRenderedPageBreak/>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w:t>
            </w:r>
            <w:r>
              <w:rPr>
                <w:rFonts w:eastAsia="Malgun Gothic"/>
                <w:lang w:val="en-US" w:eastAsia="ko-KR"/>
              </w:rPr>
              <w:lastRenderedPageBreak/>
              <w:t>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14:paraId="6B578E31" w14:textId="77777777"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B578E32" w14:textId="77777777" w:rsidR="00593080" w:rsidRDefault="00702E1E">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等线"/>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lastRenderedPageBreak/>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lastRenderedPageBreak/>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MS Mincho"/>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w:t>
            </w:r>
            <w:r>
              <w:rPr>
                <w:rFonts w:ascii="Times" w:eastAsia="Microsoft YaHei UI" w:hAnsi="Times"/>
                <w:b/>
                <w:lang w:eastAsia="zh-CN"/>
              </w:rPr>
              <w:lastRenderedPageBreak/>
              <w:t xml:space="preserve">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等线"/>
                <w:lang w:val="en-US" w:eastAsia="zh-CN"/>
              </w:rPr>
            </w:pPr>
            <w:r>
              <w:rPr>
                <w:rFonts w:eastAsia="等线"/>
                <w:lang w:val="en-US" w:eastAsia="zh-CN"/>
              </w:rPr>
              <w:t xml:space="preserve">Based on our understanding of RAN2 and RAN4 reply LS, we think </w:t>
            </w:r>
          </w:p>
          <w:p w14:paraId="6B578EDE" w14:textId="77777777" w:rsidR="00593080" w:rsidRDefault="00702E1E">
            <w:pPr>
              <w:pStyle w:val="af6"/>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等线"/>
                <w:lang w:val="en-US" w:eastAsia="zh-CN"/>
              </w:rPr>
            </w:pPr>
            <w:r>
              <w:rPr>
                <w:rFonts w:eastAsia="等线"/>
                <w:lang w:val="en-US" w:eastAsia="zh-CN"/>
              </w:rPr>
              <w:t>CSI-RS based RRM measurements, i.e FG 1-4 and 1-5, are not supported.</w:t>
            </w:r>
          </w:p>
          <w:p w14:paraId="6B578EE0" w14:textId="77777777"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w:t>
            </w:r>
            <w:r>
              <w:rPr>
                <w:rFonts w:eastAsiaTheme="minorEastAsia"/>
                <w:lang w:val="en-US" w:eastAsia="zh-CN"/>
              </w:rPr>
              <w:lastRenderedPageBreak/>
              <w:t xml:space="preserve">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lastRenderedPageBreak/>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5B98F054" w14:textId="77777777" w:rsidR="00FF461A" w:rsidRPr="00CD5B9B" w:rsidRDefault="00FF461A" w:rsidP="00FF461A">
            <w:pPr>
              <w:pStyle w:val="af6"/>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1548A29B" w14:textId="77777777" w:rsidR="00FF461A" w:rsidRPr="00CD5B9B" w:rsidRDefault="00FF461A" w:rsidP="00FF461A">
            <w:pPr>
              <w:pStyle w:val="af6"/>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lastRenderedPageBreak/>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1E92D0DA" w14:textId="77777777" w:rsidR="00FF461A" w:rsidRPr="00CD5B9B" w:rsidRDefault="00FF461A" w:rsidP="00FF461A">
            <w:pPr>
              <w:pStyle w:val="af6"/>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we’d like to take it for gNB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rather th</w:t>
            </w:r>
            <w:bookmarkStart w:id="5" w:name="_GoBack"/>
            <w:bookmarkEnd w:id="5"/>
            <w:r w:rsidRPr="00F63E5F">
              <w:rPr>
                <w:rFonts w:ascii="Arial" w:hAnsi="Arial" w:cs="Arial"/>
                <w:bCs/>
                <w:i/>
                <w:iCs/>
                <w:color w:val="000000"/>
                <w:lang w:eastAsia="ko-KR"/>
              </w:rPr>
              <w:t>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af6"/>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zh-CN"/>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lastRenderedPageBreak/>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lastRenderedPageBreak/>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af6"/>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af6"/>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lastRenderedPageBreak/>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6B579029" w14:textId="77777777"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af6"/>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6B579035" w14:textId="77777777" w:rsidR="00593080" w:rsidRDefault="00702E1E">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6B57905E" w14:textId="77777777"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af6"/>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af4"/>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af4"/>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af4"/>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zh-CN"/>
              </w:rPr>
              <w:lastRenderedPageBreak/>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zh-CN"/>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zh-CN"/>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af6"/>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0514AB">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0514AB">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w:t>
            </w:r>
            <w:r>
              <w:rPr>
                <w:rFonts w:eastAsiaTheme="minorEastAsia"/>
                <w:lang w:val="en-US" w:eastAsia="zh-CN"/>
              </w:rPr>
              <w:lastRenderedPageBreak/>
              <w:t xml:space="preserve">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lastRenderedPageBreak/>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af4"/>
                      <w:rFonts w:cs="Arial"/>
                      <w:b/>
                    </w:rPr>
                  </w:pPr>
                  <w:r w:rsidRPr="006A621C">
                    <w:rPr>
                      <w:rStyle w:val="af4"/>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af4"/>
                      <w:rFonts w:cs="Arial"/>
                      <w:b/>
                    </w:rPr>
                  </w:pPr>
                  <w:r w:rsidRPr="006A621C">
                    <w:rPr>
                      <w:rStyle w:val="af4"/>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af4"/>
                      <w:rFonts w:cs="Arial"/>
                      <w:b/>
                    </w:rPr>
                  </w:pPr>
                  <w:r w:rsidRPr="006A621C">
                    <w:rPr>
                      <w:rStyle w:val="af4"/>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af4"/>
                      <w:rFonts w:cs="Arial"/>
                      <w:b/>
                    </w:rPr>
                  </w:pPr>
                  <w:r w:rsidRPr="006A621C">
                    <w:rPr>
                      <w:rStyle w:val="af4"/>
                      <w:rFonts w:cs="Arial"/>
                    </w:rPr>
                    <w:t xml:space="preserve">PRB offset </w:t>
                  </w:r>
                  <w:r w:rsidRPr="006A621C">
                    <w:rPr>
                      <w:b/>
                      <w:noProof/>
                      <w:position w:val="-10"/>
                      <w:szCs w:val="18"/>
                      <w:lang w:val="en-US" w:eastAsia="zh-CN"/>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af4"/>
                      <w:rFonts w:cs="Arial"/>
                      <w:b/>
                    </w:rPr>
                  </w:pPr>
                  <w:r w:rsidRPr="006A621C">
                    <w:rPr>
                      <w:rStyle w:val="af4"/>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lastRenderedPageBreak/>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97BB0F5" w14:textId="6E178D67" w:rsidR="00107881" w:rsidRPr="00107881" w:rsidRDefault="00107881" w:rsidP="00107881">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lastRenderedPageBreak/>
        <w:t>Multiplexing of FH and non-FH PUCCH:</w:t>
      </w:r>
    </w:p>
    <w:p w14:paraId="6B5791E2"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af6"/>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9"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af6"/>
              <w:ind w:left="420"/>
              <w:rPr>
                <w:rFonts w:ascii="Times New Roman" w:eastAsiaTheme="minorEastAsia" w:hAnsi="Times New Roman" w:cs="Times New Roman"/>
                <w:sz w:val="20"/>
                <w:szCs w:val="20"/>
                <w:lang w:val="en-US" w:eastAsia="zh-CN"/>
              </w:rPr>
            </w:pPr>
          </w:p>
          <w:p w14:paraId="6B57920A" w14:textId="77777777" w:rsidR="00593080" w:rsidRDefault="00702E1E">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af6"/>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lastRenderedPageBreak/>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0514AB">
            <w:pPr>
              <w:rPr>
                <w:color w:val="0000FF"/>
                <w:u w:val="single"/>
                <w:lang w:val="en-US"/>
              </w:rPr>
            </w:pPr>
            <w:hyperlink r:id="rId31" w:history="1">
              <w:r w:rsidR="00702E1E">
                <w:rPr>
                  <w:rStyle w:val="af3"/>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0514AB">
            <w:pPr>
              <w:rPr>
                <w:color w:val="0000FF"/>
                <w:u w:val="single"/>
                <w:lang w:val="en-US"/>
              </w:rPr>
            </w:pPr>
            <w:hyperlink r:id="rId32" w:history="1">
              <w:r w:rsidR="00702E1E">
                <w:rPr>
                  <w:rStyle w:val="af3"/>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0514AB">
            <w:pPr>
              <w:rPr>
                <w:lang w:val="en-US"/>
              </w:rPr>
            </w:pPr>
            <w:hyperlink r:id="rId33" w:history="1">
              <w:r w:rsidR="00702E1E">
                <w:rPr>
                  <w:rStyle w:val="af3"/>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7"/>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0514AB">
            <w:pPr>
              <w:rPr>
                <w:lang w:val="en-US"/>
              </w:rPr>
            </w:pPr>
            <w:hyperlink r:id="rId34" w:history="1">
              <w:r w:rsidR="00702E1E">
                <w:rPr>
                  <w:rStyle w:val="af3"/>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0514AB">
            <w:pPr>
              <w:rPr>
                <w:lang w:val="en-US"/>
              </w:rPr>
            </w:pPr>
            <w:hyperlink r:id="rId35" w:history="1">
              <w:r w:rsidR="00702E1E">
                <w:rPr>
                  <w:rStyle w:val="af3"/>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0514AB">
            <w:pPr>
              <w:rPr>
                <w:lang w:val="en-US"/>
              </w:rPr>
            </w:pPr>
            <w:hyperlink r:id="rId36" w:history="1">
              <w:r w:rsidR="00702E1E">
                <w:rPr>
                  <w:rStyle w:val="af3"/>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0514AB">
            <w:pPr>
              <w:rPr>
                <w:lang w:val="en-US"/>
              </w:rPr>
            </w:pPr>
            <w:hyperlink r:id="rId37" w:history="1">
              <w:r w:rsidR="00702E1E">
                <w:rPr>
                  <w:rStyle w:val="af3"/>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0514AB">
            <w:pPr>
              <w:rPr>
                <w:lang w:val="en-US"/>
              </w:rPr>
            </w:pPr>
            <w:hyperlink r:id="rId38" w:history="1">
              <w:r w:rsidR="00702E1E">
                <w:rPr>
                  <w:rStyle w:val="af3"/>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0514AB">
            <w:pPr>
              <w:rPr>
                <w:lang w:val="en-US"/>
              </w:rPr>
            </w:pPr>
            <w:hyperlink r:id="rId39" w:history="1">
              <w:r w:rsidR="00702E1E">
                <w:rPr>
                  <w:rStyle w:val="af3"/>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0514AB">
            <w:pPr>
              <w:rPr>
                <w:lang w:val="en-US"/>
              </w:rPr>
            </w:pPr>
            <w:hyperlink r:id="rId40" w:history="1">
              <w:r w:rsidR="00702E1E">
                <w:rPr>
                  <w:rStyle w:val="af3"/>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0514AB">
            <w:pPr>
              <w:rPr>
                <w:lang w:val="en-US"/>
              </w:rPr>
            </w:pPr>
            <w:hyperlink r:id="rId41" w:history="1">
              <w:r w:rsidR="00702E1E">
                <w:rPr>
                  <w:rStyle w:val="af3"/>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0514AB">
            <w:pPr>
              <w:rPr>
                <w:lang w:val="en-US"/>
              </w:rPr>
            </w:pPr>
            <w:hyperlink r:id="rId42" w:history="1">
              <w:r w:rsidR="00702E1E">
                <w:rPr>
                  <w:rStyle w:val="af3"/>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0514AB">
            <w:pPr>
              <w:rPr>
                <w:lang w:val="en-US"/>
              </w:rPr>
            </w:pPr>
            <w:hyperlink r:id="rId43" w:history="1">
              <w:r w:rsidR="00702E1E">
                <w:rPr>
                  <w:rStyle w:val="af3"/>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0514AB">
            <w:pPr>
              <w:rPr>
                <w:lang w:val="en-US"/>
              </w:rPr>
            </w:pPr>
            <w:hyperlink r:id="rId44" w:history="1">
              <w:r w:rsidR="00702E1E">
                <w:rPr>
                  <w:rStyle w:val="af3"/>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0514AB">
            <w:pPr>
              <w:rPr>
                <w:lang w:val="en-US"/>
              </w:rPr>
            </w:pPr>
            <w:hyperlink r:id="rId45" w:history="1">
              <w:r w:rsidR="00702E1E">
                <w:rPr>
                  <w:rStyle w:val="af3"/>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0514AB">
            <w:pPr>
              <w:rPr>
                <w:lang w:val="en-US"/>
              </w:rPr>
            </w:pPr>
            <w:hyperlink r:id="rId46" w:history="1">
              <w:r w:rsidR="00702E1E">
                <w:rPr>
                  <w:rStyle w:val="af3"/>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0514AB">
            <w:pPr>
              <w:rPr>
                <w:lang w:val="en-US"/>
              </w:rPr>
            </w:pPr>
            <w:hyperlink r:id="rId47" w:history="1">
              <w:r w:rsidR="00702E1E">
                <w:rPr>
                  <w:rStyle w:val="af3"/>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0514AB">
            <w:pPr>
              <w:rPr>
                <w:lang w:val="en-US"/>
              </w:rPr>
            </w:pPr>
            <w:hyperlink r:id="rId48" w:history="1">
              <w:r w:rsidR="00702E1E">
                <w:rPr>
                  <w:rStyle w:val="af3"/>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0514AB">
            <w:pPr>
              <w:rPr>
                <w:lang w:val="en-US"/>
              </w:rPr>
            </w:pPr>
            <w:hyperlink r:id="rId49" w:history="1">
              <w:r w:rsidR="00702E1E">
                <w:rPr>
                  <w:rStyle w:val="af3"/>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0514AB">
            <w:pPr>
              <w:rPr>
                <w:lang w:val="en-US"/>
              </w:rPr>
            </w:pPr>
            <w:hyperlink r:id="rId50" w:history="1">
              <w:r w:rsidR="00702E1E">
                <w:rPr>
                  <w:rStyle w:val="af3"/>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0514AB">
            <w:pPr>
              <w:rPr>
                <w:lang w:val="en-US"/>
              </w:rPr>
            </w:pPr>
            <w:hyperlink r:id="rId51" w:history="1">
              <w:r w:rsidR="00702E1E">
                <w:rPr>
                  <w:rStyle w:val="af3"/>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0514AB">
            <w:pPr>
              <w:rPr>
                <w:lang w:val="en-US"/>
              </w:rPr>
            </w:pPr>
            <w:hyperlink r:id="rId52" w:history="1">
              <w:r w:rsidR="00702E1E">
                <w:rPr>
                  <w:rStyle w:val="af3"/>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lastRenderedPageBreak/>
              <w:t>[23]</w:t>
            </w:r>
          </w:p>
        </w:tc>
        <w:tc>
          <w:tcPr>
            <w:tcW w:w="1456" w:type="dxa"/>
            <w:tcMar>
              <w:top w:w="0" w:type="dxa"/>
              <w:left w:w="70" w:type="dxa"/>
              <w:bottom w:w="0" w:type="dxa"/>
              <w:right w:w="70" w:type="dxa"/>
            </w:tcMar>
          </w:tcPr>
          <w:p w14:paraId="6B57928C" w14:textId="77777777" w:rsidR="00593080" w:rsidRDefault="000514AB">
            <w:pPr>
              <w:rPr>
                <w:lang w:val="en-US"/>
              </w:rPr>
            </w:pPr>
            <w:hyperlink r:id="rId53" w:history="1">
              <w:r w:rsidR="00702E1E">
                <w:rPr>
                  <w:rStyle w:val="af3"/>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0514AB">
            <w:pPr>
              <w:rPr>
                <w:lang w:val="en-US"/>
              </w:rPr>
            </w:pPr>
            <w:hyperlink r:id="rId54" w:history="1">
              <w:r w:rsidR="00702E1E">
                <w:rPr>
                  <w:rStyle w:val="af3"/>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0514AB">
            <w:pPr>
              <w:rPr>
                <w:lang w:val="en-US"/>
              </w:rPr>
            </w:pPr>
            <w:hyperlink r:id="rId55" w:history="1">
              <w:r w:rsidR="00702E1E">
                <w:rPr>
                  <w:rStyle w:val="af3"/>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0514AB">
            <w:pPr>
              <w:rPr>
                <w:lang w:val="en-US"/>
              </w:rPr>
            </w:pPr>
            <w:hyperlink r:id="rId56" w:history="1">
              <w:r w:rsidR="00702E1E">
                <w:rPr>
                  <w:rStyle w:val="af3"/>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0514AB">
            <w:pPr>
              <w:rPr>
                <w:lang w:val="en-US"/>
              </w:rPr>
            </w:pPr>
            <w:hyperlink r:id="rId57" w:history="1">
              <w:r w:rsidR="00702E1E">
                <w:rPr>
                  <w:rStyle w:val="af3"/>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0514AB">
            <w:pPr>
              <w:rPr>
                <w:lang w:val="en-US"/>
              </w:rPr>
            </w:pPr>
            <w:hyperlink r:id="rId58" w:history="1">
              <w:r w:rsidR="00702E1E">
                <w:rPr>
                  <w:rStyle w:val="af3"/>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0514AB">
            <w:pPr>
              <w:rPr>
                <w:lang w:val="en-US"/>
              </w:rPr>
            </w:pPr>
            <w:hyperlink r:id="rId59" w:history="1">
              <w:r w:rsidR="00702E1E">
                <w:rPr>
                  <w:rStyle w:val="af3"/>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0514AB">
            <w:pPr>
              <w:rPr>
                <w:lang w:val="en-US"/>
              </w:rPr>
            </w:pPr>
            <w:hyperlink r:id="rId60" w:history="1">
              <w:r w:rsidR="00702E1E">
                <w:rPr>
                  <w:rStyle w:val="af3"/>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0514AB">
            <w:pPr>
              <w:rPr>
                <w:lang w:val="en-US"/>
              </w:rPr>
            </w:pPr>
            <w:hyperlink r:id="rId61" w:history="1">
              <w:r w:rsidR="00702E1E">
                <w:rPr>
                  <w:rStyle w:val="af3"/>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0514AB">
            <w:pPr>
              <w:rPr>
                <w:lang w:val="en-US"/>
              </w:rPr>
            </w:pPr>
            <w:hyperlink r:id="rId62" w:history="1">
              <w:r w:rsidR="00702E1E">
                <w:rPr>
                  <w:rStyle w:val="af3"/>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0514AB">
            <w:pPr>
              <w:rPr>
                <w:lang w:val="en-US"/>
              </w:rPr>
            </w:pPr>
            <w:hyperlink r:id="rId63" w:history="1">
              <w:r w:rsidR="00702E1E">
                <w:rPr>
                  <w:rStyle w:val="af3"/>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0514AB">
            <w:pPr>
              <w:rPr>
                <w:lang w:val="en-US"/>
              </w:rPr>
            </w:pPr>
            <w:hyperlink r:id="rId64" w:history="1">
              <w:r w:rsidR="00702E1E">
                <w:rPr>
                  <w:rStyle w:val="af3"/>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0514AB">
            <w:pPr>
              <w:rPr>
                <w:lang w:val="en-US"/>
              </w:rPr>
            </w:pPr>
            <w:hyperlink r:id="rId65" w:history="1">
              <w:r w:rsidR="00702E1E">
                <w:rPr>
                  <w:rStyle w:val="af3"/>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0514AB">
            <w:pPr>
              <w:rPr>
                <w:lang w:val="en-US"/>
              </w:rPr>
            </w:pPr>
            <w:hyperlink r:id="rId66" w:history="1">
              <w:r w:rsidR="00702E1E">
                <w:rPr>
                  <w:rStyle w:val="af3"/>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0514AB">
            <w:pPr>
              <w:rPr>
                <w:lang w:val="en-US"/>
              </w:rPr>
            </w:pPr>
            <w:hyperlink r:id="rId67" w:history="1">
              <w:r w:rsidR="00702E1E">
                <w:rPr>
                  <w:rStyle w:val="af3"/>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0514AB">
            <w:pPr>
              <w:rPr>
                <w:rStyle w:val="af3"/>
                <w:color w:val="0000FF"/>
                <w:lang w:val="en-US"/>
              </w:rPr>
            </w:pPr>
            <w:hyperlink r:id="rId68" w:history="1">
              <w:r w:rsidR="00702E1E">
                <w:rPr>
                  <w:rStyle w:val="af3"/>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0514AB">
            <w:pPr>
              <w:rPr>
                <w:rStyle w:val="af3"/>
                <w:color w:val="0000FF"/>
                <w:lang w:val="en-US"/>
              </w:rPr>
            </w:pPr>
            <w:hyperlink r:id="rId69" w:history="1">
              <w:r w:rsidR="00702E1E">
                <w:rPr>
                  <w:rStyle w:val="af3"/>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0514AB">
            <w:pPr>
              <w:rPr>
                <w:rStyle w:val="af3"/>
                <w:color w:val="0000FF"/>
                <w:lang w:val="en-US"/>
              </w:rPr>
            </w:pPr>
            <w:hyperlink r:id="rId70" w:history="1">
              <w:r w:rsidR="00702E1E">
                <w:rPr>
                  <w:rStyle w:val="af3"/>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0514AB">
            <w:pPr>
              <w:rPr>
                <w:rStyle w:val="af3"/>
                <w:color w:val="0000FF"/>
                <w:lang w:val="en-US"/>
              </w:rPr>
            </w:pPr>
            <w:hyperlink r:id="rId71" w:history="1">
              <w:r w:rsidR="00702E1E">
                <w:rPr>
                  <w:rStyle w:val="af3"/>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0514AB">
            <w:pPr>
              <w:rPr>
                <w:color w:val="0000FF"/>
                <w:u w:val="single"/>
                <w:lang w:val="en-US" w:eastAsia="sv-SE"/>
              </w:rPr>
            </w:pPr>
            <w:hyperlink r:id="rId72" w:history="1">
              <w:r w:rsidR="00702E1E">
                <w:rPr>
                  <w:rStyle w:val="af3"/>
                  <w:color w:val="0000FF"/>
                  <w:lang w:val="en-US" w:eastAsia="sv-SE"/>
                </w:rPr>
                <w:t>R1-2202528</w:t>
              </w:r>
            </w:hyperlink>
            <w:r w:rsidR="00702E1E">
              <w:rPr>
                <w:lang w:val="en-US"/>
              </w:rPr>
              <w:br/>
              <w:t>(</w:t>
            </w:r>
            <w:hyperlink r:id="rId73" w:history="1">
              <w:r w:rsidR="00702E1E">
                <w:rPr>
                  <w:rStyle w:val="af3"/>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0514AB" w:rsidP="00A577A7">
            <w:hyperlink r:id="rId74" w:history="1">
              <w:r w:rsidR="00A577A7">
                <w:rPr>
                  <w:rStyle w:val="af3"/>
                  <w:color w:val="0000FF"/>
                  <w:lang w:val="en-US" w:eastAsia="sv-SE"/>
                </w:rPr>
                <w:t>R1-2202529</w:t>
              </w:r>
            </w:hyperlink>
            <w:r w:rsidR="00A577A7">
              <w:rPr>
                <w:lang w:val="en-US"/>
              </w:rPr>
              <w:br/>
              <w:t>(</w:t>
            </w:r>
            <w:hyperlink r:id="rId75" w:history="1">
              <w:r w:rsidR="00A577A7">
                <w:rPr>
                  <w:rStyle w:val="af3"/>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F53D3" w14:textId="77777777" w:rsidR="000514AB" w:rsidRDefault="000514AB">
      <w:pPr>
        <w:spacing w:after="0" w:line="240" w:lineRule="auto"/>
      </w:pPr>
      <w:r>
        <w:separator/>
      </w:r>
    </w:p>
  </w:endnote>
  <w:endnote w:type="continuationSeparator" w:id="0">
    <w:p w14:paraId="2386F8FA" w14:textId="77777777" w:rsidR="000514AB" w:rsidRDefault="0005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931F" w14:textId="77777777" w:rsidR="000514AB" w:rsidRDefault="000514AB">
      <w:pPr>
        <w:spacing w:after="0" w:line="240" w:lineRule="auto"/>
      </w:pPr>
      <w:r>
        <w:separator/>
      </w:r>
    </w:p>
  </w:footnote>
  <w:footnote w:type="continuationSeparator" w:id="0">
    <w:p w14:paraId="32702921" w14:textId="77777777" w:rsidR="000514AB" w:rsidRDefault="00051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2"/>
  </w:num>
  <w:num w:numId="12">
    <w:abstractNumId w:val="35"/>
  </w:num>
  <w:num w:numId="13">
    <w:abstractNumId w:val="8"/>
  </w:num>
  <w:num w:numId="14">
    <w:abstractNumId w:val="25"/>
  </w:num>
  <w:num w:numId="15">
    <w:abstractNumId w:val="26"/>
  </w:num>
  <w:num w:numId="16">
    <w:abstractNumId w:val="37"/>
  </w:num>
  <w:num w:numId="17">
    <w:abstractNumId w:val="14"/>
  </w:num>
  <w:num w:numId="18">
    <w:abstractNumId w:val="43"/>
  </w:num>
  <w:num w:numId="19">
    <w:abstractNumId w:val="21"/>
  </w:num>
  <w:num w:numId="20">
    <w:abstractNumId w:val="9"/>
  </w:num>
  <w:num w:numId="21">
    <w:abstractNumId w:val="39"/>
  </w:num>
  <w:num w:numId="22">
    <w:abstractNumId w:val="41"/>
  </w:num>
  <w:num w:numId="23">
    <w:abstractNumId w:val="10"/>
  </w:num>
  <w:num w:numId="24">
    <w:abstractNumId w:val="29"/>
  </w:num>
  <w:num w:numId="25">
    <w:abstractNumId w:val="38"/>
  </w:num>
  <w:num w:numId="26">
    <w:abstractNumId w:val="3"/>
  </w:num>
  <w:num w:numId="27">
    <w:abstractNumId w:val="28"/>
  </w:num>
  <w:num w:numId="28">
    <w:abstractNumId w:val="34"/>
  </w:num>
  <w:num w:numId="29">
    <w:abstractNumId w:val="4"/>
  </w:num>
  <w:num w:numId="30">
    <w:abstractNumId w:val="7"/>
  </w:num>
  <w:num w:numId="31">
    <w:abstractNumId w:val="36"/>
  </w:num>
  <w:num w:numId="32">
    <w:abstractNumId w:val="6"/>
  </w:num>
  <w:num w:numId="33">
    <w:abstractNumId w:val="5"/>
  </w:num>
  <w:num w:numId="34">
    <w:abstractNumId w:val="22"/>
  </w:num>
  <w:num w:numId="35">
    <w:abstractNumId w:val="33"/>
  </w:num>
  <w:num w:numId="36">
    <w:abstractNumId w:val="16"/>
  </w:num>
  <w:num w:numId="37">
    <w:abstractNumId w:val="20"/>
  </w:num>
  <w:num w:numId="38">
    <w:abstractNumId w:val="31"/>
  </w:num>
  <w:num w:numId="39">
    <w:abstractNumId w:val="32"/>
  </w:num>
  <w:num w:numId="40">
    <w:abstractNumId w:val="42"/>
  </w:num>
  <w:num w:numId="41">
    <w:abstractNumId w:val="13"/>
  </w:num>
  <w:num w:numId="42">
    <w:abstractNumId w:val="40"/>
  </w:num>
  <w:num w:numId="43">
    <w:abstractNumId w:val="1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84342"/>
    <w:rsid w:val="00685B69"/>
    <w:rsid w:val="00687813"/>
    <w:rsid w:val="0069111C"/>
    <w:rsid w:val="0069151C"/>
    <w:rsid w:val="00692B8A"/>
    <w:rsid w:val="006A2EBD"/>
    <w:rsid w:val="006A4C74"/>
    <w:rsid w:val="006A64AA"/>
    <w:rsid w:val="006A6B88"/>
    <w:rsid w:val="006B2C1B"/>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www.3gpp.org/ftp/tsg_ran/WG1_RL1/TSGR1_108-e/Inbox/drafts/7.1/%5B108-e-NR-CRs-16%5D" TargetMode="External"/><Relationship Id="rId42" Type="http://schemas.openxmlformats.org/officeDocument/2006/relationships/hyperlink" Target="https://www.3gpp.org/ftp/TSG_RAN/WG1_RL1/TSGR1_108-e/Docs/R1-2201482.zip" TargetMode="External"/><Relationship Id="rId47"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1892.zip" TargetMode="External"/><Relationship Id="rId68" Type="http://schemas.openxmlformats.org/officeDocument/2006/relationships/hyperlink" Target="https://www.3gpp.org/ftp/TSG_RAN/WG1_RL1/TSGR1_108-e/Docs/R1-220087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hyperlink" Target="https://www.3gpp.org/ftp/tsg_ran/WG1_RL1/TSGR1_107-e/Docs/R1-2112506.zip" TargetMode="External"/><Relationship Id="rId37" Type="http://schemas.openxmlformats.org/officeDocument/2006/relationships/hyperlink" Target="https://www.3gpp.org/ftp/TSG_RAN/WG1_RL1/TSGR1_108-e/Docs/R1-2201136.zip" TargetMode="External"/><Relationship Id="rId40" Type="http://schemas.openxmlformats.org/officeDocument/2006/relationships/hyperlink" Target="https://www.3gpp.org/ftp/TSG_RAN/WG1_RL1/TSGR1_108-e/Docs/R1-2201404.zip" TargetMode="External"/><Relationship Id="rId45" Type="http://schemas.openxmlformats.org/officeDocument/2006/relationships/hyperlink" Target="https://www.3gpp.org/ftp/TSG_RAN/WG1_RL1/TSGR1_108-e/Docs/R1-2201605.zip" TargetMode="External"/><Relationship Id="rId53" Type="http://schemas.openxmlformats.org/officeDocument/2006/relationships/hyperlink" Target="https://www.3gpp.org/ftp/TSG_RAN/WG1_RL1/TSGR1_108-e/Docs/R1-2202061.zip" TargetMode="External"/><Relationship Id="rId58" Type="http://schemas.openxmlformats.org/officeDocument/2006/relationships/hyperlink" Target="https://www.3gpp.org/ftp/TSG_RAN/WG1_RL1/TSGR1_108-e/Docs/R1-2202146.zip" TargetMode="External"/><Relationship Id="rId66" Type="http://schemas.openxmlformats.org/officeDocument/2006/relationships/hyperlink" Target="https://www.3gpp.org/ftp/tsg_ran/TSG_RAN/TSGR_94e/Docs/RP-213689.zip" TargetMode="External"/><Relationship Id="rId74"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3.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3gpp.org/ftp/TSG_RAN/WG1_RL1/TSGR1_108-e/Docs/R1-2200985.zip" TargetMode="External"/><Relationship Id="rId43" Type="http://schemas.openxmlformats.org/officeDocument/2006/relationships/hyperlink" Target="https://www.3gpp.org/ftp/TSG_RAN/WG1_RL1/TSGR1_108-e/Docs/R1-2201549.zip" TargetMode="External"/><Relationship Id="rId48" Type="http://schemas.openxmlformats.org/officeDocument/2006/relationships/hyperlink" Target="https://www.3gpp.org/ftp/TSG_RAN/WG1_RL1/TSGR1_108-e/Docs/R1-2201775.zip" TargetMode="External"/><Relationship Id="rId56" Type="http://schemas.openxmlformats.org/officeDocument/2006/relationships/hyperlink" Target="https://www.3gpp.org/ftp/TSG_RAN/WG1_RL1/TSGR1_108-e/Docs/R1-2202344.zip" TargetMode="External"/><Relationship Id="rId64" Type="http://schemas.openxmlformats.org/officeDocument/2006/relationships/hyperlink" Target="https://www.3gpp.org/ftp/TSG_RAN/WG1_RL1/TSGR1_108-e/Docs/R1-2201958.zip" TargetMode="External"/><Relationship Id="rId69" Type="http://schemas.openxmlformats.org/officeDocument/2006/relationships/hyperlink" Target="https://www.3gpp.org/ftp/TSG_RAN/WG1_RL1/TSGR1_108-e/Docs/R1-2200877.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1970.zip" TargetMode="External"/><Relationship Id="rId72" Type="http://schemas.openxmlformats.org/officeDocument/2006/relationships/hyperlink" Target="https://www.3gpp.org/ftp/tsg_ran/WG1_RL1/TSGR1_108-e/Docs/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1_RL1/TSGR1_107-e/Docs/R1-2112501.zip" TargetMode="External"/><Relationship Id="rId38" Type="http://schemas.openxmlformats.org/officeDocument/2006/relationships/hyperlink" Target="https://www.3gpp.org/ftp/TSG_RAN/WG1_RL1/TSGR1_108-e/Docs/R1-2201277.zip" TargetMode="External"/><Relationship Id="rId46" Type="http://schemas.openxmlformats.org/officeDocument/2006/relationships/hyperlink" Target="https://www.3gpp.org/ftp/TSG_RAN/WG1_RL1/TSGR1_108-e/Docs/R1-2201668.zip" TargetMode="External"/><Relationship Id="rId59" Type="http://schemas.openxmlformats.org/officeDocument/2006/relationships/hyperlink" Target="https://www.3gpp.org/ftp/TSG_RAN/WG1_RL1/TSGR1_108-e/Docs/R1-2200918.zip" TargetMode="External"/><Relationship Id="rId67" Type="http://schemas.openxmlformats.org/officeDocument/2006/relationships/hyperlink" Target="https://www.3gpp.org/ftp/tsg_ran/WG1_RL1/TSGR1_107-e/Docs/R1-211280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441.zip" TargetMode="External"/><Relationship Id="rId54" Type="http://schemas.openxmlformats.org/officeDocument/2006/relationships/hyperlink" Target="https://www.3gpp.org/ftp/TSG_RAN/WG1_RL1/TSGR1_108-e/Docs/R1-2202192.zip" TargetMode="External"/><Relationship Id="rId62" Type="http://schemas.openxmlformats.org/officeDocument/2006/relationships/hyperlink" Target="https://www.3gpp.org/ftp/TSG_RAN/WG1_RL1/TSGR1_108-e/Docs/R1-2201864.zip" TargetMode="External"/><Relationship Id="rId70" Type="http://schemas.openxmlformats.org/officeDocument/2006/relationships/hyperlink" Target="https://www.3gpp.org/ftp/TSG_RAN/WG1_RL1/TSGR1_108-e/Docs/R1-2200898.zip" TargetMode="External"/><Relationship Id="rId75"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png"/><Relationship Id="rId36" Type="http://schemas.openxmlformats.org/officeDocument/2006/relationships/hyperlink" Target="https://www.3gpp.org/ftp/TSG_RAN/WG1_RL1/TSGR1_108-e/Docs/R1-2201099.zip" TargetMode="External"/><Relationship Id="rId49" Type="http://schemas.openxmlformats.org/officeDocument/2006/relationships/hyperlink" Target="https://www.3gpp.org/ftp/TSG_RAN/WG1_RL1/TSGR1_108-e/Docs/R1-2201861.zip" TargetMode="External"/><Relationship Id="rId57"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31" Type="http://schemas.openxmlformats.org/officeDocument/2006/relationships/hyperlink" Target="https://www.3gpp.org/ftp/TSG_RAN/TSG_RAN/TSGR_92e/Docs/RP-211574.zip" TargetMode="External"/><Relationship Id="rId44" Type="http://schemas.openxmlformats.org/officeDocument/2006/relationships/hyperlink" Target="https://www.3gpp.org/ftp/TSG_RAN/WG1_RL1/TSGR1_108-e/Docs/R1-2201590.zip" TargetMode="External"/><Relationship Id="rId52" Type="http://schemas.openxmlformats.org/officeDocument/2006/relationships/hyperlink" Target="https://www.3gpp.org/ftp/TSG_RAN/WG1_RL1/TSGR1_108-e/Docs/R1-2202020.zip" TargetMode="External"/><Relationship Id="rId60" Type="http://schemas.openxmlformats.org/officeDocument/2006/relationships/hyperlink" Target="https://www.3gpp.org/ftp/TSG_RAN/WG1_RL1/TSGR1_108-e/Docs/R1-2201138.zip" TargetMode="External"/><Relationship Id="rId65" Type="http://schemas.openxmlformats.org/officeDocument/2006/relationships/hyperlink" Target="https://www.3gpp.org/ftp/TSG_RAN/WG1_RL1/TSGR1_108-e/Docs/R1-2202419.zip" TargetMode="External"/><Relationship Id="rId73"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367.zip" TargetMode="External"/><Relationship Id="rId34"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955.zip" TargetMode="External"/><Relationship Id="rId55" Type="http://schemas.openxmlformats.org/officeDocument/2006/relationships/hyperlink" Target="https://www.3gpp.org/ftp/TSG_RAN/WG1_RL1/TSGR1_108-e/Docs/R1-2202250.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0904.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19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9E7605-3C10-4FA9-A5C7-65B03AFB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27019</Words>
  <Characters>154013</Characters>
  <Application>Microsoft Office Word</Application>
  <DocSecurity>0</DocSecurity>
  <Lines>1283</Lines>
  <Paragraphs>361</Paragraphs>
  <ScaleCrop>false</ScaleCrop>
  <Company>Panasonic Corporation</Company>
  <LinksUpToDate>false</LinksUpToDate>
  <CharactersWithSpaces>180671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3</cp:revision>
  <dcterms:created xsi:type="dcterms:W3CDTF">2022-02-24T07:51:00Z</dcterms:created>
  <dcterms:modified xsi:type="dcterms:W3CDTF">2022-02-24T07:59:00Z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